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cs="宋体"/>
          <w:bCs/>
          <w:spacing w:val="20"/>
          <w:sz w:val="72"/>
          <w:szCs w:val="72"/>
        </w:rPr>
      </w:pPr>
    </w:p>
    <w:p>
      <w:pPr>
        <w:spacing w:line="360" w:lineRule="auto"/>
        <w:jc w:val="both"/>
        <w:rPr>
          <w:rFonts w:hint="eastAsia" w:ascii="宋体" w:hAnsi="宋体" w:cs="宋体"/>
          <w:bCs/>
          <w:spacing w:val="20"/>
          <w:sz w:val="72"/>
          <w:szCs w:val="72"/>
        </w:rPr>
      </w:pPr>
      <w:r>
        <w:rPr>
          <w:rFonts w:hint="eastAsia" w:ascii="宋体" w:hAnsi="宋体" w:cs="宋体"/>
          <w:bCs/>
          <w:spacing w:val="20"/>
          <w:sz w:val="72"/>
          <w:szCs w:val="72"/>
        </w:rPr>
        <w:t>无 锡 市 政 府 采 购</w:t>
      </w:r>
    </w:p>
    <w:p>
      <w:pPr>
        <w:spacing w:line="360" w:lineRule="auto"/>
        <w:rPr>
          <w:rFonts w:hint="eastAsia" w:ascii="宋体" w:hAnsi="宋体" w:cs="宋体"/>
          <w:bCs/>
          <w:sz w:val="30"/>
        </w:rPr>
      </w:pPr>
    </w:p>
    <w:p>
      <w:pPr>
        <w:spacing w:line="360" w:lineRule="auto"/>
        <w:rPr>
          <w:rFonts w:hint="eastAsia" w:ascii="宋体" w:hAnsi="宋体" w:cs="宋体"/>
          <w:bCs/>
          <w:sz w:val="30"/>
        </w:rPr>
      </w:pPr>
    </w:p>
    <w:p>
      <w:pPr>
        <w:spacing w:line="360" w:lineRule="auto"/>
        <w:jc w:val="center"/>
        <w:rPr>
          <w:rFonts w:hint="eastAsia" w:ascii="宋体" w:hAnsi="宋体" w:cs="宋体"/>
          <w:bCs/>
          <w:spacing w:val="20"/>
          <w:w w:val="90"/>
          <w:sz w:val="72"/>
          <w:szCs w:val="72"/>
        </w:rPr>
      </w:pPr>
    </w:p>
    <w:p>
      <w:pPr>
        <w:pStyle w:val="2"/>
        <w:rPr>
          <w:rFonts w:hint="eastAsia"/>
        </w:rPr>
      </w:pPr>
    </w:p>
    <w:p>
      <w:pPr>
        <w:spacing w:line="360" w:lineRule="auto"/>
        <w:jc w:val="center"/>
        <w:rPr>
          <w:rFonts w:hint="eastAsia" w:ascii="宋体" w:hAnsi="宋体" w:cs="宋体"/>
          <w:bCs/>
          <w:spacing w:val="20"/>
          <w:w w:val="90"/>
          <w:sz w:val="72"/>
          <w:szCs w:val="72"/>
          <w:lang w:val="en-US" w:eastAsia="zh-CN"/>
        </w:rPr>
      </w:pPr>
      <w:r>
        <w:rPr>
          <w:rFonts w:hint="eastAsia" w:ascii="宋体" w:hAnsi="宋体" w:cs="宋体"/>
          <w:bCs/>
          <w:spacing w:val="20"/>
          <w:w w:val="90"/>
          <w:sz w:val="72"/>
          <w:szCs w:val="72"/>
        </w:rPr>
        <w:t>竞 争 性 磋 商</w:t>
      </w:r>
      <w:r>
        <w:rPr>
          <w:rFonts w:hint="eastAsia" w:ascii="宋体" w:hAnsi="宋体" w:cs="宋体"/>
          <w:bCs/>
          <w:spacing w:val="20"/>
          <w:w w:val="90"/>
          <w:sz w:val="72"/>
          <w:szCs w:val="72"/>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6pt;height:0pt;width:0.05pt;z-index:251660288;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v3/rXAAAACQEAAA8AAAAAAAAAAQAgAAAAIgAAAGRycy9kb3ducmV2LnhtbFBLAQIUABQA&#10;AAAIAIdO4kC4YyrB8QEAAOADAAAOAAAAAAAAAAEAIAAAACYBAABkcnMvZTJvRG9jLnhtbFBLBQYA&#10;AAAABgAGAFkBAACJBQAAAAA=&#10;">
                <v:fill on="f" focussize="0,0"/>
                <v:stroke color="#000000" joinstyle="round"/>
                <v:imagedata o:title=""/>
                <o:lock v:ext="edit" aspectratio="f"/>
              </v:line>
            </w:pict>
          </mc:Fallback>
        </mc:AlternateContent>
      </w:r>
      <w:r>
        <w:rPr>
          <w:rFonts w:hint="eastAsia" w:ascii="宋体" w:hAnsi="宋体" w:cs="宋体"/>
          <w:bCs/>
          <w:spacing w:val="20"/>
          <w:w w:val="90"/>
          <w:sz w:val="72"/>
          <w:szCs w:val="72"/>
          <w:lang w:val="en-US" w:eastAsia="zh-CN"/>
        </w:rPr>
        <w:t xml:space="preserve"> </w:t>
      </w:r>
      <w:r>
        <w:rPr>
          <w:rFonts w:hint="eastAsia" w:ascii="宋体" w:hAnsi="宋体" w:cs="宋体"/>
          <w:bCs/>
          <w:spacing w:val="20"/>
          <w:w w:val="90"/>
          <w:sz w:val="72"/>
          <w:szCs w:val="72"/>
        </w:rPr>
        <w:t>文</w:t>
      </w:r>
      <w:r>
        <w:rPr>
          <w:rFonts w:hint="eastAsia" w:ascii="宋体" w:hAnsi="宋体" w:cs="宋体"/>
          <w:bCs/>
          <w:spacing w:val="20"/>
          <w:w w:val="90"/>
          <w:sz w:val="72"/>
          <w:szCs w:val="72"/>
          <w:lang w:val="en-US" w:eastAsia="zh-CN"/>
        </w:rPr>
        <w:t xml:space="preserve"> </w:t>
      </w:r>
      <w:r>
        <w:rPr>
          <w:rFonts w:hint="eastAsia" w:ascii="宋体" w:hAnsi="宋体" w:cs="宋体"/>
          <w:bCs/>
          <w:spacing w:val="20"/>
          <w:w w:val="90"/>
          <w:sz w:val="72"/>
          <w:szCs w:val="72"/>
        </w:rPr>
        <w:t>件</w:t>
      </w:r>
    </w:p>
    <w:p>
      <w:pPr>
        <w:spacing w:line="360" w:lineRule="auto"/>
        <w:jc w:val="center"/>
        <w:rPr>
          <w:rFonts w:hint="eastAsia" w:ascii="宋体" w:hAnsi="宋体" w:cs="宋体"/>
          <w:bCs/>
          <w:spacing w:val="20"/>
          <w:w w:val="90"/>
          <w:sz w:val="44"/>
          <w:szCs w:val="44"/>
          <w:lang w:eastAsia="zh-CN"/>
        </w:rPr>
      </w:pPr>
    </w:p>
    <w:p>
      <w:pPr>
        <w:spacing w:line="360" w:lineRule="auto"/>
        <w:jc w:val="center"/>
        <w:rPr>
          <w:rFonts w:hint="eastAsia" w:ascii="宋体" w:hAnsi="宋体" w:cs="宋体"/>
          <w:bCs/>
          <w:spacing w:val="20"/>
          <w:w w:val="90"/>
          <w:sz w:val="44"/>
          <w:szCs w:val="44"/>
          <w:lang w:eastAsia="zh-CN"/>
        </w:rPr>
      </w:pPr>
    </w:p>
    <w:p>
      <w:pPr>
        <w:spacing w:line="360" w:lineRule="auto"/>
        <w:jc w:val="center"/>
        <w:rPr>
          <w:rFonts w:hint="eastAsia" w:ascii="宋体" w:hAnsi="宋体" w:cs="宋体"/>
          <w:bCs/>
          <w:spacing w:val="20"/>
          <w:w w:val="90"/>
          <w:sz w:val="44"/>
          <w:szCs w:val="44"/>
        </w:rPr>
      </w:pPr>
      <w:r>
        <w:rPr>
          <w:rFonts w:hint="eastAsia" w:ascii="宋体" w:hAnsi="宋体" w:cs="宋体"/>
          <w:bCs/>
          <w:spacing w:val="20"/>
          <w:w w:val="90"/>
          <w:sz w:val="44"/>
          <w:szCs w:val="44"/>
          <w:lang w:eastAsia="zh-CN"/>
        </w:rPr>
        <w:t>（第二次）</w:t>
      </w:r>
    </w:p>
    <w:p>
      <w:pPr>
        <w:spacing w:line="360" w:lineRule="auto"/>
        <w:rPr>
          <w:rFonts w:hint="eastAsia" w:ascii="宋体" w:hAnsi="宋体" w:cs="宋体"/>
          <w:bCs/>
          <w:sz w:val="30"/>
        </w:rPr>
      </w:pPr>
    </w:p>
    <w:p>
      <w:pPr>
        <w:widowControl w:val="0"/>
        <w:ind w:left="840" w:leftChars="400"/>
        <w:jc w:val="both"/>
        <w:rPr>
          <w:rFonts w:hint="eastAsia" w:eastAsia="宋体"/>
          <w:kern w:val="2"/>
          <w:sz w:val="21"/>
          <w:lang w:val="en-US" w:eastAsia="zh-CN" w:bidi="ar-SA"/>
        </w:rPr>
      </w:pPr>
    </w:p>
    <w:p>
      <w:pPr>
        <w:rPr>
          <w:rFonts w:hint="eastAsia"/>
        </w:rPr>
      </w:pPr>
    </w:p>
    <w:p>
      <w:pPr>
        <w:rPr>
          <w:rFonts w:hint="eastAsia" w:ascii="宋体" w:hAnsi="宋体" w:cs="宋体"/>
        </w:rPr>
      </w:pPr>
    </w:p>
    <w:p>
      <w:pPr>
        <w:spacing w:line="360" w:lineRule="auto"/>
        <w:rPr>
          <w:rFonts w:hint="eastAsia" w:ascii="宋体" w:hAnsi="宋体" w:cs="宋体"/>
          <w:bCs/>
          <w:sz w:val="30"/>
          <w:szCs w:val="30"/>
        </w:rPr>
      </w:pPr>
      <w:r>
        <w:rPr>
          <w:rFonts w:hint="eastAsia" w:ascii="宋体" w:hAnsi="宋体" w:cs="宋体"/>
          <w:bCs/>
          <w:sz w:val="30"/>
          <w:szCs w:val="30"/>
        </w:rPr>
        <w:t>政府采购编号：PXGJCG2020-</w:t>
      </w:r>
      <w:r>
        <w:rPr>
          <w:rFonts w:hint="eastAsia" w:ascii="宋体" w:hAnsi="宋体" w:cs="宋体"/>
          <w:bCs/>
          <w:sz w:val="30"/>
          <w:szCs w:val="30"/>
          <w:lang w:val="en-US" w:eastAsia="zh-CN"/>
        </w:rPr>
        <w:t>108</w:t>
      </w:r>
      <w:r>
        <w:rPr>
          <w:rFonts w:hint="eastAsia" w:ascii="宋体" w:hAnsi="宋体" w:cs="宋体"/>
          <w:bCs/>
          <w:sz w:val="30"/>
          <w:szCs w:val="30"/>
        </w:rPr>
        <w:t xml:space="preserve">   </w:t>
      </w:r>
    </w:p>
    <w:p>
      <w:pPr>
        <w:spacing w:line="360" w:lineRule="auto"/>
        <w:rPr>
          <w:rFonts w:hint="eastAsia" w:ascii="宋体" w:hAnsi="宋体" w:eastAsia="宋体" w:cs="宋体"/>
          <w:bCs/>
          <w:sz w:val="30"/>
          <w:szCs w:val="30"/>
          <w:lang w:eastAsia="zh-CN"/>
        </w:rPr>
      </w:pPr>
      <w:r>
        <w:rPr>
          <w:rFonts w:hint="eastAsia" w:ascii="宋体" w:hAnsi="宋体" w:cs="宋体"/>
          <w:bCs/>
          <w:sz w:val="30"/>
          <w:szCs w:val="30"/>
        </w:rPr>
        <w:t>采购项目名称：无锡市锡东生活垃圾焚烧发电厂(一期)项目</w:t>
      </w:r>
      <w:r>
        <w:rPr>
          <w:rFonts w:hint="eastAsia" w:ascii="宋体" w:hAnsi="宋体" w:cs="宋体"/>
          <w:bCs/>
          <w:sz w:val="30"/>
          <w:szCs w:val="30"/>
          <w:lang w:eastAsia="zh-CN"/>
        </w:rPr>
        <w:t>特许经营权</w:t>
      </w:r>
    </w:p>
    <w:p>
      <w:pPr>
        <w:spacing w:line="360" w:lineRule="auto"/>
        <w:rPr>
          <w:rFonts w:hint="eastAsia" w:ascii="宋体" w:hAnsi="宋体" w:cs="宋体"/>
          <w:bCs/>
          <w:sz w:val="30"/>
          <w:szCs w:val="30"/>
        </w:rPr>
      </w:pPr>
      <w:r>
        <w:rPr>
          <w:rFonts w:hint="eastAsia" w:ascii="宋体" w:hAnsi="宋体" w:cs="宋体"/>
          <w:bCs/>
          <w:sz w:val="30"/>
          <w:szCs w:val="30"/>
        </w:rPr>
        <w:t>采购单位：无锡环境卫生管理处</w:t>
      </w:r>
    </w:p>
    <w:p>
      <w:pPr>
        <w:spacing w:line="360" w:lineRule="auto"/>
        <w:rPr>
          <w:rFonts w:hint="eastAsia" w:ascii="宋体" w:hAnsi="宋体" w:cs="宋体"/>
          <w:bCs/>
          <w:sz w:val="44"/>
          <w:szCs w:val="44"/>
        </w:rPr>
      </w:pPr>
      <w:r>
        <w:rPr>
          <w:rFonts w:hint="eastAsia" w:ascii="宋体" w:hAnsi="宋体" w:cs="宋体"/>
          <w:bCs/>
          <w:sz w:val="30"/>
          <w:szCs w:val="30"/>
        </w:rPr>
        <w:t>代理机构：普信国际工程咨询有限公司</w:t>
      </w:r>
    </w:p>
    <w:p>
      <w:pPr>
        <w:spacing w:line="360" w:lineRule="auto"/>
        <w:jc w:val="center"/>
        <w:rPr>
          <w:rFonts w:hint="eastAsia" w:ascii="宋体" w:hAnsi="宋体" w:cs="宋体"/>
          <w:bCs/>
          <w:sz w:val="44"/>
          <w:szCs w:val="44"/>
        </w:rPr>
      </w:pPr>
    </w:p>
    <w:p>
      <w:pPr>
        <w:spacing w:line="360" w:lineRule="auto"/>
        <w:jc w:val="center"/>
        <w:rPr>
          <w:rFonts w:hint="eastAsia" w:ascii="宋体" w:hAnsi="宋体" w:cs="宋体"/>
          <w:bCs/>
          <w:sz w:val="44"/>
          <w:szCs w:val="44"/>
        </w:rPr>
      </w:pPr>
      <w:r>
        <w:rPr>
          <w:rFonts w:hint="eastAsia" w:ascii="宋体" w:hAnsi="宋体" w:cs="宋体"/>
          <w:bCs/>
          <w:sz w:val="44"/>
          <w:szCs w:val="44"/>
        </w:rPr>
        <w:t>二○二○年</w:t>
      </w:r>
      <w:r>
        <w:rPr>
          <w:rFonts w:hint="eastAsia" w:ascii="宋体" w:hAnsi="宋体" w:cs="宋体"/>
          <w:bCs/>
          <w:sz w:val="44"/>
          <w:szCs w:val="44"/>
          <w:lang w:eastAsia="zh-CN"/>
        </w:rPr>
        <w:t>十二</w:t>
      </w:r>
      <w:r>
        <w:rPr>
          <w:rFonts w:hint="eastAsia" w:ascii="宋体" w:hAnsi="宋体" w:cs="宋体"/>
          <w:bCs/>
          <w:sz w:val="44"/>
          <w:szCs w:val="44"/>
        </w:rPr>
        <w:t>月</w:t>
      </w:r>
    </w:p>
    <w:p>
      <w:pPr>
        <w:rPr>
          <w:rFonts w:hint="eastAsia" w:ascii="宋体" w:hAnsi="宋体" w:cs="宋体"/>
          <w:bCs/>
          <w:sz w:val="44"/>
          <w:szCs w:val="44"/>
        </w:rPr>
      </w:pPr>
      <w:r>
        <w:rPr>
          <w:rFonts w:hint="eastAsia" w:ascii="宋体" w:hAnsi="宋体" w:cs="宋体"/>
          <w:bCs/>
          <w:sz w:val="44"/>
          <w:szCs w:val="44"/>
        </w:rPr>
        <w:br w:type="page"/>
      </w:r>
    </w:p>
    <w:p>
      <w:pPr>
        <w:spacing w:line="360" w:lineRule="auto"/>
        <w:jc w:val="center"/>
        <w:rPr>
          <w:rStyle w:val="59"/>
          <w:rFonts w:hint="eastAsia" w:ascii="宋体" w:hAnsi="宋体" w:cs="宋体"/>
          <w:bCs/>
          <w:sz w:val="48"/>
        </w:rPr>
      </w:pPr>
      <w:r>
        <w:rPr>
          <w:rStyle w:val="59"/>
          <w:rFonts w:hint="eastAsia" w:ascii="宋体" w:hAnsi="宋体" w:cs="宋体"/>
          <w:bCs/>
          <w:sz w:val="48"/>
        </w:rPr>
        <w:t>目     录</w:t>
      </w:r>
    </w:p>
    <w:p>
      <w:pPr>
        <w:spacing w:line="360" w:lineRule="auto"/>
        <w:jc w:val="center"/>
        <w:rPr>
          <w:rFonts w:hint="eastAsia" w:ascii="宋体" w:hAnsi="宋体" w:cs="宋体"/>
          <w:bCs/>
          <w:sz w:val="30"/>
        </w:rPr>
      </w:pPr>
    </w:p>
    <w:p>
      <w:pPr>
        <w:spacing w:line="360" w:lineRule="auto"/>
        <w:jc w:val="center"/>
        <w:rPr>
          <w:rFonts w:hint="eastAsia" w:ascii="宋体" w:hAnsi="宋体" w:cs="宋体"/>
          <w:bCs/>
          <w:sz w:val="30"/>
        </w:rPr>
      </w:pPr>
    </w:p>
    <w:p>
      <w:pPr>
        <w:spacing w:line="480" w:lineRule="auto"/>
        <w:ind w:firstLine="450" w:firstLineChars="150"/>
        <w:rPr>
          <w:rFonts w:hint="eastAsia" w:ascii="宋体" w:hAnsi="宋体" w:cs="宋体"/>
          <w:bCs/>
          <w:sz w:val="30"/>
          <w:szCs w:val="30"/>
        </w:rPr>
      </w:pPr>
      <w:r>
        <w:rPr>
          <w:rFonts w:hint="eastAsia" w:ascii="宋体" w:hAnsi="宋体" w:cs="宋体"/>
          <w:bCs/>
          <w:sz w:val="30"/>
          <w:szCs w:val="30"/>
        </w:rPr>
        <w:t>第一部分 磋商邀请函</w:t>
      </w:r>
    </w:p>
    <w:p>
      <w:pPr>
        <w:spacing w:line="480" w:lineRule="auto"/>
        <w:ind w:firstLine="450" w:firstLineChars="150"/>
        <w:rPr>
          <w:rFonts w:hint="eastAsia" w:ascii="宋体" w:hAnsi="宋体" w:cs="宋体"/>
          <w:bCs/>
          <w:sz w:val="30"/>
          <w:szCs w:val="30"/>
        </w:rPr>
      </w:pPr>
      <w:r>
        <w:rPr>
          <w:rFonts w:hint="eastAsia" w:ascii="宋体" w:hAnsi="宋体" w:cs="宋体"/>
          <w:bCs/>
          <w:sz w:val="30"/>
          <w:szCs w:val="30"/>
        </w:rPr>
        <w:t>第二部分 供应商须知</w:t>
      </w:r>
    </w:p>
    <w:p>
      <w:pPr>
        <w:spacing w:line="480" w:lineRule="auto"/>
        <w:ind w:firstLine="450" w:firstLineChars="150"/>
        <w:rPr>
          <w:rFonts w:hint="eastAsia" w:ascii="宋体" w:hAnsi="宋体" w:cs="宋体"/>
          <w:bCs/>
          <w:sz w:val="30"/>
          <w:szCs w:val="30"/>
        </w:rPr>
      </w:pPr>
      <w:r>
        <w:rPr>
          <w:rFonts w:hint="eastAsia" w:ascii="宋体" w:hAnsi="宋体" w:cs="宋体"/>
          <w:bCs/>
          <w:sz w:val="30"/>
          <w:szCs w:val="30"/>
        </w:rPr>
        <w:t>第三部分 采购需求</w:t>
      </w:r>
    </w:p>
    <w:p>
      <w:pPr>
        <w:spacing w:line="480" w:lineRule="auto"/>
        <w:ind w:firstLine="450" w:firstLineChars="150"/>
        <w:rPr>
          <w:rFonts w:hint="eastAsia" w:ascii="宋体" w:hAnsi="宋体" w:cs="宋体"/>
          <w:bCs/>
          <w:sz w:val="30"/>
          <w:szCs w:val="30"/>
        </w:rPr>
      </w:pPr>
      <w:r>
        <w:rPr>
          <w:rFonts w:hint="eastAsia" w:ascii="宋体" w:hAnsi="宋体" w:cs="宋体"/>
          <w:bCs/>
          <w:sz w:val="30"/>
          <w:szCs w:val="30"/>
        </w:rPr>
        <w:t>第四部分 合同条款及格式</w:t>
      </w:r>
    </w:p>
    <w:p>
      <w:pPr>
        <w:spacing w:line="480" w:lineRule="auto"/>
        <w:ind w:firstLine="450" w:firstLineChars="150"/>
        <w:rPr>
          <w:rFonts w:hint="eastAsia" w:ascii="宋体" w:hAnsi="宋体" w:cs="宋体"/>
          <w:bCs/>
          <w:sz w:val="28"/>
          <w:szCs w:val="28"/>
        </w:rPr>
      </w:pPr>
      <w:r>
        <w:rPr>
          <w:rFonts w:hint="eastAsia" w:ascii="宋体" w:hAnsi="宋体" w:cs="宋体"/>
          <w:bCs/>
          <w:sz w:val="30"/>
          <w:szCs w:val="30"/>
        </w:rPr>
        <w:t>第五部分 附件（响应文件格式）</w:t>
      </w:r>
    </w:p>
    <w:p>
      <w:pPr>
        <w:spacing w:line="360" w:lineRule="auto"/>
        <w:rPr>
          <w:rFonts w:hint="eastAsia" w:ascii="宋体" w:hAnsi="宋体" w:cs="宋体"/>
          <w:bCs/>
          <w:sz w:val="30"/>
        </w:rPr>
      </w:pPr>
    </w:p>
    <w:p>
      <w:pPr>
        <w:spacing w:line="360" w:lineRule="auto"/>
        <w:rPr>
          <w:rFonts w:hint="eastAsia" w:ascii="宋体" w:hAnsi="宋体" w:cs="宋体"/>
          <w:bCs/>
          <w:sz w:val="30"/>
        </w:rPr>
      </w:pPr>
    </w:p>
    <w:p>
      <w:pPr>
        <w:spacing w:line="360" w:lineRule="auto"/>
        <w:rPr>
          <w:rFonts w:hint="eastAsia" w:ascii="宋体" w:hAnsi="宋体" w:cs="宋体"/>
          <w:bCs/>
          <w:sz w:val="28"/>
        </w:rPr>
      </w:pPr>
    </w:p>
    <w:p>
      <w:pPr>
        <w:spacing w:line="360" w:lineRule="auto"/>
        <w:rPr>
          <w:rFonts w:hint="eastAsia" w:ascii="宋体" w:hAnsi="宋体" w:cs="宋体"/>
          <w:bCs/>
          <w:sz w:val="28"/>
        </w:rPr>
      </w:pPr>
    </w:p>
    <w:p>
      <w:pPr>
        <w:spacing w:line="360" w:lineRule="auto"/>
        <w:rPr>
          <w:rFonts w:hint="eastAsia" w:ascii="宋体" w:hAnsi="宋体" w:cs="宋体"/>
          <w:bCs/>
          <w:sz w:val="28"/>
        </w:rPr>
      </w:pPr>
    </w:p>
    <w:p>
      <w:pPr>
        <w:spacing w:line="360" w:lineRule="auto"/>
        <w:rPr>
          <w:rFonts w:hint="eastAsia" w:ascii="宋体" w:hAnsi="宋体" w:cs="宋体"/>
          <w:bCs/>
          <w:sz w:val="32"/>
        </w:rPr>
      </w:pPr>
    </w:p>
    <w:p>
      <w:pPr>
        <w:spacing w:line="360" w:lineRule="auto"/>
        <w:rPr>
          <w:rFonts w:hint="eastAsia" w:ascii="宋体" w:hAnsi="宋体" w:cs="宋体"/>
          <w:bCs/>
          <w:sz w:val="32"/>
        </w:rPr>
      </w:pPr>
    </w:p>
    <w:p>
      <w:pPr>
        <w:spacing w:line="360" w:lineRule="auto"/>
        <w:rPr>
          <w:rFonts w:hint="eastAsia" w:ascii="宋体" w:hAnsi="宋体" w:cs="宋体"/>
          <w:bCs/>
          <w:sz w:val="32"/>
        </w:rPr>
      </w:pPr>
    </w:p>
    <w:p>
      <w:pPr>
        <w:pageBreakBefore/>
        <w:spacing w:line="360" w:lineRule="auto"/>
        <w:jc w:val="center"/>
        <w:rPr>
          <w:rFonts w:hint="eastAsia" w:ascii="宋体" w:hAnsi="宋体" w:cs="宋体"/>
          <w:bCs/>
          <w:sz w:val="28"/>
          <w:szCs w:val="28"/>
        </w:rPr>
      </w:pPr>
      <w:bookmarkStart w:id="0" w:name="报价方须知前附表"/>
      <w:bookmarkEnd w:id="0"/>
      <w:r>
        <w:rPr>
          <w:rFonts w:hint="eastAsia" w:ascii="宋体" w:hAnsi="宋体" w:cs="宋体"/>
          <w:bCs/>
          <w:sz w:val="28"/>
          <w:szCs w:val="28"/>
        </w:rPr>
        <w:t>一．磋商邀请函</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735" w:type="dxa"/>
            <w:noWrap w:val="0"/>
            <w:vAlign w:val="top"/>
          </w:tcPr>
          <w:p>
            <w:pPr>
              <w:adjustRightInd w:val="0"/>
              <w:snapToGrid w:val="0"/>
              <w:spacing w:line="360" w:lineRule="auto"/>
              <w:jc w:val="center"/>
              <w:rPr>
                <w:rFonts w:hint="eastAsia" w:ascii="宋体" w:hAnsi="宋体" w:cs="宋体"/>
                <w:bCs/>
                <w:sz w:val="24"/>
                <w:szCs w:val="24"/>
              </w:rPr>
            </w:pPr>
            <w:bookmarkStart w:id="1" w:name="二．报价方须知"/>
            <w:bookmarkEnd w:id="1"/>
            <w:r>
              <w:rPr>
                <w:rFonts w:hint="eastAsia" w:ascii="宋体" w:hAnsi="宋体" w:cs="宋体"/>
                <w:bCs/>
                <w:sz w:val="24"/>
                <w:szCs w:val="24"/>
              </w:rPr>
              <w:t>序号</w:t>
            </w:r>
          </w:p>
        </w:tc>
        <w:tc>
          <w:tcPr>
            <w:tcW w:w="9135" w:type="dxa"/>
            <w:noWrap w:val="0"/>
            <w:vAlign w:val="top"/>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w:t>
            </w:r>
          </w:p>
        </w:tc>
        <w:tc>
          <w:tcPr>
            <w:tcW w:w="9135" w:type="dxa"/>
            <w:noWrap w:val="0"/>
            <w:vAlign w:val="top"/>
          </w:tcPr>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项目名称：无锡市锡东生活垃圾焚烧发电厂(一期)项目</w:t>
            </w:r>
            <w:r>
              <w:rPr>
                <w:rFonts w:hint="eastAsia" w:ascii="宋体" w:hAnsi="宋体" w:cs="宋体"/>
                <w:bCs/>
                <w:sz w:val="24"/>
                <w:szCs w:val="24"/>
                <w:lang w:eastAsia="zh-CN"/>
              </w:rPr>
              <w:t>特许经营权</w:t>
            </w:r>
            <w:r>
              <w:rPr>
                <w:rFonts w:hint="eastAsia" w:ascii="宋体" w:hAnsi="宋体" w:cs="宋体"/>
                <w:bCs/>
                <w:sz w:val="24"/>
                <w:szCs w:val="24"/>
              </w:rPr>
              <w:t xml:space="preserve">         </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采购编号：</w:t>
            </w:r>
            <w:r>
              <w:rPr>
                <w:rFonts w:hint="eastAsia" w:ascii="宋体" w:hAnsi="宋体" w:cs="宋体"/>
                <w:sz w:val="24"/>
                <w:szCs w:val="24"/>
              </w:rPr>
              <w:t>PXGJCG2020-</w:t>
            </w:r>
            <w:r>
              <w:rPr>
                <w:rFonts w:hint="eastAsia" w:ascii="宋体" w:hAnsi="宋体" w:cs="宋体"/>
                <w:sz w:val="24"/>
                <w:szCs w:val="24"/>
                <w:lang w:val="en-US" w:eastAsia="zh-CN"/>
              </w:rPr>
              <w:t>108</w:t>
            </w:r>
            <w:r>
              <w:rPr>
                <w:rFonts w:hint="eastAsia" w:ascii="宋体" w:hAnsi="宋体" w:cs="宋体"/>
                <w:sz w:val="24"/>
                <w:szCs w:val="24"/>
              </w:rPr>
              <w:t xml:space="preserve"> </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 xml:space="preserve">采购人：无锡环境卫生管理处      </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2</w:t>
            </w:r>
          </w:p>
        </w:tc>
        <w:tc>
          <w:tcPr>
            <w:tcW w:w="9135" w:type="dxa"/>
            <w:tcBorders>
              <w:bottom w:val="single" w:color="auto" w:sz="4" w:space="0"/>
            </w:tcBorders>
            <w:noWrap w:val="0"/>
            <w:vAlign w:val="top"/>
          </w:tcPr>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采购代理机构：普信国际工程咨询有限公司</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地址：无锡市蠡湖大道2018号2号楼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noWrap w:val="0"/>
            <w:vAlign w:val="center"/>
          </w:tcPr>
          <w:p>
            <w:pPr>
              <w:adjustRightInd w:val="0"/>
              <w:snapToGrid w:val="0"/>
              <w:spacing w:line="360" w:lineRule="auto"/>
              <w:jc w:val="center"/>
              <w:rPr>
                <w:rFonts w:hint="eastAsia" w:ascii="宋体" w:hAnsi="宋体" w:cs="宋体"/>
                <w:bCs/>
                <w:sz w:val="24"/>
                <w:szCs w:val="24"/>
                <w:shd w:val="pct10" w:color="auto" w:fill="FFFFFF"/>
              </w:rPr>
            </w:pPr>
            <w:r>
              <w:rPr>
                <w:rFonts w:hint="eastAsia" w:ascii="宋体" w:hAnsi="宋体" w:cs="宋体"/>
                <w:bCs/>
                <w:sz w:val="24"/>
                <w:szCs w:val="24"/>
              </w:rPr>
              <w:t>3</w:t>
            </w:r>
          </w:p>
        </w:tc>
        <w:tc>
          <w:tcPr>
            <w:tcW w:w="9135" w:type="dxa"/>
            <w:noWrap w:val="0"/>
            <w:vAlign w:val="top"/>
          </w:tcPr>
          <w:p>
            <w:pPr>
              <w:widowControl/>
              <w:topLinePunct/>
              <w:spacing w:line="360" w:lineRule="auto"/>
              <w:rPr>
                <w:rFonts w:hint="eastAsia" w:ascii="宋体" w:hAnsi="宋体" w:cs="宋体"/>
                <w:kern w:val="0"/>
                <w:sz w:val="24"/>
              </w:rPr>
            </w:pPr>
            <w:r>
              <w:rPr>
                <w:rFonts w:hint="eastAsia" w:ascii="宋体" w:hAnsi="宋体" w:cs="宋体"/>
                <w:kern w:val="0"/>
                <w:sz w:val="24"/>
              </w:rPr>
              <w:t>采购项目概况、要求：</w:t>
            </w:r>
          </w:p>
          <w:p>
            <w:pPr>
              <w:spacing w:line="360" w:lineRule="auto"/>
              <w:rPr>
                <w:rFonts w:hint="eastAsia" w:ascii="宋体" w:hAnsi="宋体" w:cs="宋体"/>
                <w:sz w:val="24"/>
                <w:szCs w:val="24"/>
              </w:rPr>
            </w:pPr>
            <w:r>
              <w:rPr>
                <w:rFonts w:hint="eastAsia" w:ascii="宋体" w:hAnsi="宋体" w:cs="宋体"/>
                <w:sz w:val="24"/>
                <w:szCs w:val="24"/>
              </w:rPr>
              <w:t>无锡市锡东生活垃圾焚烧发电厂(一期)项目位于锡山区东港镇黄土塘村，占地16.6公顷。设计处理生活垃圾能力2000吨/天，</w:t>
            </w:r>
            <w:r>
              <w:rPr>
                <w:rFonts w:hint="eastAsia" w:ascii="宋体" w:hAnsi="宋体" w:cs="宋体"/>
                <w:sz w:val="24"/>
                <w:szCs w:val="24"/>
                <w:lang w:eastAsia="zh-CN"/>
              </w:rPr>
              <w:t>特许经营权转让费：</w:t>
            </w:r>
            <w:r>
              <w:rPr>
                <w:rFonts w:hint="eastAsia" w:ascii="宋体" w:hAnsi="宋体" w:cs="宋体"/>
                <w:sz w:val="24"/>
                <w:szCs w:val="24"/>
                <w:lang w:val="en-US" w:eastAsia="zh-CN"/>
              </w:rPr>
              <w:t>14.48亿元</w:t>
            </w:r>
            <w:r>
              <w:rPr>
                <w:rFonts w:hint="eastAsia" w:ascii="宋体" w:hAnsi="宋体" w:cs="宋体"/>
                <w:sz w:val="24"/>
                <w:szCs w:val="24"/>
              </w:rPr>
              <w:t>；</w:t>
            </w:r>
          </w:p>
          <w:p>
            <w:pPr>
              <w:spacing w:line="360" w:lineRule="auto"/>
              <w:rPr>
                <w:rFonts w:hint="eastAsia" w:ascii="宋体" w:hAnsi="宋体" w:cs="宋体"/>
                <w:sz w:val="24"/>
                <w:szCs w:val="24"/>
              </w:rPr>
            </w:pPr>
            <w:r>
              <w:rPr>
                <w:rFonts w:hint="eastAsia" w:ascii="宋体" w:hAnsi="宋体" w:cs="宋体"/>
                <w:sz w:val="24"/>
                <w:szCs w:val="24"/>
              </w:rPr>
              <w:t>项目合作期：自签订《特许经营协议》之日</w:t>
            </w:r>
            <w:r>
              <w:rPr>
                <w:rFonts w:hint="eastAsia" w:ascii="宋体" w:hAnsi="宋体" w:cs="宋体"/>
                <w:sz w:val="24"/>
                <w:szCs w:val="24"/>
                <w:lang w:eastAsia="zh-CN"/>
              </w:rPr>
              <w:t>起</w:t>
            </w:r>
            <w:r>
              <w:rPr>
                <w:rFonts w:hint="eastAsia" w:ascii="宋体" w:hAnsi="宋体" w:cs="宋体"/>
                <w:sz w:val="24"/>
                <w:szCs w:val="24"/>
              </w:rPr>
              <w:t>30年；</w:t>
            </w:r>
          </w:p>
          <w:p>
            <w:pPr>
              <w:spacing w:line="360" w:lineRule="auto"/>
              <w:rPr>
                <w:rFonts w:hint="eastAsia" w:ascii="宋体" w:hAnsi="宋体" w:cs="宋体"/>
                <w:sz w:val="24"/>
              </w:rPr>
            </w:pPr>
            <w:r>
              <w:rPr>
                <w:rFonts w:hint="eastAsia" w:ascii="宋体" w:hAnsi="宋体" w:cs="宋体"/>
                <w:sz w:val="24"/>
                <w:szCs w:val="24"/>
              </w:rPr>
              <w:t>生活垃圾处理费单价</w:t>
            </w:r>
            <w:r>
              <w:rPr>
                <w:rFonts w:hint="eastAsia" w:ascii="宋体" w:hAnsi="宋体" w:cs="宋体"/>
                <w:sz w:val="24"/>
                <w:szCs w:val="24"/>
                <w:lang w:eastAsia="zh-CN"/>
              </w:rPr>
              <w:t>最高</w:t>
            </w:r>
            <w:r>
              <w:rPr>
                <w:rFonts w:hint="eastAsia" w:ascii="宋体" w:hAnsi="宋体" w:cs="宋体"/>
                <w:sz w:val="24"/>
                <w:szCs w:val="24"/>
              </w:rPr>
              <w:t>限价：</w:t>
            </w:r>
            <w:r>
              <w:rPr>
                <w:rFonts w:hint="eastAsia" w:ascii="宋体" w:hAnsi="宋体" w:cs="宋体"/>
                <w:sz w:val="24"/>
                <w:szCs w:val="24"/>
                <w:lang w:val="en-US" w:eastAsia="zh-CN"/>
              </w:rPr>
              <w:t>95.6</w:t>
            </w:r>
            <w:r>
              <w:rPr>
                <w:rFonts w:hint="eastAsia" w:ascii="宋体" w:hAnsi="宋体" w:cs="宋体"/>
                <w:sz w:val="24"/>
                <w:szCs w:val="24"/>
              </w:rPr>
              <w:t>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4</w:t>
            </w:r>
          </w:p>
        </w:tc>
        <w:tc>
          <w:tcPr>
            <w:tcW w:w="9135" w:type="dxa"/>
            <w:noWrap w:val="0"/>
            <w:vAlign w:val="top"/>
          </w:tcPr>
          <w:p>
            <w:pPr>
              <w:pStyle w:val="402"/>
              <w:adjustRightInd w:val="0"/>
              <w:snapToGrid w:val="0"/>
              <w:spacing w:line="360" w:lineRule="auto"/>
              <w:rPr>
                <w:rFonts w:hint="eastAsia" w:hAnsi="宋体" w:cs="宋体"/>
              </w:rPr>
            </w:pPr>
            <w:r>
              <w:rPr>
                <w:rFonts w:hint="eastAsia" w:hAnsi="宋体" w:cs="宋体"/>
              </w:rPr>
              <w:t>供应商条件：供应商参加本次政府采购活动除应当具备《中华人民共和国政府采购法》第二十二条规定的条件外</w:t>
            </w:r>
            <w:bookmarkStart w:id="170" w:name="_GoBack"/>
            <w:bookmarkEnd w:id="170"/>
            <w:r>
              <w:rPr>
                <w:rFonts w:hint="eastAsia" w:hAnsi="宋体" w:cs="宋体"/>
              </w:rPr>
              <w:t>，还必须具备以下条件：</w:t>
            </w:r>
          </w:p>
          <w:p>
            <w:pPr>
              <w:pStyle w:val="402"/>
              <w:adjustRightInd w:val="0"/>
              <w:snapToGrid w:val="0"/>
              <w:spacing w:line="360" w:lineRule="auto"/>
              <w:rPr>
                <w:rFonts w:hint="eastAsia" w:hAnsi="宋体" w:cs="宋体"/>
                <w:bCs/>
                <w:kern w:val="2"/>
                <w:szCs w:val="24"/>
              </w:rPr>
            </w:pPr>
            <w:r>
              <w:rPr>
                <w:rFonts w:hint="eastAsia" w:hAnsi="宋体" w:cs="宋体"/>
                <w:bCs/>
                <w:kern w:val="2"/>
                <w:szCs w:val="24"/>
              </w:rPr>
              <w:t xml:space="preserve"> 1、</w:t>
            </w:r>
            <w:r>
              <w:rPr>
                <w:rFonts w:hint="eastAsia" w:hAnsi="宋体" w:cs="宋体"/>
                <w:bCs/>
                <w:lang w:val="zh-CN"/>
              </w:rPr>
              <w:t>中华人民共和国境内注册的企业法人，具有独立签订合同的权利和良好履行合同的能力，企业财务状况良好</w:t>
            </w:r>
            <w:r>
              <w:rPr>
                <w:rFonts w:hint="eastAsia" w:hAnsi="宋体" w:cs="宋体"/>
                <w:bCs/>
                <w:kern w:val="2"/>
                <w:szCs w:val="24"/>
              </w:rPr>
              <w:t>；</w:t>
            </w:r>
          </w:p>
          <w:p>
            <w:pPr>
              <w:pStyle w:val="402"/>
              <w:adjustRightInd w:val="0"/>
              <w:snapToGrid w:val="0"/>
              <w:spacing w:line="360" w:lineRule="auto"/>
              <w:rPr>
                <w:rFonts w:hint="eastAsia" w:hAnsi="宋体" w:cs="宋体"/>
                <w:bCs/>
                <w:kern w:val="2"/>
                <w:szCs w:val="24"/>
              </w:rPr>
            </w:pPr>
            <w:r>
              <w:rPr>
                <w:rFonts w:hint="eastAsia" w:hAnsi="宋体" w:cs="宋体"/>
                <w:bCs/>
                <w:kern w:val="2"/>
                <w:szCs w:val="24"/>
              </w:rPr>
              <w:t xml:space="preserve"> 2、供应商营业执照经营许可范围含生活垃圾焚烧处理；</w:t>
            </w:r>
          </w:p>
          <w:p>
            <w:pPr>
              <w:pStyle w:val="402"/>
              <w:adjustRightInd w:val="0"/>
              <w:snapToGrid w:val="0"/>
              <w:spacing w:line="360" w:lineRule="auto"/>
              <w:rPr>
                <w:rFonts w:hint="eastAsia" w:hAnsi="宋体" w:cs="宋体"/>
                <w:bCs/>
                <w:kern w:val="2"/>
                <w:szCs w:val="24"/>
              </w:rPr>
            </w:pPr>
            <w:r>
              <w:rPr>
                <w:rFonts w:hint="eastAsia" w:hAnsi="宋体" w:cs="宋体"/>
                <w:bCs/>
                <w:kern w:val="2"/>
                <w:szCs w:val="24"/>
              </w:rPr>
              <w:t xml:space="preserve"> 3、供应商具有运营生活垃圾焚烧发电项目的经验与能力，并提供相关证明资料（如特许经营协议、项目合同或其他相关证明材料）；</w:t>
            </w:r>
          </w:p>
          <w:p>
            <w:pPr>
              <w:pStyle w:val="402"/>
              <w:adjustRightInd w:val="0"/>
              <w:snapToGrid w:val="0"/>
              <w:spacing w:line="360" w:lineRule="auto"/>
              <w:rPr>
                <w:rFonts w:hint="eastAsia" w:hAnsi="宋体" w:cs="宋体"/>
                <w:bCs/>
                <w:kern w:val="2"/>
                <w:szCs w:val="24"/>
              </w:rPr>
            </w:pPr>
            <w:r>
              <w:rPr>
                <w:rFonts w:hint="eastAsia" w:hAnsi="宋体" w:cs="宋体"/>
                <w:bCs/>
                <w:kern w:val="2"/>
                <w:szCs w:val="24"/>
              </w:rPr>
              <w:t xml:space="preserve"> 4、授权委托人应具备与本企业签订的劳动合同和《职工养老保险手册》（内附20</w:t>
            </w:r>
            <w:r>
              <w:rPr>
                <w:rFonts w:hint="eastAsia" w:hAnsi="宋体" w:cs="宋体"/>
                <w:bCs/>
                <w:kern w:val="2"/>
                <w:szCs w:val="24"/>
                <w:lang w:val="en-US" w:eastAsia="zh-CN"/>
              </w:rPr>
              <w:t>20</w:t>
            </w:r>
            <w:r>
              <w:rPr>
                <w:rFonts w:hint="eastAsia" w:hAnsi="宋体" w:cs="宋体"/>
                <w:bCs/>
                <w:kern w:val="2"/>
                <w:szCs w:val="24"/>
              </w:rPr>
              <w:t>年</w:t>
            </w:r>
            <w:r>
              <w:rPr>
                <w:rFonts w:hint="eastAsia" w:hAnsi="宋体" w:cs="宋体"/>
                <w:bCs/>
                <w:kern w:val="2"/>
                <w:szCs w:val="24"/>
                <w:lang w:val="en-US" w:eastAsia="zh-CN"/>
              </w:rPr>
              <w:t>6</w:t>
            </w:r>
            <w:r>
              <w:rPr>
                <w:rFonts w:hint="eastAsia" w:hAnsi="宋体" w:cs="宋体"/>
                <w:bCs/>
                <w:kern w:val="2"/>
                <w:szCs w:val="24"/>
              </w:rPr>
              <w:t>月～2020年</w:t>
            </w:r>
            <w:r>
              <w:rPr>
                <w:rFonts w:hint="eastAsia" w:hAnsi="宋体" w:cs="宋体"/>
                <w:bCs/>
                <w:kern w:val="2"/>
                <w:szCs w:val="24"/>
                <w:lang w:val="en-US" w:eastAsia="zh-CN"/>
              </w:rPr>
              <w:t>11</w:t>
            </w:r>
            <w:r>
              <w:rPr>
                <w:rFonts w:hint="eastAsia" w:hAnsi="宋体" w:cs="宋体"/>
                <w:bCs/>
                <w:kern w:val="2"/>
                <w:szCs w:val="24"/>
              </w:rPr>
              <w:t>月的缴费清单）或由社保机构出具本企业的20</w:t>
            </w:r>
            <w:r>
              <w:rPr>
                <w:rFonts w:hint="eastAsia" w:hAnsi="宋体" w:cs="宋体"/>
                <w:bCs/>
                <w:kern w:val="2"/>
                <w:szCs w:val="24"/>
                <w:lang w:val="en-US" w:eastAsia="zh-CN"/>
              </w:rPr>
              <w:t>20</w:t>
            </w:r>
            <w:r>
              <w:rPr>
                <w:rFonts w:hint="eastAsia" w:hAnsi="宋体" w:cs="宋体"/>
                <w:bCs/>
                <w:kern w:val="2"/>
                <w:szCs w:val="24"/>
              </w:rPr>
              <w:t>年</w:t>
            </w:r>
            <w:r>
              <w:rPr>
                <w:rFonts w:hint="eastAsia" w:hAnsi="宋体" w:cs="宋体"/>
                <w:bCs/>
                <w:kern w:val="2"/>
                <w:szCs w:val="24"/>
                <w:lang w:val="en-US" w:eastAsia="zh-CN"/>
              </w:rPr>
              <w:t>6</w:t>
            </w:r>
            <w:r>
              <w:rPr>
                <w:rFonts w:hint="eastAsia" w:hAnsi="宋体" w:cs="宋体"/>
                <w:bCs/>
                <w:kern w:val="2"/>
                <w:szCs w:val="24"/>
              </w:rPr>
              <w:t>月～2020年</w:t>
            </w:r>
            <w:r>
              <w:rPr>
                <w:rFonts w:hint="eastAsia" w:hAnsi="宋体" w:cs="宋体"/>
                <w:bCs/>
                <w:kern w:val="2"/>
                <w:szCs w:val="24"/>
                <w:lang w:val="en-US" w:eastAsia="zh-CN"/>
              </w:rPr>
              <w:t>11</w:t>
            </w:r>
            <w:r>
              <w:rPr>
                <w:rFonts w:hint="eastAsia" w:hAnsi="宋体" w:cs="宋体"/>
                <w:bCs/>
                <w:kern w:val="2"/>
                <w:szCs w:val="24"/>
              </w:rPr>
              <w:t>月的缴费证明；</w:t>
            </w:r>
          </w:p>
          <w:p>
            <w:pPr>
              <w:pStyle w:val="402"/>
              <w:adjustRightInd w:val="0"/>
              <w:snapToGrid w:val="0"/>
              <w:spacing w:line="360" w:lineRule="auto"/>
              <w:rPr>
                <w:rFonts w:hint="eastAsia" w:hAnsi="宋体" w:cs="宋体"/>
              </w:rPr>
            </w:pPr>
            <w:r>
              <w:rPr>
                <w:rFonts w:hint="eastAsia" w:hAnsi="宋体" w:cs="宋体"/>
                <w:bCs/>
              </w:rPr>
              <w:t xml:space="preserve"> 5、</w:t>
            </w:r>
            <w:r>
              <w:rPr>
                <w:rFonts w:hint="eastAsia" w:hAnsi="宋体" w:cs="宋体"/>
                <w:bCs/>
                <w:kern w:val="2"/>
                <w:szCs w:val="24"/>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5</w:t>
            </w:r>
          </w:p>
        </w:tc>
        <w:tc>
          <w:tcPr>
            <w:tcW w:w="9135" w:type="dxa"/>
            <w:noWrap w:val="0"/>
            <w:vAlign w:val="top"/>
          </w:tcPr>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磋商文件提供期限：</w:t>
            </w:r>
            <w:r>
              <w:rPr>
                <w:rFonts w:hint="eastAsia" w:ascii="宋体" w:hAnsi="宋体" w:cs="宋体"/>
                <w:sz w:val="24"/>
                <w:szCs w:val="24"/>
                <w:shd w:val="clear" w:color="auto" w:fill="FFFFFF"/>
              </w:rPr>
              <w:t>自公告发布之日起五个工作日内（法定假日除外）</w:t>
            </w:r>
            <w:r>
              <w:rPr>
                <w:rFonts w:hint="eastAsia" w:ascii="宋体" w:hAnsi="宋体" w:cs="宋体"/>
                <w:bCs/>
                <w:sz w:val="24"/>
                <w:szCs w:val="24"/>
              </w:rPr>
              <w:t>，每天</w:t>
            </w:r>
            <w:r>
              <w:rPr>
                <w:rFonts w:hint="eastAsia" w:ascii="宋体" w:hAnsi="宋体" w:cs="宋体"/>
                <w:bCs/>
                <w:sz w:val="24"/>
              </w:rPr>
              <w:t>9:00-11:00，14:00-16:00</w:t>
            </w:r>
            <w:r>
              <w:rPr>
                <w:rFonts w:hint="eastAsia" w:ascii="宋体" w:hAnsi="宋体" w:cs="宋体"/>
                <w:bCs/>
                <w:sz w:val="24"/>
                <w:szCs w:val="24"/>
              </w:rPr>
              <w:t>。售价：捌佰元/份，售后不退。</w:t>
            </w:r>
          </w:p>
          <w:p>
            <w:pPr>
              <w:adjustRightInd w:val="0"/>
              <w:snapToGrid w:val="0"/>
              <w:spacing w:line="360" w:lineRule="auto"/>
              <w:ind w:left="-59" w:leftChars="-28"/>
              <w:rPr>
                <w:rFonts w:hint="eastAsia" w:ascii="宋体" w:hAnsi="宋体" w:cs="宋体"/>
                <w:bCs/>
                <w:sz w:val="24"/>
                <w:szCs w:val="24"/>
              </w:rPr>
            </w:pPr>
            <w:r>
              <w:rPr>
                <w:rFonts w:hint="eastAsia" w:ascii="宋体" w:hAnsi="宋体" w:cs="宋体"/>
                <w:bCs/>
                <w:sz w:val="24"/>
                <w:szCs w:val="24"/>
              </w:rPr>
              <w:t>磋商文件提供地点：</w:t>
            </w:r>
            <w:r>
              <w:rPr>
                <w:rFonts w:hint="eastAsia" w:ascii="宋体" w:hAnsi="宋体" w:cs="宋体"/>
                <w:sz w:val="24"/>
              </w:rPr>
              <w:t>无锡市县前东街288号309室</w:t>
            </w:r>
          </w:p>
          <w:p>
            <w:pPr>
              <w:adjustRightInd w:val="0"/>
              <w:snapToGrid w:val="0"/>
              <w:spacing w:line="360" w:lineRule="auto"/>
              <w:ind w:left="-59" w:leftChars="-28"/>
              <w:rPr>
                <w:rFonts w:hint="eastAsia" w:ascii="宋体" w:hAnsi="宋体" w:cs="宋体"/>
                <w:bCs/>
                <w:sz w:val="24"/>
                <w:szCs w:val="24"/>
              </w:rPr>
            </w:pPr>
            <w:r>
              <w:rPr>
                <w:rFonts w:hint="eastAsia" w:ascii="宋体" w:hAnsi="宋体" w:cs="宋体"/>
                <w:kern w:val="1"/>
                <w:sz w:val="24"/>
                <w:shd w:val="clear" w:color="auto" w:fill="FFFFFF"/>
              </w:rPr>
              <w:t>磋商文件提供方式：纸质文档。</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联系人：杨阳、顾昱昂</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 xml:space="preserve">电话/传真：13665110981、0510-82830057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6</w:t>
            </w:r>
          </w:p>
        </w:tc>
        <w:tc>
          <w:tcPr>
            <w:tcW w:w="9135" w:type="dxa"/>
            <w:noWrap w:val="0"/>
            <w:vAlign w:val="top"/>
          </w:tcPr>
          <w:p>
            <w:pPr>
              <w:widowControl/>
              <w:topLinePunct/>
              <w:spacing w:line="360" w:lineRule="auto"/>
              <w:rPr>
                <w:rFonts w:hint="eastAsia" w:ascii="宋体" w:hAnsi="宋体" w:cs="宋体"/>
                <w:sz w:val="24"/>
                <w:szCs w:val="24"/>
              </w:rPr>
            </w:pPr>
            <w:r>
              <w:rPr>
                <w:rFonts w:hint="eastAsia" w:ascii="宋体" w:hAnsi="宋体" w:cs="宋体"/>
                <w:sz w:val="24"/>
                <w:szCs w:val="24"/>
              </w:rPr>
              <w:t>提疑截止时间：202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01</w:t>
            </w:r>
            <w:r>
              <w:rPr>
                <w:rFonts w:hint="eastAsia" w:ascii="宋体" w:hAnsi="宋体" w:cs="宋体"/>
                <w:sz w:val="24"/>
                <w:szCs w:val="24"/>
              </w:rPr>
              <w:t>月</w:t>
            </w:r>
            <w:r>
              <w:rPr>
                <w:rFonts w:hint="eastAsia" w:ascii="宋体" w:hAnsi="宋体" w:cs="宋体"/>
                <w:sz w:val="24"/>
                <w:szCs w:val="24"/>
                <w:lang w:val="en-US" w:eastAsia="zh-CN"/>
              </w:rPr>
              <w:t>06</w:t>
            </w:r>
            <w:r>
              <w:rPr>
                <w:rFonts w:hint="eastAsia" w:ascii="宋体" w:hAnsi="宋体" w:cs="宋体"/>
                <w:sz w:val="24"/>
                <w:szCs w:val="24"/>
              </w:rPr>
              <w:t>日10时，以书面形式和电子邮件形式发送给采购代理机构。</w:t>
            </w:r>
            <w:r>
              <w:rPr>
                <w:rFonts w:hint="eastAsia" w:ascii="宋体" w:hAnsi="宋体" w:cs="宋体"/>
                <w:sz w:val="24"/>
              </w:rPr>
              <w:t>（邮箱地址：</w:t>
            </w:r>
            <w:r>
              <w:rPr>
                <w:rFonts w:hint="eastAsia" w:ascii="宋体" w:hAnsi="宋体" w:cs="宋体"/>
                <w:sz w:val="24"/>
                <w:u w:val="single"/>
              </w:rPr>
              <w:t>359227149@qq.com</w:t>
            </w:r>
            <w:r>
              <w:rPr>
                <w:rFonts w:hint="eastAsia" w:ascii="宋体" w:hAnsi="宋体" w:cs="宋体"/>
                <w:sz w:val="24"/>
              </w:rPr>
              <w:t>）</w:t>
            </w:r>
          </w:p>
          <w:p>
            <w:pPr>
              <w:adjustRightInd w:val="0"/>
              <w:snapToGrid w:val="0"/>
              <w:spacing w:line="360" w:lineRule="auto"/>
              <w:rPr>
                <w:rFonts w:hint="eastAsia" w:ascii="宋体" w:hAnsi="宋体" w:cs="宋体"/>
                <w:bCs/>
                <w:sz w:val="24"/>
                <w:szCs w:val="24"/>
              </w:rPr>
            </w:pPr>
            <w:r>
              <w:rPr>
                <w:rFonts w:hint="eastAsia" w:ascii="宋体" w:hAnsi="宋体" w:cs="宋体"/>
                <w:sz w:val="24"/>
                <w:szCs w:val="24"/>
              </w:rPr>
              <w:t>答疑时间：202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01</w:t>
            </w:r>
            <w:r>
              <w:rPr>
                <w:rFonts w:hint="eastAsia" w:ascii="宋体" w:hAnsi="宋体" w:cs="宋体"/>
                <w:sz w:val="24"/>
                <w:szCs w:val="24"/>
              </w:rPr>
              <w:t>月</w:t>
            </w:r>
            <w:r>
              <w:rPr>
                <w:rFonts w:hint="eastAsia" w:ascii="宋体" w:hAnsi="宋体" w:cs="宋体"/>
                <w:sz w:val="24"/>
                <w:szCs w:val="24"/>
                <w:lang w:val="en-US" w:eastAsia="zh-CN"/>
              </w:rPr>
              <w:t>06</w:t>
            </w:r>
            <w:r>
              <w:rPr>
                <w:rFonts w:hint="eastAsia" w:ascii="宋体" w:hAnsi="宋体" w:cs="宋体"/>
                <w:sz w:val="24"/>
                <w:szCs w:val="24"/>
              </w:rPr>
              <w:t>日17时前，以书面（或电子稿）形式发送给各</w:t>
            </w:r>
            <w:r>
              <w:rPr>
                <w:rFonts w:hint="eastAsia" w:ascii="宋体" w:hAnsi="宋体" w:cs="宋体"/>
                <w:sz w:val="24"/>
                <w:szCs w:val="24"/>
                <w:lang w:eastAsia="zh-CN"/>
              </w:rPr>
              <w:t>报价</w:t>
            </w:r>
            <w:r>
              <w:rPr>
                <w:rFonts w:hint="eastAsia" w:ascii="宋体" w:hAnsi="宋体" w:cs="宋体"/>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7</w:t>
            </w:r>
          </w:p>
        </w:tc>
        <w:tc>
          <w:tcPr>
            <w:tcW w:w="9135" w:type="dxa"/>
            <w:noWrap w:val="0"/>
            <w:vAlign w:val="top"/>
          </w:tcPr>
          <w:p>
            <w:pPr>
              <w:snapToGrid w:val="0"/>
              <w:spacing w:line="440" w:lineRule="exact"/>
              <w:rPr>
                <w:rFonts w:hint="eastAsia" w:ascii="宋体" w:hAnsi="宋体" w:cs="宋体"/>
                <w:bCs/>
                <w:sz w:val="24"/>
              </w:rPr>
            </w:pPr>
            <w:r>
              <w:rPr>
                <w:rFonts w:hint="eastAsia" w:ascii="宋体" w:hAnsi="宋体" w:cs="宋体"/>
                <w:bCs/>
                <w:sz w:val="24"/>
              </w:rPr>
              <w:t>供应商磋商前须缴纳磋商保证金人民币</w:t>
            </w:r>
            <w:r>
              <w:rPr>
                <w:rFonts w:hint="eastAsia" w:ascii="宋体" w:hAnsi="宋体" w:cs="宋体"/>
                <w:bCs/>
                <w:sz w:val="24"/>
                <w:lang w:val="en-US" w:eastAsia="zh-CN"/>
              </w:rPr>
              <w:t>80</w:t>
            </w:r>
            <w:r>
              <w:rPr>
                <w:rFonts w:hint="eastAsia" w:ascii="宋体" w:hAnsi="宋体" w:cs="宋体"/>
                <w:bCs/>
                <w:sz w:val="24"/>
              </w:rPr>
              <w:t xml:space="preserve"> 万元，磋商保证金应于磋商截止时间前到达采购代理机构指定账户，未按磋商文件规定提交磋商保证金的响应文件，恕不接受。</w:t>
            </w:r>
          </w:p>
          <w:p>
            <w:pPr>
              <w:snapToGrid w:val="0"/>
              <w:spacing w:line="440" w:lineRule="exact"/>
              <w:rPr>
                <w:rFonts w:hint="eastAsia" w:ascii="宋体" w:hAnsi="宋体" w:cs="宋体"/>
                <w:bCs/>
                <w:sz w:val="24"/>
              </w:rPr>
            </w:pPr>
            <w:r>
              <w:rPr>
                <w:rFonts w:hint="eastAsia" w:ascii="宋体" w:hAnsi="宋体" w:cs="宋体"/>
                <w:bCs/>
                <w:sz w:val="24"/>
              </w:rPr>
              <w:t>收款单位：普信国际工程咨询有限公司</w:t>
            </w:r>
          </w:p>
          <w:p>
            <w:pPr>
              <w:snapToGrid w:val="0"/>
              <w:spacing w:line="440" w:lineRule="exact"/>
              <w:rPr>
                <w:rFonts w:hint="eastAsia" w:ascii="宋体" w:hAnsi="宋体" w:cs="宋体"/>
                <w:bCs/>
                <w:sz w:val="24"/>
              </w:rPr>
            </w:pPr>
            <w:r>
              <w:rPr>
                <w:rFonts w:hint="eastAsia" w:ascii="宋体" w:hAnsi="宋体" w:cs="宋体"/>
                <w:bCs/>
                <w:sz w:val="24"/>
              </w:rPr>
              <w:t>开户银行：宁波银行无锡分行</w:t>
            </w:r>
          </w:p>
          <w:p>
            <w:pPr>
              <w:snapToGrid w:val="0"/>
              <w:spacing w:line="440" w:lineRule="exact"/>
              <w:rPr>
                <w:rFonts w:hint="eastAsia" w:ascii="宋体" w:hAnsi="宋体" w:cs="宋体"/>
                <w:bCs/>
                <w:sz w:val="24"/>
                <w:highlight w:val="yellow"/>
              </w:rPr>
            </w:pPr>
            <w:r>
              <w:rPr>
                <w:rFonts w:hint="eastAsia" w:ascii="宋体" w:hAnsi="宋体" w:cs="宋体"/>
                <w:bCs/>
                <w:sz w:val="24"/>
                <w:highlight w:val="yellow"/>
              </w:rPr>
              <w:t>账号：780101220008626070068</w:t>
            </w:r>
          </w:p>
          <w:p>
            <w:pPr>
              <w:snapToGrid w:val="0"/>
              <w:spacing w:line="440" w:lineRule="exact"/>
              <w:rPr>
                <w:rFonts w:hint="eastAsia" w:ascii="宋体" w:hAnsi="宋体" w:cs="宋体"/>
                <w:bCs/>
                <w:sz w:val="24"/>
              </w:rPr>
            </w:pPr>
            <w:r>
              <w:rPr>
                <w:rFonts w:hint="eastAsia" w:ascii="宋体" w:hAnsi="宋体" w:cs="宋体"/>
                <w:bCs/>
                <w:sz w:val="24"/>
              </w:rPr>
              <w:t xml:space="preserve">受理地点：无锡市滨湖区蠡湖大道2018号2 </w:t>
            </w:r>
            <w:r>
              <w:rPr>
                <w:rFonts w:hint="eastAsia" w:ascii="宋体" w:hAnsi="宋体" w:cs="宋体"/>
                <w:bCs/>
                <w:sz w:val="24"/>
                <w:lang w:eastAsia="zh-CN"/>
              </w:rPr>
              <w:t>号楼</w:t>
            </w:r>
            <w:r>
              <w:rPr>
                <w:rFonts w:hint="eastAsia" w:ascii="宋体" w:hAnsi="宋体" w:cs="宋体"/>
                <w:bCs/>
                <w:sz w:val="24"/>
              </w:rPr>
              <w:t>；</w:t>
            </w:r>
          </w:p>
          <w:p>
            <w:pPr>
              <w:snapToGrid w:val="0"/>
              <w:spacing w:line="440" w:lineRule="exact"/>
              <w:rPr>
                <w:rFonts w:hint="eastAsia" w:ascii="宋体" w:hAnsi="宋体" w:cs="宋体"/>
                <w:bCs/>
                <w:sz w:val="24"/>
              </w:rPr>
            </w:pPr>
            <w:r>
              <w:rPr>
                <w:rFonts w:hint="eastAsia" w:ascii="宋体" w:hAnsi="宋体" w:cs="宋体"/>
                <w:bCs/>
                <w:sz w:val="24"/>
              </w:rPr>
              <w:t>受理时间：法定工作日9:00～11:30；13:30～16:00，交纳时间以磋商保证金专用账户实际收到的时间为准，磋商保证金的有效期应为在磋商有效期满后28天内继续有效。（友情提示：为确保磋商保证金能按时到帐，请各供应商按要求提前将磋商保证金汇入专用账户内，以免造成磋商无效。有疑问及时向代理机构联系，联系电话：0510—82830057。磋商保证金到账查询电话：0510—82830057）。</w:t>
            </w:r>
          </w:p>
          <w:p>
            <w:pPr>
              <w:snapToGrid w:val="0"/>
              <w:spacing w:line="440" w:lineRule="exact"/>
              <w:rPr>
                <w:rFonts w:hint="eastAsia" w:ascii="宋体" w:hAnsi="宋体" w:cs="宋体"/>
                <w:bCs/>
                <w:sz w:val="24"/>
              </w:rPr>
            </w:pPr>
            <w:r>
              <w:rPr>
                <w:rFonts w:hint="eastAsia" w:ascii="宋体" w:hAnsi="宋体" w:cs="宋体"/>
                <w:bCs/>
                <w:sz w:val="24"/>
              </w:rPr>
              <w:t>（2）磋商保证金可以使用支票、汇票、本票、电汇、或者金融机构、担保机构出具的保函等非现金形式提交，必须在磋商前与普信国际工程咨询有限公司确认入账并开具磋商保证金收据。如以金融机构、担保机构出具的保函等非现金形式提交，须以“供应商须知”第（十四）条要求为准。</w:t>
            </w:r>
          </w:p>
          <w:p>
            <w:pPr>
              <w:snapToGrid w:val="0"/>
              <w:spacing w:line="440" w:lineRule="exact"/>
              <w:rPr>
                <w:rFonts w:hint="eastAsia" w:ascii="宋体" w:hAnsi="宋体" w:cs="宋体"/>
                <w:bCs/>
                <w:sz w:val="24"/>
              </w:rPr>
            </w:pPr>
            <w:r>
              <w:rPr>
                <w:rFonts w:hint="eastAsia" w:ascii="宋体" w:hAnsi="宋体" w:cs="宋体"/>
                <w:bCs/>
                <w:sz w:val="24"/>
              </w:rPr>
              <w:t>（3）对于未能按要求提交磋商保证金的磋商，采购人将视为不响应磋商文件而予以拒绝。</w:t>
            </w:r>
          </w:p>
          <w:p>
            <w:pPr>
              <w:adjustRightInd w:val="0"/>
              <w:snapToGrid w:val="0"/>
              <w:spacing w:line="360" w:lineRule="auto"/>
              <w:rPr>
                <w:rFonts w:hint="eastAsia" w:ascii="宋体" w:hAnsi="宋体" w:cs="宋体"/>
                <w:bCs/>
                <w:sz w:val="24"/>
              </w:rPr>
            </w:pPr>
            <w:r>
              <w:rPr>
                <w:rFonts w:hint="eastAsia" w:ascii="宋体" w:hAnsi="宋体" w:cs="宋体"/>
                <w:bCs/>
                <w:sz w:val="24"/>
              </w:rPr>
              <w:t>（4）磋商保证金必须以企业法人的名义提交磋商保证金，磋商保证金必须从企业的法人基本存款账户缴纳。以个人、企业的办事处、分公司、子公司名义或他人账户、供应商企业的其他账户缴纳的磋商保证金无效。不得使用经过背书转让的支票、银行本票、银行汇票。凡提供无法承兑的转账支票、银行汇票、银行本票或电汇支付不成功的供应商，视为没有实质性响应磋商文件的要求，一律作无效磋商处理。已经确定为成交供应商的，取消其成交供应商的资格，根据评标报告的排名先后顺序重新确定成交供应商。</w:t>
            </w:r>
          </w:p>
          <w:p>
            <w:pPr>
              <w:adjustRightInd w:val="0"/>
              <w:snapToGrid w:val="0"/>
              <w:spacing w:line="360" w:lineRule="auto"/>
              <w:rPr>
                <w:rFonts w:hint="eastAsia" w:ascii="宋体" w:hAnsi="宋体" w:cs="宋体"/>
                <w:bCs/>
                <w:sz w:val="24"/>
              </w:rPr>
            </w:pPr>
            <w:r>
              <w:rPr>
                <w:rFonts w:hint="eastAsia" w:ascii="宋体" w:hAnsi="宋体" w:cs="宋体"/>
                <w:b/>
                <w:bCs/>
                <w:sz w:val="24"/>
                <w:szCs w:val="22"/>
              </w:rPr>
              <w:t>备注：</w:t>
            </w:r>
            <w:r>
              <w:rPr>
                <w:rFonts w:hint="eastAsia" w:ascii="宋体" w:hAnsi="宋体" w:eastAsia="宋体" w:cs="宋体"/>
                <w:b/>
                <w:bCs/>
                <w:color w:val="auto"/>
                <w:sz w:val="24"/>
                <w:szCs w:val="22"/>
                <w:highlight w:val="none"/>
                <w:lang w:val="en-US" w:eastAsia="zh-CN"/>
              </w:rPr>
              <w:t>根据苏财购【2020】19号文件要求，</w:t>
            </w:r>
            <w:r>
              <w:rPr>
                <w:rFonts w:hint="eastAsia" w:ascii="宋体" w:hAnsi="宋体" w:cs="宋体"/>
                <w:b/>
                <w:kern w:val="0"/>
                <w:sz w:val="24"/>
              </w:rPr>
              <w:t>若</w:t>
            </w:r>
            <w:r>
              <w:rPr>
                <w:rFonts w:hint="eastAsia" w:ascii="宋体" w:hAnsi="宋体" w:cs="宋体"/>
                <w:b/>
                <w:kern w:val="0"/>
                <w:sz w:val="24"/>
                <w:lang w:eastAsia="zh-CN"/>
              </w:rPr>
              <w:t>报价供应商</w:t>
            </w:r>
            <w:r>
              <w:rPr>
                <w:rFonts w:hint="eastAsia" w:ascii="宋体" w:hAnsi="宋体" w:cs="宋体"/>
                <w:b/>
                <w:kern w:val="0"/>
                <w:sz w:val="24"/>
              </w:rPr>
              <w:t>为受疫情影响的中小微企业</w:t>
            </w:r>
            <w:r>
              <w:rPr>
                <w:rFonts w:hint="eastAsia" w:ascii="宋体" w:hAnsi="宋体" w:cs="宋体"/>
                <w:b/>
                <w:kern w:val="0"/>
                <w:sz w:val="24"/>
                <w:lang w:eastAsia="zh-CN"/>
              </w:rPr>
              <w:t>，</w:t>
            </w:r>
            <w:r>
              <w:rPr>
                <w:rFonts w:hint="eastAsia" w:ascii="宋体" w:hAnsi="宋体" w:eastAsia="宋体" w:cs="宋体"/>
                <w:b/>
                <w:bCs/>
                <w:color w:val="auto"/>
                <w:sz w:val="24"/>
                <w:szCs w:val="22"/>
                <w:highlight w:val="none"/>
                <w:lang w:val="en-US" w:eastAsia="zh-CN"/>
              </w:rPr>
              <w:t>对</w:t>
            </w:r>
            <w:r>
              <w:rPr>
                <w:rFonts w:hint="eastAsia" w:ascii="宋体" w:hAnsi="宋体" w:cs="宋体"/>
                <w:b/>
                <w:bCs/>
                <w:color w:val="auto"/>
                <w:sz w:val="24"/>
                <w:szCs w:val="22"/>
                <w:highlight w:val="none"/>
                <w:lang w:val="en-US" w:eastAsia="zh-CN"/>
              </w:rPr>
              <w:t>其</w:t>
            </w:r>
            <w:r>
              <w:rPr>
                <w:rFonts w:hint="eastAsia" w:ascii="宋体" w:hAnsi="宋体" w:eastAsia="宋体" w:cs="宋体"/>
                <w:b/>
                <w:bCs/>
                <w:color w:val="auto"/>
                <w:sz w:val="24"/>
                <w:szCs w:val="22"/>
                <w:highlight w:val="none"/>
                <w:lang w:val="en-US" w:eastAsia="zh-CN"/>
              </w:rPr>
              <w:t>免收</w:t>
            </w:r>
            <w:r>
              <w:rPr>
                <w:rFonts w:hint="eastAsia" w:ascii="宋体" w:hAnsi="宋体" w:cs="宋体"/>
                <w:b/>
                <w:bCs/>
                <w:color w:val="auto"/>
                <w:sz w:val="24"/>
                <w:szCs w:val="22"/>
                <w:highlight w:val="none"/>
                <w:lang w:val="en-US" w:eastAsia="zh-CN"/>
              </w:rPr>
              <w:t>磋商保证金</w:t>
            </w:r>
            <w:r>
              <w:rPr>
                <w:rFonts w:hint="eastAsia" w:ascii="宋体" w:hAnsi="宋体" w:eastAsia="宋体" w:cs="宋体"/>
                <w:b/>
                <w:bCs/>
                <w:color w:val="auto"/>
                <w:sz w:val="24"/>
                <w:szCs w:val="22"/>
                <w:highlight w:val="none"/>
                <w:lang w:val="en-US" w:eastAsia="zh-CN"/>
              </w:rPr>
              <w:t>。</w:t>
            </w:r>
            <w:r>
              <w:rPr>
                <w:rFonts w:hint="eastAsia" w:ascii="宋体" w:hAnsi="宋体" w:cs="宋体"/>
                <w:b/>
                <w:bCs/>
                <w:color w:val="auto"/>
                <w:sz w:val="24"/>
                <w:szCs w:val="22"/>
                <w:highlight w:val="none"/>
                <w:lang w:eastAsia="zh-CN"/>
              </w:rPr>
              <w:t>报价供应商</w:t>
            </w:r>
            <w:r>
              <w:rPr>
                <w:rFonts w:hint="eastAsia" w:ascii="宋体" w:hAnsi="宋体" w:eastAsia="宋体" w:cs="宋体"/>
                <w:b/>
                <w:bCs/>
                <w:color w:val="auto"/>
                <w:sz w:val="24"/>
                <w:szCs w:val="22"/>
                <w:highlight w:val="none"/>
                <w:lang w:val="en-US" w:eastAsia="zh-CN"/>
              </w:rPr>
              <w:t>须提供</w:t>
            </w:r>
            <w:r>
              <w:rPr>
                <w:rFonts w:hint="eastAsia" w:ascii="宋体" w:hAnsi="宋体" w:eastAsia="宋体" w:cs="宋体"/>
                <w:b/>
                <w:bCs/>
                <w:color w:val="auto"/>
                <w:sz w:val="24"/>
                <w:szCs w:val="22"/>
                <w:highlight w:val="none"/>
              </w:rPr>
              <w:t>《中小企业声明函》</w:t>
            </w:r>
            <w:r>
              <w:rPr>
                <w:rFonts w:hint="eastAsia" w:ascii="宋体" w:hAnsi="宋体" w:eastAsia="宋体" w:cs="宋体"/>
                <w:b/>
                <w:bCs/>
                <w:color w:val="auto"/>
                <w:sz w:val="24"/>
                <w:szCs w:val="22"/>
                <w:highlight w:val="none"/>
                <w:lang w:val="en-US" w:eastAsia="zh-CN"/>
              </w:rPr>
              <w:t>和</w:t>
            </w:r>
            <w:r>
              <w:rPr>
                <w:rFonts w:hint="eastAsia" w:ascii="宋体" w:hAnsi="宋体" w:eastAsia="宋体" w:cs="宋体"/>
                <w:b/>
                <w:bCs/>
                <w:color w:val="auto"/>
                <w:sz w:val="24"/>
                <w:szCs w:val="22"/>
                <w:highlight w:val="none"/>
              </w:rPr>
              <w:t>供应商所在地的县级以上中小企业主管部门对供应商为中型或小、微型企业的认定证明</w:t>
            </w:r>
            <w:r>
              <w:rPr>
                <w:rFonts w:hint="eastAsia" w:ascii="宋体" w:hAnsi="宋体" w:cs="宋体"/>
                <w:b/>
                <w:bCs/>
                <w:color w:val="auto"/>
                <w:sz w:val="24"/>
                <w:szCs w:val="22"/>
                <w:highlight w:val="none"/>
                <w:lang w:eastAsia="zh-CN"/>
              </w:rPr>
              <w:t>、</w:t>
            </w:r>
            <w:r>
              <w:rPr>
                <w:rFonts w:hint="eastAsia" w:ascii="宋体" w:hAnsi="宋体" w:cs="宋体"/>
                <w:b/>
                <w:kern w:val="0"/>
                <w:sz w:val="24"/>
              </w:rPr>
              <w:t>受疫情影响的中小微企业</w:t>
            </w:r>
            <w:r>
              <w:rPr>
                <w:rFonts w:hint="eastAsia" w:ascii="宋体" w:hAnsi="宋体" w:cs="宋体"/>
                <w:b/>
                <w:kern w:val="0"/>
                <w:sz w:val="24"/>
                <w:lang w:val="en-US" w:eastAsia="zh-CN"/>
              </w:rPr>
              <w:t>的证明材料</w:t>
            </w:r>
            <w:r>
              <w:rPr>
                <w:rFonts w:hint="eastAsia" w:ascii="宋体" w:hAnsi="宋体" w:eastAsia="宋体" w:cs="宋体"/>
                <w:b/>
                <w:bCs/>
                <w:color w:val="auto"/>
                <w:sz w:val="24"/>
                <w:szCs w:val="22"/>
                <w:highlight w:val="none"/>
              </w:rPr>
              <w:t>复印件</w:t>
            </w:r>
            <w:r>
              <w:rPr>
                <w:rFonts w:hint="eastAsia" w:ascii="宋体" w:hAnsi="宋体" w:eastAsia="宋体" w:cs="宋体"/>
                <w:b/>
                <w:bCs/>
                <w:color w:val="auto"/>
                <w:sz w:val="24"/>
                <w:szCs w:val="22"/>
                <w:highlight w:val="none"/>
                <w:lang w:val="en-US" w:eastAsia="zh-CN"/>
              </w:rPr>
              <w:t>装订进投标文件中，否则视为未按采购文件要求缴纳</w:t>
            </w:r>
            <w:r>
              <w:rPr>
                <w:rFonts w:hint="eastAsia" w:ascii="宋体" w:hAnsi="宋体" w:cs="宋体"/>
                <w:b/>
                <w:bCs/>
                <w:color w:val="auto"/>
                <w:sz w:val="24"/>
                <w:szCs w:val="22"/>
                <w:highlight w:val="none"/>
                <w:lang w:val="en-US" w:eastAsia="zh-CN"/>
              </w:rPr>
              <w:t>磋商保证金</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按无效投标文件处理</w:t>
            </w:r>
            <w:r>
              <w:rPr>
                <w:rFonts w:hint="eastAsia" w:ascii="宋体" w:hAnsi="宋体" w:eastAsia="宋体" w:cs="宋体"/>
                <w:b/>
                <w:bCs/>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8</w:t>
            </w:r>
          </w:p>
        </w:tc>
        <w:tc>
          <w:tcPr>
            <w:tcW w:w="9135" w:type="dxa"/>
            <w:noWrap w:val="0"/>
            <w:vAlign w:val="top"/>
          </w:tcPr>
          <w:p>
            <w:pPr>
              <w:adjustRightInd w:val="0"/>
              <w:snapToGrid w:val="0"/>
              <w:spacing w:line="360" w:lineRule="auto"/>
              <w:rPr>
                <w:rFonts w:hint="eastAsia" w:ascii="宋体" w:hAnsi="宋体" w:cs="宋体"/>
                <w:sz w:val="24"/>
                <w:szCs w:val="24"/>
              </w:rPr>
            </w:pPr>
            <w:r>
              <w:rPr>
                <w:rFonts w:hint="eastAsia" w:ascii="宋体" w:hAnsi="宋体" w:cs="宋体"/>
                <w:bCs/>
                <w:sz w:val="24"/>
              </w:rPr>
              <w:t>磋商有效期：磋商之日起90天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9</w:t>
            </w:r>
          </w:p>
        </w:tc>
        <w:tc>
          <w:tcPr>
            <w:tcW w:w="9135" w:type="dxa"/>
            <w:noWrap w:val="0"/>
            <w:vAlign w:val="top"/>
          </w:tcPr>
          <w:p>
            <w:pPr>
              <w:adjustRightInd w:val="0"/>
              <w:snapToGrid w:val="0"/>
              <w:spacing w:line="360" w:lineRule="auto"/>
              <w:rPr>
                <w:rFonts w:hint="eastAsia" w:ascii="宋体" w:hAnsi="宋体" w:cs="宋体"/>
                <w:sz w:val="24"/>
                <w:szCs w:val="24"/>
              </w:rPr>
            </w:pPr>
            <w:r>
              <w:rPr>
                <w:rFonts w:hint="eastAsia" w:ascii="宋体" w:hAnsi="宋体" w:cs="宋体"/>
                <w:sz w:val="24"/>
                <w:szCs w:val="24"/>
              </w:rPr>
              <w:t>响应文件开始接受时间：202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01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 xml:space="preserve">0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响应文件接受截止时间：202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01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0止，截止期后的响应文件恕不接受。</w:t>
            </w:r>
          </w:p>
          <w:p>
            <w:pPr>
              <w:adjustRightInd w:val="0"/>
              <w:snapToGrid w:val="0"/>
              <w:spacing w:line="360" w:lineRule="auto"/>
              <w:rPr>
                <w:rFonts w:hint="eastAsia" w:ascii="宋体" w:hAnsi="宋体" w:cs="宋体"/>
                <w:kern w:val="0"/>
                <w:sz w:val="24"/>
                <w:szCs w:val="24"/>
                <w:lang w:bidi="ar"/>
              </w:rPr>
            </w:pPr>
            <w:r>
              <w:rPr>
                <w:rFonts w:hint="eastAsia" w:ascii="宋体" w:hAnsi="宋体" w:cs="宋体"/>
                <w:sz w:val="24"/>
                <w:szCs w:val="24"/>
              </w:rPr>
              <w:t>磋商地点：</w:t>
            </w:r>
            <w:r>
              <w:rPr>
                <w:rFonts w:hint="eastAsia" w:ascii="宋体" w:hAnsi="宋体" w:cs="宋体"/>
                <w:bCs/>
                <w:sz w:val="24"/>
              </w:rPr>
              <w:t>普信国际工程咨询有限公司（无锡市蠡湖大道2018号（普信COPO）</w:t>
            </w:r>
            <w:r>
              <w:rPr>
                <w:rFonts w:hint="eastAsia" w:ascii="宋体" w:hAnsi="宋体" w:cs="宋体"/>
                <w:kern w:val="0"/>
                <w:sz w:val="24"/>
                <w:szCs w:val="24"/>
                <w:lang w:val="en-US" w:eastAsia="zh-CN" w:bidi="ar"/>
              </w:rPr>
              <w:t>2号楼101</w:t>
            </w:r>
            <w:r>
              <w:rPr>
                <w:rFonts w:hint="eastAsia" w:ascii="宋体" w:hAnsi="宋体" w:cs="宋体"/>
                <w:kern w:val="0"/>
                <w:sz w:val="24"/>
                <w:szCs w:val="24"/>
                <w:lang w:bidi="ar"/>
              </w:rPr>
              <w:t>会议室</w:t>
            </w:r>
            <w:r>
              <w:rPr>
                <w:rFonts w:hint="eastAsia" w:ascii="宋体" w:hAnsi="宋体" w:cs="宋体"/>
                <w:bCs/>
                <w:sz w:val="24"/>
              </w:rPr>
              <w:t>）</w:t>
            </w:r>
          </w:p>
          <w:p>
            <w:pPr>
              <w:adjustRightInd w:val="0"/>
              <w:snapToGrid w:val="0"/>
              <w:spacing w:line="360" w:lineRule="auto"/>
              <w:rPr>
                <w:rFonts w:hint="eastAsia" w:ascii="宋体" w:hAnsi="宋体" w:cs="宋体"/>
                <w:kern w:val="0"/>
                <w:sz w:val="24"/>
                <w:szCs w:val="24"/>
                <w:lang w:bidi="ar"/>
              </w:rPr>
            </w:pPr>
            <w:r>
              <w:rPr>
                <w:rFonts w:hint="eastAsia" w:ascii="宋体" w:hAnsi="宋体" w:cs="宋体"/>
                <w:b/>
                <w:bCs/>
                <w:sz w:val="24"/>
              </w:rPr>
              <w:t>注</w:t>
            </w:r>
            <w:r>
              <w:rPr>
                <w:rFonts w:hint="eastAsia" w:ascii="宋体" w:hAnsi="宋体" w:cs="宋体"/>
                <w:b/>
                <w:bCs/>
                <w:sz w:val="24"/>
                <w:szCs w:val="22"/>
              </w:rPr>
              <w:t>：响应文件接收截止时间视疫情发展情况而定，如需调整，另行通知。请各报价供应商在提交响应文件截止时间前关注原竞争性磋商公告媒体上发布的相关更正公告。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10</w:t>
            </w:r>
          </w:p>
        </w:tc>
        <w:tc>
          <w:tcPr>
            <w:tcW w:w="9135" w:type="dxa"/>
            <w:noWrap w:val="0"/>
            <w:vAlign w:val="top"/>
          </w:tcPr>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开标时间：</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01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bCs/>
                <w:sz w:val="24"/>
                <w:szCs w:val="24"/>
                <w:lang w:val="en-US" w:eastAsia="zh-CN"/>
              </w:rPr>
              <w:t>09</w:t>
            </w:r>
            <w:r>
              <w:rPr>
                <w:rFonts w:hint="eastAsia" w:ascii="宋体" w:hAnsi="宋体" w:cs="宋体"/>
                <w:bCs/>
                <w:sz w:val="24"/>
                <w:szCs w:val="24"/>
              </w:rPr>
              <w:t>时</w:t>
            </w:r>
            <w:r>
              <w:rPr>
                <w:rFonts w:hint="eastAsia" w:ascii="宋体" w:hAnsi="宋体" w:cs="宋体"/>
                <w:bCs/>
                <w:sz w:val="24"/>
                <w:szCs w:val="24"/>
                <w:lang w:val="en-US" w:eastAsia="zh-CN"/>
              </w:rPr>
              <w:t>3</w:t>
            </w:r>
            <w:r>
              <w:rPr>
                <w:rFonts w:hint="eastAsia" w:ascii="宋体" w:hAnsi="宋体" w:cs="宋体"/>
                <w:bCs/>
                <w:sz w:val="24"/>
                <w:szCs w:val="24"/>
              </w:rPr>
              <w:t>0分</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开标地点：</w:t>
            </w:r>
            <w:r>
              <w:rPr>
                <w:rFonts w:hint="eastAsia" w:ascii="宋体" w:hAnsi="宋体" w:cs="宋体"/>
                <w:bCs/>
                <w:sz w:val="24"/>
              </w:rPr>
              <w:t>普信国际工程咨询有限公司（无锡市蠡湖大道2018号（普信COPO）</w:t>
            </w:r>
            <w:r>
              <w:rPr>
                <w:rFonts w:hint="eastAsia" w:ascii="宋体" w:hAnsi="宋体" w:cs="宋体"/>
                <w:kern w:val="0"/>
                <w:sz w:val="24"/>
                <w:szCs w:val="24"/>
                <w:lang w:val="en-US" w:eastAsia="zh-CN" w:bidi="ar"/>
              </w:rPr>
              <w:t>2号楼101</w:t>
            </w:r>
            <w:r>
              <w:rPr>
                <w:rFonts w:hint="eastAsia" w:ascii="宋体" w:hAnsi="宋体" w:cs="宋体"/>
                <w:kern w:val="0"/>
                <w:sz w:val="24"/>
                <w:szCs w:val="24"/>
                <w:lang w:bidi="ar"/>
              </w:rPr>
              <w:t>会议室</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11</w:t>
            </w:r>
          </w:p>
        </w:tc>
        <w:tc>
          <w:tcPr>
            <w:tcW w:w="9135" w:type="dxa"/>
            <w:noWrap w:val="0"/>
            <w:vAlign w:val="top"/>
          </w:tcPr>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确定成交单位时间：</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01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w:t>
            </w:r>
            <w:r>
              <w:rPr>
                <w:rFonts w:hint="eastAsia" w:ascii="宋体" w:hAnsi="宋体" w:cs="宋体"/>
                <w:kern w:val="0"/>
                <w:sz w:val="24"/>
                <w:szCs w:val="24"/>
              </w:rPr>
              <w:t>评审结束</w:t>
            </w:r>
          </w:p>
          <w:p>
            <w:pPr>
              <w:adjustRightInd w:val="0"/>
              <w:snapToGrid w:val="0"/>
              <w:spacing w:line="360" w:lineRule="auto"/>
              <w:rPr>
                <w:rFonts w:hint="eastAsia" w:ascii="宋体" w:hAnsi="宋体" w:cs="宋体"/>
                <w:bCs/>
                <w:sz w:val="24"/>
                <w:szCs w:val="24"/>
              </w:rPr>
            </w:pPr>
            <w:r>
              <w:rPr>
                <w:rFonts w:hint="eastAsia" w:ascii="宋体" w:hAnsi="宋体" w:cs="宋体"/>
                <w:kern w:val="0"/>
                <w:sz w:val="24"/>
                <w:szCs w:val="24"/>
              </w:rPr>
              <w:t>确定成交单位地点：</w:t>
            </w:r>
            <w:r>
              <w:rPr>
                <w:rFonts w:hint="eastAsia" w:ascii="宋体" w:hAnsi="宋体" w:cs="宋体"/>
                <w:bCs/>
                <w:sz w:val="24"/>
              </w:rPr>
              <w:t>普信国际工程咨询有限公司（无锡市蠡湖大道2018号（普信COPO）</w:t>
            </w:r>
            <w:r>
              <w:rPr>
                <w:rFonts w:hint="eastAsia" w:ascii="宋体" w:hAnsi="宋体" w:cs="宋体"/>
                <w:kern w:val="0"/>
                <w:sz w:val="24"/>
                <w:szCs w:val="24"/>
                <w:lang w:val="en-US" w:eastAsia="zh-CN" w:bidi="ar"/>
              </w:rPr>
              <w:t>2号楼101</w:t>
            </w:r>
            <w:r>
              <w:rPr>
                <w:rFonts w:hint="eastAsia" w:ascii="宋体" w:hAnsi="宋体" w:cs="宋体"/>
                <w:kern w:val="0"/>
                <w:sz w:val="24"/>
                <w:szCs w:val="24"/>
                <w:lang w:bidi="ar"/>
              </w:rPr>
              <w:t>会议室</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12</w:t>
            </w:r>
          </w:p>
        </w:tc>
        <w:tc>
          <w:tcPr>
            <w:tcW w:w="9135" w:type="dxa"/>
            <w:noWrap w:val="0"/>
            <w:vAlign w:val="top"/>
          </w:tcPr>
          <w:p>
            <w:pPr>
              <w:adjustRightInd w:val="0"/>
              <w:snapToGrid w:val="0"/>
              <w:spacing w:line="360" w:lineRule="auto"/>
              <w:rPr>
                <w:rFonts w:hint="eastAsia" w:ascii="宋体" w:hAnsi="宋体" w:cs="宋体"/>
                <w:kern w:val="0"/>
                <w:sz w:val="24"/>
                <w:szCs w:val="24"/>
              </w:rPr>
            </w:pPr>
            <w:r>
              <w:rPr>
                <w:rFonts w:hint="eastAsia" w:ascii="宋体" w:hAnsi="宋体" w:cs="宋体"/>
                <w:b/>
                <w:sz w:val="24"/>
                <w:szCs w:val="22"/>
              </w:rPr>
              <w:t>疫情防控期间注意事项：报价供应商委派人数（每家供应商不得超过2人），尽可能减少现场人数规模。凡进入活动现场的人员，必须戴口罩并出示“锡康码”，采取“测温+扫码”进，“扫码”出。“锡康码”验证结果为红色或体温≥37.3℃的，严禁进场。《“锡康码”申领使用操作手册》详见无锡政府采购网首页“工作动态”栏，或者无锡市公共资源交易中心网政府采购（市级）“公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13</w:t>
            </w:r>
          </w:p>
        </w:tc>
        <w:tc>
          <w:tcPr>
            <w:tcW w:w="9135" w:type="dxa"/>
            <w:noWrap w:val="0"/>
            <w:vAlign w:val="top"/>
          </w:tcPr>
          <w:p>
            <w:pPr>
              <w:widowControl/>
              <w:topLinePunct/>
              <w:spacing w:line="360" w:lineRule="auto"/>
              <w:rPr>
                <w:rFonts w:hint="eastAsia" w:ascii="宋体" w:hAnsi="宋体" w:cs="宋体"/>
                <w:bCs/>
                <w:sz w:val="24"/>
                <w:szCs w:val="24"/>
              </w:rPr>
            </w:pPr>
            <w:r>
              <w:rPr>
                <w:rFonts w:hint="eastAsia" w:ascii="宋体" w:hAnsi="宋体" w:cs="宋体"/>
                <w:sz w:val="24"/>
                <w:szCs w:val="24"/>
              </w:rPr>
              <w:t>响应文件份数：</w:t>
            </w:r>
            <w:r>
              <w:rPr>
                <w:rFonts w:hint="eastAsia" w:ascii="宋体" w:hAnsi="宋体" w:cs="宋体"/>
                <w:sz w:val="24"/>
              </w:rPr>
              <w:t>明标部分正本1份，副本2份；暗标部分正本1份，副本5份。响应文件电子光盘（不可擦写光盘）（并在光盘上清楚的标明供应商名称、</w:t>
            </w:r>
            <w:r>
              <w:rPr>
                <w:rFonts w:hint="eastAsia" w:ascii="宋体" w:hAnsi="宋体" w:cs="宋体"/>
                <w:sz w:val="24"/>
                <w:lang w:eastAsia="zh-CN"/>
              </w:rPr>
              <w:t>项目</w:t>
            </w:r>
            <w:r>
              <w:rPr>
                <w:rFonts w:hint="eastAsia" w:ascii="宋体" w:hAnsi="宋体" w:cs="宋体"/>
                <w:sz w:val="24"/>
              </w:rPr>
              <w:t>名称、光盘内容名称）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5" w:type="dxa"/>
            <w:noWrap w:val="0"/>
            <w:vAlign w:val="center"/>
          </w:tcPr>
          <w:p>
            <w:pPr>
              <w:adjustRightInd w:val="0"/>
              <w:snapToGrid w:val="0"/>
              <w:spacing w:line="360" w:lineRule="auto"/>
              <w:jc w:val="center"/>
              <w:rPr>
                <w:rFonts w:hint="eastAsia" w:ascii="宋体" w:hAnsi="宋体" w:cs="宋体"/>
                <w:sz w:val="24"/>
                <w:szCs w:val="24"/>
              </w:rPr>
            </w:pPr>
            <w:r>
              <w:rPr>
                <w:rFonts w:hint="eastAsia" w:ascii="宋体" w:hAnsi="宋体" w:cs="宋体"/>
                <w:sz w:val="24"/>
                <w:szCs w:val="24"/>
              </w:rPr>
              <w:t>14</w:t>
            </w:r>
          </w:p>
        </w:tc>
        <w:tc>
          <w:tcPr>
            <w:tcW w:w="9135" w:type="dxa"/>
            <w:noWrap w:val="0"/>
            <w:vAlign w:val="top"/>
          </w:tcPr>
          <w:p>
            <w:pPr>
              <w:adjustRightInd w:val="0"/>
              <w:snapToGrid w:val="0"/>
              <w:spacing w:line="360" w:lineRule="auto"/>
              <w:rPr>
                <w:rFonts w:ascii="宋体" w:hAnsi="宋体" w:cs="宋体"/>
                <w:sz w:val="24"/>
                <w:szCs w:val="24"/>
              </w:rPr>
            </w:pPr>
            <w:r>
              <w:rPr>
                <w:rFonts w:hint="eastAsia" w:ascii="宋体" w:hAnsi="宋体" w:cs="宋体"/>
                <w:sz w:val="24"/>
              </w:rPr>
              <w:t>履约保证金：运营维护阶段伍仟万；移交维修阶段壹亿元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trPr>
        <w:tc>
          <w:tcPr>
            <w:tcW w:w="735" w:type="dxa"/>
            <w:noWrap w:val="0"/>
            <w:vAlign w:val="center"/>
          </w:tcPr>
          <w:p>
            <w:pPr>
              <w:adjustRightInd w:val="0"/>
              <w:snapToGrid w:val="0"/>
              <w:spacing w:line="360" w:lineRule="auto"/>
              <w:jc w:val="center"/>
              <w:rPr>
                <w:rFonts w:hint="eastAsia" w:ascii="宋体" w:hAnsi="宋体" w:cs="宋体"/>
                <w:bCs/>
                <w:sz w:val="24"/>
                <w:szCs w:val="24"/>
              </w:rPr>
            </w:pPr>
            <w:r>
              <w:rPr>
                <w:rFonts w:hint="eastAsia" w:ascii="宋体" w:hAnsi="宋体" w:cs="宋体"/>
                <w:bCs/>
                <w:sz w:val="24"/>
                <w:szCs w:val="24"/>
              </w:rPr>
              <w:t>15</w:t>
            </w:r>
          </w:p>
        </w:tc>
        <w:tc>
          <w:tcPr>
            <w:tcW w:w="9135" w:type="dxa"/>
            <w:noWrap w:val="0"/>
            <w:vAlign w:val="top"/>
          </w:tcPr>
          <w:p>
            <w:pPr>
              <w:widowControl/>
              <w:topLinePunct/>
              <w:spacing w:line="360" w:lineRule="auto"/>
              <w:rPr>
                <w:rFonts w:hint="eastAsia" w:ascii="宋体" w:hAnsi="宋体" w:cs="宋体"/>
                <w:sz w:val="24"/>
                <w:szCs w:val="24"/>
              </w:rPr>
            </w:pPr>
            <w:r>
              <w:rPr>
                <w:rFonts w:hint="eastAsia" w:ascii="宋体" w:hAnsi="宋体" w:cs="宋体"/>
                <w:sz w:val="24"/>
                <w:szCs w:val="24"/>
              </w:rPr>
              <w:t>有关本次采购活动程序方面的问题，可来人、来函（传真）或电话联系。</w:t>
            </w:r>
          </w:p>
          <w:p>
            <w:pPr>
              <w:widowControl/>
              <w:topLinePunct/>
              <w:spacing w:line="360" w:lineRule="auto"/>
              <w:rPr>
                <w:rFonts w:hint="eastAsia" w:ascii="宋体" w:hAnsi="宋体" w:cs="宋体"/>
                <w:sz w:val="24"/>
                <w:szCs w:val="24"/>
              </w:rPr>
            </w:pPr>
            <w:r>
              <w:rPr>
                <w:rFonts w:hint="eastAsia" w:ascii="宋体" w:hAnsi="宋体" w:cs="宋体"/>
                <w:sz w:val="24"/>
                <w:szCs w:val="24"/>
              </w:rPr>
              <w:t>采购人：</w:t>
            </w:r>
            <w:r>
              <w:rPr>
                <w:rFonts w:hint="eastAsia" w:ascii="宋体" w:hAnsi="宋体" w:cs="宋体"/>
                <w:bCs/>
                <w:sz w:val="24"/>
                <w:szCs w:val="24"/>
              </w:rPr>
              <w:t>无锡环境卫生管理处</w:t>
            </w:r>
          </w:p>
          <w:p>
            <w:pPr>
              <w:widowControl/>
              <w:topLinePunct/>
              <w:spacing w:line="360" w:lineRule="auto"/>
              <w:rPr>
                <w:rFonts w:hint="eastAsia" w:ascii="宋体" w:hAnsi="宋体" w:cs="宋体"/>
                <w:sz w:val="24"/>
                <w:szCs w:val="24"/>
              </w:rPr>
            </w:pPr>
            <w:r>
              <w:rPr>
                <w:rFonts w:hint="eastAsia" w:ascii="宋体" w:hAnsi="宋体" w:cs="宋体"/>
                <w:sz w:val="24"/>
                <w:szCs w:val="24"/>
              </w:rPr>
              <w:t>采购人地址：无锡市</w:t>
            </w:r>
            <w:r>
              <w:rPr>
                <w:rFonts w:hint="eastAsia" w:ascii="宋体" w:hAnsi="宋体" w:cs="宋体"/>
                <w:sz w:val="24"/>
                <w:szCs w:val="24"/>
                <w:lang w:eastAsia="zh-CN"/>
              </w:rPr>
              <w:t>梁溪区</w:t>
            </w:r>
            <w:r>
              <w:rPr>
                <w:rFonts w:hint="eastAsia" w:ascii="宋体" w:hAnsi="宋体" w:cs="宋体"/>
                <w:sz w:val="24"/>
                <w:szCs w:val="24"/>
              </w:rPr>
              <w:t xml:space="preserve">塘南一支路3号 </w:t>
            </w:r>
          </w:p>
          <w:p>
            <w:pPr>
              <w:widowControl/>
              <w:topLinePunct/>
              <w:spacing w:line="360" w:lineRule="auto"/>
              <w:rPr>
                <w:rFonts w:hint="eastAsia" w:ascii="宋体" w:hAnsi="宋体" w:cs="宋体"/>
                <w:sz w:val="24"/>
                <w:szCs w:val="24"/>
              </w:rPr>
            </w:pPr>
            <w:r>
              <w:rPr>
                <w:rFonts w:hint="eastAsia" w:ascii="宋体" w:hAnsi="宋体" w:cs="宋体"/>
                <w:sz w:val="24"/>
                <w:szCs w:val="24"/>
              </w:rPr>
              <w:t xml:space="preserve">联系人：王艳丽  </w:t>
            </w:r>
          </w:p>
          <w:p>
            <w:pPr>
              <w:widowControl/>
              <w:topLinePunct/>
              <w:spacing w:line="360" w:lineRule="auto"/>
              <w:rPr>
                <w:rFonts w:hint="eastAsia" w:ascii="宋体" w:hAnsi="宋体" w:cs="宋体"/>
                <w:sz w:val="24"/>
              </w:rPr>
            </w:pPr>
            <w:r>
              <w:rPr>
                <w:rFonts w:hint="eastAsia" w:ascii="宋体" w:hAnsi="宋体" w:cs="宋体"/>
                <w:sz w:val="24"/>
                <w:szCs w:val="24"/>
              </w:rPr>
              <w:t>联系电话：0510-85020703</w:t>
            </w:r>
            <w:r>
              <w:rPr>
                <w:rFonts w:hint="eastAsia" w:ascii="宋体" w:hAnsi="宋体" w:cs="宋体"/>
                <w:sz w:val="24"/>
              </w:rPr>
              <w:t xml:space="preserve"> </w:t>
            </w:r>
          </w:p>
          <w:p>
            <w:pPr>
              <w:widowControl/>
              <w:topLinePunct/>
              <w:spacing w:line="360" w:lineRule="auto"/>
              <w:rPr>
                <w:rFonts w:ascii="宋体" w:hAnsi="宋体" w:cs="宋体"/>
                <w:sz w:val="24"/>
                <w:szCs w:val="24"/>
              </w:rPr>
            </w:pPr>
            <w:r>
              <w:rPr>
                <w:rFonts w:hint="eastAsia" w:ascii="宋体" w:hAnsi="宋体" w:cs="宋体"/>
                <w:sz w:val="24"/>
                <w:szCs w:val="24"/>
              </w:rPr>
              <w:t>电子邮件地址：zhfzhwc@126.com</w:t>
            </w:r>
          </w:p>
          <w:p>
            <w:pPr>
              <w:widowControl/>
              <w:topLinePunct/>
              <w:spacing w:line="360" w:lineRule="auto"/>
              <w:rPr>
                <w:rFonts w:hint="eastAsia" w:ascii="宋体" w:hAnsi="宋体" w:cs="宋体"/>
                <w:sz w:val="24"/>
                <w:szCs w:val="24"/>
              </w:rPr>
            </w:pPr>
            <w:r>
              <w:rPr>
                <w:rFonts w:hint="eastAsia" w:ascii="宋体" w:hAnsi="宋体" w:cs="宋体"/>
                <w:sz w:val="24"/>
                <w:szCs w:val="24"/>
              </w:rPr>
              <w:t>采购代理机构：普信国际工程咨询有限公司</w:t>
            </w:r>
          </w:p>
          <w:p>
            <w:pPr>
              <w:widowControl/>
              <w:topLinePunct/>
              <w:spacing w:line="360" w:lineRule="auto"/>
              <w:rPr>
                <w:rFonts w:hint="eastAsia" w:ascii="宋体" w:hAnsi="宋体" w:cs="宋体"/>
                <w:sz w:val="24"/>
                <w:szCs w:val="24"/>
              </w:rPr>
            </w:pPr>
            <w:r>
              <w:rPr>
                <w:rFonts w:hint="eastAsia" w:ascii="宋体" w:hAnsi="宋体" w:cs="宋体"/>
                <w:sz w:val="24"/>
                <w:szCs w:val="24"/>
              </w:rPr>
              <w:t>联系人：杨阳、顾昱昂</w:t>
            </w:r>
          </w:p>
          <w:p>
            <w:pPr>
              <w:widowControl/>
              <w:topLinePunct/>
              <w:spacing w:line="360" w:lineRule="auto"/>
              <w:rPr>
                <w:rFonts w:hint="eastAsia" w:ascii="宋体" w:hAnsi="宋体" w:cs="宋体"/>
                <w:sz w:val="24"/>
                <w:szCs w:val="24"/>
              </w:rPr>
            </w:pPr>
            <w:r>
              <w:rPr>
                <w:rFonts w:hint="eastAsia" w:ascii="宋体" w:hAnsi="宋体" w:cs="宋体"/>
                <w:sz w:val="24"/>
                <w:szCs w:val="24"/>
              </w:rPr>
              <w:t xml:space="preserve">联系电话：13665110981、0510-82830057 </w:t>
            </w:r>
          </w:p>
          <w:p>
            <w:pPr>
              <w:widowControl/>
              <w:topLinePunct/>
              <w:spacing w:line="360" w:lineRule="auto"/>
              <w:rPr>
                <w:rFonts w:hint="eastAsia" w:ascii="宋体" w:hAnsi="宋体" w:cs="宋体"/>
                <w:sz w:val="24"/>
                <w:szCs w:val="24"/>
              </w:rPr>
            </w:pPr>
            <w:r>
              <w:rPr>
                <w:rFonts w:hint="eastAsia" w:ascii="宋体" w:hAnsi="宋体" w:cs="宋体"/>
                <w:sz w:val="24"/>
                <w:szCs w:val="24"/>
              </w:rPr>
              <w:t xml:space="preserve">传真： 0510-82830057 </w:t>
            </w:r>
          </w:p>
          <w:p>
            <w:pPr>
              <w:widowControl/>
              <w:topLinePunct/>
              <w:spacing w:line="360" w:lineRule="auto"/>
              <w:rPr>
                <w:rFonts w:hint="eastAsia" w:ascii="宋体" w:hAnsi="宋体" w:cs="宋体"/>
                <w:sz w:val="24"/>
                <w:szCs w:val="24"/>
              </w:rPr>
            </w:pPr>
            <w:r>
              <w:rPr>
                <w:rFonts w:hint="eastAsia" w:ascii="宋体" w:hAnsi="宋体" w:cs="宋体"/>
                <w:sz w:val="24"/>
                <w:szCs w:val="24"/>
              </w:rPr>
              <w:t>联系地址：无锡市县前东街288号309室</w:t>
            </w:r>
          </w:p>
          <w:p>
            <w:pPr>
              <w:widowControl/>
              <w:topLinePunct/>
              <w:spacing w:line="360" w:lineRule="auto"/>
              <w:rPr>
                <w:rFonts w:hint="eastAsia" w:ascii="宋体" w:hAnsi="宋体" w:cs="宋体"/>
                <w:sz w:val="24"/>
                <w:szCs w:val="24"/>
              </w:rPr>
            </w:pPr>
            <w:r>
              <w:rPr>
                <w:rFonts w:hint="eastAsia" w:ascii="宋体" w:hAnsi="宋体" w:cs="宋体"/>
                <w:sz w:val="24"/>
                <w:szCs w:val="24"/>
              </w:rPr>
              <w:t>邮政编码：214000</w:t>
            </w:r>
          </w:p>
          <w:p>
            <w:pPr>
              <w:adjustRightInd w:val="0"/>
              <w:snapToGrid w:val="0"/>
              <w:spacing w:line="360" w:lineRule="auto"/>
              <w:rPr>
                <w:rFonts w:hint="eastAsia" w:ascii="宋体" w:hAnsi="宋体" w:cs="宋体"/>
                <w:bCs/>
                <w:sz w:val="24"/>
                <w:szCs w:val="24"/>
              </w:rPr>
            </w:pPr>
            <w:r>
              <w:rPr>
                <w:rFonts w:hint="eastAsia" w:ascii="宋体" w:hAnsi="宋体" w:cs="宋体"/>
                <w:sz w:val="24"/>
                <w:szCs w:val="24"/>
              </w:rPr>
              <w:t>电子邮件地址：359227149@qq.com</w:t>
            </w:r>
          </w:p>
        </w:tc>
      </w:tr>
    </w:tbl>
    <w:p>
      <w:pPr>
        <w:pageBreakBefore/>
        <w:spacing w:line="360" w:lineRule="auto"/>
        <w:jc w:val="center"/>
        <w:rPr>
          <w:rFonts w:hint="eastAsia" w:ascii="宋体" w:hAnsi="宋体" w:cs="宋体"/>
          <w:bCs/>
          <w:sz w:val="28"/>
          <w:szCs w:val="28"/>
        </w:rPr>
      </w:pPr>
      <w:r>
        <w:rPr>
          <w:rFonts w:hint="eastAsia" w:ascii="宋体" w:hAnsi="宋体" w:cs="宋体"/>
          <w:bCs/>
          <w:sz w:val="28"/>
          <w:szCs w:val="28"/>
        </w:rPr>
        <w:t>二．供应商须知</w:t>
      </w:r>
    </w:p>
    <w:p>
      <w:pPr>
        <w:numPr>
          <w:ilvl w:val="0"/>
          <w:numId w:val="12"/>
        </w:numPr>
        <w:tabs>
          <w:tab w:val="left" w:pos="735"/>
        </w:tabs>
        <w:adjustRightInd w:val="0"/>
        <w:snapToGrid w:val="0"/>
        <w:spacing w:line="360" w:lineRule="auto"/>
        <w:ind w:left="0" w:firstLine="420"/>
        <w:rPr>
          <w:rFonts w:hint="eastAsia" w:ascii="宋体" w:hAnsi="宋体" w:cs="宋体"/>
          <w:bCs/>
          <w:sz w:val="24"/>
        </w:rPr>
      </w:pPr>
      <w:r>
        <w:rPr>
          <w:rFonts w:hint="eastAsia" w:ascii="宋体" w:hAnsi="宋体" w:cs="宋体"/>
          <w:bCs/>
          <w:sz w:val="24"/>
        </w:rPr>
        <w:t>遵循原则：</w:t>
      </w:r>
    </w:p>
    <w:p>
      <w:pPr>
        <w:adjustRightInd w:val="0"/>
        <w:snapToGrid w:val="0"/>
        <w:spacing w:line="360" w:lineRule="auto"/>
        <w:ind w:firstLine="523" w:firstLineChars="218"/>
        <w:rPr>
          <w:rFonts w:hint="eastAsia" w:ascii="宋体" w:hAnsi="宋体" w:cs="宋体"/>
          <w:bCs/>
          <w:sz w:val="24"/>
        </w:rPr>
      </w:pPr>
      <w:r>
        <w:rPr>
          <w:rFonts w:hint="eastAsia" w:ascii="宋体" w:hAnsi="宋体" w:cs="宋体"/>
          <w:bCs/>
          <w:sz w:val="24"/>
        </w:rPr>
        <w:t>公开透明原则、公平竞争原则、公正原则和诚实信用原则。</w:t>
      </w:r>
    </w:p>
    <w:p>
      <w:pPr>
        <w:numPr>
          <w:ilvl w:val="0"/>
          <w:numId w:val="12"/>
        </w:numPr>
        <w:tabs>
          <w:tab w:val="left" w:pos="735"/>
        </w:tabs>
        <w:adjustRightInd w:val="0"/>
        <w:snapToGrid w:val="0"/>
        <w:spacing w:line="360" w:lineRule="auto"/>
        <w:ind w:left="0" w:firstLine="420"/>
        <w:rPr>
          <w:rFonts w:hint="eastAsia" w:ascii="宋体" w:hAnsi="宋体" w:cs="宋体"/>
          <w:bCs/>
          <w:sz w:val="24"/>
        </w:rPr>
      </w:pPr>
      <w:r>
        <w:rPr>
          <w:rFonts w:hint="eastAsia" w:ascii="宋体" w:hAnsi="宋体" w:cs="宋体"/>
          <w:bCs/>
          <w:sz w:val="24"/>
        </w:rPr>
        <w:t>磋商文件：</w:t>
      </w:r>
    </w:p>
    <w:p>
      <w:pPr>
        <w:numPr>
          <w:ilvl w:val="0"/>
          <w:numId w:val="13"/>
        </w:numPr>
        <w:tabs>
          <w:tab w:val="left" w:pos="-1260"/>
          <w:tab w:val="left" w:pos="525"/>
          <w:tab w:val="left" w:pos="105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磋商文件包括本文件目录所列全部内容，供应商应仔细阅读，并在响应文件中充分响应磋商文件的所有要求。</w:t>
      </w:r>
    </w:p>
    <w:p>
      <w:pPr>
        <w:numPr>
          <w:ilvl w:val="0"/>
          <w:numId w:val="13"/>
        </w:numPr>
        <w:tabs>
          <w:tab w:val="left" w:pos="0"/>
          <w:tab w:val="left" w:pos="525"/>
          <w:tab w:val="left" w:pos="105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供应商应向普信国际工程咨询有限公司购买磋商文件及相关资料，按磋商文件要求提交全部资料并对磋商文件各项内容作出实质性响应，否则磋商无效。</w:t>
      </w:r>
    </w:p>
    <w:p>
      <w:pPr>
        <w:numPr>
          <w:ilvl w:val="0"/>
          <w:numId w:val="13"/>
        </w:numPr>
        <w:tabs>
          <w:tab w:val="left" w:pos="0"/>
          <w:tab w:val="left" w:pos="525"/>
          <w:tab w:val="left" w:pos="105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供应商一旦参加本项目磋商，即表明承诺接受了本磋商文件中的所有条件和规定。</w:t>
      </w:r>
    </w:p>
    <w:p>
      <w:pPr>
        <w:numPr>
          <w:ilvl w:val="0"/>
          <w:numId w:val="13"/>
        </w:numPr>
        <w:tabs>
          <w:tab w:val="left" w:pos="0"/>
          <w:tab w:val="left" w:pos="525"/>
          <w:tab w:val="left" w:pos="105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磋商文件仅作为本次磋商使用。</w:t>
      </w:r>
    </w:p>
    <w:p>
      <w:pPr>
        <w:tabs>
          <w:tab w:val="left" w:pos="630"/>
        </w:tabs>
        <w:adjustRightInd w:val="0"/>
        <w:snapToGrid w:val="0"/>
        <w:spacing w:line="360" w:lineRule="auto"/>
        <w:ind w:left="-2" w:leftChars="-1" w:firstLine="420" w:firstLineChars="175"/>
        <w:rPr>
          <w:rFonts w:hint="eastAsia" w:ascii="宋体" w:hAnsi="宋体" w:cs="宋体"/>
          <w:bCs/>
          <w:sz w:val="24"/>
        </w:rPr>
      </w:pPr>
      <w:r>
        <w:rPr>
          <w:rFonts w:hint="eastAsia" w:ascii="宋体" w:hAnsi="宋体" w:cs="宋体"/>
          <w:bCs/>
          <w:sz w:val="24"/>
        </w:rPr>
        <w:t>（三） 磋商文件的解释：</w:t>
      </w:r>
    </w:p>
    <w:p>
      <w:pPr>
        <w:numPr>
          <w:ilvl w:val="2"/>
          <w:numId w:val="12"/>
        </w:numPr>
        <w:tabs>
          <w:tab w:val="left" w:pos="525"/>
          <w:tab w:val="left" w:pos="1050"/>
          <w:tab w:val="clear" w:pos="174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供应商如需要对磋商文件要求澄清的问题，</w:t>
      </w:r>
      <w:r>
        <w:rPr>
          <w:rFonts w:hint="eastAsia" w:ascii="宋体" w:hAnsi="宋体" w:cs="宋体"/>
          <w:sz w:val="24"/>
        </w:rPr>
        <w:t>请以书面提出，并按“磋商邀请函”第7项规定的时间将电子邮件及书面文件传真（两种形式均须发送）至</w:t>
      </w:r>
      <w:r>
        <w:rPr>
          <w:rFonts w:hint="eastAsia" w:ascii="宋体" w:hAnsi="宋体" w:cs="宋体"/>
          <w:bCs/>
          <w:sz w:val="24"/>
        </w:rPr>
        <w:t>普信国际工程咨询有限公司。E-mail：359227149@qq.com 传真：0510-82830057。</w:t>
      </w:r>
    </w:p>
    <w:p>
      <w:pPr>
        <w:numPr>
          <w:ilvl w:val="2"/>
          <w:numId w:val="12"/>
        </w:numPr>
        <w:tabs>
          <w:tab w:val="left" w:pos="525"/>
          <w:tab w:val="left" w:pos="1050"/>
          <w:tab w:val="clear" w:pos="174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采购人、普信国际工程咨询有限公司</w:t>
      </w:r>
      <w:r>
        <w:rPr>
          <w:rFonts w:hint="eastAsia" w:ascii="宋体" w:hAnsi="宋体" w:cs="宋体"/>
          <w:sz w:val="24"/>
        </w:rPr>
        <w:t>将按“磋商邀请函”第6项规定的时间对供应商针对磋商文件书面提出的要求澄清的问题进行书面答疑</w:t>
      </w:r>
      <w:r>
        <w:rPr>
          <w:rFonts w:hint="eastAsia" w:ascii="宋体" w:hAnsi="宋体" w:cs="宋体"/>
          <w:bCs/>
          <w:sz w:val="24"/>
        </w:rPr>
        <w:t>。</w:t>
      </w:r>
    </w:p>
    <w:p>
      <w:pPr>
        <w:numPr>
          <w:ilvl w:val="2"/>
          <w:numId w:val="12"/>
        </w:numPr>
        <w:tabs>
          <w:tab w:val="left" w:pos="525"/>
          <w:tab w:val="left" w:pos="1050"/>
          <w:tab w:val="clear" w:pos="174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本文件的最终解释权归采购人。</w:t>
      </w:r>
    </w:p>
    <w:p>
      <w:pPr>
        <w:adjustRightInd w:val="0"/>
        <w:snapToGrid w:val="0"/>
        <w:spacing w:line="360" w:lineRule="auto"/>
        <w:ind w:left="-2" w:leftChars="-1" w:firstLine="420" w:firstLineChars="175"/>
        <w:rPr>
          <w:rFonts w:hint="eastAsia" w:ascii="宋体" w:hAnsi="宋体" w:cs="宋体"/>
          <w:bCs/>
          <w:sz w:val="24"/>
        </w:rPr>
      </w:pPr>
      <w:r>
        <w:rPr>
          <w:rFonts w:hint="eastAsia" w:ascii="宋体" w:hAnsi="宋体" w:cs="宋体"/>
          <w:bCs/>
          <w:sz w:val="24"/>
        </w:rPr>
        <w:t>（四） 磋商文件的补充或修正：</w:t>
      </w:r>
    </w:p>
    <w:p>
      <w:pPr>
        <w:numPr>
          <w:ilvl w:val="2"/>
          <w:numId w:val="14"/>
        </w:numPr>
        <w:tabs>
          <w:tab w:val="left" w:pos="525"/>
          <w:tab w:val="left" w:pos="1050"/>
          <w:tab w:val="clear" w:pos="1740"/>
        </w:tabs>
        <w:adjustRightInd w:val="0"/>
        <w:snapToGrid w:val="0"/>
        <w:spacing w:line="360" w:lineRule="auto"/>
        <w:ind w:left="0" w:firstLine="628" w:firstLineChars="262"/>
        <w:rPr>
          <w:rFonts w:hint="eastAsia" w:ascii="宋体" w:hAnsi="宋体" w:cs="宋体"/>
          <w:bCs/>
          <w:sz w:val="24"/>
        </w:rPr>
      </w:pPr>
      <w:r>
        <w:rPr>
          <w:rFonts w:hint="eastAsia" w:ascii="宋体" w:hAnsi="宋体" w:cs="宋体"/>
          <w:bCs/>
          <w:sz w:val="24"/>
        </w:rPr>
        <w:t>在报价截止时间5日前采购人及采购代理可对磋商文件进行必要的澄清或者修改，不足5日的，将顺延提交响应文件的截止时间。</w:t>
      </w:r>
    </w:p>
    <w:p>
      <w:pPr>
        <w:numPr>
          <w:ilvl w:val="2"/>
          <w:numId w:val="14"/>
        </w:numPr>
        <w:tabs>
          <w:tab w:val="left" w:pos="525"/>
          <w:tab w:val="left" w:pos="1050"/>
          <w:tab w:val="clear" w:pos="1740"/>
        </w:tabs>
        <w:adjustRightInd w:val="0"/>
        <w:snapToGrid w:val="0"/>
        <w:spacing w:line="360" w:lineRule="auto"/>
        <w:ind w:left="0" w:firstLine="628" w:firstLineChars="262"/>
        <w:rPr>
          <w:rFonts w:hint="eastAsia" w:ascii="宋体" w:hAnsi="宋体" w:cs="宋体"/>
          <w:bCs/>
          <w:sz w:val="24"/>
          <w:szCs w:val="24"/>
        </w:rPr>
      </w:pPr>
      <w:r>
        <w:rPr>
          <w:rFonts w:hint="eastAsia" w:ascii="宋体" w:hAnsi="宋体" w:cs="宋体"/>
          <w:bCs/>
          <w:sz w:val="24"/>
        </w:rPr>
        <w:t>如需对磋商文件进行补充或修正，采购代理将在无锡政府采购网、江苏政府采购网、中国政府采购网发布更正公告,该补充或修正的内容为磋商文件的组成部分。报价供应商应在报价截止时间前关注原采购公告媒体上发布的相关更正公告。因报价供应商未尽注意义务，未及时全面地关注更正公告导致其提交的报价材料不符合无锡市政府采购中心要求，而造成的损失及风险（包括但不限于未成交）由报价供应商自行承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（五） 响应文件的组成：</w:t>
      </w:r>
    </w:p>
    <w:p>
      <w:pPr>
        <w:spacing w:line="360" w:lineRule="auto"/>
        <w:ind w:firstLine="482" w:firstLineChars="200"/>
        <w:rPr>
          <w:rFonts w:hint="eastAsia" w:ascii="宋体" w:hAnsi="宋体" w:cs="宋体"/>
          <w:b/>
          <w:bCs/>
          <w:sz w:val="24"/>
        </w:rPr>
      </w:pPr>
      <w:r>
        <w:rPr>
          <w:rFonts w:hint="eastAsia" w:ascii="宋体" w:hAnsi="宋体" w:cs="宋体"/>
          <w:b/>
          <w:bCs/>
          <w:sz w:val="24"/>
        </w:rPr>
        <w:t>响应文件分为明标和暗标两部分，明标由证明文件部分、响</w:t>
      </w:r>
      <w:r>
        <w:rPr>
          <w:rFonts w:hint="eastAsia" w:ascii="宋体" w:hAnsi="宋体" w:cs="宋体"/>
          <w:b/>
          <w:bCs/>
          <w:sz w:val="24"/>
          <w:szCs w:val="22"/>
        </w:rPr>
        <w:t>应函部分二部分组成，</w:t>
      </w:r>
      <w:r>
        <w:rPr>
          <w:rFonts w:hint="eastAsia" w:ascii="宋体" w:hAnsi="宋体" w:cs="宋体"/>
          <w:b/>
          <w:bCs/>
          <w:sz w:val="24"/>
        </w:rPr>
        <w:t>暗标为技术文件部分（单独成册）。另附电子光盘。</w:t>
      </w:r>
    </w:p>
    <w:p>
      <w:pPr>
        <w:spacing w:line="360" w:lineRule="auto"/>
        <w:ind w:firstLine="482" w:firstLineChars="200"/>
        <w:rPr>
          <w:rFonts w:hint="eastAsia" w:ascii="宋体" w:hAnsi="宋体" w:cs="宋体"/>
          <w:b/>
          <w:bCs/>
          <w:sz w:val="24"/>
        </w:rPr>
      </w:pPr>
      <w:r>
        <w:rPr>
          <w:rFonts w:hint="eastAsia" w:ascii="宋体" w:hAnsi="宋体" w:cs="宋体"/>
          <w:b/>
          <w:bCs/>
          <w:sz w:val="24"/>
        </w:rPr>
        <w:t>明标部分：</w:t>
      </w:r>
    </w:p>
    <w:p>
      <w:pPr>
        <w:spacing w:line="360" w:lineRule="auto"/>
        <w:ind w:left="105" w:leftChars="50" w:firstLine="360" w:firstLineChars="15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证明文件部分：</w:t>
      </w:r>
    </w:p>
    <w:p>
      <w:pPr>
        <w:spacing w:line="360" w:lineRule="auto"/>
        <w:ind w:left="105" w:leftChars="50" w:firstLine="360" w:firstLineChars="150"/>
        <w:rPr>
          <w:rFonts w:hint="eastAsia" w:ascii="宋体" w:hAnsi="宋体" w:cs="宋体"/>
          <w:sz w:val="24"/>
        </w:rPr>
      </w:pPr>
      <w:r>
        <w:rPr>
          <w:rFonts w:hint="eastAsia" w:ascii="宋体" w:hAnsi="宋体" w:cs="宋体"/>
          <w:sz w:val="24"/>
        </w:rPr>
        <w:t>第一部分：资格、资信证明文件</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关于资格的声明函（</w:t>
      </w:r>
      <w:r>
        <w:rPr>
          <w:rFonts w:hint="eastAsia" w:ascii="宋体" w:hAnsi="宋体" w:cs="宋体"/>
          <w:b/>
          <w:bCs/>
          <w:sz w:val="24"/>
          <w:szCs w:val="24"/>
        </w:rPr>
        <w:t>格式见附件</w:t>
      </w:r>
      <w:r>
        <w:rPr>
          <w:rFonts w:hint="eastAsia" w:ascii="宋体" w:hAnsi="宋体" w:cs="宋体"/>
          <w:bCs/>
          <w:sz w:val="24"/>
          <w:szCs w:val="24"/>
        </w:rPr>
        <w:t>）；</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sz w:val="24"/>
        </w:rPr>
      </w:pPr>
      <w:r>
        <w:rPr>
          <w:rFonts w:hint="eastAsia" w:ascii="宋体" w:hAnsi="宋体" w:cs="宋体"/>
          <w:sz w:val="24"/>
        </w:rPr>
        <w:t>供应商法定代表人授权委托书</w:t>
      </w:r>
      <w:r>
        <w:rPr>
          <w:rFonts w:hint="eastAsia" w:ascii="宋体" w:hAnsi="宋体" w:cs="宋体"/>
          <w:b/>
          <w:sz w:val="24"/>
        </w:rPr>
        <w:t>（法定代表人亲自参与报价的除外，格式见附件）</w:t>
      </w:r>
      <w:r>
        <w:rPr>
          <w:rFonts w:hint="eastAsia" w:ascii="宋体" w:hAnsi="宋体" w:cs="宋体"/>
          <w:sz w:val="24"/>
        </w:rPr>
        <w:t>；</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sz w:val="24"/>
        </w:rPr>
      </w:pPr>
      <w:r>
        <w:rPr>
          <w:rFonts w:hint="eastAsia" w:ascii="宋体" w:hAnsi="宋体" w:cs="宋体"/>
          <w:sz w:val="24"/>
        </w:rPr>
        <w:t>供应商法定代表人身份证复印件及被授权代表身份证复印件并加盖公章</w:t>
      </w:r>
      <w:r>
        <w:rPr>
          <w:rFonts w:hint="eastAsia" w:ascii="宋体" w:hAnsi="宋体" w:cs="宋体"/>
          <w:b/>
          <w:sz w:val="24"/>
        </w:rPr>
        <w:t>（报价时必须携带并提交参加开标会议的法定代表人或被授权代表有效身份证明原件）</w:t>
      </w:r>
      <w:r>
        <w:rPr>
          <w:rFonts w:hint="eastAsia" w:ascii="宋体" w:hAnsi="宋体" w:cs="宋体"/>
          <w:sz w:val="24"/>
        </w:rPr>
        <w:t>；</w:t>
      </w:r>
    </w:p>
    <w:p>
      <w:pPr>
        <w:numPr>
          <w:ilvl w:val="0"/>
          <w:numId w:val="6"/>
        </w:numPr>
        <w:tabs>
          <w:tab w:val="left" w:pos="420"/>
          <w:tab w:val="left" w:pos="945"/>
          <w:tab w:val="left" w:pos="1155"/>
          <w:tab w:val="left" w:pos="1288"/>
          <w:tab w:val="clear" w:pos="1996"/>
        </w:tabs>
        <w:spacing w:line="360" w:lineRule="auto"/>
        <w:ind w:left="0" w:firstLine="523" w:firstLineChars="218"/>
        <w:rPr>
          <w:rFonts w:hint="eastAsia" w:ascii="宋体" w:hAnsi="宋体" w:cs="宋体"/>
          <w:sz w:val="24"/>
          <w:lang w:val="zh-CN"/>
        </w:rPr>
      </w:pPr>
      <w:r>
        <w:rPr>
          <w:rFonts w:hint="eastAsia" w:ascii="宋体" w:hAnsi="宋体" w:cs="宋体"/>
          <w:sz w:val="24"/>
        </w:rPr>
        <w:t>供应商有效期内营业执照副本（三证合一）复印件，复印件须加盖公章</w:t>
      </w:r>
      <w:r>
        <w:rPr>
          <w:rFonts w:hint="eastAsia" w:ascii="宋体" w:hAnsi="宋体" w:cs="宋体"/>
          <w:b/>
          <w:bCs/>
          <w:sz w:val="24"/>
        </w:rPr>
        <w:t>（报价时</w:t>
      </w:r>
      <w:r>
        <w:rPr>
          <w:rFonts w:hint="eastAsia" w:ascii="宋体" w:hAnsi="宋体" w:cs="宋体"/>
          <w:b/>
          <w:sz w:val="24"/>
        </w:rPr>
        <w:t>提供</w:t>
      </w:r>
      <w:r>
        <w:rPr>
          <w:rFonts w:hint="eastAsia" w:ascii="宋体" w:hAnsi="宋体" w:cs="宋体"/>
          <w:b/>
          <w:bCs/>
          <w:sz w:val="24"/>
        </w:rPr>
        <w:t>原件或公证件）</w:t>
      </w:r>
      <w:r>
        <w:rPr>
          <w:rFonts w:hint="eastAsia" w:ascii="宋体" w:hAnsi="宋体" w:cs="宋体"/>
          <w:sz w:val="24"/>
        </w:rPr>
        <w:t>；</w:t>
      </w:r>
    </w:p>
    <w:p>
      <w:pPr>
        <w:numPr>
          <w:ilvl w:val="0"/>
          <w:numId w:val="6"/>
        </w:numPr>
        <w:tabs>
          <w:tab w:val="left" w:pos="420"/>
          <w:tab w:val="left" w:pos="945"/>
          <w:tab w:val="left" w:pos="1155"/>
          <w:tab w:val="left" w:pos="1288"/>
          <w:tab w:val="clear" w:pos="1996"/>
        </w:tabs>
        <w:spacing w:line="360" w:lineRule="auto"/>
        <w:ind w:left="0" w:firstLine="523" w:firstLineChars="218"/>
        <w:rPr>
          <w:rFonts w:hint="eastAsia" w:ascii="宋体" w:hAnsi="宋体" w:cs="宋体"/>
          <w:sz w:val="24"/>
          <w:szCs w:val="22"/>
          <w:lang w:val="zh-CN"/>
        </w:rPr>
      </w:pPr>
      <w:r>
        <w:rPr>
          <w:rFonts w:hint="eastAsia" w:ascii="宋体" w:hAnsi="宋体" w:cs="宋体"/>
          <w:sz w:val="24"/>
          <w:szCs w:val="22"/>
        </w:rPr>
        <w:t>供应商具有运营生活垃圾焚烧发电项目的经验与能力</w:t>
      </w:r>
      <w:r>
        <w:rPr>
          <w:rFonts w:hint="eastAsia" w:ascii="宋体" w:hAnsi="宋体" w:cs="宋体"/>
          <w:sz w:val="24"/>
          <w:szCs w:val="22"/>
          <w:lang w:eastAsia="zh-CN"/>
        </w:rPr>
        <w:t>的</w:t>
      </w:r>
      <w:r>
        <w:rPr>
          <w:rFonts w:hint="eastAsia" w:ascii="宋体" w:hAnsi="宋体" w:cs="宋体"/>
          <w:sz w:val="24"/>
          <w:szCs w:val="22"/>
        </w:rPr>
        <w:t>证明资料（如特许经营协议、项目合同或其他相关证明材料）</w:t>
      </w:r>
      <w:r>
        <w:rPr>
          <w:rFonts w:hint="eastAsia" w:ascii="宋体" w:hAnsi="宋体" w:cs="宋体"/>
          <w:sz w:val="24"/>
        </w:rPr>
        <w:t>复印件须加盖公章</w:t>
      </w:r>
      <w:r>
        <w:rPr>
          <w:rFonts w:hint="eastAsia" w:ascii="宋体" w:hAnsi="宋体" w:cs="宋体"/>
          <w:b/>
          <w:bCs/>
          <w:sz w:val="24"/>
        </w:rPr>
        <w:t>（报价时</w:t>
      </w:r>
      <w:r>
        <w:rPr>
          <w:rFonts w:hint="eastAsia" w:ascii="宋体" w:hAnsi="宋体" w:cs="宋体"/>
          <w:b/>
          <w:sz w:val="24"/>
        </w:rPr>
        <w:t>提供</w:t>
      </w:r>
      <w:r>
        <w:rPr>
          <w:rFonts w:hint="eastAsia" w:ascii="宋体" w:hAnsi="宋体" w:cs="宋体"/>
          <w:b/>
          <w:bCs/>
          <w:sz w:val="24"/>
        </w:rPr>
        <w:t>原件或公证件）</w:t>
      </w:r>
      <w:r>
        <w:rPr>
          <w:rFonts w:hint="eastAsia" w:ascii="宋体" w:hAnsi="宋体" w:cs="宋体"/>
          <w:sz w:val="24"/>
        </w:rPr>
        <w:t>；</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供应商近三个月中任意一个月份(不含投标当月)的财务状况报告（资产负债表和利润表）或由会计师事务所出具的近两年中任意一个年度的审计报告和所附已审财务报告复印件</w:t>
      </w:r>
      <w:r>
        <w:rPr>
          <w:rFonts w:hint="eastAsia" w:ascii="宋体" w:hAnsi="宋体" w:cs="宋体"/>
          <w:b/>
          <w:bCs/>
          <w:sz w:val="24"/>
          <w:szCs w:val="24"/>
        </w:rPr>
        <w:t>（报价时</w:t>
      </w:r>
      <w:r>
        <w:rPr>
          <w:rFonts w:hint="eastAsia" w:ascii="宋体" w:hAnsi="宋体" w:cs="宋体"/>
          <w:b/>
          <w:sz w:val="24"/>
        </w:rPr>
        <w:t>提供</w:t>
      </w:r>
      <w:r>
        <w:rPr>
          <w:rFonts w:hint="eastAsia" w:ascii="宋体" w:hAnsi="宋体" w:cs="宋体"/>
          <w:b/>
          <w:bCs/>
          <w:sz w:val="24"/>
          <w:szCs w:val="24"/>
        </w:rPr>
        <w:t>原件或公证件）</w:t>
      </w:r>
      <w:r>
        <w:rPr>
          <w:rFonts w:hint="eastAsia" w:ascii="宋体" w:hAnsi="宋体" w:cs="宋体"/>
          <w:bCs/>
          <w:sz w:val="24"/>
          <w:szCs w:val="24"/>
        </w:rPr>
        <w:t>；</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供应商近三个月中任意一个月份(不含报价当月) 的依法缴纳税收的相关材料（提供相关主管部门证明或银行代扣证明）复印件；</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供应商近三个月中任意一个月份(不含投标当月) 的依法缴纳社会保障资金的相关材料（提供相关主管部门证明或银行代扣证明）复印件；</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
          <w:sz w:val="24"/>
          <w:szCs w:val="24"/>
        </w:rPr>
      </w:pPr>
      <w:r>
        <w:rPr>
          <w:rFonts w:hint="eastAsia" w:ascii="宋体" w:hAnsi="宋体" w:cs="宋体"/>
          <w:bCs/>
          <w:sz w:val="24"/>
          <w:szCs w:val="24"/>
        </w:rPr>
        <w:t>供应商基本账户的开户许可证（或网上打印基本存款信息）复印件及磋商保证金汇款（进账）凭证复印件并加盖公章</w:t>
      </w:r>
      <w:r>
        <w:rPr>
          <w:rFonts w:hint="eastAsia" w:ascii="宋体" w:hAnsi="宋体" w:cs="宋体"/>
          <w:b/>
          <w:sz w:val="24"/>
          <w:szCs w:val="24"/>
        </w:rPr>
        <w:t>（1.报价时携带原件备查；2.提供投标担保函的供应商除外，提供投标担保函的供应商须按照磋商文件投标担保的相关规定执行）；</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
          <w:bCs/>
          <w:sz w:val="24"/>
          <w:szCs w:val="24"/>
        </w:rPr>
      </w:pPr>
      <w:r>
        <w:rPr>
          <w:rFonts w:hint="eastAsia" w:ascii="宋体" w:hAnsi="宋体" w:cs="宋体"/>
          <w:bCs/>
          <w:sz w:val="24"/>
          <w:szCs w:val="24"/>
        </w:rPr>
        <w:t>项目负责人、授权委托人</w:t>
      </w:r>
      <w:r>
        <w:rPr>
          <w:rFonts w:hint="eastAsia" w:ascii="宋体" w:hAnsi="宋体" w:cs="宋体"/>
          <w:sz w:val="24"/>
        </w:rPr>
        <w:t>与供应商企业签订的劳动合同、法定的社保收缴部门出具由供应商本企业为授权委托人依法缴纳的20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月～2020年</w:t>
      </w:r>
      <w:r>
        <w:rPr>
          <w:rFonts w:hint="eastAsia" w:ascii="宋体" w:hAnsi="宋体" w:cs="宋体"/>
          <w:sz w:val="24"/>
          <w:lang w:val="en-US" w:eastAsia="zh-CN"/>
        </w:rPr>
        <w:t>11</w:t>
      </w:r>
      <w:r>
        <w:rPr>
          <w:rFonts w:hint="eastAsia" w:ascii="宋体" w:hAnsi="宋体" w:cs="宋体"/>
          <w:sz w:val="24"/>
        </w:rPr>
        <w:t>月的社会保障资金的相关材料（提供相关主管部门证明或银行代扣证明）复印件加盖公章</w:t>
      </w:r>
      <w:r>
        <w:rPr>
          <w:rFonts w:hint="eastAsia" w:ascii="宋体" w:hAnsi="宋体" w:cs="宋体"/>
          <w:b/>
          <w:bCs/>
          <w:sz w:val="24"/>
        </w:rPr>
        <w:t>（报价时提供原件或公证件）；</w:t>
      </w:r>
    </w:p>
    <w:p>
      <w:pPr>
        <w:numPr>
          <w:ilvl w:val="0"/>
          <w:numId w:val="6"/>
        </w:numPr>
        <w:tabs>
          <w:tab w:val="left" w:pos="420"/>
          <w:tab w:val="left" w:pos="945"/>
          <w:tab w:val="left" w:pos="1155"/>
          <w:tab w:val="left" w:pos="1288"/>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承诺书（</w:t>
      </w:r>
      <w:r>
        <w:rPr>
          <w:rFonts w:hint="eastAsia" w:ascii="宋体" w:hAnsi="宋体" w:cs="宋体"/>
          <w:b/>
          <w:bCs/>
          <w:sz w:val="24"/>
          <w:szCs w:val="24"/>
        </w:rPr>
        <w:t>格式见附件</w:t>
      </w:r>
      <w:r>
        <w:rPr>
          <w:rFonts w:hint="eastAsia" w:ascii="宋体" w:hAnsi="宋体" w:cs="宋体"/>
          <w:bCs/>
          <w:sz w:val="24"/>
          <w:szCs w:val="24"/>
        </w:rPr>
        <w:t>）；</w:t>
      </w:r>
    </w:p>
    <w:p>
      <w:pPr>
        <w:tabs>
          <w:tab w:val="left" w:pos="420"/>
          <w:tab w:val="left" w:pos="945"/>
          <w:tab w:val="left" w:pos="1155"/>
        </w:tabs>
        <w:spacing w:line="360" w:lineRule="auto"/>
        <w:ind w:firstLine="480" w:firstLineChars="200"/>
        <w:rPr>
          <w:rFonts w:hint="eastAsia" w:ascii="宋体" w:hAnsi="宋体" w:cs="宋体"/>
          <w:kern w:val="0"/>
          <w:sz w:val="24"/>
        </w:rPr>
      </w:pPr>
      <w:r>
        <w:rPr>
          <w:rFonts w:hint="eastAsia" w:ascii="宋体" w:hAnsi="宋体" w:cs="宋体"/>
          <w:sz w:val="24"/>
        </w:rPr>
        <w:t>*</w:t>
      </w:r>
      <w:r>
        <w:rPr>
          <w:rFonts w:hint="eastAsia" w:ascii="宋体" w:hAnsi="宋体" w:cs="宋体"/>
          <w:kern w:val="0"/>
          <w:sz w:val="24"/>
        </w:rPr>
        <w:t>注：供应商已按《无锡市政府采购供应商注册登记管理办法》（锡财购〔2012〕3号）文件要求入供应商库的，可注册入库（详见http://cz.wuxi.gov.cn/doc</w:t>
      </w:r>
      <w:r>
        <w:rPr>
          <w:rFonts w:hint="eastAsia" w:ascii="宋体" w:hAnsi="宋体" w:cs="宋体"/>
          <w:kern w:val="0"/>
          <w:sz w:val="24"/>
        </w:rPr>
        <w:br w:type="textWrapping"/>
      </w:r>
      <w:r>
        <w:rPr>
          <w:rFonts w:hint="eastAsia" w:ascii="宋体" w:hAnsi="宋体" w:cs="宋体"/>
          <w:kern w:val="0"/>
          <w:sz w:val="24"/>
        </w:rPr>
        <w:t>/2012/10/11/51585.shtml）成功后，从网上下载打印《无锡市政府采购注册供应商资格信息登记表》（以下简称信息登记表），并经法定代表人签字和加盖公章后,可作为供应商响应文件的有效组成部分提交采购代理机构。信息登记表所记录的信息如能反映供应商具备对应资格条件项的，在本项目评审时，可凭信息登记表免于提供相应的资格、资信证明材料的原件或公证件，否则必须按要求提供相应的资格、资信证明材料原件或公证件来予以证明。</w:t>
      </w:r>
    </w:p>
    <w:p>
      <w:pPr>
        <w:tabs>
          <w:tab w:val="left" w:pos="420"/>
          <w:tab w:val="left" w:pos="945"/>
          <w:tab w:val="left" w:pos="1155"/>
        </w:tabs>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上述证明文件中的资格、资信证明文件必须全部提供,若供应商为联合体报价，须同时提供联合体单位的资格、资信证明文件。其中要求提交的原件或公证件必须与响应文件同时提交，如果原件正在年检（或换证），则必须提供法定年检（或换证）单位出具的有效证明原件。供应商法定代表人或被授权代表为外籍、港、澳、台地区人士的，其身份证明须提供有效的护照或港澳同胞来往内地通行证、台湾同胞来往大陆通行证，或其它可在中国大陆有效居留的许可证明。否则必须提供原件或公证件来予以证明。供应商所提交的证明文件的完整与否，将直接影响其响应文件的审核和评分结果。</w:t>
      </w:r>
    </w:p>
    <w:p>
      <w:pPr>
        <w:widowControl/>
        <w:tabs>
          <w:tab w:val="left" w:pos="0"/>
        </w:tabs>
        <w:spacing w:line="360" w:lineRule="auto"/>
        <w:ind w:firstLine="424" w:firstLineChars="177"/>
        <w:jc w:val="left"/>
        <w:rPr>
          <w:rFonts w:hint="eastAsia" w:ascii="宋体" w:hAnsi="宋体" w:cs="宋体"/>
          <w:kern w:val="0"/>
          <w:sz w:val="24"/>
        </w:rPr>
      </w:pPr>
      <w:r>
        <w:rPr>
          <w:rFonts w:hint="eastAsia" w:ascii="宋体" w:hAnsi="宋体" w:cs="宋体"/>
          <w:sz w:val="24"/>
        </w:rPr>
        <w:t>第二部分：</w:t>
      </w:r>
      <w:r>
        <w:rPr>
          <w:rFonts w:hint="eastAsia" w:ascii="宋体" w:hAnsi="宋体" w:cs="宋体"/>
          <w:kern w:val="0"/>
          <w:sz w:val="24"/>
        </w:rPr>
        <w:t>补充性文件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（1）供应商简介和经营情况说明；</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（2）供应商认为有必要提供的其他证明材料（参照评分标准要求）；</w:t>
      </w:r>
    </w:p>
    <w:p>
      <w:pPr>
        <w:widowControl/>
        <w:spacing w:line="360" w:lineRule="auto"/>
        <w:ind w:firstLine="480" w:firstLineChars="200"/>
        <w:jc w:val="left"/>
        <w:rPr>
          <w:rFonts w:hint="eastAsia" w:ascii="宋体" w:hAnsi="宋体" w:cs="宋体"/>
          <w:bCs/>
          <w:sz w:val="24"/>
        </w:rPr>
      </w:pPr>
      <w:r>
        <w:rPr>
          <w:rFonts w:hint="eastAsia" w:ascii="宋体" w:hAnsi="宋体" w:cs="宋体"/>
          <w:kern w:val="0"/>
          <w:sz w:val="24"/>
        </w:rPr>
        <w:t>（3）</w:t>
      </w:r>
      <w:r>
        <w:rPr>
          <w:rFonts w:hint="eastAsia" w:ascii="宋体" w:hAnsi="宋体" w:cs="宋体"/>
          <w:bCs/>
          <w:sz w:val="24"/>
        </w:rPr>
        <w:t>如是中小企业的，提供《中小企业声明函》（格式见附件）；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（4）残疾人福利性单位声明函（如是，格式见附件）。</w:t>
      </w:r>
    </w:p>
    <w:p>
      <w:pPr>
        <w:spacing w:line="360" w:lineRule="auto"/>
        <w:ind w:firstLine="480" w:firstLineChars="200"/>
        <w:rPr>
          <w:rFonts w:hint="eastAsia" w:ascii="宋体" w:hAnsi="宋体" w:cs="宋体"/>
          <w:b/>
          <w:sz w:val="24"/>
          <w:szCs w:val="22"/>
        </w:rPr>
      </w:pPr>
      <w:r>
        <w:rPr>
          <w:rFonts w:hint="eastAsia" w:ascii="宋体" w:hAnsi="宋体" w:cs="宋体"/>
          <w:bCs/>
          <w:sz w:val="24"/>
          <w:szCs w:val="22"/>
        </w:rPr>
        <w:t>2、响应函部分：</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（1）响应函（格式见附件）；</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（2）开标一览表（</w:t>
      </w:r>
      <w:r>
        <w:rPr>
          <w:rFonts w:hint="eastAsia" w:ascii="宋体" w:hAnsi="宋体" w:cs="宋体"/>
          <w:sz w:val="24"/>
        </w:rPr>
        <w:t>格式见附件）；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（3）细目报价表（</w:t>
      </w:r>
      <w:r>
        <w:rPr>
          <w:rFonts w:hint="eastAsia" w:ascii="宋体" w:hAnsi="宋体" w:cs="宋体"/>
          <w:sz w:val="24"/>
        </w:rPr>
        <w:t>格式见附件）；</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（4）项目具体财务分析表（</w:t>
      </w:r>
      <w:r>
        <w:rPr>
          <w:rFonts w:hint="eastAsia" w:ascii="宋体" w:hAnsi="宋体" w:cs="宋体"/>
          <w:sz w:val="24"/>
        </w:rPr>
        <w:t>格式见附件）。</w:t>
      </w:r>
    </w:p>
    <w:p>
      <w:pPr>
        <w:spacing w:line="360" w:lineRule="auto"/>
        <w:ind w:firstLine="482" w:firstLineChars="200"/>
        <w:rPr>
          <w:rFonts w:hint="eastAsia" w:ascii="宋体" w:hAnsi="宋体" w:cs="宋体"/>
          <w:b/>
          <w:bCs/>
          <w:sz w:val="24"/>
        </w:rPr>
      </w:pPr>
      <w:r>
        <w:rPr>
          <w:rFonts w:hint="eastAsia" w:ascii="宋体" w:hAnsi="宋体" w:cs="宋体"/>
          <w:b/>
          <w:bCs/>
          <w:sz w:val="24"/>
        </w:rPr>
        <w:t>暗标部分：</w:t>
      </w:r>
    </w:p>
    <w:p>
      <w:pPr>
        <w:tabs>
          <w:tab w:val="left" w:pos="1050"/>
        </w:tabs>
        <w:adjustRightInd w:val="0"/>
        <w:snapToGrid w:val="0"/>
        <w:spacing w:line="360" w:lineRule="auto"/>
        <w:ind w:firstLine="482" w:firstLineChars="200"/>
        <w:rPr>
          <w:rFonts w:hint="eastAsia" w:ascii="宋体" w:hAnsi="宋体" w:cs="宋体"/>
          <w:b/>
          <w:sz w:val="24"/>
        </w:rPr>
      </w:pPr>
      <w:r>
        <w:rPr>
          <w:rFonts w:hint="eastAsia" w:ascii="宋体" w:hAnsi="宋体" w:cs="宋体"/>
          <w:b/>
          <w:sz w:val="24"/>
          <w:highlight w:val="none"/>
        </w:rPr>
        <w:t>4、技术标</w:t>
      </w:r>
      <w:r>
        <w:rPr>
          <w:rFonts w:hint="eastAsia" w:ascii="宋体" w:hAnsi="宋体" w:cs="宋体"/>
          <w:b/>
          <w:sz w:val="24"/>
        </w:rPr>
        <w:t>，主要包括以下内容：</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 投融资方案，包括但不限于；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（a）社会资本须根据招标文件的有关规定，以及本项目运营方案需要的初始投资和运营成本的基础上，准备本项目财务方案；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（b）项目公司注册后，项目公司承担融资交割任务；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（c）融资方案：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①项目的总投资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②项目融资资金来源、贷款和资本金的比例（包括社会资本向项目注入资本金的金额、比例、出资方式、时间和方法等内容）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③债务偿还计划及融资成本</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④合作期内更新改造投资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（d）财务分析/垃圾处理服务费价格方案及分析：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①投标经济参数汇总表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②项目投资总造价估算书及计算依据</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③垃圾处理服务费单价的价格组成及计算依据</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④垃圾处理项目主要经济效益指标</w:t>
      </w:r>
    </w:p>
    <w:p>
      <w:pPr>
        <w:adjustRightInd w:val="0"/>
        <w:snapToGrid w:val="0"/>
        <w:spacing w:line="360" w:lineRule="auto"/>
        <w:ind w:left="480"/>
        <w:rPr>
          <w:rFonts w:hint="eastAsia" w:ascii="宋体" w:hAnsi="宋体" w:cs="宋体"/>
          <w:sz w:val="24"/>
          <w:szCs w:val="24"/>
        </w:rPr>
      </w:pPr>
      <w:r>
        <w:rPr>
          <w:rFonts w:hint="eastAsia" w:ascii="宋体" w:hAnsi="宋体" w:cs="宋体"/>
          <w:b/>
          <w:bCs/>
          <w:sz w:val="24"/>
          <w:szCs w:val="24"/>
        </w:rPr>
        <w:t>（2） 运营方案，包括但不限于：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（a）项目公司人员组织方案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（b）项目人力资源管理方案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（c）项目运行管理方案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（d）项目设备管理与维护方案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（e）设备、设施更新改造方案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（f）项目风险应对及安全管理方案</w:t>
      </w:r>
    </w:p>
    <w:p>
      <w:pPr>
        <w:adjustRightInd w:val="0"/>
        <w:snapToGrid w:val="0"/>
        <w:spacing w:line="360" w:lineRule="auto"/>
        <w:ind w:left="480"/>
        <w:rPr>
          <w:rFonts w:hint="eastAsia" w:ascii="宋体" w:hAnsi="宋体" w:cs="宋体"/>
          <w:b/>
          <w:bCs/>
          <w:sz w:val="24"/>
          <w:szCs w:val="24"/>
        </w:rPr>
      </w:pPr>
      <w:r>
        <w:rPr>
          <w:rFonts w:hint="eastAsia" w:ascii="宋体" w:hAnsi="宋体" w:cs="宋体"/>
          <w:b/>
          <w:bCs/>
          <w:sz w:val="24"/>
          <w:szCs w:val="24"/>
        </w:rPr>
        <w:t>（3）移交方案，包括但不限于：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（a）项目移交的技术状态保障承诺</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（b）项目的移交范围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（c）对项目接收方人员的培训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（d）项目后期维护保障承诺</w:t>
      </w:r>
    </w:p>
    <w:p>
      <w:pPr>
        <w:numPr>
          <w:ilvl w:val="0"/>
          <w:numId w:val="15"/>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响应文件的制作：</w:t>
      </w:r>
    </w:p>
    <w:p>
      <w:pPr>
        <w:spacing w:line="360" w:lineRule="auto"/>
        <w:ind w:firstLine="482" w:firstLineChars="200"/>
        <w:rPr>
          <w:rFonts w:hint="eastAsia" w:ascii="宋体" w:hAnsi="宋体" w:cs="宋体"/>
          <w:bCs/>
          <w:sz w:val="24"/>
        </w:rPr>
      </w:pPr>
      <w:r>
        <w:rPr>
          <w:rFonts w:hint="eastAsia" w:ascii="宋体" w:hAnsi="宋体" w:cs="宋体"/>
          <w:b/>
          <w:bCs/>
          <w:sz w:val="24"/>
        </w:rPr>
        <w:t>1.明标部分响应文件的要求</w:t>
      </w:r>
      <w:r>
        <w:rPr>
          <w:rFonts w:hint="eastAsia" w:ascii="宋体" w:hAnsi="宋体" w:cs="宋体"/>
          <w:bCs/>
          <w:sz w:val="24"/>
        </w:rPr>
        <w:t>：</w:t>
      </w:r>
    </w:p>
    <w:p>
      <w:pPr>
        <w:spacing w:line="360" w:lineRule="auto"/>
        <w:ind w:firstLine="480" w:firstLineChars="200"/>
        <w:rPr>
          <w:rFonts w:hint="eastAsia" w:ascii="宋体" w:hAnsi="宋体" w:cs="宋体"/>
          <w:bCs/>
          <w:sz w:val="24"/>
        </w:rPr>
      </w:pPr>
      <w:r>
        <w:rPr>
          <w:rFonts w:hint="eastAsia" w:ascii="宋体" w:hAnsi="宋体" w:cs="宋体"/>
          <w:bCs/>
          <w:sz w:val="24"/>
        </w:rPr>
        <w:t>1.1明标部分响应文件应为纸质文件,所有文件、往来函件均应使用简体中文（规格、型号辅助符号例外）。</w:t>
      </w:r>
    </w:p>
    <w:p>
      <w:pPr>
        <w:spacing w:line="360" w:lineRule="auto"/>
        <w:ind w:firstLine="480" w:firstLineChars="200"/>
        <w:rPr>
          <w:rFonts w:hint="eastAsia" w:ascii="宋体" w:hAnsi="宋体" w:cs="宋体"/>
          <w:bCs/>
          <w:sz w:val="24"/>
        </w:rPr>
      </w:pPr>
      <w:r>
        <w:rPr>
          <w:rFonts w:hint="eastAsia" w:ascii="宋体" w:hAnsi="宋体" w:cs="宋体"/>
          <w:bCs/>
          <w:sz w:val="24"/>
        </w:rPr>
        <w:t>1.2明标部分响应文件由供应商按给定格式如实填写（编写），须有法人（盖章）、法定代表人或被授权代表签字或盖章，方为有效，未尽事宜可自行补充。明标部分响应文件正文打印一律使用普白办公用纸,A4，竖排版面。</w:t>
      </w:r>
    </w:p>
    <w:p>
      <w:pPr>
        <w:spacing w:line="360" w:lineRule="auto"/>
        <w:ind w:firstLine="480" w:firstLineChars="200"/>
        <w:rPr>
          <w:rFonts w:hint="eastAsia" w:ascii="宋体" w:hAnsi="宋体" w:cs="宋体"/>
          <w:bCs/>
          <w:sz w:val="24"/>
        </w:rPr>
      </w:pPr>
      <w:r>
        <w:rPr>
          <w:rFonts w:hint="eastAsia" w:ascii="宋体" w:hAnsi="宋体" w:cs="宋体"/>
          <w:bCs/>
          <w:sz w:val="24"/>
        </w:rPr>
        <w:t>1.3明标部分响应文件的格式部分，应由供应商按磋商文件给定格式制作。</w:t>
      </w:r>
    </w:p>
    <w:p>
      <w:pPr>
        <w:spacing w:line="360" w:lineRule="auto"/>
        <w:ind w:firstLine="480" w:firstLineChars="200"/>
        <w:rPr>
          <w:rFonts w:hint="eastAsia" w:ascii="宋体" w:hAnsi="宋体" w:cs="宋体"/>
          <w:bCs/>
          <w:sz w:val="24"/>
        </w:rPr>
      </w:pPr>
      <w:r>
        <w:rPr>
          <w:rFonts w:hint="eastAsia" w:ascii="宋体" w:hAnsi="宋体" w:cs="宋体"/>
          <w:bCs/>
          <w:sz w:val="24"/>
        </w:rPr>
        <w:t>1.4明标部分响应文件应打印或使用不褪色的黑色墨水书写。</w:t>
      </w:r>
    </w:p>
    <w:p>
      <w:pPr>
        <w:spacing w:line="360" w:lineRule="auto"/>
        <w:ind w:firstLine="480" w:firstLineChars="200"/>
        <w:rPr>
          <w:rFonts w:hint="eastAsia" w:ascii="宋体" w:hAnsi="宋体" w:cs="宋体"/>
          <w:bCs/>
          <w:sz w:val="24"/>
        </w:rPr>
      </w:pPr>
      <w:r>
        <w:rPr>
          <w:rFonts w:hint="eastAsia" w:ascii="宋体" w:hAnsi="宋体" w:cs="宋体"/>
          <w:bCs/>
          <w:sz w:val="24"/>
        </w:rPr>
        <w:t>1.5明标部分响应文件统一按照响应函格式中的顺序制作，并请编制目录及页码。</w:t>
      </w:r>
    </w:p>
    <w:p>
      <w:pPr>
        <w:spacing w:line="360" w:lineRule="auto"/>
        <w:ind w:firstLine="480" w:firstLineChars="200"/>
        <w:rPr>
          <w:rFonts w:hint="eastAsia" w:ascii="宋体" w:hAnsi="宋体" w:cs="宋体"/>
          <w:bCs/>
          <w:sz w:val="24"/>
        </w:rPr>
      </w:pPr>
      <w:r>
        <w:rPr>
          <w:rFonts w:hint="eastAsia" w:ascii="宋体" w:hAnsi="宋体" w:cs="宋体"/>
          <w:bCs/>
          <w:sz w:val="24"/>
        </w:rPr>
        <w:t>1.6 明标部分响应文件份数为正本壹份，副本贰份，共叁份。须各自装订成册。</w:t>
      </w:r>
    </w:p>
    <w:p>
      <w:pPr>
        <w:spacing w:line="360" w:lineRule="auto"/>
        <w:ind w:firstLine="482" w:firstLineChars="200"/>
        <w:rPr>
          <w:rFonts w:hint="eastAsia" w:ascii="宋体" w:hAnsi="宋体" w:cs="宋体"/>
          <w:b/>
          <w:bCs/>
          <w:sz w:val="24"/>
        </w:rPr>
      </w:pPr>
      <w:r>
        <w:rPr>
          <w:rFonts w:hint="eastAsia" w:ascii="宋体" w:hAnsi="宋体" w:cs="宋体"/>
          <w:b/>
          <w:bCs/>
          <w:sz w:val="24"/>
        </w:rPr>
        <w:t>供应商应将明标部分正本、电子光盘密封在一个封袋中并在封袋上清楚地标明“明标正本”，将明标部分所有副本密封在另一个封袋中并在密封袋上清楚地标明 “明标副本”。</w:t>
      </w:r>
    </w:p>
    <w:p>
      <w:pPr>
        <w:spacing w:line="360" w:lineRule="auto"/>
        <w:ind w:firstLine="480" w:firstLineChars="200"/>
        <w:rPr>
          <w:rFonts w:hint="eastAsia" w:ascii="宋体" w:hAnsi="宋体" w:cs="宋体"/>
          <w:bCs/>
          <w:sz w:val="24"/>
        </w:rPr>
      </w:pPr>
      <w:r>
        <w:rPr>
          <w:rFonts w:hint="eastAsia" w:ascii="宋体" w:hAnsi="宋体" w:cs="宋体"/>
          <w:bCs/>
          <w:sz w:val="24"/>
        </w:rPr>
        <w:t>1.7供应商</w:t>
      </w:r>
      <w:r>
        <w:rPr>
          <w:rFonts w:hint="eastAsia" w:ascii="宋体" w:hAnsi="宋体" w:cs="宋体"/>
          <w:sz w:val="24"/>
        </w:rPr>
        <w:t>报价一律以人民币为报价结算货币，结算单位为“元”。</w:t>
      </w:r>
    </w:p>
    <w:p>
      <w:pPr>
        <w:spacing w:line="360" w:lineRule="auto"/>
        <w:ind w:firstLine="480" w:firstLineChars="200"/>
        <w:rPr>
          <w:rFonts w:hint="eastAsia" w:ascii="宋体" w:hAnsi="宋体" w:cs="宋体"/>
          <w:bCs/>
          <w:sz w:val="24"/>
        </w:rPr>
      </w:pPr>
      <w:r>
        <w:rPr>
          <w:rFonts w:hint="eastAsia" w:ascii="宋体" w:hAnsi="宋体" w:cs="宋体"/>
          <w:bCs/>
          <w:sz w:val="24"/>
        </w:rPr>
        <w:t>1.8上述明标部分响应文件封袋的封口处应加盖供应商印章。密封袋上还均应注明采购编号、项目名称、</w:t>
      </w:r>
      <w:r>
        <w:rPr>
          <w:rFonts w:hint="eastAsia" w:ascii="宋体" w:hAnsi="宋体" w:cs="宋体"/>
          <w:sz w:val="24"/>
        </w:rPr>
        <w:t>供应商</w:t>
      </w:r>
      <w:r>
        <w:rPr>
          <w:rFonts w:hint="eastAsia" w:ascii="宋体" w:hAnsi="宋体" w:cs="宋体"/>
          <w:bCs/>
          <w:sz w:val="24"/>
        </w:rPr>
        <w:t>名称。</w:t>
      </w:r>
    </w:p>
    <w:p>
      <w:pPr>
        <w:spacing w:line="360" w:lineRule="auto"/>
        <w:ind w:firstLine="480" w:firstLineChars="200"/>
        <w:rPr>
          <w:rFonts w:hint="eastAsia" w:ascii="宋体" w:hAnsi="宋体" w:cs="宋体"/>
          <w:bCs/>
          <w:sz w:val="24"/>
        </w:rPr>
      </w:pPr>
      <w:r>
        <w:rPr>
          <w:rFonts w:hint="eastAsia" w:ascii="宋体" w:hAnsi="宋体" w:cs="宋体"/>
          <w:bCs/>
          <w:sz w:val="24"/>
        </w:rPr>
        <w:t>1.9响应文件不应有涂改、增删和潦草之处，如有必须修改时，修改处必须有法定代表人或被授权代表的签字或盖章。</w:t>
      </w:r>
    </w:p>
    <w:p>
      <w:pPr>
        <w:spacing w:line="360" w:lineRule="auto"/>
        <w:ind w:firstLine="482" w:firstLineChars="200"/>
        <w:rPr>
          <w:rFonts w:hint="eastAsia" w:ascii="宋体" w:hAnsi="宋体" w:cs="宋体"/>
          <w:b/>
          <w:sz w:val="24"/>
        </w:rPr>
      </w:pPr>
      <w:r>
        <w:rPr>
          <w:rFonts w:hint="eastAsia" w:ascii="宋体" w:hAnsi="宋体" w:cs="宋体"/>
          <w:b/>
          <w:sz w:val="24"/>
        </w:rPr>
        <w:t>2. 暗标部分响应文件的要求：</w:t>
      </w:r>
    </w:p>
    <w:p>
      <w:pPr>
        <w:spacing w:line="360" w:lineRule="auto"/>
        <w:ind w:firstLine="480" w:firstLineChars="200"/>
        <w:rPr>
          <w:rFonts w:hint="eastAsia" w:ascii="宋体" w:hAnsi="宋体" w:cs="宋体"/>
          <w:bCs/>
          <w:sz w:val="24"/>
        </w:rPr>
      </w:pPr>
      <w:r>
        <w:rPr>
          <w:rFonts w:hint="eastAsia" w:ascii="宋体" w:hAnsi="宋体" w:cs="宋体"/>
          <w:bCs/>
          <w:sz w:val="24"/>
        </w:rPr>
        <w:t>2.1暗标部分响应文件为纸质文件。</w:t>
      </w:r>
    </w:p>
    <w:p>
      <w:pPr>
        <w:spacing w:line="360" w:lineRule="auto"/>
        <w:ind w:firstLine="480" w:firstLineChars="200"/>
        <w:rPr>
          <w:rFonts w:hint="eastAsia" w:ascii="宋体" w:hAnsi="宋体" w:cs="宋体"/>
          <w:bCs/>
          <w:sz w:val="24"/>
        </w:rPr>
      </w:pPr>
      <w:r>
        <w:rPr>
          <w:rFonts w:hint="eastAsia" w:ascii="宋体" w:hAnsi="宋体" w:cs="宋体"/>
          <w:bCs/>
          <w:sz w:val="24"/>
        </w:rPr>
        <w:t>2.2暗标部分纸质的响应文件由供应商按给定格式如实编写，应使用简体中文（辅助符号例外）。</w:t>
      </w:r>
    </w:p>
    <w:p>
      <w:pPr>
        <w:spacing w:line="360" w:lineRule="auto"/>
        <w:ind w:firstLine="480" w:firstLineChars="200"/>
        <w:rPr>
          <w:rFonts w:hint="eastAsia" w:ascii="宋体" w:hAnsi="宋体" w:cs="宋体"/>
          <w:bCs/>
          <w:sz w:val="24"/>
        </w:rPr>
      </w:pPr>
      <w:r>
        <w:rPr>
          <w:rFonts w:hint="eastAsia" w:ascii="宋体" w:hAnsi="宋体" w:cs="宋体"/>
          <w:bCs/>
          <w:sz w:val="24"/>
        </w:rPr>
        <w:t>2.3暗标部分纸质的响应文件应单面打印，不得双面打印及手工书写。</w:t>
      </w:r>
    </w:p>
    <w:p>
      <w:pPr>
        <w:spacing w:line="360" w:lineRule="auto"/>
        <w:ind w:firstLine="480" w:firstLineChars="200"/>
        <w:rPr>
          <w:rFonts w:hint="eastAsia" w:ascii="宋体" w:hAnsi="宋体" w:cs="宋体"/>
          <w:bCs/>
          <w:sz w:val="24"/>
        </w:rPr>
      </w:pPr>
      <w:r>
        <w:rPr>
          <w:rFonts w:hint="eastAsia" w:ascii="宋体" w:hAnsi="宋体" w:cs="宋体"/>
          <w:bCs/>
          <w:sz w:val="24"/>
        </w:rPr>
        <w:t>2.4暗标部分纸质的响应文件按照暗标部分的组成规定的顺序制作，并编制目录及页码，装订成册。暗标编制、装订要求规定如下（给定格式除外）：</w:t>
      </w:r>
    </w:p>
    <w:p>
      <w:pPr>
        <w:spacing w:line="360" w:lineRule="auto"/>
        <w:ind w:firstLine="480" w:firstLineChars="200"/>
        <w:rPr>
          <w:rFonts w:hint="eastAsia" w:ascii="宋体" w:hAnsi="宋体" w:cs="宋体"/>
          <w:bCs/>
          <w:sz w:val="24"/>
        </w:rPr>
      </w:pPr>
      <w:r>
        <w:rPr>
          <w:rFonts w:hint="eastAsia" w:ascii="宋体" w:hAnsi="宋体" w:cs="宋体"/>
          <w:bCs/>
          <w:sz w:val="24"/>
        </w:rPr>
        <w:t>2.4.1 暗标需单独成册，不得有分册。暗标的封面、封底及目录由采购代理机构提供统一格式（PDF版），纸张要求：普白办公用纸，70克/平方米。暗标装订夹采用采购代理机构提供的统一样品（白铁皮盖板式装订夹）。</w:t>
      </w:r>
    </w:p>
    <w:p>
      <w:pPr>
        <w:spacing w:line="360" w:lineRule="auto"/>
        <w:ind w:firstLine="480" w:firstLineChars="200"/>
        <w:rPr>
          <w:rFonts w:hint="eastAsia" w:ascii="宋体" w:hAnsi="宋体" w:cs="宋体"/>
          <w:bCs/>
          <w:sz w:val="24"/>
        </w:rPr>
      </w:pPr>
      <w:r>
        <w:rPr>
          <w:rFonts w:hint="eastAsia" w:ascii="宋体" w:hAnsi="宋体" w:cs="宋体"/>
          <w:bCs/>
          <w:sz w:val="24"/>
        </w:rPr>
        <w:t>2.4.2</w:t>
      </w:r>
      <w:r>
        <w:rPr>
          <w:rFonts w:hint="eastAsia" w:ascii="宋体" w:hAnsi="宋体" w:cs="宋体"/>
          <w:sz w:val="24"/>
        </w:rPr>
        <w:t>技术标暗标页数不得少于100页；</w:t>
      </w:r>
      <w:r>
        <w:rPr>
          <w:rFonts w:hint="eastAsia" w:ascii="宋体" w:hAnsi="宋体" w:cs="宋体"/>
          <w:bCs/>
          <w:sz w:val="24"/>
        </w:rPr>
        <w:t xml:space="preserve">暗标中不得出现供应商名称、人员姓名；要求版面整洁、字迹清楚、不许涂改，不得出现能显示企业特征或其它提示性的标记或标识，也不得采用任何不符合常规、有别于其他供应商的特殊做法。 </w:t>
      </w:r>
    </w:p>
    <w:p>
      <w:pPr>
        <w:spacing w:line="360" w:lineRule="auto"/>
        <w:ind w:firstLine="480" w:firstLineChars="200"/>
        <w:rPr>
          <w:rFonts w:hint="eastAsia" w:ascii="宋体" w:hAnsi="宋体" w:cs="宋体"/>
          <w:bCs/>
          <w:sz w:val="24"/>
        </w:rPr>
      </w:pPr>
      <w:r>
        <w:rPr>
          <w:rFonts w:hint="eastAsia" w:ascii="宋体" w:hAnsi="宋体" w:cs="宋体"/>
          <w:bCs/>
          <w:sz w:val="24"/>
        </w:rPr>
        <w:t>2.4.3排版要求：使用word文件形式，A4白色复印纸单面黑色打印，字体为小四号宋体，不得出现手写，单倍行间距，不得有任何加粗、斜体、下划线、边框、底纹、阴影等标记，不得设置页眉，页脚只准出现页码，采用小5号阿拉伯数字格式，设在页脚对中位置，页码应当连续，不得有空白页，装订必须在左侧装订。</w:t>
      </w:r>
    </w:p>
    <w:p>
      <w:pPr>
        <w:spacing w:line="360" w:lineRule="auto"/>
        <w:ind w:firstLine="480" w:firstLineChars="200"/>
        <w:rPr>
          <w:rFonts w:hint="eastAsia" w:ascii="宋体" w:hAnsi="宋体" w:cs="宋体"/>
          <w:bCs/>
          <w:sz w:val="24"/>
        </w:rPr>
      </w:pPr>
      <w:r>
        <w:rPr>
          <w:rFonts w:hint="eastAsia" w:ascii="宋体" w:hAnsi="宋体" w:cs="宋体"/>
          <w:bCs/>
          <w:sz w:val="24"/>
        </w:rPr>
        <w:t>2.4.4网络图、平面图、进度表用A3纸单面黑色打印，图表中字体用宋体字，字号不作限制。</w:t>
      </w:r>
    </w:p>
    <w:p>
      <w:pPr>
        <w:spacing w:line="360" w:lineRule="auto"/>
        <w:ind w:firstLine="480" w:firstLineChars="200"/>
        <w:rPr>
          <w:rFonts w:hint="eastAsia" w:ascii="宋体" w:hAnsi="宋体" w:cs="宋体"/>
          <w:bCs/>
          <w:sz w:val="24"/>
        </w:rPr>
      </w:pPr>
      <w:r>
        <w:rPr>
          <w:rFonts w:hint="eastAsia" w:ascii="宋体" w:hAnsi="宋体" w:cs="宋体"/>
          <w:bCs/>
          <w:sz w:val="24"/>
        </w:rPr>
        <w:t>2.4.5除页码外不设其他页眉、页脚。</w:t>
      </w:r>
    </w:p>
    <w:p>
      <w:pPr>
        <w:spacing w:line="360" w:lineRule="auto"/>
        <w:ind w:firstLine="480" w:firstLineChars="200"/>
        <w:rPr>
          <w:rFonts w:hint="eastAsia" w:ascii="宋体" w:hAnsi="宋体" w:cs="宋体"/>
          <w:bCs/>
          <w:sz w:val="24"/>
        </w:rPr>
      </w:pPr>
      <w:r>
        <w:rPr>
          <w:rFonts w:hint="eastAsia" w:ascii="宋体" w:hAnsi="宋体" w:cs="宋体"/>
          <w:bCs/>
          <w:sz w:val="24"/>
        </w:rPr>
        <w:t>2.4.6页码编码格式1   2   3 ……   居中，Times New Roman,小五号字体。</w:t>
      </w:r>
    </w:p>
    <w:p>
      <w:pPr>
        <w:spacing w:line="360" w:lineRule="auto"/>
        <w:ind w:firstLine="480" w:firstLineChars="200"/>
        <w:rPr>
          <w:rFonts w:hint="eastAsia" w:ascii="宋体" w:hAnsi="宋体" w:cs="宋体"/>
          <w:bCs/>
          <w:sz w:val="24"/>
        </w:rPr>
      </w:pPr>
      <w:r>
        <w:rPr>
          <w:rFonts w:hint="eastAsia" w:ascii="宋体" w:hAnsi="宋体" w:cs="宋体"/>
          <w:bCs/>
          <w:sz w:val="24"/>
        </w:rPr>
        <w:t>2.4.7页边距  上2.54厘米，下2.54厘米，左1.91厘米，右1.91厘米（A3纸页边距不做要求）。</w:t>
      </w:r>
    </w:p>
    <w:p>
      <w:pPr>
        <w:spacing w:line="360" w:lineRule="auto"/>
        <w:ind w:firstLine="480" w:firstLineChars="200"/>
        <w:rPr>
          <w:rFonts w:hint="eastAsia" w:ascii="宋体" w:hAnsi="宋体" w:cs="宋体"/>
          <w:bCs/>
          <w:sz w:val="24"/>
        </w:rPr>
      </w:pPr>
      <w:r>
        <w:rPr>
          <w:rFonts w:hint="eastAsia" w:ascii="宋体" w:hAnsi="宋体" w:cs="宋体"/>
          <w:bCs/>
          <w:sz w:val="24"/>
        </w:rPr>
        <w:t>2.5 技术文件（暗标）正本、电子光盘（其他内容）密封在一个封袋中并在密封袋上清楚地标明“技术文件正本”，将技术文件（暗标）所有副本密封在另一个封袋中并在密封袋上清楚地标明“技术文件副本”；</w:t>
      </w:r>
    </w:p>
    <w:p>
      <w:pPr>
        <w:spacing w:line="360" w:lineRule="auto"/>
        <w:ind w:firstLine="480" w:firstLineChars="200"/>
        <w:rPr>
          <w:rFonts w:hint="eastAsia" w:ascii="宋体" w:hAnsi="宋体" w:cs="宋体"/>
          <w:bCs/>
          <w:sz w:val="24"/>
        </w:rPr>
      </w:pPr>
      <w:r>
        <w:rPr>
          <w:rFonts w:hint="eastAsia" w:ascii="宋体" w:hAnsi="宋体" w:cs="宋体"/>
          <w:bCs/>
          <w:sz w:val="24"/>
        </w:rPr>
        <w:t>上述暗标部分响应文件封袋的封口处应加盖供应商印章。密封袋上还均应注明采购编号、项目名称（标段）、供应商名称。</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3. </w:t>
      </w:r>
      <w:r>
        <w:rPr>
          <w:rFonts w:hint="eastAsia" w:ascii="宋体" w:hAnsi="宋体" w:cs="宋体"/>
          <w:b/>
          <w:sz w:val="24"/>
        </w:rPr>
        <w:t>磋商文件中证明文件部分及评标办法中所需提供的原件资料需单独密封在封袋中，并在密封袋上清楚地标明“原件资料”；授权委托书、被授权代表身份证、磋商保证金收据随身携带，不放入原件密封袋。</w:t>
      </w:r>
    </w:p>
    <w:p>
      <w:pPr>
        <w:tabs>
          <w:tab w:val="left" w:pos="1620"/>
        </w:tabs>
        <w:spacing w:line="360" w:lineRule="auto"/>
        <w:ind w:firstLine="482" w:firstLineChars="200"/>
        <w:rPr>
          <w:rFonts w:hint="eastAsia" w:ascii="宋体" w:hAnsi="宋体" w:cs="宋体"/>
          <w:b/>
          <w:sz w:val="24"/>
        </w:rPr>
      </w:pPr>
      <w:r>
        <w:rPr>
          <w:rFonts w:hint="eastAsia" w:ascii="宋体" w:hAnsi="宋体" w:cs="宋体"/>
          <w:b/>
          <w:sz w:val="24"/>
        </w:rPr>
        <w:t>注：封袋：包含档案袋、封盒、牛皮纸等密封形式。</w:t>
      </w:r>
    </w:p>
    <w:p>
      <w:pPr>
        <w:spacing w:line="360" w:lineRule="auto"/>
        <w:ind w:firstLine="480" w:firstLineChars="200"/>
        <w:rPr>
          <w:rFonts w:hint="eastAsia" w:ascii="宋体" w:hAnsi="宋体" w:cs="宋体"/>
          <w:bCs/>
          <w:sz w:val="24"/>
          <w:szCs w:val="24"/>
        </w:rPr>
      </w:pPr>
      <w:r>
        <w:rPr>
          <w:rFonts w:hint="eastAsia" w:ascii="宋体" w:hAnsi="宋体" w:cs="宋体"/>
          <w:sz w:val="24"/>
        </w:rPr>
        <w:t>4. 磋商费用自理。</w:t>
      </w:r>
    </w:p>
    <w:p>
      <w:pPr>
        <w:tabs>
          <w:tab w:val="left" w:pos="94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（七） 无效响应文件的确认：</w:t>
      </w:r>
    </w:p>
    <w:p>
      <w:pPr>
        <w:tabs>
          <w:tab w:val="left" w:pos="94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供应商有下列情况之一者，响应文件无效：</w:t>
      </w:r>
    </w:p>
    <w:p>
      <w:pPr>
        <w:numPr>
          <w:ilvl w:val="0"/>
          <w:numId w:val="9"/>
        </w:numPr>
        <w:spacing w:line="360" w:lineRule="auto"/>
        <w:rPr>
          <w:rFonts w:hint="eastAsia" w:ascii="宋体" w:hAnsi="宋体" w:cs="宋体"/>
          <w:sz w:val="24"/>
        </w:rPr>
      </w:pPr>
      <w:r>
        <w:rPr>
          <w:rFonts w:hint="eastAsia" w:ascii="宋体" w:hAnsi="宋体" w:cs="宋体"/>
          <w:sz w:val="24"/>
        </w:rPr>
        <w:t>未按规定交纳磋商保证金的；</w:t>
      </w:r>
    </w:p>
    <w:p>
      <w:pPr>
        <w:numPr>
          <w:ilvl w:val="0"/>
          <w:numId w:val="9"/>
        </w:numPr>
        <w:spacing w:line="360" w:lineRule="auto"/>
        <w:rPr>
          <w:rFonts w:hint="eastAsia" w:ascii="宋体" w:hAnsi="宋体" w:cs="宋体"/>
          <w:sz w:val="24"/>
        </w:rPr>
      </w:pPr>
      <w:r>
        <w:rPr>
          <w:rFonts w:hint="eastAsia" w:ascii="宋体" w:hAnsi="宋体" w:cs="宋体"/>
          <w:sz w:val="24"/>
        </w:rPr>
        <w:t>响应文件未按规定的期限、地点送达的；</w:t>
      </w:r>
    </w:p>
    <w:p>
      <w:pPr>
        <w:numPr>
          <w:ilvl w:val="0"/>
          <w:numId w:val="9"/>
        </w:numPr>
        <w:spacing w:line="360" w:lineRule="auto"/>
        <w:rPr>
          <w:rFonts w:hint="eastAsia" w:ascii="宋体" w:hAnsi="宋体" w:cs="宋体"/>
          <w:sz w:val="24"/>
        </w:rPr>
      </w:pPr>
      <w:r>
        <w:rPr>
          <w:rFonts w:hint="eastAsia" w:ascii="宋体" w:hAnsi="宋体" w:cs="宋体"/>
          <w:sz w:val="24"/>
        </w:rPr>
        <w:t>响应文件未按要求密封、签署、盖章的；</w:t>
      </w:r>
    </w:p>
    <w:p>
      <w:pPr>
        <w:numPr>
          <w:ilvl w:val="0"/>
          <w:numId w:val="9"/>
        </w:numPr>
        <w:spacing w:line="360" w:lineRule="auto"/>
        <w:rPr>
          <w:rFonts w:hint="eastAsia" w:ascii="宋体" w:hAnsi="宋体" w:cs="宋体"/>
          <w:sz w:val="24"/>
        </w:rPr>
      </w:pPr>
      <w:r>
        <w:rPr>
          <w:rFonts w:hint="eastAsia" w:ascii="宋体" w:hAnsi="宋体" w:cs="宋体"/>
          <w:sz w:val="24"/>
        </w:rPr>
        <w:t>供应商的法定代表人或法定代表人授权代表，未准时参加磋商会议的；</w:t>
      </w:r>
    </w:p>
    <w:p>
      <w:pPr>
        <w:numPr>
          <w:ilvl w:val="0"/>
          <w:numId w:val="9"/>
        </w:numPr>
        <w:spacing w:line="360" w:lineRule="auto"/>
        <w:rPr>
          <w:rFonts w:hint="eastAsia" w:ascii="宋体" w:hAnsi="宋体" w:cs="宋体"/>
          <w:sz w:val="24"/>
        </w:rPr>
      </w:pPr>
      <w:r>
        <w:rPr>
          <w:rFonts w:hint="eastAsia" w:ascii="宋体" w:hAnsi="宋体" w:cs="宋体"/>
          <w:sz w:val="24"/>
        </w:rPr>
        <w:t>供应商的法定代表人授权代表，无法定代表人授权委托书的；</w:t>
      </w:r>
    </w:p>
    <w:p>
      <w:pPr>
        <w:numPr>
          <w:ilvl w:val="0"/>
          <w:numId w:val="9"/>
        </w:numPr>
        <w:spacing w:line="360" w:lineRule="auto"/>
        <w:rPr>
          <w:rFonts w:hint="eastAsia" w:ascii="宋体" w:hAnsi="宋体" w:cs="宋体"/>
          <w:sz w:val="24"/>
        </w:rPr>
      </w:pPr>
      <w:r>
        <w:rPr>
          <w:rFonts w:hint="eastAsia" w:ascii="宋体" w:hAnsi="宋体" w:cs="宋体"/>
          <w:sz w:val="24"/>
        </w:rPr>
        <w:t>不具备磋商文件中规定的资格要求及未按磋商文件规定的要求提供资格证明文件的；</w:t>
      </w:r>
    </w:p>
    <w:p>
      <w:pPr>
        <w:numPr>
          <w:ilvl w:val="0"/>
          <w:numId w:val="9"/>
        </w:numPr>
        <w:spacing w:line="360" w:lineRule="auto"/>
        <w:rPr>
          <w:rFonts w:hint="eastAsia" w:ascii="宋体" w:hAnsi="宋体" w:cs="宋体"/>
          <w:sz w:val="24"/>
        </w:rPr>
      </w:pPr>
      <w:r>
        <w:rPr>
          <w:rFonts w:hint="eastAsia" w:ascii="宋体" w:hAnsi="宋体" w:cs="宋体"/>
          <w:sz w:val="24"/>
        </w:rPr>
        <w:t>响应文件含有采购人不能接受的附加条件的；</w:t>
      </w:r>
    </w:p>
    <w:p>
      <w:pPr>
        <w:numPr>
          <w:ilvl w:val="0"/>
          <w:numId w:val="9"/>
        </w:numPr>
        <w:spacing w:line="360" w:lineRule="auto"/>
        <w:rPr>
          <w:rFonts w:hint="eastAsia" w:ascii="宋体" w:hAnsi="宋体" w:cs="宋体"/>
          <w:sz w:val="24"/>
        </w:rPr>
      </w:pPr>
      <w:r>
        <w:rPr>
          <w:rFonts w:hint="eastAsia" w:ascii="宋体" w:hAnsi="宋体" w:cs="宋体"/>
          <w:sz w:val="24"/>
        </w:rPr>
        <w:t>响应文件未按磋商文件规定的格式、内容和要求填写、制作的；</w:t>
      </w:r>
    </w:p>
    <w:p>
      <w:pPr>
        <w:numPr>
          <w:ilvl w:val="0"/>
          <w:numId w:val="9"/>
        </w:numPr>
        <w:spacing w:line="360" w:lineRule="auto"/>
        <w:rPr>
          <w:rFonts w:hint="eastAsia" w:ascii="宋体" w:hAnsi="宋体" w:cs="宋体"/>
          <w:sz w:val="24"/>
        </w:rPr>
      </w:pPr>
      <w:r>
        <w:rPr>
          <w:rFonts w:hint="eastAsia" w:ascii="宋体" w:hAnsi="宋体" w:cs="宋体"/>
          <w:sz w:val="24"/>
        </w:rPr>
        <w:t>响应文件书写潦草、字迹模糊不清、无法辨认的；</w:t>
      </w:r>
    </w:p>
    <w:p>
      <w:pPr>
        <w:numPr>
          <w:ilvl w:val="0"/>
          <w:numId w:val="9"/>
        </w:numPr>
        <w:spacing w:line="360" w:lineRule="auto"/>
        <w:rPr>
          <w:rFonts w:hint="eastAsia" w:ascii="宋体" w:hAnsi="宋体" w:cs="宋体"/>
          <w:sz w:val="24"/>
        </w:rPr>
      </w:pPr>
      <w:r>
        <w:rPr>
          <w:rFonts w:hint="eastAsia" w:ascii="宋体" w:hAnsi="宋体" w:cs="宋体"/>
          <w:sz w:val="24"/>
        </w:rPr>
        <w:t>响应文件中有磋商文件未允许提供的选择性内容的；</w:t>
      </w:r>
    </w:p>
    <w:p>
      <w:pPr>
        <w:numPr>
          <w:ilvl w:val="0"/>
          <w:numId w:val="9"/>
        </w:numPr>
        <w:spacing w:line="360" w:lineRule="auto"/>
        <w:rPr>
          <w:rFonts w:hint="eastAsia" w:ascii="宋体" w:hAnsi="宋体" w:cs="宋体"/>
          <w:sz w:val="24"/>
        </w:rPr>
      </w:pPr>
      <w:r>
        <w:rPr>
          <w:rFonts w:hint="eastAsia" w:ascii="宋体" w:hAnsi="宋体" w:cs="宋体"/>
          <w:sz w:val="24"/>
        </w:rPr>
        <w:t>恶意串通其他供应商，故意哄抬价格或压价的；</w:t>
      </w:r>
    </w:p>
    <w:p>
      <w:pPr>
        <w:numPr>
          <w:ilvl w:val="0"/>
          <w:numId w:val="9"/>
        </w:numPr>
        <w:spacing w:line="360" w:lineRule="auto"/>
        <w:rPr>
          <w:rFonts w:hint="eastAsia" w:ascii="宋体" w:hAnsi="宋体" w:cs="宋体"/>
          <w:sz w:val="24"/>
        </w:rPr>
      </w:pPr>
      <w:r>
        <w:rPr>
          <w:rFonts w:hint="eastAsia" w:ascii="宋体" w:hAnsi="宋体" w:cs="宋体"/>
          <w:sz w:val="24"/>
        </w:rPr>
        <w:t>提供虚假材料的（包括工商营业执照、财务报表、资格证明文件等）；</w:t>
      </w:r>
    </w:p>
    <w:p>
      <w:pPr>
        <w:numPr>
          <w:ilvl w:val="0"/>
          <w:numId w:val="9"/>
        </w:numPr>
        <w:spacing w:line="360" w:lineRule="auto"/>
        <w:rPr>
          <w:rFonts w:hint="eastAsia" w:ascii="宋体" w:hAnsi="宋体" w:cs="宋体"/>
          <w:sz w:val="24"/>
        </w:rPr>
      </w:pPr>
      <w:r>
        <w:rPr>
          <w:rFonts w:hint="eastAsia" w:ascii="宋体" w:hAnsi="宋体" w:cs="宋体"/>
          <w:sz w:val="24"/>
        </w:rPr>
        <w:t>商务标（明标）和技术标（暗标）未分别制作、装订、密封包装的；</w:t>
      </w:r>
    </w:p>
    <w:p>
      <w:pPr>
        <w:numPr>
          <w:ilvl w:val="0"/>
          <w:numId w:val="9"/>
        </w:numPr>
        <w:spacing w:line="360" w:lineRule="auto"/>
        <w:rPr>
          <w:rFonts w:hint="eastAsia" w:ascii="宋体" w:hAnsi="宋体" w:cs="宋体"/>
          <w:sz w:val="24"/>
        </w:rPr>
      </w:pPr>
      <w:r>
        <w:rPr>
          <w:rFonts w:hint="eastAsia" w:ascii="宋体" w:hAnsi="宋体" w:cs="宋体"/>
          <w:sz w:val="24"/>
        </w:rPr>
        <w:t>响应文件商务标（明标）未加盖供应商公章及法定代表人或授权代表签字和盖章的；</w:t>
      </w:r>
    </w:p>
    <w:p>
      <w:pPr>
        <w:numPr>
          <w:ilvl w:val="0"/>
          <w:numId w:val="9"/>
        </w:numPr>
        <w:spacing w:line="360" w:lineRule="auto"/>
        <w:rPr>
          <w:rFonts w:hint="eastAsia" w:ascii="宋体" w:hAnsi="宋体" w:cs="宋体"/>
          <w:sz w:val="24"/>
        </w:rPr>
      </w:pPr>
      <w:r>
        <w:rPr>
          <w:rFonts w:hint="eastAsia" w:ascii="宋体" w:hAnsi="宋体" w:cs="宋体"/>
          <w:sz w:val="24"/>
        </w:rPr>
        <w:t>不同供应商响应文件相互混装的；</w:t>
      </w:r>
    </w:p>
    <w:p>
      <w:pPr>
        <w:numPr>
          <w:ilvl w:val="0"/>
          <w:numId w:val="9"/>
        </w:numPr>
        <w:spacing w:line="360" w:lineRule="auto"/>
        <w:rPr>
          <w:rFonts w:hint="eastAsia" w:ascii="宋体" w:hAnsi="宋体" w:cs="宋体"/>
          <w:sz w:val="24"/>
        </w:rPr>
      </w:pPr>
      <w:r>
        <w:rPr>
          <w:rFonts w:hint="eastAsia" w:ascii="宋体" w:hAnsi="宋体" w:cs="宋体"/>
          <w:sz w:val="24"/>
        </w:rPr>
        <w:t>不同供应商响应文件中的项目相关人员出现同一人的；</w:t>
      </w:r>
    </w:p>
    <w:p>
      <w:pPr>
        <w:numPr>
          <w:ilvl w:val="0"/>
          <w:numId w:val="9"/>
        </w:numPr>
        <w:spacing w:line="360" w:lineRule="auto"/>
        <w:rPr>
          <w:rFonts w:hint="eastAsia" w:ascii="宋体" w:hAnsi="宋体" w:cs="宋体"/>
          <w:sz w:val="24"/>
        </w:rPr>
      </w:pPr>
      <w:r>
        <w:rPr>
          <w:rFonts w:hint="eastAsia" w:ascii="宋体" w:hAnsi="宋体" w:cs="宋体"/>
          <w:sz w:val="24"/>
        </w:rPr>
        <w:t>不同供应商聘请同一人为其报价提供技术或经济咨询服务的；</w:t>
      </w:r>
    </w:p>
    <w:p>
      <w:pPr>
        <w:numPr>
          <w:ilvl w:val="0"/>
          <w:numId w:val="9"/>
        </w:numPr>
        <w:spacing w:line="360" w:lineRule="auto"/>
        <w:rPr>
          <w:rFonts w:hint="eastAsia" w:ascii="宋体" w:hAnsi="宋体" w:cs="宋体"/>
          <w:sz w:val="24"/>
        </w:rPr>
      </w:pPr>
      <w:r>
        <w:rPr>
          <w:rFonts w:hint="eastAsia" w:ascii="宋体" w:hAnsi="宋体" w:cs="宋体"/>
          <w:sz w:val="24"/>
        </w:rPr>
        <w:t>不同供应商的单位负责人为同一人或者存在直接控股、管理关系的；</w:t>
      </w:r>
    </w:p>
    <w:p>
      <w:pPr>
        <w:numPr>
          <w:ilvl w:val="0"/>
          <w:numId w:val="9"/>
        </w:numPr>
        <w:spacing w:line="360" w:lineRule="auto"/>
        <w:rPr>
          <w:rFonts w:hint="eastAsia" w:ascii="宋体" w:hAnsi="宋体" w:cs="宋体"/>
          <w:sz w:val="24"/>
        </w:rPr>
      </w:pPr>
      <w:r>
        <w:rPr>
          <w:rFonts w:hint="eastAsia" w:ascii="宋体" w:hAnsi="宋体" w:cs="宋体"/>
          <w:sz w:val="24"/>
        </w:rPr>
        <w:t>供应商为本项目提供整体设计、规范编制或者项目管理、监理、检测等服务的；</w:t>
      </w:r>
    </w:p>
    <w:p>
      <w:pPr>
        <w:numPr>
          <w:ilvl w:val="0"/>
          <w:numId w:val="9"/>
        </w:numPr>
        <w:spacing w:line="360" w:lineRule="auto"/>
        <w:rPr>
          <w:rFonts w:hint="eastAsia" w:ascii="宋体" w:hAnsi="宋体" w:cs="宋体"/>
          <w:sz w:val="24"/>
        </w:rPr>
      </w:pPr>
      <w:r>
        <w:rPr>
          <w:rFonts w:hint="eastAsia" w:ascii="宋体" w:hAnsi="宋体" w:cs="宋体"/>
          <w:sz w:val="24"/>
        </w:rPr>
        <w:t>不同供应商的响应文件异常一致或者投标报价呈规律性差异；</w:t>
      </w:r>
    </w:p>
    <w:p>
      <w:pPr>
        <w:numPr>
          <w:ilvl w:val="0"/>
          <w:numId w:val="9"/>
        </w:numPr>
        <w:spacing w:line="360" w:lineRule="auto"/>
        <w:rPr>
          <w:rFonts w:hint="eastAsia" w:ascii="宋体" w:hAnsi="宋体" w:cs="宋体"/>
          <w:sz w:val="24"/>
        </w:rPr>
      </w:pPr>
      <w:r>
        <w:rPr>
          <w:rFonts w:hint="eastAsia" w:ascii="宋体" w:hAnsi="宋体" w:cs="宋体"/>
          <w:sz w:val="24"/>
        </w:rPr>
        <w:t>响应文件商务标（明标）中同一方案有选择性报价且未声明以哪一个为准的；</w:t>
      </w:r>
    </w:p>
    <w:p>
      <w:pPr>
        <w:numPr>
          <w:ilvl w:val="0"/>
          <w:numId w:val="9"/>
        </w:numPr>
        <w:spacing w:line="360" w:lineRule="auto"/>
        <w:rPr>
          <w:rFonts w:hint="eastAsia" w:ascii="宋体" w:hAnsi="宋体" w:cs="宋体"/>
          <w:sz w:val="24"/>
        </w:rPr>
      </w:pPr>
      <w:r>
        <w:rPr>
          <w:rFonts w:hint="eastAsia" w:ascii="宋体" w:hAnsi="宋体" w:cs="宋体"/>
          <w:sz w:val="24"/>
        </w:rPr>
        <w:t>技术标（暗标）中出现该供应商单位名称、简称、人员姓名、Logo、商标、电话号码等任何标识标记及其他暗示性标志的；</w:t>
      </w:r>
    </w:p>
    <w:p>
      <w:pPr>
        <w:numPr>
          <w:ilvl w:val="0"/>
          <w:numId w:val="9"/>
        </w:numPr>
        <w:spacing w:line="360" w:lineRule="auto"/>
        <w:rPr>
          <w:rFonts w:hint="eastAsia" w:ascii="宋体" w:hAnsi="宋体" w:cs="宋体"/>
          <w:sz w:val="24"/>
        </w:rPr>
      </w:pPr>
      <w:r>
        <w:rPr>
          <w:rFonts w:hint="eastAsia" w:ascii="宋体" w:hAnsi="宋体" w:cs="宋体"/>
          <w:sz w:val="24"/>
        </w:rPr>
        <w:t xml:space="preserve"> 改变磋商文件规定的暂定价格或不可竞争费用的；改变磋商文件规定的</w:t>
      </w:r>
      <w:r>
        <w:rPr>
          <w:rFonts w:hint="eastAsia" w:ascii="宋体" w:hAnsi="宋体" w:cs="宋体"/>
          <w:sz w:val="24"/>
          <w:lang w:eastAsia="zh-CN"/>
        </w:rPr>
        <w:t>服务</w:t>
      </w:r>
      <w:r>
        <w:rPr>
          <w:rFonts w:hint="eastAsia" w:ascii="宋体" w:hAnsi="宋体" w:cs="宋体"/>
          <w:sz w:val="24"/>
        </w:rPr>
        <w:t>期、误期违约金 、质量标准及质量违约金的；</w:t>
      </w:r>
    </w:p>
    <w:p>
      <w:pPr>
        <w:numPr>
          <w:ilvl w:val="0"/>
          <w:numId w:val="9"/>
        </w:numPr>
        <w:spacing w:line="360" w:lineRule="auto"/>
        <w:rPr>
          <w:rFonts w:hint="eastAsia" w:ascii="宋体" w:hAnsi="宋体" w:cs="宋体"/>
          <w:sz w:val="24"/>
        </w:rPr>
      </w:pPr>
      <w:r>
        <w:rPr>
          <w:rFonts w:hint="eastAsia" w:ascii="宋体" w:hAnsi="宋体" w:cs="宋体"/>
          <w:sz w:val="24"/>
        </w:rPr>
        <w:t>商务标（明标）和技术标（暗标），其中某一标被本项目评委确认为无效响应文件的；</w:t>
      </w:r>
    </w:p>
    <w:p>
      <w:pPr>
        <w:numPr>
          <w:ilvl w:val="0"/>
          <w:numId w:val="9"/>
        </w:numPr>
        <w:spacing w:line="360" w:lineRule="auto"/>
        <w:rPr>
          <w:rFonts w:hint="eastAsia" w:ascii="宋体" w:hAnsi="宋体" w:cs="宋体"/>
          <w:sz w:val="24"/>
        </w:rPr>
      </w:pPr>
      <w:r>
        <w:rPr>
          <w:rFonts w:hint="eastAsia" w:ascii="宋体" w:hAnsi="宋体" w:cs="宋体"/>
          <w:sz w:val="24"/>
        </w:rPr>
        <w:t>改变磋商文件</w:t>
      </w:r>
      <w:r>
        <w:rPr>
          <w:rFonts w:hint="eastAsia" w:ascii="宋体" w:hAnsi="宋体" w:cs="宋体"/>
          <w:sz w:val="24"/>
          <w:lang w:eastAsia="zh-CN"/>
        </w:rPr>
        <w:t>实质性内容、</w:t>
      </w:r>
      <w:r>
        <w:rPr>
          <w:rFonts w:hint="eastAsia" w:ascii="宋体" w:hAnsi="宋体" w:cs="宋体"/>
          <w:sz w:val="24"/>
        </w:rPr>
        <w:t>项目特征</w:t>
      </w:r>
      <w:r>
        <w:rPr>
          <w:rFonts w:hint="eastAsia" w:ascii="宋体" w:hAnsi="宋体" w:cs="宋体"/>
          <w:sz w:val="24"/>
          <w:lang w:eastAsia="zh-CN"/>
        </w:rPr>
        <w:t>、计量单位、采购需求内容的</w:t>
      </w:r>
      <w:r>
        <w:rPr>
          <w:rFonts w:hint="eastAsia" w:ascii="宋体" w:hAnsi="宋体" w:cs="宋体"/>
          <w:sz w:val="24"/>
        </w:rPr>
        <w:t>；</w:t>
      </w:r>
    </w:p>
    <w:p>
      <w:pPr>
        <w:numPr>
          <w:ilvl w:val="0"/>
          <w:numId w:val="9"/>
        </w:numPr>
        <w:spacing w:line="360" w:lineRule="auto"/>
        <w:rPr>
          <w:rFonts w:hint="eastAsia" w:ascii="宋体" w:hAnsi="宋体" w:cs="宋体"/>
          <w:sz w:val="24"/>
        </w:rPr>
      </w:pPr>
      <w:r>
        <w:rPr>
          <w:rFonts w:hint="eastAsia" w:ascii="宋体" w:hAnsi="宋体" w:cs="宋体"/>
          <w:sz w:val="24"/>
        </w:rPr>
        <w:t>未按要求提供技术文件的；</w:t>
      </w:r>
    </w:p>
    <w:p>
      <w:pPr>
        <w:numPr>
          <w:ilvl w:val="0"/>
          <w:numId w:val="9"/>
        </w:numPr>
        <w:spacing w:line="360" w:lineRule="auto"/>
        <w:rPr>
          <w:rFonts w:hint="eastAsia" w:ascii="宋体" w:hAnsi="宋体" w:cs="宋体"/>
          <w:sz w:val="24"/>
        </w:rPr>
      </w:pPr>
      <w:r>
        <w:rPr>
          <w:rFonts w:hint="eastAsia" w:ascii="宋体" w:hAnsi="宋体" w:cs="宋体"/>
          <w:sz w:val="24"/>
        </w:rPr>
        <w:t>未按要求提供电子版或电子版内容不全、格式不符要求的；</w:t>
      </w:r>
    </w:p>
    <w:p>
      <w:pPr>
        <w:numPr>
          <w:ilvl w:val="0"/>
          <w:numId w:val="9"/>
        </w:numPr>
        <w:spacing w:line="360" w:lineRule="auto"/>
        <w:rPr>
          <w:rFonts w:hint="eastAsia" w:ascii="宋体" w:hAnsi="宋体" w:cs="宋体"/>
          <w:sz w:val="24"/>
        </w:rPr>
      </w:pPr>
      <w:r>
        <w:rPr>
          <w:rFonts w:hint="eastAsia" w:ascii="宋体" w:hAnsi="宋体" w:cs="宋体"/>
          <w:sz w:val="24"/>
        </w:rPr>
        <w:t>项目负责人有在建的；</w:t>
      </w:r>
    </w:p>
    <w:p>
      <w:pPr>
        <w:numPr>
          <w:ilvl w:val="0"/>
          <w:numId w:val="9"/>
        </w:numPr>
        <w:spacing w:line="360" w:lineRule="auto"/>
        <w:rPr>
          <w:rFonts w:hint="eastAsia" w:ascii="宋体" w:hAnsi="宋体" w:cs="宋体"/>
          <w:sz w:val="24"/>
        </w:rPr>
      </w:pPr>
      <w:r>
        <w:rPr>
          <w:rFonts w:hint="eastAsia" w:ascii="宋体" w:hAnsi="宋体" w:cs="宋体"/>
          <w:sz w:val="24"/>
        </w:rPr>
        <w:t>响应文件报价出现前后不一致，供应商拒不确认修正后的报价的；</w:t>
      </w:r>
    </w:p>
    <w:p>
      <w:pPr>
        <w:numPr>
          <w:ilvl w:val="0"/>
          <w:numId w:val="9"/>
        </w:numPr>
        <w:spacing w:line="360" w:lineRule="auto"/>
        <w:rPr>
          <w:rFonts w:hint="eastAsia" w:ascii="宋体" w:hAnsi="宋体" w:cs="宋体"/>
          <w:sz w:val="24"/>
        </w:rPr>
      </w:pPr>
      <w:r>
        <w:rPr>
          <w:rFonts w:hint="eastAsia" w:ascii="宋体" w:hAnsi="宋体" w:cs="宋体"/>
          <w:sz w:val="24"/>
        </w:rPr>
        <w:t>超过磋商文件规定的最高限价的；</w:t>
      </w:r>
    </w:p>
    <w:p>
      <w:pPr>
        <w:numPr>
          <w:ilvl w:val="0"/>
          <w:numId w:val="9"/>
        </w:numPr>
        <w:spacing w:line="360" w:lineRule="auto"/>
        <w:rPr>
          <w:rFonts w:hint="eastAsia" w:ascii="宋体" w:hAnsi="宋体" w:cs="宋体"/>
          <w:sz w:val="24"/>
        </w:rPr>
      </w:pPr>
      <w:r>
        <w:rPr>
          <w:rFonts w:hint="eastAsia" w:ascii="宋体" w:hAnsi="宋体" w:cs="宋体"/>
          <w:sz w:val="24"/>
        </w:rPr>
        <w:t>磋商小组认为供应商的报价明显低于其他通过符合性审查供应商的报价，有可能影响产品质量或者不能诚信履约的，要求其在评标现场合理的时间内提供书面说明，必要时提交相关证明材料；供应商不能证明其报价合理性的；</w:t>
      </w:r>
    </w:p>
    <w:p>
      <w:pPr>
        <w:numPr>
          <w:ilvl w:val="0"/>
          <w:numId w:val="9"/>
        </w:numPr>
        <w:spacing w:line="360" w:lineRule="auto"/>
        <w:rPr>
          <w:rFonts w:hint="eastAsia" w:ascii="宋体" w:hAnsi="宋体" w:cs="宋体"/>
          <w:sz w:val="24"/>
        </w:rPr>
      </w:pPr>
      <w:r>
        <w:rPr>
          <w:rFonts w:hint="eastAsia" w:ascii="宋体" w:hAnsi="宋体" w:cs="宋体"/>
          <w:sz w:val="24"/>
        </w:rPr>
        <w:t>未通过初步资格性审查、响应文件资格性检查、 响应文件符合性检查的；</w:t>
      </w:r>
    </w:p>
    <w:p>
      <w:pPr>
        <w:numPr>
          <w:ilvl w:val="0"/>
          <w:numId w:val="9"/>
        </w:numPr>
        <w:spacing w:line="360" w:lineRule="auto"/>
        <w:rPr>
          <w:rFonts w:hint="eastAsia" w:ascii="宋体" w:hAnsi="宋体" w:cs="宋体"/>
          <w:sz w:val="24"/>
        </w:rPr>
      </w:pPr>
      <w:r>
        <w:rPr>
          <w:rFonts w:hint="eastAsia" w:ascii="宋体" w:hAnsi="宋体" w:cs="宋体"/>
          <w:sz w:val="24"/>
        </w:rPr>
        <w:t>列入失信被执行人、重大税收违法案件当事人名单、政府采购严重违法失信行为记录名单及其他不符合《中华人民共和国政府采购法》第二十二条规定条件的；</w:t>
      </w:r>
    </w:p>
    <w:p>
      <w:pPr>
        <w:numPr>
          <w:ilvl w:val="0"/>
          <w:numId w:val="9"/>
        </w:numPr>
        <w:spacing w:line="360" w:lineRule="auto"/>
        <w:rPr>
          <w:rFonts w:hint="eastAsia" w:ascii="宋体" w:hAnsi="宋体" w:cs="宋体"/>
          <w:sz w:val="24"/>
        </w:rPr>
      </w:pPr>
      <w:r>
        <w:rPr>
          <w:rFonts w:hint="eastAsia" w:ascii="宋体" w:hAnsi="宋体" w:cs="宋体"/>
          <w:sz w:val="24"/>
        </w:rPr>
        <w:t>技术文件编制粗制滥造、内容不全、缺项漏项较多的，技术标页数偏少（少于100页的），或经磋商小组评审得分达不到技术标分值60%的；</w:t>
      </w:r>
    </w:p>
    <w:p>
      <w:pPr>
        <w:numPr>
          <w:ilvl w:val="0"/>
          <w:numId w:val="9"/>
        </w:numPr>
        <w:spacing w:line="360" w:lineRule="auto"/>
        <w:rPr>
          <w:rFonts w:hint="eastAsia" w:ascii="宋体" w:hAnsi="宋体" w:cs="宋体"/>
          <w:sz w:val="24"/>
        </w:rPr>
      </w:pPr>
      <w:r>
        <w:rPr>
          <w:rFonts w:hint="eastAsia" w:ascii="宋体" w:hAnsi="宋体" w:cs="宋体"/>
          <w:sz w:val="24"/>
        </w:rPr>
        <w:t>供应商的报价报价畸高或畸低，在询标时没有合理的解释或者不能提供计算依据和报价依据的；</w:t>
      </w:r>
    </w:p>
    <w:p>
      <w:pPr>
        <w:numPr>
          <w:ilvl w:val="0"/>
          <w:numId w:val="9"/>
        </w:numPr>
        <w:spacing w:line="360" w:lineRule="auto"/>
        <w:rPr>
          <w:rFonts w:hint="eastAsia" w:ascii="宋体" w:hAnsi="宋体" w:cs="宋体"/>
          <w:sz w:val="24"/>
        </w:rPr>
      </w:pPr>
      <w:r>
        <w:rPr>
          <w:rFonts w:hint="eastAsia" w:ascii="宋体" w:hAnsi="宋体" w:cs="宋体"/>
          <w:sz w:val="24"/>
        </w:rPr>
        <w:t>不同供应商的响应文件的装订形式、纸张情况、目录序号、排版格式、文字风格等存在明显的相似性或一致性，特征显示由同一单位或者同一个人编制的；</w:t>
      </w:r>
    </w:p>
    <w:p>
      <w:pPr>
        <w:numPr>
          <w:ilvl w:val="0"/>
          <w:numId w:val="9"/>
        </w:numPr>
        <w:spacing w:line="360" w:lineRule="auto"/>
        <w:rPr>
          <w:rFonts w:hint="eastAsia" w:ascii="宋体" w:hAnsi="宋体" w:cs="宋体"/>
          <w:sz w:val="24"/>
        </w:rPr>
      </w:pPr>
      <w:r>
        <w:rPr>
          <w:rFonts w:hint="eastAsia" w:ascii="宋体" w:hAnsi="宋体" w:cs="宋体"/>
          <w:sz w:val="24"/>
        </w:rPr>
        <w:t>不同供应商响应文件内容存在非正常一致、项目组成员或者联系人员出现同一人、响应文件中错误（或异常）一致或雷同、电子文档信息一致或雷同的；</w:t>
      </w:r>
    </w:p>
    <w:p>
      <w:pPr>
        <w:numPr>
          <w:ilvl w:val="0"/>
          <w:numId w:val="9"/>
        </w:numPr>
        <w:spacing w:line="360" w:lineRule="auto"/>
        <w:rPr>
          <w:rFonts w:hint="eastAsia" w:ascii="宋体" w:hAnsi="宋体" w:cs="宋体"/>
          <w:sz w:val="24"/>
        </w:rPr>
      </w:pPr>
      <w:r>
        <w:rPr>
          <w:rFonts w:hint="eastAsia" w:ascii="宋体" w:hAnsi="宋体" w:cs="宋体"/>
          <w:sz w:val="24"/>
        </w:rPr>
        <w:t>不同供应商的磋商保证金从同一单位或者个人的账户转出的；</w:t>
      </w:r>
    </w:p>
    <w:p>
      <w:pPr>
        <w:numPr>
          <w:ilvl w:val="0"/>
          <w:numId w:val="9"/>
        </w:numPr>
        <w:spacing w:line="360" w:lineRule="auto"/>
        <w:rPr>
          <w:rFonts w:hint="eastAsia" w:ascii="宋体" w:hAnsi="宋体" w:cs="宋体"/>
          <w:sz w:val="24"/>
        </w:rPr>
      </w:pPr>
      <w:r>
        <w:rPr>
          <w:rFonts w:hint="eastAsia" w:ascii="宋体" w:hAnsi="宋体" w:cs="宋体"/>
          <w:sz w:val="24"/>
        </w:rPr>
        <w:t>不同供应商的委托代理人、项目负责人以及其他相关人员有在同一个单位缴纳社会保险的；</w:t>
      </w:r>
    </w:p>
    <w:p>
      <w:pPr>
        <w:numPr>
          <w:ilvl w:val="0"/>
          <w:numId w:val="9"/>
        </w:numPr>
        <w:spacing w:line="360" w:lineRule="auto"/>
        <w:rPr>
          <w:rFonts w:hint="eastAsia" w:ascii="宋体" w:hAnsi="宋体" w:cs="宋体"/>
          <w:sz w:val="24"/>
        </w:rPr>
      </w:pPr>
      <w:r>
        <w:rPr>
          <w:rFonts w:hint="eastAsia" w:ascii="宋体" w:hAnsi="宋体" w:cs="宋体"/>
          <w:sz w:val="24"/>
        </w:rPr>
        <w:t>同一响应文件中单位名称落款与公章不是同一单位的；</w:t>
      </w:r>
    </w:p>
    <w:p>
      <w:pPr>
        <w:numPr>
          <w:ilvl w:val="0"/>
          <w:numId w:val="9"/>
        </w:numPr>
        <w:spacing w:line="360" w:lineRule="auto"/>
        <w:rPr>
          <w:rFonts w:hint="eastAsia" w:ascii="宋体" w:hAnsi="宋体" w:cs="宋体"/>
          <w:sz w:val="24"/>
          <w:szCs w:val="22"/>
        </w:rPr>
      </w:pPr>
      <w:r>
        <w:rPr>
          <w:rFonts w:hint="eastAsia" w:ascii="宋体" w:hAnsi="宋体" w:cs="宋体"/>
          <w:sz w:val="24"/>
        </w:rPr>
        <w:t>不同供应商委托同一单位或者个人办理报价事宜的；</w:t>
      </w:r>
    </w:p>
    <w:p>
      <w:pPr>
        <w:numPr>
          <w:ilvl w:val="0"/>
          <w:numId w:val="9"/>
        </w:numPr>
        <w:spacing w:line="360" w:lineRule="auto"/>
        <w:rPr>
          <w:rFonts w:hint="eastAsia" w:ascii="宋体" w:hAnsi="宋体" w:cs="宋体"/>
          <w:bCs/>
          <w:sz w:val="24"/>
          <w:szCs w:val="24"/>
        </w:rPr>
      </w:pPr>
      <w:r>
        <w:rPr>
          <w:rFonts w:hint="eastAsia" w:ascii="宋体" w:hAnsi="宋体" w:cs="宋体"/>
          <w:sz w:val="24"/>
          <w:szCs w:val="22"/>
        </w:rPr>
        <w:t>响应文件内容不全或不符合法律法规和磋商文件中规定的其他实质性要求的。</w:t>
      </w:r>
    </w:p>
    <w:p>
      <w:pPr>
        <w:spacing w:line="360" w:lineRule="auto"/>
        <w:ind w:left="480"/>
        <w:rPr>
          <w:rFonts w:hint="eastAsia" w:ascii="宋体" w:hAnsi="宋体" w:cs="宋体"/>
          <w:bCs/>
          <w:sz w:val="24"/>
          <w:szCs w:val="24"/>
        </w:rPr>
      </w:pPr>
      <w:r>
        <w:rPr>
          <w:rFonts w:hint="eastAsia" w:ascii="宋体" w:hAnsi="宋体" w:cs="宋体"/>
          <w:bCs/>
          <w:sz w:val="24"/>
          <w:szCs w:val="24"/>
        </w:rPr>
        <w:t>（八）</w:t>
      </w:r>
      <w:r>
        <w:rPr>
          <w:rFonts w:hint="eastAsia" w:ascii="宋体" w:hAnsi="宋体" w:cs="宋体"/>
          <w:bCs/>
          <w:sz w:val="24"/>
        </w:rPr>
        <w:t>开标、评标</w:t>
      </w:r>
      <w:r>
        <w:rPr>
          <w:rFonts w:hint="eastAsia" w:ascii="宋体" w:hAnsi="宋体" w:cs="宋体"/>
          <w:bCs/>
          <w:sz w:val="24"/>
          <w:szCs w:val="24"/>
        </w:rPr>
        <w:t>：</w:t>
      </w:r>
    </w:p>
    <w:p>
      <w:pPr>
        <w:numPr>
          <w:ilvl w:val="1"/>
          <w:numId w:val="16"/>
        </w:numPr>
        <w:tabs>
          <w:tab w:val="left" w:pos="525"/>
          <w:tab w:val="left" w:pos="1050"/>
          <w:tab w:val="clear" w:pos="1290"/>
        </w:tabs>
        <w:spacing w:line="360" w:lineRule="auto"/>
        <w:ind w:left="1" w:firstLine="628" w:firstLineChars="262"/>
        <w:rPr>
          <w:rFonts w:hint="eastAsia" w:ascii="宋体" w:hAnsi="宋体" w:cs="宋体"/>
          <w:bCs/>
          <w:sz w:val="24"/>
        </w:rPr>
      </w:pPr>
      <w:r>
        <w:rPr>
          <w:rFonts w:hint="eastAsia" w:ascii="宋体" w:hAnsi="宋体" w:cs="宋体"/>
          <w:bCs/>
          <w:sz w:val="24"/>
        </w:rPr>
        <w:t>由专家及采购人代表组成磋商小组，并实行回避制度。</w:t>
      </w:r>
    </w:p>
    <w:p>
      <w:pPr>
        <w:numPr>
          <w:ilvl w:val="1"/>
          <w:numId w:val="16"/>
        </w:numPr>
        <w:tabs>
          <w:tab w:val="left" w:pos="525"/>
          <w:tab w:val="left" w:pos="1050"/>
          <w:tab w:val="clear" w:pos="1290"/>
        </w:tabs>
        <w:spacing w:line="360" w:lineRule="auto"/>
        <w:ind w:left="1" w:firstLine="628" w:firstLineChars="262"/>
        <w:rPr>
          <w:rFonts w:hint="eastAsia" w:ascii="宋体" w:hAnsi="宋体" w:cs="宋体"/>
          <w:bCs/>
          <w:sz w:val="24"/>
        </w:rPr>
      </w:pPr>
      <w:r>
        <w:rPr>
          <w:rFonts w:hint="eastAsia" w:ascii="宋体" w:hAnsi="宋体" w:cs="宋体"/>
          <w:bCs/>
          <w:sz w:val="24"/>
        </w:rPr>
        <w:t>响应文件的出现不一致情形的处理：</w:t>
      </w:r>
    </w:p>
    <w:p>
      <w:pPr>
        <w:tabs>
          <w:tab w:val="left" w:pos="630"/>
          <w:tab w:val="left" w:pos="1155"/>
          <w:tab w:val="left" w:pos="1320"/>
          <w:tab w:val="left" w:pos="1365"/>
        </w:tabs>
        <w:spacing w:line="360" w:lineRule="auto"/>
        <w:ind w:firstLine="480" w:firstLineChars="200"/>
        <w:rPr>
          <w:rFonts w:hint="eastAsia" w:ascii="宋体" w:hAnsi="宋体" w:cs="宋体"/>
          <w:bCs/>
          <w:sz w:val="24"/>
        </w:rPr>
      </w:pPr>
      <w:r>
        <w:rPr>
          <w:rFonts w:hint="eastAsia" w:ascii="宋体" w:hAnsi="宋体" w:cs="宋体"/>
          <w:bCs/>
          <w:sz w:val="24"/>
        </w:rPr>
        <w:t>2.1响应文件的纸质文件,正本与副本不符，以正本为准。</w:t>
      </w:r>
    </w:p>
    <w:p>
      <w:pPr>
        <w:tabs>
          <w:tab w:val="left" w:pos="630"/>
          <w:tab w:val="left" w:pos="1155"/>
          <w:tab w:val="left" w:pos="1320"/>
          <w:tab w:val="left" w:pos="1365"/>
        </w:tabs>
        <w:spacing w:line="360" w:lineRule="auto"/>
        <w:ind w:firstLine="480" w:firstLineChars="200"/>
        <w:rPr>
          <w:rFonts w:hint="eastAsia" w:ascii="宋体" w:hAnsi="宋体" w:cs="宋体"/>
          <w:bCs/>
          <w:sz w:val="24"/>
        </w:rPr>
      </w:pPr>
      <w:r>
        <w:rPr>
          <w:rFonts w:hint="eastAsia" w:ascii="宋体" w:hAnsi="宋体" w:cs="宋体"/>
          <w:bCs/>
          <w:sz w:val="24"/>
        </w:rPr>
        <w:t>2.2报价：</w:t>
      </w:r>
    </w:p>
    <w:p>
      <w:pPr>
        <w:tabs>
          <w:tab w:val="left" w:pos="630"/>
          <w:tab w:val="left" w:pos="1155"/>
          <w:tab w:val="left" w:pos="1320"/>
          <w:tab w:val="left" w:pos="1365"/>
        </w:tabs>
        <w:spacing w:line="360" w:lineRule="auto"/>
        <w:ind w:firstLine="480" w:firstLineChars="200"/>
        <w:rPr>
          <w:rFonts w:hint="eastAsia" w:ascii="宋体" w:hAnsi="宋体" w:cs="宋体"/>
          <w:bCs/>
          <w:sz w:val="24"/>
        </w:rPr>
      </w:pPr>
      <w:r>
        <w:rPr>
          <w:rFonts w:hint="eastAsia" w:ascii="宋体" w:hAnsi="宋体" w:cs="宋体"/>
          <w:bCs/>
          <w:sz w:val="24"/>
        </w:rPr>
        <w:t>2.2.1响应文件中报价一览表（报价表）内容与响应文件中相应内容不一</w:t>
      </w:r>
    </w:p>
    <w:p>
      <w:pPr>
        <w:tabs>
          <w:tab w:val="left" w:pos="630"/>
          <w:tab w:val="left" w:pos="1155"/>
          <w:tab w:val="left" w:pos="1320"/>
          <w:tab w:val="left" w:pos="1365"/>
        </w:tabs>
        <w:spacing w:line="360" w:lineRule="auto"/>
        <w:rPr>
          <w:rFonts w:hint="eastAsia" w:ascii="宋体" w:hAnsi="宋体" w:cs="宋体"/>
          <w:bCs/>
          <w:sz w:val="24"/>
        </w:rPr>
      </w:pPr>
      <w:r>
        <w:rPr>
          <w:rFonts w:hint="eastAsia" w:ascii="宋体" w:hAnsi="宋体" w:cs="宋体"/>
          <w:bCs/>
          <w:sz w:val="24"/>
        </w:rPr>
        <w:t>致的，以报价一览表（报价表）为准；</w:t>
      </w:r>
    </w:p>
    <w:p>
      <w:pPr>
        <w:tabs>
          <w:tab w:val="left" w:pos="630"/>
          <w:tab w:val="left" w:pos="1155"/>
          <w:tab w:val="left" w:pos="1320"/>
          <w:tab w:val="left" w:pos="1365"/>
        </w:tabs>
        <w:spacing w:line="360" w:lineRule="auto"/>
        <w:ind w:left="630"/>
        <w:rPr>
          <w:rFonts w:hint="eastAsia" w:ascii="宋体" w:hAnsi="宋体" w:cs="宋体"/>
          <w:bCs/>
          <w:sz w:val="24"/>
          <w:szCs w:val="22"/>
        </w:rPr>
      </w:pPr>
      <w:r>
        <w:rPr>
          <w:rFonts w:hint="eastAsia" w:ascii="宋体" w:hAnsi="宋体" w:cs="宋体"/>
          <w:bCs/>
          <w:sz w:val="24"/>
          <w:szCs w:val="22"/>
        </w:rPr>
        <w:t>2.2.2大写金额和小写金额不一致的，以大写金额为准；</w:t>
      </w:r>
    </w:p>
    <w:p>
      <w:pPr>
        <w:tabs>
          <w:tab w:val="left" w:pos="630"/>
          <w:tab w:val="left" w:pos="1155"/>
          <w:tab w:val="left" w:pos="1320"/>
          <w:tab w:val="left" w:pos="1365"/>
        </w:tabs>
        <w:spacing w:line="360" w:lineRule="auto"/>
        <w:ind w:left="630"/>
        <w:rPr>
          <w:rFonts w:hint="eastAsia" w:ascii="宋体" w:hAnsi="宋体" w:cs="宋体"/>
          <w:bCs/>
          <w:sz w:val="24"/>
          <w:szCs w:val="22"/>
        </w:rPr>
      </w:pPr>
      <w:r>
        <w:rPr>
          <w:rFonts w:hint="eastAsia" w:ascii="宋体" w:hAnsi="宋体" w:cs="宋体"/>
          <w:bCs/>
          <w:sz w:val="24"/>
          <w:szCs w:val="22"/>
        </w:rPr>
        <w:t>2.2.3商务标（明标）和技术标（暗标）的纸质文件,正本与副本不符，以</w:t>
      </w:r>
    </w:p>
    <w:p>
      <w:pPr>
        <w:tabs>
          <w:tab w:val="left" w:pos="630"/>
          <w:tab w:val="left" w:pos="1155"/>
          <w:tab w:val="left" w:pos="1320"/>
          <w:tab w:val="left" w:pos="1365"/>
        </w:tabs>
        <w:spacing w:line="360" w:lineRule="auto"/>
        <w:rPr>
          <w:rFonts w:hint="eastAsia" w:ascii="宋体" w:hAnsi="宋体" w:cs="宋体"/>
          <w:bCs/>
          <w:sz w:val="24"/>
          <w:szCs w:val="22"/>
        </w:rPr>
      </w:pPr>
      <w:r>
        <w:rPr>
          <w:rFonts w:hint="eastAsia" w:ascii="宋体" w:hAnsi="宋体" w:cs="宋体"/>
          <w:bCs/>
          <w:sz w:val="24"/>
          <w:szCs w:val="22"/>
        </w:rPr>
        <w:t>正本为准；</w:t>
      </w:r>
    </w:p>
    <w:p>
      <w:pPr>
        <w:tabs>
          <w:tab w:val="left" w:pos="630"/>
          <w:tab w:val="left" w:pos="1155"/>
          <w:tab w:val="left" w:pos="1320"/>
          <w:tab w:val="left" w:pos="1365"/>
        </w:tabs>
        <w:spacing w:line="360" w:lineRule="auto"/>
        <w:ind w:left="630"/>
        <w:rPr>
          <w:rFonts w:hint="eastAsia" w:ascii="宋体" w:hAnsi="宋体" w:cs="宋体"/>
          <w:bCs/>
          <w:sz w:val="24"/>
          <w:szCs w:val="22"/>
        </w:rPr>
      </w:pPr>
      <w:r>
        <w:rPr>
          <w:rFonts w:hint="eastAsia" w:ascii="宋体" w:hAnsi="宋体" w:cs="宋体"/>
          <w:bCs/>
          <w:sz w:val="24"/>
          <w:szCs w:val="22"/>
        </w:rPr>
        <w:t>2.2.4单价金额小数点或者百分比有明显错位的，以开标一览表的总价为</w:t>
      </w:r>
    </w:p>
    <w:p>
      <w:pPr>
        <w:tabs>
          <w:tab w:val="left" w:pos="630"/>
          <w:tab w:val="left" w:pos="1155"/>
          <w:tab w:val="left" w:pos="1320"/>
          <w:tab w:val="left" w:pos="1365"/>
        </w:tabs>
        <w:spacing w:line="360" w:lineRule="auto"/>
        <w:rPr>
          <w:rFonts w:hint="eastAsia" w:ascii="宋体" w:hAnsi="宋体" w:cs="宋体"/>
          <w:bCs/>
          <w:sz w:val="24"/>
          <w:szCs w:val="22"/>
        </w:rPr>
      </w:pPr>
      <w:r>
        <w:rPr>
          <w:rFonts w:hint="eastAsia" w:ascii="宋体" w:hAnsi="宋体" w:cs="宋体"/>
          <w:bCs/>
          <w:sz w:val="24"/>
          <w:szCs w:val="22"/>
        </w:rPr>
        <w:t>准，并修改单价；</w:t>
      </w:r>
    </w:p>
    <w:p>
      <w:pPr>
        <w:tabs>
          <w:tab w:val="left" w:pos="630"/>
          <w:tab w:val="left" w:pos="1155"/>
          <w:tab w:val="left" w:pos="1320"/>
          <w:tab w:val="left" w:pos="1365"/>
        </w:tabs>
        <w:spacing w:line="360" w:lineRule="auto"/>
        <w:ind w:left="630"/>
        <w:rPr>
          <w:rFonts w:hint="eastAsia" w:ascii="宋体" w:hAnsi="宋体" w:cs="宋体"/>
          <w:bCs/>
          <w:sz w:val="24"/>
          <w:szCs w:val="22"/>
        </w:rPr>
      </w:pPr>
      <w:r>
        <w:rPr>
          <w:rFonts w:hint="eastAsia" w:ascii="宋体" w:hAnsi="宋体" w:cs="宋体"/>
          <w:bCs/>
          <w:sz w:val="24"/>
          <w:szCs w:val="22"/>
        </w:rPr>
        <w:t>2.2.5总价金额与按单价汇总金额不一致的，以单价金额计算结果为准。</w:t>
      </w:r>
    </w:p>
    <w:p>
      <w:pPr>
        <w:numPr>
          <w:ilvl w:val="1"/>
          <w:numId w:val="16"/>
        </w:numPr>
        <w:tabs>
          <w:tab w:val="left" w:pos="525"/>
          <w:tab w:val="left" w:pos="1050"/>
          <w:tab w:val="clear" w:pos="1290"/>
        </w:tabs>
        <w:spacing w:line="360" w:lineRule="auto"/>
        <w:ind w:left="1" w:firstLine="628" w:firstLineChars="262"/>
        <w:rPr>
          <w:rFonts w:hint="eastAsia" w:ascii="宋体" w:hAnsi="宋体" w:cs="宋体"/>
          <w:bCs/>
          <w:sz w:val="24"/>
          <w:szCs w:val="22"/>
        </w:rPr>
      </w:pPr>
      <w:r>
        <w:rPr>
          <w:rFonts w:hint="eastAsia" w:ascii="宋体" w:hAnsi="宋体" w:cs="宋体"/>
          <w:bCs/>
          <w:sz w:val="24"/>
          <w:szCs w:val="22"/>
        </w:rPr>
        <w:t>磋商开始工作程序</w:t>
      </w:r>
    </w:p>
    <w:p>
      <w:pPr>
        <w:tabs>
          <w:tab w:val="left" w:pos="840"/>
          <w:tab w:val="left" w:pos="1050"/>
        </w:tabs>
        <w:spacing w:line="360" w:lineRule="auto"/>
        <w:ind w:left="630"/>
        <w:rPr>
          <w:rFonts w:hint="eastAsia" w:ascii="宋体" w:hAnsi="宋体" w:cs="宋体"/>
          <w:bCs/>
          <w:sz w:val="24"/>
        </w:rPr>
      </w:pPr>
      <w:r>
        <w:rPr>
          <w:rFonts w:hint="eastAsia" w:ascii="宋体" w:hAnsi="宋体" w:cs="宋体"/>
          <w:bCs/>
          <w:sz w:val="24"/>
        </w:rPr>
        <w:t>3.1 密封性审查：</w:t>
      </w:r>
    </w:p>
    <w:p>
      <w:pPr>
        <w:tabs>
          <w:tab w:val="left" w:pos="840"/>
          <w:tab w:val="left" w:pos="1050"/>
        </w:tabs>
        <w:spacing w:line="360" w:lineRule="auto"/>
        <w:ind w:left="630"/>
        <w:rPr>
          <w:rFonts w:hint="eastAsia" w:ascii="宋体" w:hAnsi="宋体" w:cs="宋体"/>
          <w:bCs/>
          <w:sz w:val="24"/>
        </w:rPr>
      </w:pPr>
      <w:r>
        <w:rPr>
          <w:rFonts w:hint="eastAsia" w:ascii="宋体" w:hAnsi="宋体" w:cs="宋体"/>
          <w:bCs/>
          <w:sz w:val="24"/>
        </w:rPr>
        <w:t>由供应商或其推选的代表检查响应文件的密封、签署、盖章情况，也</w:t>
      </w:r>
    </w:p>
    <w:p>
      <w:pPr>
        <w:tabs>
          <w:tab w:val="left" w:pos="840"/>
          <w:tab w:val="left" w:pos="1050"/>
        </w:tabs>
        <w:spacing w:line="360" w:lineRule="auto"/>
        <w:rPr>
          <w:rFonts w:hint="eastAsia" w:ascii="宋体" w:hAnsi="宋体" w:cs="宋体"/>
          <w:bCs/>
          <w:sz w:val="24"/>
        </w:rPr>
      </w:pPr>
      <w:r>
        <w:rPr>
          <w:rFonts w:hint="eastAsia" w:ascii="宋体" w:hAnsi="宋体" w:cs="宋体"/>
          <w:bCs/>
          <w:sz w:val="24"/>
        </w:rPr>
        <w:t>可以由公证人员检查并公证。</w:t>
      </w:r>
    </w:p>
    <w:p>
      <w:pPr>
        <w:tabs>
          <w:tab w:val="left" w:pos="840"/>
          <w:tab w:val="left" w:pos="1050"/>
        </w:tabs>
        <w:spacing w:line="360" w:lineRule="auto"/>
        <w:ind w:left="630"/>
        <w:rPr>
          <w:rFonts w:hint="eastAsia" w:ascii="宋体" w:hAnsi="宋体" w:cs="宋体"/>
          <w:bCs/>
          <w:sz w:val="24"/>
        </w:rPr>
      </w:pPr>
      <w:r>
        <w:rPr>
          <w:rFonts w:hint="eastAsia" w:ascii="宋体" w:hAnsi="宋体" w:cs="宋体"/>
          <w:bCs/>
          <w:sz w:val="24"/>
        </w:rPr>
        <w:t>3.2初步资格性审查：</w:t>
      </w:r>
    </w:p>
    <w:p>
      <w:pPr>
        <w:tabs>
          <w:tab w:val="left" w:pos="840"/>
          <w:tab w:val="left" w:pos="1050"/>
        </w:tabs>
        <w:spacing w:line="360" w:lineRule="auto"/>
        <w:ind w:left="630"/>
        <w:rPr>
          <w:rFonts w:hint="eastAsia" w:ascii="宋体" w:hAnsi="宋体" w:cs="宋体"/>
          <w:bCs/>
          <w:sz w:val="24"/>
        </w:rPr>
      </w:pPr>
      <w:r>
        <w:rPr>
          <w:rFonts w:hint="eastAsia" w:ascii="宋体" w:hAnsi="宋体" w:cs="宋体"/>
          <w:bCs/>
          <w:sz w:val="24"/>
        </w:rPr>
        <w:t>由工作人员在公证或监督下，按照供应商签到时间顺序进行。审查内</w:t>
      </w:r>
    </w:p>
    <w:p>
      <w:pPr>
        <w:tabs>
          <w:tab w:val="left" w:pos="840"/>
          <w:tab w:val="left" w:pos="1050"/>
        </w:tabs>
        <w:spacing w:line="360" w:lineRule="auto"/>
        <w:rPr>
          <w:rFonts w:hint="eastAsia" w:ascii="宋体" w:hAnsi="宋体" w:cs="宋体"/>
          <w:bCs/>
          <w:sz w:val="24"/>
        </w:rPr>
      </w:pPr>
      <w:r>
        <w:rPr>
          <w:rFonts w:hint="eastAsia" w:ascii="宋体" w:hAnsi="宋体" w:cs="宋体"/>
          <w:bCs/>
          <w:sz w:val="24"/>
        </w:rPr>
        <w:t>容有：</w:t>
      </w:r>
    </w:p>
    <w:p>
      <w:pPr>
        <w:tabs>
          <w:tab w:val="left" w:pos="840"/>
          <w:tab w:val="left" w:pos="1050"/>
        </w:tabs>
        <w:spacing w:line="360" w:lineRule="auto"/>
        <w:ind w:firstLine="480" w:firstLineChars="200"/>
        <w:rPr>
          <w:rFonts w:hint="eastAsia" w:ascii="宋体" w:hAnsi="宋体" w:cs="宋体"/>
          <w:b/>
          <w:sz w:val="24"/>
          <w:szCs w:val="22"/>
        </w:rPr>
      </w:pPr>
      <w:r>
        <w:rPr>
          <w:rFonts w:hint="eastAsia" w:ascii="宋体" w:hAnsi="宋体" w:cs="宋体"/>
          <w:bCs/>
          <w:sz w:val="24"/>
          <w:szCs w:val="22"/>
        </w:rPr>
        <w:t>3.2.1 供应商是否按规定缴纳磋商保证金</w:t>
      </w:r>
      <w:r>
        <w:rPr>
          <w:rFonts w:hint="eastAsia" w:ascii="宋体" w:hAnsi="宋体" w:cs="宋体"/>
          <w:b/>
          <w:sz w:val="24"/>
          <w:szCs w:val="22"/>
        </w:rPr>
        <w:t>（疫情期间磋商保证金收据由采购代理单位开具并保存）；</w:t>
      </w:r>
    </w:p>
    <w:p>
      <w:pPr>
        <w:tabs>
          <w:tab w:val="left" w:pos="840"/>
          <w:tab w:val="left" w:pos="1050"/>
        </w:tabs>
        <w:spacing w:line="360" w:lineRule="auto"/>
        <w:ind w:left="630"/>
        <w:rPr>
          <w:rFonts w:hint="eastAsia" w:ascii="宋体" w:hAnsi="宋体" w:cs="宋体"/>
          <w:bCs/>
          <w:sz w:val="24"/>
        </w:rPr>
      </w:pPr>
      <w:r>
        <w:rPr>
          <w:rFonts w:hint="eastAsia" w:ascii="宋体" w:hAnsi="宋体" w:cs="宋体"/>
          <w:bCs/>
          <w:sz w:val="24"/>
        </w:rPr>
        <w:t>3.2.2 供应商的响应文件是否规定的期限、地点送达；</w:t>
      </w:r>
    </w:p>
    <w:p>
      <w:pPr>
        <w:tabs>
          <w:tab w:val="left" w:pos="840"/>
          <w:tab w:val="left" w:pos="1050"/>
        </w:tabs>
        <w:spacing w:line="360" w:lineRule="auto"/>
        <w:ind w:left="630"/>
        <w:rPr>
          <w:rFonts w:hint="eastAsia" w:ascii="宋体" w:hAnsi="宋体" w:cs="宋体"/>
          <w:bCs/>
          <w:sz w:val="24"/>
        </w:rPr>
      </w:pPr>
      <w:r>
        <w:rPr>
          <w:rFonts w:hint="eastAsia" w:ascii="宋体" w:hAnsi="宋体" w:cs="宋体"/>
          <w:bCs/>
          <w:sz w:val="24"/>
        </w:rPr>
        <w:t>3.2.3供应商的法定代表人或负责人或授权代表是否准时参加开标会</w:t>
      </w:r>
    </w:p>
    <w:p>
      <w:pPr>
        <w:tabs>
          <w:tab w:val="left" w:pos="840"/>
          <w:tab w:val="left" w:pos="1050"/>
        </w:tabs>
        <w:spacing w:line="360" w:lineRule="auto"/>
        <w:rPr>
          <w:rFonts w:hint="eastAsia" w:ascii="宋体" w:hAnsi="宋体" w:cs="宋体"/>
          <w:bCs/>
          <w:sz w:val="24"/>
        </w:rPr>
      </w:pPr>
      <w:r>
        <w:rPr>
          <w:rFonts w:hint="eastAsia" w:ascii="宋体" w:hAnsi="宋体" w:cs="宋体"/>
          <w:bCs/>
          <w:sz w:val="24"/>
        </w:rPr>
        <w:t>议；</w:t>
      </w:r>
    </w:p>
    <w:p>
      <w:pPr>
        <w:tabs>
          <w:tab w:val="left" w:pos="840"/>
          <w:tab w:val="left" w:pos="1050"/>
        </w:tabs>
        <w:spacing w:line="360" w:lineRule="auto"/>
        <w:ind w:firstLine="628" w:firstLineChars="262"/>
        <w:rPr>
          <w:rFonts w:hint="eastAsia" w:ascii="宋体" w:hAnsi="宋体" w:cs="宋体"/>
          <w:b/>
          <w:sz w:val="24"/>
        </w:rPr>
      </w:pPr>
      <w:r>
        <w:rPr>
          <w:rFonts w:hint="eastAsia" w:ascii="宋体" w:hAnsi="宋体" w:cs="宋体"/>
          <w:bCs/>
          <w:sz w:val="24"/>
        </w:rPr>
        <w:t>3.2.4 供应商的法定代表人授权代表是否提供有效的身份证明和法定代表人授权委托书</w:t>
      </w:r>
      <w:r>
        <w:rPr>
          <w:rFonts w:hint="eastAsia" w:ascii="宋体" w:hAnsi="宋体" w:cs="宋体"/>
          <w:b/>
          <w:sz w:val="24"/>
        </w:rPr>
        <w:t>（必须单独出具授权委托书原件，不另行拆封原件资料封袋</w:t>
      </w:r>
      <w:r>
        <w:rPr>
          <w:rFonts w:hint="eastAsia" w:ascii="宋体" w:hAnsi="宋体" w:cs="宋体"/>
          <w:b/>
          <w:bCs/>
          <w:sz w:val="24"/>
        </w:rPr>
        <w:t>，</w:t>
      </w:r>
      <w:r>
        <w:rPr>
          <w:rFonts w:hint="eastAsia" w:ascii="宋体" w:hAnsi="宋体" w:cs="宋体"/>
          <w:b/>
          <w:sz w:val="24"/>
        </w:rPr>
        <w:t>否则视作无效响应文件）；</w:t>
      </w:r>
    </w:p>
    <w:p>
      <w:pPr>
        <w:tabs>
          <w:tab w:val="left" w:pos="840"/>
          <w:tab w:val="left" w:pos="1050"/>
        </w:tabs>
        <w:spacing w:line="360" w:lineRule="auto"/>
        <w:ind w:firstLine="628" w:firstLineChars="262"/>
        <w:rPr>
          <w:rFonts w:hint="eastAsia" w:ascii="宋体" w:hAnsi="宋体" w:cs="宋体"/>
          <w:sz w:val="24"/>
          <w:szCs w:val="28"/>
        </w:rPr>
      </w:pPr>
      <w:r>
        <w:rPr>
          <w:rFonts w:hint="eastAsia" w:ascii="宋体" w:hAnsi="宋体" w:cs="宋体"/>
          <w:sz w:val="24"/>
          <w:szCs w:val="28"/>
        </w:rPr>
        <w:t>工作人员将审查内容进行记录，由各供应商授权代表（或法定代表人）签字确定，并存档备查。</w:t>
      </w:r>
    </w:p>
    <w:p>
      <w:pPr>
        <w:tabs>
          <w:tab w:val="left" w:pos="840"/>
          <w:tab w:val="left" w:pos="1050"/>
        </w:tabs>
        <w:spacing w:line="360" w:lineRule="auto"/>
        <w:ind w:firstLine="480" w:firstLineChars="200"/>
        <w:rPr>
          <w:rFonts w:hint="eastAsia" w:ascii="宋体" w:hAnsi="宋体" w:cs="宋体"/>
          <w:bCs/>
          <w:sz w:val="24"/>
          <w:szCs w:val="22"/>
        </w:rPr>
      </w:pPr>
      <w:r>
        <w:rPr>
          <w:rFonts w:hint="eastAsia" w:ascii="宋体" w:hAnsi="宋体" w:cs="宋体"/>
          <w:bCs/>
          <w:sz w:val="24"/>
          <w:szCs w:val="22"/>
        </w:rPr>
        <w:t>3.3经初步资格性审查确认无误后的响应文件，由工作人员对各供应商递交的响应文件 “报价一览表（初次）”进行记录，初次报价保密，不对其他供应商公开。</w:t>
      </w:r>
    </w:p>
    <w:p>
      <w:pPr>
        <w:tabs>
          <w:tab w:val="left" w:pos="840"/>
          <w:tab w:val="left" w:pos="1050"/>
        </w:tabs>
        <w:spacing w:line="360" w:lineRule="auto"/>
        <w:ind w:firstLine="480" w:firstLineChars="200"/>
        <w:rPr>
          <w:rFonts w:hint="eastAsia" w:ascii="宋体" w:hAnsi="宋体" w:cs="宋体"/>
          <w:bCs/>
          <w:sz w:val="24"/>
          <w:szCs w:val="22"/>
        </w:rPr>
      </w:pPr>
      <w:r>
        <w:rPr>
          <w:rFonts w:hint="eastAsia" w:ascii="宋体" w:hAnsi="宋体" w:cs="宋体"/>
          <w:bCs/>
          <w:sz w:val="24"/>
          <w:szCs w:val="22"/>
        </w:rPr>
        <w:t>3.4.信用信息查询</w:t>
      </w:r>
    </w:p>
    <w:p>
      <w:pPr>
        <w:tabs>
          <w:tab w:val="left" w:pos="840"/>
          <w:tab w:val="left" w:pos="1050"/>
        </w:tabs>
        <w:spacing w:line="360" w:lineRule="auto"/>
        <w:ind w:firstLine="480" w:firstLineChars="200"/>
        <w:rPr>
          <w:rFonts w:hint="eastAsia" w:ascii="宋体" w:hAnsi="宋体" w:cs="宋体"/>
          <w:bCs/>
          <w:sz w:val="24"/>
          <w:szCs w:val="22"/>
        </w:rPr>
      </w:pPr>
      <w:r>
        <w:rPr>
          <w:rFonts w:hint="eastAsia" w:ascii="宋体" w:hAnsi="宋体" w:cs="宋体"/>
          <w:bCs/>
          <w:sz w:val="24"/>
          <w:szCs w:val="22"/>
        </w:rPr>
        <w:t>3.4.1采购人或采购代理机构在磋商前通过“信用中国”网站(www.creditchina.gov.cn)、中国政府采购网(</w:t>
      </w:r>
      <w:r>
        <w:rPr>
          <w:rFonts w:hint="eastAsia" w:ascii="宋体" w:hAnsi="宋体" w:cs="宋体"/>
          <w:bCs/>
          <w:sz w:val="24"/>
          <w:szCs w:val="22"/>
        </w:rPr>
        <w:fldChar w:fldCharType="begin"/>
      </w:r>
      <w:r>
        <w:rPr>
          <w:rFonts w:hint="eastAsia" w:ascii="宋体" w:hAnsi="宋体" w:cs="宋体"/>
          <w:bCs/>
          <w:sz w:val="24"/>
          <w:szCs w:val="22"/>
        </w:rPr>
        <w:instrText xml:space="preserve"> HYPERLINK "http://www.ccgp.gov.cn" </w:instrText>
      </w:r>
      <w:r>
        <w:rPr>
          <w:rFonts w:hint="eastAsia" w:ascii="宋体" w:hAnsi="宋体" w:cs="宋体"/>
          <w:bCs/>
          <w:sz w:val="24"/>
          <w:szCs w:val="22"/>
        </w:rPr>
        <w:fldChar w:fldCharType="separate"/>
      </w:r>
      <w:r>
        <w:rPr>
          <w:rFonts w:hint="eastAsia" w:ascii="宋体" w:hAnsi="宋体" w:cs="宋体"/>
          <w:bCs/>
          <w:sz w:val="24"/>
          <w:szCs w:val="22"/>
        </w:rPr>
        <w:t>www.ccgp.gov.cn</w:t>
      </w:r>
      <w:r>
        <w:rPr>
          <w:rFonts w:hint="eastAsia" w:ascii="宋体" w:hAnsi="宋体" w:cs="宋体"/>
          <w:bCs/>
          <w:sz w:val="24"/>
          <w:szCs w:val="22"/>
        </w:rPr>
        <w:fldChar w:fldCharType="end"/>
      </w:r>
      <w:r>
        <w:rPr>
          <w:rFonts w:hint="eastAsia" w:ascii="宋体" w:hAnsi="宋体" w:cs="宋体"/>
          <w:bCs/>
          <w:sz w:val="24"/>
          <w:szCs w:val="22"/>
        </w:rPr>
        <w:t>)、“信用中国（江苏）”网站（</w:t>
      </w:r>
      <w:r>
        <w:rPr>
          <w:rFonts w:hint="eastAsia" w:ascii="宋体" w:hAnsi="宋体" w:cs="宋体"/>
          <w:bCs/>
          <w:sz w:val="24"/>
          <w:szCs w:val="22"/>
        </w:rPr>
        <w:drawing>
          <wp:inline distT="0" distB="0" distL="114300" distR="114300">
            <wp:extent cx="190500" cy="147955"/>
            <wp:effectExtent l="0" t="0" r="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190500" cy="147955"/>
                    </a:xfrm>
                    <a:prstGeom prst="rect">
                      <a:avLst/>
                    </a:prstGeom>
                    <a:noFill/>
                    <a:ln>
                      <a:noFill/>
                    </a:ln>
                  </pic:spPr>
                </pic:pic>
              </a:graphicData>
            </a:graphic>
          </wp:inline>
        </w:drawing>
      </w:r>
      <w:r>
        <w:rPr>
          <w:rFonts w:hint="eastAsia" w:ascii="宋体" w:hAnsi="宋体" w:cs="宋体"/>
          <w:bCs/>
          <w:sz w:val="24"/>
          <w:szCs w:val="22"/>
        </w:rPr>
        <w:t>www.jscredit.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3.5供应商退场</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3.6编制供应商暗标编号</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3.6.1由采购人或监督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adjustRightInd w:val="0"/>
        <w:snapToGrid w:val="0"/>
        <w:spacing w:line="360" w:lineRule="auto"/>
        <w:ind w:firstLine="480" w:firstLineChars="200"/>
        <w:rPr>
          <w:rFonts w:hint="eastAsia" w:ascii="宋体" w:hAnsi="宋体" w:cs="宋体"/>
          <w:sz w:val="24"/>
        </w:rPr>
      </w:pPr>
      <w:bookmarkStart w:id="2" w:name="OLE_LINK9"/>
      <w:r>
        <w:rPr>
          <w:rFonts w:hint="eastAsia" w:ascii="宋体" w:hAnsi="宋体" w:cs="宋体"/>
          <w:sz w:val="24"/>
        </w:rPr>
        <w:t>3.7对响应文件进行基础性数据分析和整理工作(清标)</w:t>
      </w:r>
    </w:p>
    <w:p>
      <w:pPr>
        <w:tabs>
          <w:tab w:val="left" w:pos="840"/>
          <w:tab w:val="left" w:pos="105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3.7.1在不改变供应商响应文件实质性内容的前提下，磋商小组应当对响应文件进行基础性数据分析和整理(简称为“清标”)，从而发现并提取其中可能存在的对招标范围理解的偏差、报价的算术性错误、错漏项、报价构成不合理、不平衡报价等存在明显异常的问题，并就这些问题整理形成清标成果。磋商小组对清标成果审议后，决定需要供应商进行澄清、说明或补正的问题，形成质疑问卷，向供应商发出问题澄清通知(包括质疑问卷)。</w:t>
      </w:r>
    </w:p>
    <w:p>
      <w:pPr>
        <w:tabs>
          <w:tab w:val="left" w:pos="840"/>
          <w:tab w:val="left" w:pos="1050"/>
        </w:tabs>
        <w:adjustRightInd w:val="0"/>
        <w:snapToGrid w:val="0"/>
        <w:spacing w:line="360" w:lineRule="auto"/>
        <w:ind w:firstLine="480" w:firstLineChars="200"/>
        <w:rPr>
          <w:rFonts w:hint="eastAsia" w:ascii="宋体" w:hAnsi="宋体" w:cs="宋体"/>
          <w:bCs/>
          <w:sz w:val="24"/>
          <w:szCs w:val="22"/>
        </w:rPr>
      </w:pPr>
      <w:r>
        <w:rPr>
          <w:rFonts w:hint="eastAsia" w:ascii="宋体" w:hAnsi="宋体" w:cs="宋体"/>
          <w:sz w:val="24"/>
        </w:rPr>
        <w:t>3.7.2供应商接到磋商小组发出的问题澄清通知后，应按磋商小组的要求提供澄清资料并在规定的时间递交。否则视为“不按磋商小组要求澄清、说明或补正”，按无效响应文件处理。</w:t>
      </w:r>
      <w:bookmarkEnd w:id="2"/>
    </w:p>
    <w:p>
      <w:pPr>
        <w:tabs>
          <w:tab w:val="left" w:pos="525"/>
          <w:tab w:val="left" w:pos="630"/>
          <w:tab w:val="left" w:pos="898"/>
          <w:tab w:val="left" w:pos="945"/>
        </w:tabs>
        <w:spacing w:line="360" w:lineRule="auto"/>
        <w:ind w:firstLine="480" w:firstLineChars="200"/>
        <w:rPr>
          <w:rFonts w:hint="eastAsia" w:ascii="宋体" w:hAnsi="宋体" w:cs="宋体"/>
          <w:bCs/>
          <w:sz w:val="24"/>
          <w:szCs w:val="24"/>
        </w:rPr>
      </w:pPr>
      <w:r>
        <w:rPr>
          <w:rFonts w:hint="eastAsia" w:ascii="宋体" w:hAnsi="宋体" w:cs="宋体"/>
          <w:sz w:val="24"/>
        </w:rPr>
        <w:t>4.</w:t>
      </w:r>
      <w:r>
        <w:rPr>
          <w:rFonts w:hint="eastAsia" w:ascii="宋体" w:hAnsi="宋体" w:cs="宋体"/>
          <w:bCs/>
          <w:sz w:val="24"/>
          <w:szCs w:val="24"/>
        </w:rPr>
        <w:t xml:space="preserve"> </w:t>
      </w:r>
      <w:r>
        <w:rPr>
          <w:rFonts w:hint="eastAsia" w:ascii="宋体" w:hAnsi="宋体" w:cs="宋体"/>
          <w:sz w:val="24"/>
          <w:szCs w:val="28"/>
        </w:rPr>
        <w:t>评审工作程序</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4.1响应文件资格、资信检查：</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4.1.1响应文件资格性检查由磋商小组负责。</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4.1.2依据法律法规和竞争性磋商文件的规定，对响应文件中的资格、资信证明等进行审查，以确定供应商提供资格证明、资信的合法性、真实性，是否具备磋商资格。</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4.2响应文件符合性检查：</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4.2.1磋商小组对符合资格的供应商的响应文件进行符合性检查，以确定其是否满足竞争性磋商文件的实质性要求。</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4.2.2商务标（明标）响应文件符合性检查由明标磋商小组负责，技术标（暗标）响应文件符合性检查由暗标磋商小组负责。</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4.2.3澄清有关问题。涉及到明标部分的，对响应文件中含义不明确、同类问题表述不一致或者有明显文字和计算错误的内容，磋商小组应当以书面形式（应当由磋商小组专家签字）要求供应商作出必要的澄清、说明或者纠正。供应商的澄清、说明或者补正应当采用书面形式，并加盖公章，或者由法定代表人或其授权的代表签字。涉及到暗标部分的，应由招标工作人员传递给供应商法人授权代表，并按手印代替签字。在暗标磋商小组确认签字时，签署“×（技术标编号）号供应商”。供应商的澄清、说明或者纠正不得超出响应文件的范围或者改变响应文件的实质性内容。</w:t>
      </w:r>
    </w:p>
    <w:p>
      <w:pPr>
        <w:tabs>
          <w:tab w:val="left" w:pos="840"/>
          <w:tab w:val="left" w:pos="1050"/>
        </w:tabs>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4.3商务标（明标）响应文件资格性检查和技术标（暗标）响应文件的符合性检查结束后，按竞争性磋商文件中规定的评标方法和标准，进行比较与评价。</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4.3.1明标磋商小组负责对竞争性磋商文件评分标准中涉及的供应商价格、财务状况、业绩、信誉等明标部分内容进行评审。</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4.3.2暗标磋商小组负责对竞争性磋商文件评分标准中涉及的技术方案、性能、服务质量等暗标部分内容进行评审。</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bCs/>
          <w:sz w:val="24"/>
        </w:rPr>
        <w:t>评审中，暗标磋商小组成员不接触明标商务标文本。需要对照、查阅明标商务标有关内容的，由工作人员在公证或监督下查阅告知。</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sz w:val="24"/>
          <w:szCs w:val="28"/>
        </w:rPr>
        <w:t>4.3.3磋商小组所有成员应当按照签到时间顺序的逆序集中与单一供应商分别进行磋商，并给予所有参加磋商的供应商平等的磋商机会。</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sz w:val="24"/>
          <w:szCs w:val="28"/>
        </w:rPr>
        <w:t>4.3.4在磋商过程中，磋商小组可以根据磋商文件和磋商情况实质性变动采购需求中的技术要求以及合同草案条款，但不得变动磋商文件中的其他内容。实质性变动的内容，须经采购人代表确认。</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sz w:val="24"/>
          <w:szCs w:val="28"/>
        </w:rPr>
        <w:t>对磋商文件作出的实质性变动是磋商文件的有效组成部分，磋商小组应当及时以书面形式同时通知所有参加磋商的供应商。</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sz w:val="24"/>
          <w:szCs w:val="28"/>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tabs>
          <w:tab w:val="left" w:pos="525"/>
        </w:tabs>
        <w:spacing w:line="360" w:lineRule="auto"/>
        <w:ind w:firstLine="482" w:firstLineChars="200"/>
        <w:rPr>
          <w:rFonts w:hint="eastAsia" w:ascii="宋体" w:hAnsi="宋体" w:cs="宋体"/>
          <w:b/>
          <w:sz w:val="24"/>
          <w:szCs w:val="28"/>
        </w:rPr>
      </w:pPr>
      <w:r>
        <w:rPr>
          <w:rFonts w:hint="eastAsia" w:ascii="宋体" w:hAnsi="宋体" w:cs="宋体"/>
          <w:b/>
          <w:sz w:val="24"/>
          <w:szCs w:val="28"/>
        </w:rPr>
        <w:t>4.3.5磋商结束后，磋商小组要求所有实质性响应的供应商在规定时间内提交最后报价，提交最后报价的供应商不得少于</w:t>
      </w:r>
      <w:r>
        <w:rPr>
          <w:rFonts w:hint="eastAsia" w:ascii="宋体" w:hAnsi="宋体" w:cs="宋体"/>
          <w:b/>
          <w:sz w:val="24"/>
          <w:szCs w:val="28"/>
          <w:lang w:val="en-US" w:eastAsia="zh-CN"/>
        </w:rPr>
        <w:t>2</w:t>
      </w:r>
      <w:r>
        <w:rPr>
          <w:rFonts w:hint="eastAsia" w:ascii="宋体" w:hAnsi="宋体" w:cs="宋体"/>
          <w:b/>
          <w:sz w:val="24"/>
          <w:szCs w:val="28"/>
        </w:rPr>
        <w:t>家。</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sz w:val="24"/>
          <w:szCs w:val="28"/>
        </w:rPr>
        <w:t>最后报价是供应商响应文件的有效组成部分。</w:t>
      </w:r>
    </w:p>
    <w:p>
      <w:pPr>
        <w:tabs>
          <w:tab w:val="left" w:pos="525"/>
        </w:tabs>
        <w:spacing w:line="360" w:lineRule="auto"/>
        <w:ind w:firstLine="480" w:firstLineChars="200"/>
        <w:rPr>
          <w:rFonts w:hint="eastAsia" w:ascii="宋体" w:hAnsi="宋体" w:cs="宋体"/>
          <w:sz w:val="24"/>
          <w:szCs w:val="28"/>
        </w:rPr>
      </w:pPr>
      <w:r>
        <w:rPr>
          <w:rFonts w:hint="eastAsia" w:ascii="宋体" w:hAnsi="宋体" w:cs="宋体"/>
          <w:sz w:val="24"/>
          <w:szCs w:val="28"/>
        </w:rPr>
        <w:t>4.3.6经磋商确定最终采购需求和提交最后报价的供应商后，由磋商小组采用综合评分法对提交最后报价的供应商的响应文件和最后报价进行综合评分。</w:t>
      </w:r>
    </w:p>
    <w:p>
      <w:pPr>
        <w:tabs>
          <w:tab w:val="left" w:pos="1365"/>
        </w:tabs>
        <w:spacing w:line="360" w:lineRule="auto"/>
        <w:ind w:firstLine="480" w:firstLineChars="200"/>
        <w:rPr>
          <w:rFonts w:hint="eastAsia" w:ascii="宋体" w:hAnsi="宋体" w:cs="宋体"/>
          <w:sz w:val="24"/>
          <w:szCs w:val="28"/>
        </w:rPr>
      </w:pPr>
      <w:r>
        <w:rPr>
          <w:rFonts w:hint="eastAsia" w:ascii="宋体" w:hAnsi="宋体" w:cs="宋体"/>
          <w:sz w:val="24"/>
          <w:szCs w:val="28"/>
        </w:rPr>
        <w:t>4.4比较与评价</w:t>
      </w:r>
    </w:p>
    <w:p>
      <w:pPr>
        <w:tabs>
          <w:tab w:val="left" w:pos="1365"/>
        </w:tabs>
        <w:spacing w:line="360" w:lineRule="auto"/>
        <w:ind w:firstLine="480" w:firstLineChars="200"/>
        <w:rPr>
          <w:rFonts w:hint="eastAsia" w:ascii="宋体" w:hAnsi="宋体" w:cs="宋体"/>
          <w:sz w:val="24"/>
          <w:szCs w:val="28"/>
        </w:rPr>
      </w:pPr>
      <w:r>
        <w:rPr>
          <w:rFonts w:hint="eastAsia" w:ascii="宋体" w:hAnsi="宋体" w:cs="宋体"/>
          <w:sz w:val="24"/>
          <w:szCs w:val="28"/>
        </w:rPr>
        <w:t>4.4.1本项目对磋商小组对确定最终采购需求和提交最后报价的供应商采用综合评分法进行比较与评价。经评审有效的响应文件按磋商文件中规定的评标方法和标准，由磋商小组进行比较与评价。综合评分法，是指响应文件满足磋商文件全部实质性要求且按评审因素的量化指标评审得分最高的供应商为成交候选供应商的评审方法。</w:t>
      </w:r>
    </w:p>
    <w:p>
      <w:pPr>
        <w:tabs>
          <w:tab w:val="left" w:pos="1365"/>
        </w:tabs>
        <w:spacing w:line="360" w:lineRule="auto"/>
        <w:ind w:firstLine="480" w:firstLineChars="200"/>
        <w:rPr>
          <w:rFonts w:hint="eastAsia" w:ascii="宋体" w:hAnsi="宋体" w:cs="宋体"/>
          <w:sz w:val="24"/>
          <w:szCs w:val="28"/>
        </w:rPr>
      </w:pPr>
      <w:r>
        <w:rPr>
          <w:rFonts w:hint="eastAsia" w:ascii="宋体" w:hAnsi="宋体" w:cs="宋体"/>
          <w:sz w:val="24"/>
          <w:szCs w:val="28"/>
        </w:rPr>
        <w:t>4.4.2磋商小组各成员独立对每个有效响应的文件进行评价、打分，然后汇总每个供应商每项评分因素的得分。</w:t>
      </w:r>
    </w:p>
    <w:p>
      <w:pPr>
        <w:tabs>
          <w:tab w:val="left" w:pos="1365"/>
        </w:tabs>
        <w:spacing w:line="360" w:lineRule="auto"/>
        <w:ind w:firstLine="480" w:firstLineChars="200"/>
        <w:rPr>
          <w:rFonts w:hint="eastAsia" w:ascii="宋体" w:hAnsi="宋体" w:cs="宋体"/>
          <w:sz w:val="24"/>
          <w:szCs w:val="28"/>
        </w:rPr>
      </w:pPr>
      <w:r>
        <w:rPr>
          <w:rFonts w:hint="eastAsia" w:ascii="宋体" w:hAnsi="宋体" w:cs="宋体"/>
          <w:sz w:val="24"/>
          <w:szCs w:val="28"/>
        </w:rPr>
        <w:t>4.4.3评审全部结束后，由工作人员在公证或监督下，在评标室当场核对、汇总各供应商得分，确定各供应商总分和最终排序。</w:t>
      </w:r>
    </w:p>
    <w:p>
      <w:pPr>
        <w:spacing w:line="360" w:lineRule="auto"/>
        <w:ind w:firstLine="480" w:firstLineChars="200"/>
        <w:rPr>
          <w:rFonts w:hint="eastAsia" w:ascii="宋体" w:hAnsi="宋体" w:cs="宋体"/>
          <w:sz w:val="24"/>
        </w:rPr>
      </w:pPr>
      <w:r>
        <w:rPr>
          <w:rFonts w:hint="eastAsia" w:ascii="宋体" w:hAnsi="宋体" w:cs="宋体"/>
          <w:sz w:val="24"/>
          <w:szCs w:val="28"/>
        </w:rPr>
        <w:t>4.4.4磋商小组应当根据综合评分情况，按照评审得分，由高到低顺序推荐三名以上成交候选供应商，并编写评审报告，评审得分相同的，按照最后报价由低到高的顺序推荐。评审得分且最后报价相同的，按照技术指标优劣顺序推荐</w:t>
      </w:r>
      <w:r>
        <w:rPr>
          <w:rFonts w:hint="eastAsia" w:ascii="宋体" w:hAnsi="宋体" w:cs="宋体"/>
          <w:bCs/>
          <w:sz w:val="24"/>
        </w:rPr>
        <w:t>。</w:t>
      </w:r>
    </w:p>
    <w:p>
      <w:pPr>
        <w:tabs>
          <w:tab w:val="left" w:pos="525"/>
          <w:tab w:val="left" w:pos="945"/>
        </w:tabs>
        <w:spacing w:line="360" w:lineRule="auto"/>
        <w:ind w:left="458" w:leftChars="218"/>
        <w:rPr>
          <w:rFonts w:hint="eastAsia" w:ascii="宋体" w:hAnsi="宋体" w:cs="宋体"/>
          <w:bCs/>
          <w:sz w:val="24"/>
          <w:szCs w:val="24"/>
        </w:rPr>
      </w:pPr>
      <w:r>
        <w:rPr>
          <w:rFonts w:hint="eastAsia" w:ascii="宋体" w:hAnsi="宋体" w:cs="宋体"/>
          <w:bCs/>
          <w:sz w:val="24"/>
          <w:szCs w:val="24"/>
        </w:rPr>
        <w:t>6.评分标准</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1.评分项目及总分（总分100分）</w:t>
      </w:r>
    </w:p>
    <w:p>
      <w:pPr>
        <w:spacing w:line="360" w:lineRule="auto"/>
        <w:ind w:firstLine="426" w:firstLineChars="177"/>
        <w:rPr>
          <w:rFonts w:hint="eastAsia" w:ascii="宋体" w:hAnsi="宋体" w:cs="宋体"/>
          <w:b/>
          <w:sz w:val="24"/>
          <w:szCs w:val="24"/>
          <w:highlight w:val="none"/>
        </w:rPr>
      </w:pPr>
      <w:r>
        <w:rPr>
          <w:rFonts w:hint="eastAsia" w:ascii="宋体" w:hAnsi="宋体" w:cs="宋体"/>
          <w:b/>
          <w:sz w:val="24"/>
          <w:szCs w:val="24"/>
        </w:rPr>
        <w:t xml:space="preserve">（1）报价                                  </w:t>
      </w:r>
      <w:r>
        <w:rPr>
          <w:rFonts w:hint="eastAsia" w:ascii="宋体" w:hAnsi="宋体" w:cs="宋体"/>
          <w:b/>
          <w:sz w:val="24"/>
          <w:szCs w:val="24"/>
          <w:highlight w:val="none"/>
        </w:rPr>
        <w:t xml:space="preserve">  </w:t>
      </w:r>
      <w:r>
        <w:rPr>
          <w:rFonts w:hint="eastAsia" w:ascii="宋体" w:hAnsi="宋体" w:cs="宋体"/>
          <w:b/>
          <w:sz w:val="24"/>
          <w:szCs w:val="24"/>
          <w:highlight w:val="none"/>
          <w:lang w:val="en-US" w:eastAsia="zh-CN"/>
        </w:rPr>
        <w:t>30</w:t>
      </w:r>
      <w:r>
        <w:rPr>
          <w:rFonts w:hint="eastAsia" w:ascii="宋体" w:hAnsi="宋体" w:cs="宋体"/>
          <w:b/>
          <w:sz w:val="24"/>
          <w:szCs w:val="24"/>
          <w:highlight w:val="none"/>
        </w:rPr>
        <w:t>分</w:t>
      </w:r>
    </w:p>
    <w:p>
      <w:pPr>
        <w:spacing w:line="360" w:lineRule="auto"/>
        <w:ind w:firstLine="426" w:firstLineChars="177"/>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 xml:space="preserve">）技术文件                                </w:t>
      </w:r>
      <w:r>
        <w:rPr>
          <w:rFonts w:hint="eastAsia" w:ascii="宋体" w:hAnsi="宋体" w:cs="宋体"/>
          <w:b/>
          <w:sz w:val="24"/>
          <w:szCs w:val="24"/>
          <w:highlight w:val="none"/>
          <w:lang w:val="en-US" w:eastAsia="zh-CN"/>
        </w:rPr>
        <w:t>70</w:t>
      </w:r>
      <w:r>
        <w:rPr>
          <w:rFonts w:hint="eastAsia" w:ascii="宋体" w:hAnsi="宋体" w:cs="宋体"/>
          <w:b/>
          <w:sz w:val="24"/>
          <w:szCs w:val="24"/>
          <w:highlight w:val="none"/>
        </w:rPr>
        <w:t>分</w:t>
      </w:r>
    </w:p>
    <w:p>
      <w:pPr>
        <w:spacing w:line="360" w:lineRule="auto"/>
        <w:ind w:firstLine="424" w:firstLineChars="177"/>
        <w:rPr>
          <w:rFonts w:hint="eastAsia" w:ascii="宋体" w:hAnsi="宋体" w:cs="宋体"/>
          <w:sz w:val="24"/>
          <w:szCs w:val="24"/>
        </w:rPr>
      </w:pPr>
      <w:r>
        <w:rPr>
          <w:rFonts w:hint="eastAsia" w:ascii="宋体" w:hAnsi="宋体" w:cs="宋体"/>
          <w:sz w:val="24"/>
          <w:szCs w:val="24"/>
        </w:rPr>
        <w:t>2.各项目评分标准：</w:t>
      </w:r>
    </w:p>
    <w:p>
      <w:pPr>
        <w:spacing w:line="360" w:lineRule="auto"/>
        <w:ind w:firstLine="426" w:firstLineChars="177"/>
        <w:rPr>
          <w:rFonts w:hint="eastAsia" w:ascii="宋体" w:hAnsi="宋体" w:cs="宋体"/>
          <w:b/>
          <w:sz w:val="24"/>
          <w:szCs w:val="24"/>
        </w:rPr>
      </w:pPr>
      <w:r>
        <w:rPr>
          <w:rFonts w:hint="eastAsia" w:ascii="宋体" w:hAnsi="宋体" w:cs="宋体"/>
          <w:b/>
          <w:sz w:val="24"/>
          <w:szCs w:val="24"/>
        </w:rPr>
        <w:t>明标部分：</w:t>
      </w:r>
    </w:p>
    <w:p>
      <w:pPr>
        <w:spacing w:line="360" w:lineRule="auto"/>
        <w:ind w:firstLine="241" w:firstLineChars="100"/>
        <w:rPr>
          <w:rFonts w:hint="eastAsia" w:ascii="宋体" w:hAnsi="宋体" w:cs="宋体"/>
          <w:b/>
          <w:sz w:val="24"/>
          <w:szCs w:val="24"/>
        </w:rPr>
      </w:pPr>
      <w:r>
        <w:rPr>
          <w:rFonts w:hint="eastAsia" w:ascii="宋体" w:hAnsi="宋体" w:cs="宋体"/>
          <w:b/>
          <w:sz w:val="24"/>
          <w:szCs w:val="24"/>
        </w:rPr>
        <w:t>（1）报价：（最高得分</w:t>
      </w:r>
      <w:r>
        <w:rPr>
          <w:rFonts w:hint="eastAsia" w:ascii="宋体" w:hAnsi="宋体" w:cs="宋体"/>
          <w:b/>
          <w:sz w:val="24"/>
          <w:szCs w:val="24"/>
          <w:lang w:val="en-US" w:eastAsia="zh-CN"/>
        </w:rPr>
        <w:t>30</w:t>
      </w:r>
      <w:r>
        <w:rPr>
          <w:rFonts w:hint="eastAsia" w:ascii="宋体" w:hAnsi="宋体" w:cs="宋体"/>
          <w:b/>
          <w:sz w:val="24"/>
          <w:szCs w:val="24"/>
        </w:rPr>
        <w:t>分）</w:t>
      </w:r>
    </w:p>
    <w:p>
      <w:pPr>
        <w:spacing w:line="360" w:lineRule="auto"/>
        <w:ind w:left="-50" w:leftChars="-24" w:firstLine="480" w:firstLineChars="200"/>
        <w:rPr>
          <w:rFonts w:hint="eastAsia" w:ascii="宋体" w:hAnsi="宋体" w:cs="宋体"/>
          <w:bCs/>
          <w:sz w:val="24"/>
        </w:rPr>
      </w:pPr>
      <w:r>
        <w:rPr>
          <w:rFonts w:hint="eastAsia" w:ascii="宋体" w:hAnsi="宋体" w:cs="宋体"/>
          <w:bCs/>
          <w:sz w:val="24"/>
        </w:rPr>
        <w:t>1）本项目采购人设最高限价，最高限价</w:t>
      </w:r>
      <w:r>
        <w:rPr>
          <w:rFonts w:hint="eastAsia" w:ascii="宋体" w:hAnsi="宋体" w:cs="宋体"/>
          <w:bCs/>
          <w:sz w:val="24"/>
          <w:lang w:eastAsia="zh-CN"/>
        </w:rPr>
        <w:t>单价</w:t>
      </w:r>
      <w:r>
        <w:rPr>
          <w:rFonts w:hint="eastAsia" w:ascii="宋体" w:hAnsi="宋体" w:cs="宋体"/>
          <w:bCs/>
          <w:sz w:val="24"/>
        </w:rPr>
        <w:t>为</w:t>
      </w:r>
      <w:r>
        <w:rPr>
          <w:rFonts w:hint="eastAsia" w:ascii="宋体" w:hAnsi="宋体" w:cs="宋体"/>
          <w:bCs/>
          <w:sz w:val="24"/>
          <w:lang w:val="en-US" w:eastAsia="zh-CN"/>
        </w:rPr>
        <w:t>95.6</w:t>
      </w:r>
      <w:r>
        <w:rPr>
          <w:rFonts w:hint="eastAsia" w:ascii="宋体" w:hAnsi="宋体" w:cs="宋体"/>
          <w:bCs/>
          <w:sz w:val="24"/>
        </w:rPr>
        <w:t>元/吨。磋商报价高于最高限价的作为无效</w:t>
      </w:r>
      <w:r>
        <w:rPr>
          <w:rFonts w:hint="eastAsia" w:ascii="宋体" w:hAnsi="宋体" w:cs="宋体"/>
          <w:bCs/>
          <w:sz w:val="24"/>
          <w:lang w:eastAsia="zh-CN"/>
        </w:rPr>
        <w:t>响应文件</w:t>
      </w:r>
      <w:r>
        <w:rPr>
          <w:rFonts w:hint="eastAsia" w:ascii="宋体" w:hAnsi="宋体" w:cs="宋体"/>
          <w:bCs/>
          <w:sz w:val="24"/>
        </w:rPr>
        <w:t>处理；</w:t>
      </w:r>
    </w:p>
    <w:p>
      <w:pPr>
        <w:tabs>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rPr>
        <w:t>2）满足磋商文件要求且最后报价最低的供应商的价格为磋商基准价，其价格分为满分。其他供应商的价格分统一按照下列公式计算：</w:t>
      </w:r>
    </w:p>
    <w:p>
      <w:pPr>
        <w:tabs>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rPr>
        <w:t>磋商报价得分</w:t>
      </w:r>
      <w:r>
        <w:rPr>
          <w:rFonts w:hint="eastAsia" w:ascii="宋体" w:hAnsi="宋体" w:cs="宋体"/>
          <w:sz w:val="24"/>
          <w:szCs w:val="24"/>
        </w:rPr>
        <w:t>=（</w:t>
      </w:r>
      <w:r>
        <w:rPr>
          <w:rFonts w:hint="eastAsia" w:ascii="宋体" w:hAnsi="宋体" w:cs="宋体"/>
          <w:sz w:val="24"/>
        </w:rPr>
        <w:t>磋商基准价/最后磋商报价</w:t>
      </w:r>
      <w:r>
        <w:rPr>
          <w:rFonts w:hint="eastAsia" w:ascii="宋体" w:hAnsi="宋体" w:cs="宋体"/>
          <w:sz w:val="24"/>
          <w:szCs w:val="24"/>
        </w:rPr>
        <w:t>) ×价格权值×100</w:t>
      </w:r>
    </w:p>
    <w:p>
      <w:pPr>
        <w:tabs>
          <w:tab w:val="left" w:pos="945"/>
          <w:tab w:val="left" w:pos="1155"/>
        </w:tabs>
        <w:spacing w:line="360" w:lineRule="auto"/>
        <w:ind w:firstLine="480" w:firstLineChars="200"/>
        <w:rPr>
          <w:rFonts w:hint="eastAsia" w:ascii="宋体" w:hAnsi="宋体" w:cs="宋体"/>
          <w:sz w:val="24"/>
        </w:rPr>
      </w:pPr>
      <w:r>
        <w:rPr>
          <w:rFonts w:hint="eastAsia" w:ascii="宋体" w:hAnsi="宋体" w:cs="宋体"/>
          <w:sz w:val="24"/>
        </w:rPr>
        <w:t>备注：价格扣除：</w:t>
      </w:r>
      <w:r>
        <w:rPr>
          <w:rFonts w:hint="eastAsia" w:ascii="宋体" w:hAnsi="宋体" w:cs="宋体"/>
          <w:b/>
          <w:sz w:val="24"/>
          <w:szCs w:val="22"/>
        </w:rPr>
        <w:t>根据省财政厅《关于新冠肺炎疫情防控期间加大政府采购支持中小微企业力度的通知》（苏财购[2020]19号）的要求，对于非专门面向中小微企业的项目，对小型和微型企业产品价格给予10%的扣除，用扣除后的价格参与评审。本项目对小型和微型企业产品价格扣除更正为10%，用扣除后的价格参与评审。</w:t>
      </w:r>
      <w:r>
        <w:rPr>
          <w:rFonts w:hint="eastAsia" w:ascii="宋体" w:hAnsi="宋体" w:cs="宋体"/>
          <w:bCs/>
          <w:sz w:val="24"/>
        </w:rPr>
        <w:t xml:space="preserve">参加报价的中小企业，应当按照《政府采购促进中小企业发展暂行办法》（财库〔2011〕181号）的规定提供《中小企业声明函》（格式见附件）（中小企业划型标准详见《关于印发中小企业划型标准规定的通知》工信部联企业〔2011〕300号）。（供应商《中小企业声明函》和供应商所在地的县级以上中小企业主管部门对供应商为中型或小、微型企业的认定证明复印件。如未按要求填写和提供有效证明或相关内容表述不清的，不得享受价格扣除。） </w:t>
      </w:r>
    </w:p>
    <w:p>
      <w:pPr>
        <w:tabs>
          <w:tab w:val="left" w:pos="945"/>
          <w:tab w:val="left" w:pos="1155"/>
        </w:tabs>
        <w:spacing w:line="360" w:lineRule="auto"/>
        <w:ind w:firstLine="480" w:firstLineChars="200"/>
        <w:rPr>
          <w:rFonts w:hint="eastAsia" w:ascii="宋体" w:hAnsi="宋体" w:cs="宋体"/>
          <w:sz w:val="24"/>
        </w:rPr>
      </w:pPr>
      <w:r>
        <w:rPr>
          <w:rFonts w:hint="eastAsia" w:ascii="宋体" w:hAnsi="宋体" w:cs="宋体"/>
          <w:sz w:val="24"/>
        </w:rPr>
        <w:t>按照《财政部司法部关于政府采购支持监狱企业发展有关问题的通知》（财库（2014）68号）文件规定，在政府采购活动中，监狱企业视同小型、微型企业，享受评审中价格扣除的政府采购政策。</w:t>
      </w:r>
    </w:p>
    <w:p>
      <w:pPr>
        <w:tabs>
          <w:tab w:val="left" w:pos="945"/>
          <w:tab w:val="left" w:pos="1155"/>
        </w:tabs>
        <w:spacing w:line="360" w:lineRule="auto"/>
        <w:ind w:firstLine="480" w:firstLineChars="200"/>
        <w:rPr>
          <w:rFonts w:hint="eastAsia" w:ascii="宋体" w:hAnsi="宋体" w:cs="宋体"/>
          <w:sz w:val="24"/>
        </w:rPr>
      </w:pPr>
      <w:r>
        <w:rPr>
          <w:rFonts w:hint="eastAsia" w:ascii="宋体" w:hAnsi="宋体" w:cs="宋体"/>
          <w:sz w:val="24"/>
        </w:rPr>
        <w:t>按照《财政部司法部中国残疾人联合会关于促进残疾人就业政府采购政策的通知》，残疾人福利性单位视同小型、微型企业，享受评审中价格扣除的政府采购政策，残疾人福利性单位属于小型、微型企业的，不重复享受政策。</w:t>
      </w:r>
    </w:p>
    <w:p>
      <w:pPr>
        <w:tabs>
          <w:tab w:val="left" w:pos="945"/>
          <w:tab w:val="left" w:pos="1155"/>
        </w:tabs>
        <w:spacing w:line="360" w:lineRule="auto"/>
        <w:ind w:firstLine="480" w:firstLineChars="200"/>
        <w:rPr>
          <w:rFonts w:hint="eastAsia" w:ascii="宋体" w:hAnsi="宋体" w:cs="宋体"/>
          <w:sz w:val="24"/>
        </w:rPr>
      </w:pPr>
      <w:r>
        <w:rPr>
          <w:rFonts w:hint="eastAsia" w:ascii="宋体" w:hAnsi="宋体" w:cs="宋体"/>
          <w:sz w:val="24"/>
        </w:rPr>
        <w:t>参加报价的监狱企业，应当按照《关于政府采购支持监狱企业发展有关问题的通知》（财库[2014]68号）的规定由省级以上监狱管理局、戒毒管理局(含新疆生产建设兵团)出具的属于监狱企业的证明文件。</w:t>
      </w:r>
    </w:p>
    <w:p>
      <w:pPr>
        <w:tabs>
          <w:tab w:val="left" w:pos="945"/>
          <w:tab w:val="left" w:pos="1155"/>
        </w:tabs>
        <w:spacing w:line="360" w:lineRule="auto"/>
        <w:ind w:firstLine="422" w:firstLineChars="176"/>
        <w:rPr>
          <w:rFonts w:hint="eastAsia" w:ascii="宋体" w:hAnsi="宋体" w:cs="宋体"/>
          <w:sz w:val="24"/>
          <w:szCs w:val="24"/>
        </w:rPr>
      </w:pPr>
      <w:r>
        <w:rPr>
          <w:rFonts w:hint="eastAsia" w:ascii="宋体" w:hAnsi="宋体" w:cs="宋体"/>
          <w:sz w:val="24"/>
        </w:rPr>
        <w:t>参加报价的残疾人福利性单位，应当按照《财政部、民政部、中国残疾人联合会关于促进残疾人就业政府采购政策的通知》（财库〔2017〕 141号）的规定填写《残疾人福利性单位声明函》。</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暗标部分：</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（3）技术文件（</w:t>
      </w:r>
      <w:r>
        <w:rPr>
          <w:rFonts w:hint="eastAsia" w:ascii="宋体" w:hAnsi="宋体" w:cs="宋体"/>
          <w:b/>
          <w:sz w:val="24"/>
          <w:szCs w:val="24"/>
          <w:highlight w:val="none"/>
          <w:lang w:val="en-US" w:eastAsia="zh-CN"/>
        </w:rPr>
        <w:t>70</w:t>
      </w:r>
      <w:r>
        <w:rPr>
          <w:rFonts w:hint="eastAsia" w:ascii="宋体" w:hAnsi="宋体" w:cs="宋体"/>
          <w:b/>
          <w:sz w:val="24"/>
          <w:szCs w:val="24"/>
          <w:highlight w:val="none"/>
        </w:rPr>
        <w:t>分</w:t>
      </w:r>
      <w:r>
        <w:rPr>
          <w:rFonts w:hint="eastAsia" w:ascii="宋体" w:hAnsi="宋体" w:cs="宋体"/>
          <w:b/>
          <w:sz w:val="24"/>
          <w:szCs w:val="24"/>
        </w:rPr>
        <w:t>）</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（1） 投融资方案（ </w:t>
      </w:r>
      <w:r>
        <w:rPr>
          <w:rFonts w:hint="eastAsia" w:ascii="宋体" w:hAnsi="宋体" w:cs="宋体"/>
          <w:b/>
          <w:bCs/>
          <w:sz w:val="24"/>
          <w:szCs w:val="24"/>
          <w:lang w:val="en-US" w:eastAsia="zh-CN"/>
        </w:rPr>
        <w:t>20</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（a）社会资本须根据招标文件的有关规定，以及本项目运营方案需要的初始投资和运营成本的基础上，准备本项目财务方案；</w:t>
      </w:r>
      <w:r>
        <w:rPr>
          <w:rFonts w:hint="eastAsia" w:ascii="宋体" w:hAnsi="宋体" w:cs="宋体"/>
          <w:b/>
          <w:bCs/>
          <w:sz w:val="24"/>
          <w:szCs w:val="24"/>
        </w:rPr>
        <w:t>（</w:t>
      </w:r>
      <w:r>
        <w:rPr>
          <w:rFonts w:hint="eastAsia" w:ascii="宋体" w:hAnsi="宋体" w:cs="宋体"/>
          <w:b/>
          <w:bCs/>
          <w:sz w:val="24"/>
          <w:szCs w:val="24"/>
          <w:lang w:val="en-US" w:eastAsia="zh-CN"/>
        </w:rPr>
        <w:t>4</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（b）项目公司注册后，项目公司承担融资交割任务；</w:t>
      </w:r>
      <w:r>
        <w:rPr>
          <w:rFonts w:hint="eastAsia" w:ascii="宋体" w:hAnsi="宋体" w:cs="宋体"/>
          <w:b/>
          <w:bCs/>
          <w:sz w:val="24"/>
          <w:szCs w:val="24"/>
        </w:rPr>
        <w:t>（</w:t>
      </w:r>
      <w:r>
        <w:rPr>
          <w:rFonts w:hint="eastAsia" w:ascii="宋体" w:hAnsi="宋体" w:cs="宋体"/>
          <w:b/>
          <w:bCs/>
          <w:sz w:val="24"/>
          <w:szCs w:val="24"/>
          <w:lang w:val="en-US" w:eastAsia="zh-CN"/>
        </w:rPr>
        <w:t>4</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（c）融资方案:</w:t>
      </w:r>
      <w:r>
        <w:rPr>
          <w:rFonts w:hint="eastAsia" w:ascii="宋体" w:hAnsi="宋体" w:cs="宋体"/>
          <w:b/>
          <w:bCs/>
          <w:sz w:val="24"/>
          <w:szCs w:val="24"/>
        </w:rPr>
        <w:t>（</w:t>
      </w:r>
      <w:r>
        <w:rPr>
          <w:rFonts w:hint="eastAsia" w:ascii="宋体" w:hAnsi="宋体" w:cs="宋体"/>
          <w:b/>
          <w:bCs/>
          <w:sz w:val="24"/>
          <w:szCs w:val="24"/>
          <w:lang w:val="en-US" w:eastAsia="zh-CN"/>
        </w:rPr>
        <w:t>4</w:t>
      </w:r>
      <w:r>
        <w:rPr>
          <w:rFonts w:hint="eastAsia" w:ascii="宋体" w:hAnsi="宋体" w:cs="宋体"/>
          <w:b/>
          <w:bCs/>
          <w:sz w:val="24"/>
          <w:szCs w:val="24"/>
        </w:rPr>
        <w:t>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①项目的总投资</w:t>
      </w:r>
      <w:r>
        <w:rPr>
          <w:rFonts w:hint="eastAsia" w:ascii="宋体" w:hAnsi="宋体" w:cs="宋体"/>
          <w:sz w:val="24"/>
          <w:szCs w:val="24"/>
          <w:lang w:val="en-US" w:eastAsia="zh-CN"/>
        </w:rPr>
        <w:t>1分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②项目融资资金来源、贷款和资本金的比例（包括社会资本向项目注入资本金的金额、比例、出资方式、时间和方法等内容）</w:t>
      </w:r>
      <w:r>
        <w:rPr>
          <w:rFonts w:hint="eastAsia" w:ascii="宋体" w:hAnsi="宋体" w:cs="宋体"/>
          <w:sz w:val="24"/>
          <w:szCs w:val="24"/>
          <w:lang w:val="en-US" w:eastAsia="zh-CN"/>
        </w:rPr>
        <w:t>1分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③债务偿还计划及融资成本</w:t>
      </w:r>
      <w:r>
        <w:rPr>
          <w:rFonts w:hint="eastAsia" w:ascii="宋体" w:hAnsi="宋体" w:cs="宋体"/>
          <w:sz w:val="24"/>
          <w:szCs w:val="24"/>
          <w:lang w:val="en-US" w:eastAsia="zh-CN"/>
        </w:rPr>
        <w:t>1分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④合作期内更新改造投资</w:t>
      </w:r>
      <w:r>
        <w:rPr>
          <w:rFonts w:hint="eastAsia" w:ascii="宋体" w:hAnsi="宋体" w:cs="宋体"/>
          <w:sz w:val="24"/>
          <w:szCs w:val="24"/>
          <w:lang w:val="en-US" w:eastAsia="zh-CN"/>
        </w:rPr>
        <w:t>1分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（d）财务分析/垃圾处理服务费价格方案及分析：</w:t>
      </w:r>
      <w:r>
        <w:rPr>
          <w:rFonts w:hint="eastAsia" w:ascii="宋体" w:hAnsi="宋体" w:cs="宋体"/>
          <w:b/>
          <w:bCs/>
          <w:sz w:val="24"/>
          <w:szCs w:val="24"/>
        </w:rPr>
        <w:t>（</w:t>
      </w:r>
      <w:r>
        <w:rPr>
          <w:rFonts w:hint="eastAsia" w:ascii="宋体" w:hAnsi="宋体" w:cs="宋体"/>
          <w:b/>
          <w:bCs/>
          <w:sz w:val="24"/>
          <w:szCs w:val="24"/>
          <w:lang w:val="en-US" w:eastAsia="zh-CN"/>
        </w:rPr>
        <w:t>8</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①投标经济参数汇总表</w:t>
      </w:r>
      <w:r>
        <w:rPr>
          <w:rFonts w:hint="eastAsia" w:ascii="宋体" w:hAnsi="宋体" w:cs="宋体"/>
          <w:sz w:val="24"/>
          <w:szCs w:val="24"/>
          <w:lang w:val="en-US" w:eastAsia="zh-CN"/>
        </w:rPr>
        <w:t>2分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②项目投资总造价估算书及计算依据</w:t>
      </w:r>
      <w:r>
        <w:rPr>
          <w:rFonts w:hint="eastAsia" w:ascii="宋体" w:hAnsi="宋体" w:cs="宋体"/>
          <w:sz w:val="24"/>
          <w:szCs w:val="24"/>
          <w:lang w:val="en-US" w:eastAsia="zh-CN"/>
        </w:rPr>
        <w:t>2分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③垃圾处理服务费单价的价格组成及计算依据</w:t>
      </w:r>
      <w:r>
        <w:rPr>
          <w:rFonts w:hint="eastAsia" w:ascii="宋体" w:hAnsi="宋体" w:cs="宋体"/>
          <w:sz w:val="24"/>
          <w:szCs w:val="24"/>
          <w:lang w:val="en-US" w:eastAsia="zh-CN"/>
        </w:rPr>
        <w:t>2分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④垃圾处理项目主要经济效益指标</w:t>
      </w:r>
      <w:r>
        <w:rPr>
          <w:rFonts w:hint="eastAsia" w:ascii="宋体" w:hAnsi="宋体" w:cs="宋体"/>
          <w:sz w:val="24"/>
          <w:szCs w:val="24"/>
          <w:lang w:val="en-US" w:eastAsia="zh-CN"/>
        </w:rPr>
        <w:t>2分</w:t>
      </w:r>
    </w:p>
    <w:p>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（2） 运营方案（</w:t>
      </w:r>
      <w:r>
        <w:rPr>
          <w:rFonts w:hint="eastAsia" w:ascii="宋体" w:hAnsi="宋体" w:cs="宋体"/>
          <w:b/>
          <w:bCs/>
          <w:sz w:val="24"/>
          <w:szCs w:val="24"/>
          <w:lang w:val="en-US" w:eastAsia="zh-CN"/>
        </w:rPr>
        <w:t>30</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（a）项目公司人员组织方案</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（b）项目人力资源管理方案</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（c）项目运行管理方案</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（d）项目设备管理与维护方案</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（e）设备、设施更新改造方案</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（f）项目风险应对及安全管理方案</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（3）移交方案（ </w:t>
      </w:r>
      <w:r>
        <w:rPr>
          <w:rFonts w:hint="eastAsia" w:ascii="宋体" w:hAnsi="宋体" w:cs="宋体"/>
          <w:b/>
          <w:bCs/>
          <w:sz w:val="24"/>
          <w:szCs w:val="24"/>
          <w:lang w:val="en-US" w:eastAsia="zh-CN"/>
        </w:rPr>
        <w:t>20</w:t>
      </w:r>
      <w:r>
        <w:rPr>
          <w:rFonts w:hint="eastAsia" w:ascii="宋体" w:hAnsi="宋体" w:cs="宋体"/>
          <w:b/>
          <w:bCs/>
          <w:sz w:val="24"/>
          <w:szCs w:val="24"/>
        </w:rPr>
        <w:t>分）包括但不限于：</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（a）项目移交的技术状态保障承诺</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（b）项目的移交范围</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（c）对项目接收方人员的培训</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spacing w:line="360" w:lineRule="auto"/>
        <w:ind w:firstLine="480" w:firstLineChars="200"/>
        <w:rPr>
          <w:rFonts w:hint="eastAsia" w:ascii="宋体" w:hAnsi="宋体" w:cs="宋体"/>
          <w:sz w:val="24"/>
          <w:szCs w:val="22"/>
        </w:rPr>
      </w:pPr>
      <w:r>
        <w:rPr>
          <w:rFonts w:hint="eastAsia" w:ascii="宋体" w:hAnsi="宋体" w:cs="宋体"/>
          <w:sz w:val="24"/>
          <w:szCs w:val="24"/>
        </w:rPr>
        <w:t>（d）项目后期维护保障承诺。</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分）</w:t>
      </w:r>
    </w:p>
    <w:p>
      <w:pPr>
        <w:widowControl/>
        <w:tabs>
          <w:tab w:val="left" w:pos="630"/>
        </w:tabs>
        <w:adjustRightInd w:val="0"/>
        <w:spacing w:line="360" w:lineRule="auto"/>
        <w:ind w:firstLine="480" w:firstLineChars="200"/>
        <w:jc w:val="left"/>
        <w:rPr>
          <w:rFonts w:hint="eastAsia" w:ascii="宋体" w:hAnsi="宋体" w:cs="宋体"/>
          <w:sz w:val="24"/>
          <w:szCs w:val="22"/>
        </w:rPr>
      </w:pPr>
      <w:r>
        <w:rPr>
          <w:rFonts w:hint="eastAsia" w:ascii="宋体" w:hAnsi="宋体" w:cs="宋体"/>
          <w:sz w:val="24"/>
        </w:rPr>
        <w:t>除技术文件编制粗糙，缺漏项较多，技术标页数偏少（少于100页的）外，评委一般按照下列评分幅度对施工组织设计进行评分：90%≤优≤100%；80%≤良＜90%；70%≤中＜80%；60%≤一般＜70%。（</w:t>
      </w:r>
      <w:r>
        <w:rPr>
          <w:rFonts w:hint="eastAsia" w:ascii="宋体" w:hAnsi="宋体" w:cs="宋体"/>
          <w:bCs/>
          <w:sz w:val="24"/>
        </w:rPr>
        <w:t>取所有评委打分分值的平均值</w:t>
      </w:r>
      <w:r>
        <w:rPr>
          <w:rFonts w:hint="eastAsia" w:ascii="宋体" w:hAnsi="宋体" w:cs="宋体"/>
          <w:sz w:val="24"/>
        </w:rPr>
        <w:t>）。</w:t>
      </w:r>
    </w:p>
    <w:p/>
    <w:p>
      <w:pPr>
        <w:tabs>
          <w:tab w:val="left" w:pos="945"/>
        </w:tabs>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 xml:space="preserve">（九） </w:t>
      </w:r>
      <w:r>
        <w:rPr>
          <w:rFonts w:hint="eastAsia" w:ascii="宋体" w:hAnsi="宋体" w:cs="宋体"/>
          <w:sz w:val="24"/>
          <w:szCs w:val="28"/>
        </w:rPr>
        <w:t>确定成交供应商</w:t>
      </w:r>
      <w:r>
        <w:rPr>
          <w:rFonts w:hint="eastAsia" w:ascii="宋体" w:hAnsi="宋体" w:cs="宋体"/>
          <w:bCs/>
          <w:sz w:val="24"/>
          <w:szCs w:val="24"/>
        </w:rPr>
        <w:t>：</w:t>
      </w:r>
    </w:p>
    <w:p>
      <w:pPr>
        <w:tabs>
          <w:tab w:val="left" w:pos="525"/>
          <w:tab w:val="left" w:pos="1155"/>
        </w:tabs>
        <w:spacing w:line="360" w:lineRule="auto"/>
        <w:ind w:firstLine="480" w:firstLineChars="200"/>
        <w:rPr>
          <w:rFonts w:hint="eastAsia" w:ascii="宋体" w:hAnsi="宋体" w:cs="宋体"/>
          <w:sz w:val="24"/>
          <w:szCs w:val="28"/>
        </w:rPr>
      </w:pPr>
      <w:r>
        <w:rPr>
          <w:rFonts w:hint="eastAsia" w:ascii="宋体" w:hAnsi="宋体" w:cs="宋体"/>
          <w:bCs/>
          <w:sz w:val="24"/>
        </w:rPr>
        <w:t>1.竞争性磋商小组根据竞争性磋商文件规定的评标方法和评标标准进行评审，按竞争性磋商文件的要求在供应商中依法确定成交供应商。普信国际工程咨询有限公司将在无锡政府采购网、江苏政府采购网、中国政府采购网发布成交公告。如有质疑，按《中华人民共和国政府采购法》、</w:t>
      </w:r>
      <w:r>
        <w:rPr>
          <w:rFonts w:hint="eastAsia" w:ascii="宋体" w:hAnsi="宋体" w:cs="宋体"/>
          <w:sz w:val="24"/>
          <w:szCs w:val="28"/>
        </w:rPr>
        <w:t>《政府采购竞争性磋商采购方式管理暂行办法》</w:t>
      </w:r>
      <w:r>
        <w:rPr>
          <w:rFonts w:hint="eastAsia" w:ascii="宋体" w:hAnsi="宋体" w:cs="宋体"/>
          <w:bCs/>
          <w:sz w:val="24"/>
        </w:rPr>
        <w:t>等有关法规处理</w:t>
      </w:r>
      <w:r>
        <w:rPr>
          <w:rFonts w:hint="eastAsia" w:ascii="宋体" w:hAnsi="宋体" w:cs="宋体"/>
          <w:sz w:val="24"/>
          <w:szCs w:val="28"/>
        </w:rPr>
        <w:t>。</w:t>
      </w:r>
    </w:p>
    <w:p>
      <w:pPr>
        <w:tabs>
          <w:tab w:val="left" w:pos="525"/>
          <w:tab w:val="left" w:pos="1155"/>
        </w:tabs>
        <w:spacing w:line="360" w:lineRule="auto"/>
        <w:ind w:firstLine="480" w:firstLineChars="200"/>
        <w:rPr>
          <w:rFonts w:hint="eastAsia" w:ascii="宋体" w:hAnsi="宋体" w:cs="宋体"/>
          <w:bCs/>
          <w:sz w:val="24"/>
        </w:rPr>
      </w:pPr>
      <w:r>
        <w:rPr>
          <w:rFonts w:hint="eastAsia" w:ascii="宋体" w:hAnsi="宋体" w:cs="宋体"/>
          <w:bCs/>
          <w:sz w:val="24"/>
        </w:rPr>
        <w:t>2.竞争性磋商、评审及定标的整个过程均由采购人或采购纪律监察部门全</w:t>
      </w:r>
    </w:p>
    <w:p>
      <w:pPr>
        <w:tabs>
          <w:tab w:val="left" w:pos="525"/>
          <w:tab w:val="left" w:pos="1155"/>
        </w:tabs>
        <w:spacing w:line="360" w:lineRule="auto"/>
        <w:rPr>
          <w:rFonts w:hint="eastAsia" w:ascii="宋体" w:hAnsi="宋体" w:cs="宋体"/>
          <w:sz w:val="24"/>
          <w:szCs w:val="28"/>
        </w:rPr>
      </w:pPr>
      <w:r>
        <w:rPr>
          <w:rFonts w:hint="eastAsia" w:ascii="宋体" w:hAnsi="宋体" w:cs="宋体"/>
          <w:bCs/>
          <w:sz w:val="24"/>
        </w:rPr>
        <w:t>程监督</w:t>
      </w:r>
      <w:r>
        <w:rPr>
          <w:rFonts w:hint="eastAsia" w:ascii="宋体" w:hAnsi="宋体" w:cs="宋体"/>
          <w:sz w:val="24"/>
          <w:szCs w:val="28"/>
        </w:rPr>
        <w:t>。</w:t>
      </w:r>
    </w:p>
    <w:p>
      <w:pPr>
        <w:tabs>
          <w:tab w:val="left" w:pos="525"/>
          <w:tab w:val="left" w:pos="1155"/>
        </w:tabs>
        <w:spacing w:line="360" w:lineRule="auto"/>
        <w:ind w:firstLine="480" w:firstLineChars="200"/>
        <w:rPr>
          <w:rFonts w:hint="eastAsia" w:ascii="宋体" w:hAnsi="宋体" w:cs="宋体"/>
          <w:sz w:val="24"/>
          <w:szCs w:val="28"/>
        </w:rPr>
      </w:pPr>
      <w:r>
        <w:rPr>
          <w:rFonts w:hint="eastAsia" w:ascii="宋体" w:hAnsi="宋体" w:cs="宋体"/>
          <w:bCs/>
          <w:sz w:val="24"/>
        </w:rPr>
        <w:t>3.定标后，采购人将向成交供应商发出成交通知书</w:t>
      </w:r>
      <w:r>
        <w:rPr>
          <w:rFonts w:hint="eastAsia" w:ascii="宋体" w:hAnsi="宋体" w:cs="宋体"/>
          <w:sz w:val="24"/>
          <w:szCs w:val="28"/>
        </w:rPr>
        <w:t>。</w:t>
      </w:r>
    </w:p>
    <w:p>
      <w:pPr>
        <w:tabs>
          <w:tab w:val="left" w:pos="525"/>
          <w:tab w:val="left" w:pos="945"/>
          <w:tab w:val="left" w:pos="1155"/>
        </w:tabs>
        <w:spacing w:line="360" w:lineRule="auto"/>
        <w:ind w:firstLine="480" w:firstLineChars="200"/>
        <w:rPr>
          <w:rFonts w:hint="eastAsia" w:ascii="宋体" w:hAnsi="宋体" w:cs="宋体"/>
          <w:bCs/>
          <w:sz w:val="24"/>
          <w:szCs w:val="24"/>
        </w:rPr>
      </w:pPr>
      <w:r>
        <w:rPr>
          <w:rFonts w:hint="eastAsia" w:ascii="宋体" w:hAnsi="宋体" w:cs="宋体"/>
          <w:sz w:val="24"/>
          <w:szCs w:val="28"/>
        </w:rPr>
        <w:t>4.</w:t>
      </w:r>
      <w:r>
        <w:rPr>
          <w:rFonts w:hint="eastAsia" w:ascii="宋体" w:hAnsi="宋体" w:cs="宋体"/>
          <w:bCs/>
          <w:sz w:val="24"/>
        </w:rPr>
        <w:t>未成交供应商的响应文件正本、成交供应商的响应文件正本及副本（两份）留存，其余响应文件副本和原件退还各供应商</w:t>
      </w:r>
      <w:r>
        <w:rPr>
          <w:rFonts w:hint="eastAsia" w:ascii="宋体" w:hAnsi="宋体" w:cs="宋体"/>
          <w:sz w:val="24"/>
          <w:szCs w:val="28"/>
        </w:rPr>
        <w:t>。</w:t>
      </w:r>
    </w:p>
    <w:p>
      <w:pPr>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（十）采购终止：</w:t>
      </w:r>
    </w:p>
    <w:p>
      <w:pPr>
        <w:tabs>
          <w:tab w:val="left" w:pos="945"/>
        </w:tabs>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rPr>
        <w:tab/>
      </w:r>
      <w:r>
        <w:rPr>
          <w:rFonts w:hint="eastAsia" w:ascii="宋体" w:hAnsi="宋体" w:cs="宋体"/>
          <w:bCs/>
          <w:sz w:val="24"/>
          <w:szCs w:val="24"/>
        </w:rPr>
        <w:t>因情况变化，不再符合规定的竞争性磋商采购方式适用情形的；</w:t>
      </w:r>
    </w:p>
    <w:p>
      <w:pPr>
        <w:tabs>
          <w:tab w:val="left" w:pos="945"/>
        </w:tabs>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rPr>
        <w:tab/>
      </w:r>
      <w:r>
        <w:rPr>
          <w:rFonts w:hint="eastAsia" w:ascii="宋体" w:hAnsi="宋体" w:cs="宋体"/>
          <w:bCs/>
          <w:sz w:val="24"/>
          <w:szCs w:val="24"/>
        </w:rPr>
        <w:t>出现影响采购公正的违法、违规行为的；</w:t>
      </w:r>
    </w:p>
    <w:p>
      <w:pPr>
        <w:tabs>
          <w:tab w:val="left" w:pos="945"/>
        </w:tabs>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rPr>
        <w:tab/>
      </w:r>
      <w:r>
        <w:rPr>
          <w:rFonts w:hint="eastAsia" w:ascii="宋体" w:hAnsi="宋体" w:cs="宋体"/>
          <w:bCs/>
          <w:sz w:val="24"/>
          <w:szCs w:val="24"/>
        </w:rPr>
        <w:t>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pPr>
        <w:tabs>
          <w:tab w:val="left" w:pos="945"/>
        </w:tabs>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rPr>
        <w:tab/>
      </w:r>
      <w:r>
        <w:rPr>
          <w:rFonts w:hint="eastAsia" w:ascii="宋体" w:hAnsi="宋体" w:cs="宋体"/>
          <w:bCs/>
          <w:sz w:val="24"/>
          <w:szCs w:val="24"/>
        </w:rPr>
        <w:t>在采购活动中因重大变故，采购任务取消的。</w:t>
      </w:r>
    </w:p>
    <w:p>
      <w:pPr>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（十一）磋商保证金：</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sz w:val="24"/>
        </w:rPr>
        <w:t>报价人报价前须按磋商文件规定递交磋商保证金，受理地点：</w:t>
      </w:r>
      <w:r>
        <w:rPr>
          <w:rFonts w:hint="eastAsia" w:ascii="宋体" w:hAnsi="宋体"/>
          <w:sz w:val="24"/>
          <w:lang w:eastAsia="zh-CN"/>
        </w:rPr>
        <w:t>普信国际工程咨询有限公司</w:t>
      </w:r>
      <w:r>
        <w:rPr>
          <w:rFonts w:hint="eastAsia" w:ascii="宋体" w:hAnsi="宋体"/>
          <w:sz w:val="24"/>
        </w:rPr>
        <w:t>；受理时间：法定工作日上午9：00-11：00；下午14：00-16：00，交纳时间以磋商保证金专用账户实际收到的时间为准，资金确认到帐后报价人方能凭银行进账单到</w:t>
      </w:r>
      <w:r>
        <w:rPr>
          <w:rFonts w:hint="eastAsia" w:ascii="宋体" w:hAnsi="宋体"/>
          <w:sz w:val="24"/>
          <w:lang w:eastAsia="zh-CN"/>
        </w:rPr>
        <w:t>普信国际工程咨询有限公司</w:t>
      </w:r>
      <w:r>
        <w:rPr>
          <w:rFonts w:hint="eastAsia" w:ascii="宋体" w:hAnsi="宋体"/>
          <w:sz w:val="24"/>
        </w:rPr>
        <w:t>换取《磋商保证金收据》。磋商保证金的有效期应为在报价有效期满后28天内继续有效。（友情提示：为确保磋商保证金能按时到帐，请各报价人按要求提前将磋商保证金汇入专用账户内以免造成投标无效。有疑问及时向代理机构联系，联系电话：</w:t>
      </w:r>
      <w:r>
        <w:rPr>
          <w:rFonts w:hint="eastAsia" w:ascii="宋体" w:hAnsi="宋体"/>
          <w:sz w:val="24"/>
          <w:lang w:val="en-US" w:eastAsia="zh-CN"/>
        </w:rPr>
        <w:t>13665110981/0510-82830057</w:t>
      </w:r>
      <w:r>
        <w:rPr>
          <w:rFonts w:hint="eastAsia" w:ascii="宋体" w:hAnsi="宋体"/>
          <w:sz w:val="24"/>
        </w:rPr>
        <w:t>）</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 2.磋商保证金可以使用以下形式支付，但不得使用现金支付：</w:t>
      </w:r>
    </w:p>
    <w:p>
      <w:pPr>
        <w:spacing w:line="360" w:lineRule="auto"/>
        <w:ind w:firstLine="480" w:firstLineChars="200"/>
        <w:rPr>
          <w:rFonts w:hint="eastAsia" w:ascii="宋体" w:hAnsi="宋体" w:cs="宋体"/>
          <w:bCs/>
          <w:sz w:val="24"/>
        </w:rPr>
      </w:pPr>
      <w:r>
        <w:rPr>
          <w:rFonts w:hint="eastAsia" w:ascii="宋体" w:hAnsi="宋体" w:cs="宋体"/>
          <w:bCs/>
          <w:sz w:val="24"/>
        </w:rPr>
        <w:t>（1） 银行汇票；</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（2） 银行本票； </w:t>
      </w:r>
    </w:p>
    <w:p>
      <w:pPr>
        <w:spacing w:line="360" w:lineRule="auto"/>
        <w:ind w:firstLine="480" w:firstLineChars="200"/>
        <w:rPr>
          <w:rFonts w:hint="eastAsia" w:ascii="宋体" w:hAnsi="宋体" w:cs="宋体"/>
          <w:bCs/>
          <w:sz w:val="24"/>
        </w:rPr>
      </w:pPr>
      <w:r>
        <w:rPr>
          <w:rFonts w:hint="eastAsia" w:ascii="宋体" w:hAnsi="宋体" w:cs="宋体"/>
          <w:bCs/>
          <w:sz w:val="24"/>
        </w:rPr>
        <w:t xml:space="preserve">（3） 转帐支票； </w:t>
      </w:r>
    </w:p>
    <w:p>
      <w:pPr>
        <w:spacing w:line="360" w:lineRule="auto"/>
        <w:ind w:firstLine="480" w:firstLineChars="200"/>
        <w:rPr>
          <w:rFonts w:hint="eastAsia" w:ascii="宋体" w:hAnsi="宋体" w:cs="宋体"/>
          <w:bCs/>
          <w:sz w:val="24"/>
        </w:rPr>
      </w:pPr>
      <w:r>
        <w:rPr>
          <w:rFonts w:hint="eastAsia" w:ascii="宋体" w:hAnsi="宋体" w:cs="宋体"/>
          <w:bCs/>
          <w:sz w:val="24"/>
        </w:rPr>
        <w:t>（4） 电汇；</w:t>
      </w:r>
    </w:p>
    <w:p>
      <w:pPr>
        <w:spacing w:line="360" w:lineRule="auto"/>
        <w:ind w:firstLine="480" w:firstLineChars="200"/>
        <w:rPr>
          <w:rFonts w:hint="eastAsia" w:ascii="宋体" w:hAnsi="宋体" w:cs="宋体"/>
          <w:bCs/>
          <w:sz w:val="24"/>
        </w:rPr>
      </w:pPr>
      <w:r>
        <w:rPr>
          <w:rFonts w:hint="eastAsia" w:ascii="宋体" w:hAnsi="宋体" w:cs="宋体"/>
          <w:bCs/>
          <w:sz w:val="24"/>
        </w:rPr>
        <w:t>（5）金融机构、担保机构出具的保函（如以金融机构、担保机构出具的保函等非现金形式提交，</w:t>
      </w:r>
      <w:r>
        <w:rPr>
          <w:rFonts w:hint="eastAsia" w:ascii="宋体" w:hAnsi="宋体" w:cs="宋体"/>
          <w:sz w:val="24"/>
        </w:rPr>
        <w:t>须以“供应商须知”第（十六）条要求为准</w:t>
      </w:r>
      <w:r>
        <w:rPr>
          <w:rFonts w:hint="eastAsia" w:ascii="宋体" w:hAnsi="宋体" w:cs="宋体"/>
          <w:bCs/>
          <w:sz w:val="24"/>
        </w:rPr>
        <w:t xml:space="preserve">）。 </w:t>
      </w:r>
    </w:p>
    <w:p>
      <w:pPr>
        <w:spacing w:line="360" w:lineRule="auto"/>
        <w:ind w:firstLine="480" w:firstLineChars="200"/>
        <w:rPr>
          <w:rFonts w:hint="eastAsia" w:ascii="宋体" w:hAnsi="宋体" w:cs="宋体"/>
          <w:bCs/>
          <w:sz w:val="24"/>
        </w:rPr>
      </w:pPr>
      <w:r>
        <w:rPr>
          <w:rFonts w:hint="eastAsia" w:ascii="宋体" w:hAnsi="宋体" w:cs="宋体"/>
          <w:bCs/>
          <w:sz w:val="24"/>
        </w:rPr>
        <w:t>3.对于未能按要求提交磋商担保的磋商，采购人将视为不响应磋商文件而予以拒绝。</w:t>
      </w:r>
    </w:p>
    <w:p>
      <w:pPr>
        <w:spacing w:line="360" w:lineRule="auto"/>
        <w:ind w:firstLine="480" w:firstLineChars="200"/>
        <w:rPr>
          <w:rFonts w:hint="eastAsia" w:ascii="宋体" w:hAnsi="宋体" w:cs="宋体"/>
          <w:bCs/>
          <w:sz w:val="24"/>
        </w:rPr>
      </w:pPr>
      <w:r>
        <w:rPr>
          <w:rFonts w:hint="eastAsia" w:ascii="宋体" w:hAnsi="宋体" w:cs="宋体"/>
          <w:bCs/>
          <w:sz w:val="24"/>
        </w:rPr>
        <w:t>4.磋商保证金必须以企业法人的名义提交磋商保证金，磋商保证金必须从企业的法人基本账户缴纳。以个人、企业的办事处、分公司、子公司名义或他人账户、供应商企业的其他账户缴纳的磋商保证金无效。不得使用经过背书转让的支票、银行本票、银行汇票。凡提供无法承兑的转账支票、银行汇票、银行本票或电汇支付不成功的供应商，视为没有实质性响应磋商文件的要求，一律作无效磋商处理；已经确定为成交人的，取消其成交人的资格，根据评标报告的排名先后顺序重新确定成交人。</w:t>
      </w:r>
    </w:p>
    <w:p>
      <w:pPr>
        <w:tabs>
          <w:tab w:val="right" w:pos="525"/>
          <w:tab w:val="left" w:pos="735"/>
        </w:tabs>
        <w:spacing w:line="360" w:lineRule="auto"/>
        <w:ind w:firstLine="480" w:firstLineChars="200"/>
        <w:rPr>
          <w:rFonts w:hint="eastAsia" w:ascii="宋体" w:hAnsi="宋体" w:cs="宋体"/>
          <w:bCs/>
          <w:sz w:val="24"/>
        </w:rPr>
      </w:pPr>
      <w:r>
        <w:rPr>
          <w:rFonts w:hint="eastAsia" w:ascii="宋体" w:hAnsi="宋体" w:cs="宋体"/>
          <w:bCs/>
          <w:sz w:val="24"/>
        </w:rPr>
        <w:t>5.如供应商在响应文件递交截止期后撤回磋商，则磋商保证金将作为违约金不予退还。</w:t>
      </w:r>
    </w:p>
    <w:p>
      <w:pPr>
        <w:tabs>
          <w:tab w:val="right" w:pos="525"/>
        </w:tabs>
        <w:spacing w:line="360" w:lineRule="auto"/>
        <w:ind w:firstLine="480" w:firstLineChars="200"/>
        <w:rPr>
          <w:rFonts w:hint="eastAsia" w:ascii="宋体" w:hAnsi="宋体" w:cs="宋体"/>
          <w:bCs/>
          <w:sz w:val="24"/>
        </w:rPr>
      </w:pPr>
      <w:r>
        <w:rPr>
          <w:rFonts w:hint="eastAsia" w:ascii="宋体" w:hAnsi="宋体" w:cs="宋体"/>
          <w:bCs/>
          <w:sz w:val="24"/>
        </w:rPr>
        <w:t>6.竞争性磋商活动结束后，未成交供应商应自行与采购代理机构联系办理磋商保证金退还事宜。</w:t>
      </w:r>
    </w:p>
    <w:p>
      <w:pPr>
        <w:tabs>
          <w:tab w:val="right" w:pos="525"/>
        </w:tabs>
        <w:spacing w:line="360" w:lineRule="auto"/>
        <w:ind w:firstLine="480" w:firstLineChars="200"/>
        <w:rPr>
          <w:rFonts w:hint="eastAsia" w:ascii="宋体" w:hAnsi="宋体" w:cs="宋体"/>
          <w:bCs/>
          <w:sz w:val="24"/>
        </w:rPr>
      </w:pPr>
      <w:r>
        <w:rPr>
          <w:rFonts w:hint="eastAsia" w:ascii="宋体" w:hAnsi="宋体" w:cs="宋体"/>
          <w:bCs/>
          <w:sz w:val="24"/>
        </w:rPr>
        <w:t>7.成交供应商的磋商保证金将在合同生效后5个工作日内无息退还。</w:t>
      </w:r>
    </w:p>
    <w:p>
      <w:pPr>
        <w:tabs>
          <w:tab w:val="right" w:pos="525"/>
        </w:tabs>
        <w:spacing w:line="360" w:lineRule="auto"/>
        <w:ind w:firstLine="480" w:firstLineChars="200"/>
        <w:rPr>
          <w:rFonts w:hint="eastAsia" w:ascii="宋体" w:hAnsi="宋体" w:cs="宋体"/>
          <w:bCs/>
          <w:sz w:val="24"/>
        </w:rPr>
      </w:pPr>
      <w:r>
        <w:rPr>
          <w:rFonts w:hint="eastAsia" w:ascii="宋体" w:hAnsi="宋体" w:cs="宋体"/>
          <w:bCs/>
          <w:sz w:val="24"/>
        </w:rPr>
        <w:t>8.成交供应商有下列情形之一的，采购人不予退还其交纳的磋商保证金；情节严重的，由财政部门将其列入不良行为记录名单，在一至三年内禁止参加政府采购活动，并予以通报：</w:t>
      </w:r>
    </w:p>
    <w:p>
      <w:pPr>
        <w:tabs>
          <w:tab w:val="left" w:pos="735"/>
          <w:tab w:val="left" w:pos="1365"/>
        </w:tabs>
        <w:spacing w:line="360" w:lineRule="auto"/>
        <w:ind w:firstLine="480" w:firstLineChars="200"/>
        <w:rPr>
          <w:rFonts w:hint="eastAsia" w:ascii="宋体" w:hAnsi="宋体" w:cs="宋体"/>
          <w:bCs/>
          <w:sz w:val="24"/>
        </w:rPr>
      </w:pPr>
      <w:r>
        <w:rPr>
          <w:rFonts w:hint="eastAsia" w:ascii="宋体" w:hAnsi="宋体" w:cs="宋体"/>
          <w:bCs/>
          <w:sz w:val="24"/>
        </w:rPr>
        <w:t>（1）成交后无正当理由不与采购人签订合同的；</w:t>
      </w:r>
    </w:p>
    <w:p>
      <w:pPr>
        <w:tabs>
          <w:tab w:val="left" w:pos="735"/>
          <w:tab w:val="left" w:pos="1365"/>
        </w:tabs>
        <w:spacing w:line="360" w:lineRule="auto"/>
        <w:ind w:firstLine="480" w:firstLineChars="200"/>
        <w:rPr>
          <w:rFonts w:hint="eastAsia" w:ascii="宋体" w:hAnsi="宋体" w:cs="宋体"/>
          <w:bCs/>
          <w:sz w:val="24"/>
        </w:rPr>
      </w:pPr>
      <w:r>
        <w:rPr>
          <w:rFonts w:hint="eastAsia" w:ascii="宋体" w:hAnsi="宋体" w:cs="宋体"/>
          <w:bCs/>
          <w:sz w:val="24"/>
        </w:rPr>
        <w:t>（2）将成交项目转让给他人，或者在报价文件中未说明，且未经过采购人同意，将成交项目分包给他人的；</w:t>
      </w:r>
    </w:p>
    <w:p>
      <w:pPr>
        <w:tabs>
          <w:tab w:val="left" w:pos="735"/>
          <w:tab w:val="left" w:pos="945"/>
          <w:tab w:val="left" w:pos="1155"/>
        </w:tabs>
        <w:spacing w:line="360" w:lineRule="auto"/>
        <w:ind w:firstLine="480" w:firstLineChars="200"/>
        <w:rPr>
          <w:rFonts w:hint="eastAsia" w:ascii="宋体" w:hAnsi="宋体" w:cs="宋体"/>
          <w:bCs/>
          <w:sz w:val="24"/>
          <w:szCs w:val="24"/>
        </w:rPr>
      </w:pPr>
      <w:r>
        <w:rPr>
          <w:rFonts w:hint="eastAsia" w:ascii="宋体" w:hAnsi="宋体" w:cs="宋体"/>
          <w:bCs/>
          <w:sz w:val="24"/>
        </w:rPr>
        <w:t>（3）拒绝履行合同义务的。</w:t>
      </w:r>
    </w:p>
    <w:p>
      <w:pPr>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（十二）成交无效的确认：</w:t>
      </w:r>
    </w:p>
    <w:p>
      <w:pPr>
        <w:numPr>
          <w:ilvl w:val="0"/>
          <w:numId w:val="17"/>
        </w:numPr>
        <w:tabs>
          <w:tab w:val="left" w:pos="420"/>
          <w:tab w:val="left" w:pos="945"/>
          <w:tab w:val="left" w:pos="1155"/>
          <w:tab w:val="clear" w:pos="1854"/>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提供虚假材料谋取中标的；</w:t>
      </w:r>
    </w:p>
    <w:p>
      <w:pPr>
        <w:numPr>
          <w:ilvl w:val="0"/>
          <w:numId w:val="17"/>
        </w:numPr>
        <w:tabs>
          <w:tab w:val="left" w:pos="420"/>
          <w:tab w:val="left" w:pos="945"/>
          <w:tab w:val="left" w:pos="1155"/>
          <w:tab w:val="clear" w:pos="1854"/>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采取不正当手段诋毁、排挤其他供应商的；</w:t>
      </w:r>
    </w:p>
    <w:p>
      <w:pPr>
        <w:numPr>
          <w:ilvl w:val="0"/>
          <w:numId w:val="17"/>
        </w:numPr>
        <w:tabs>
          <w:tab w:val="left" w:pos="420"/>
          <w:tab w:val="left" w:pos="945"/>
          <w:tab w:val="left" w:pos="1155"/>
          <w:tab w:val="clear" w:pos="1854"/>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与招标采购单位、其他供应商恶意串通的；</w:t>
      </w:r>
    </w:p>
    <w:p>
      <w:pPr>
        <w:numPr>
          <w:ilvl w:val="2"/>
          <w:numId w:val="8"/>
        </w:numPr>
        <w:tabs>
          <w:tab w:val="left" w:pos="420"/>
          <w:tab w:val="left" w:pos="945"/>
          <w:tab w:val="left" w:pos="1155"/>
          <w:tab w:val="clear" w:pos="1140"/>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向招标采购单位行贿或者提供其他不正当利益的；</w:t>
      </w:r>
    </w:p>
    <w:p>
      <w:pPr>
        <w:numPr>
          <w:ilvl w:val="2"/>
          <w:numId w:val="8"/>
        </w:numPr>
        <w:tabs>
          <w:tab w:val="left" w:pos="420"/>
          <w:tab w:val="left" w:pos="945"/>
          <w:tab w:val="left" w:pos="1155"/>
          <w:tab w:val="clear" w:pos="1140"/>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在招标过程中与招标采购单位进行协商谈判、不按照磋商文件和成交供应商的响应文件订立合同，或者与采购人另行订立背离合同实质性内容的协议的；</w:t>
      </w:r>
    </w:p>
    <w:p>
      <w:pPr>
        <w:numPr>
          <w:ilvl w:val="2"/>
          <w:numId w:val="8"/>
        </w:numPr>
        <w:tabs>
          <w:tab w:val="left" w:pos="420"/>
          <w:tab w:val="left" w:pos="945"/>
          <w:tab w:val="left" w:pos="1155"/>
          <w:tab w:val="clear" w:pos="1140"/>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拒绝有关部门监督检查或者提供虚假情况的。</w:t>
      </w:r>
    </w:p>
    <w:p>
      <w:pPr>
        <w:tabs>
          <w:tab w:val="left" w:pos="945"/>
        </w:tabs>
        <w:spacing w:line="360" w:lineRule="auto"/>
        <w:ind w:firstLine="480" w:firstLineChars="200"/>
        <w:rPr>
          <w:rFonts w:hint="eastAsia" w:ascii="宋体" w:hAnsi="宋体" w:cs="宋体"/>
          <w:bCs/>
          <w:sz w:val="24"/>
          <w:szCs w:val="24"/>
        </w:rPr>
      </w:pPr>
      <w:r>
        <w:rPr>
          <w:rFonts w:hint="eastAsia" w:ascii="宋体" w:hAnsi="宋体" w:cs="宋体"/>
          <w:bCs/>
          <w:sz w:val="24"/>
          <w:szCs w:val="24"/>
        </w:rPr>
        <w:t>供应商有上述（1）至（5）项情形之一的，成交无效。有上述（1）至（6）项情形之一的，处以政府采购项目成交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（十三）签订、履行合同：</w:t>
      </w:r>
    </w:p>
    <w:p>
      <w:pPr>
        <w:numPr>
          <w:ilvl w:val="0"/>
          <w:numId w:val="18"/>
        </w:numPr>
        <w:tabs>
          <w:tab w:val="left" w:pos="0"/>
          <w:tab w:val="left" w:pos="900"/>
        </w:tabs>
        <w:spacing w:line="360" w:lineRule="auto"/>
        <w:ind w:firstLine="480" w:firstLineChars="200"/>
        <w:rPr>
          <w:rFonts w:hint="eastAsia" w:ascii="宋体" w:hAnsi="宋体" w:cs="宋体"/>
          <w:sz w:val="24"/>
          <w:szCs w:val="28"/>
        </w:rPr>
      </w:pPr>
      <w:r>
        <w:rPr>
          <w:rFonts w:hint="eastAsia" w:ascii="宋体" w:hAnsi="宋体" w:cs="宋体"/>
          <w:sz w:val="24"/>
          <w:szCs w:val="28"/>
        </w:rPr>
        <w:t>采购人应当自成交通知书发出之日起三十日内，按照磋商文件和成交供应商响应文件的约定，与成交供应商签订书面合同。所签订的合同不得对磋商文件和成交供应商响应文件作实质性修改。采购人不得向成交供应商提出任何不合理的要求，作为签订合同的条件，不得与成交供应商私下订立背离合同实质性内容的协议。合同经普信国际工程咨询有限公司见证后生效。</w:t>
      </w:r>
    </w:p>
    <w:p>
      <w:pPr>
        <w:numPr>
          <w:ilvl w:val="0"/>
          <w:numId w:val="18"/>
        </w:numPr>
        <w:tabs>
          <w:tab w:val="left" w:pos="0"/>
          <w:tab w:val="left" w:pos="900"/>
        </w:tabs>
        <w:spacing w:line="360" w:lineRule="auto"/>
        <w:ind w:firstLine="480" w:firstLineChars="200"/>
        <w:rPr>
          <w:rFonts w:hint="eastAsia" w:ascii="宋体" w:hAnsi="宋体" w:cs="宋体"/>
          <w:sz w:val="24"/>
          <w:szCs w:val="28"/>
        </w:rPr>
      </w:pPr>
      <w:r>
        <w:rPr>
          <w:rFonts w:hint="eastAsia" w:ascii="宋体" w:hAnsi="宋体" w:cs="宋体"/>
          <w:sz w:val="24"/>
          <w:szCs w:val="28"/>
        </w:rPr>
        <w:t>普信国际工程咨询有限公司监督合同的履行。成交方非因不可抗力未履行磋商文件、响应文件和合同规定的义务，一经查实，采购代理机构将根据具体情况提请政府采购监督管理部门作出相应处理。</w:t>
      </w:r>
    </w:p>
    <w:p>
      <w:pPr>
        <w:numPr>
          <w:ilvl w:val="0"/>
          <w:numId w:val="18"/>
        </w:numPr>
        <w:spacing w:line="360" w:lineRule="auto"/>
        <w:ind w:firstLine="480" w:firstLineChars="200"/>
        <w:rPr>
          <w:rFonts w:hint="eastAsia" w:ascii="宋体" w:hAnsi="宋体" w:cs="宋体"/>
          <w:bCs/>
          <w:sz w:val="24"/>
          <w:szCs w:val="24"/>
        </w:rPr>
      </w:pPr>
      <w:r>
        <w:rPr>
          <w:rFonts w:hint="eastAsia" w:ascii="宋体" w:hAnsi="宋体" w:cs="宋体"/>
          <w:bCs/>
          <w:sz w:val="24"/>
        </w:rPr>
        <w:t>成交供应商须自成交通知书发出之日起十日内向采购人交纳成交合同总金额10%的履约保证金证。履约保证金应该以支票、汇票、本票或者金融机构、担保机构出具保函等非现金形式提交。履约保证金在本项目验收合格并按相关规定扣除处罚款后退还，不计利息</w:t>
      </w:r>
      <w:r>
        <w:rPr>
          <w:rFonts w:hint="eastAsia" w:ascii="宋体" w:hAnsi="宋体" w:cs="宋体"/>
          <w:sz w:val="24"/>
          <w:szCs w:val="28"/>
        </w:rPr>
        <w:t>。</w:t>
      </w:r>
    </w:p>
    <w:p>
      <w:pPr>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（十四）中标服务费：</w:t>
      </w:r>
    </w:p>
    <w:p>
      <w:pPr>
        <w:tabs>
          <w:tab w:val="left" w:pos="1050"/>
        </w:tabs>
        <w:spacing w:line="360" w:lineRule="auto"/>
        <w:ind w:firstLine="480" w:firstLineChars="200"/>
        <w:rPr>
          <w:rFonts w:hint="eastAsia" w:ascii="宋体" w:hAnsi="宋体" w:cs="宋体"/>
          <w:bCs/>
          <w:sz w:val="24"/>
        </w:rPr>
      </w:pPr>
      <w:r>
        <w:rPr>
          <w:rFonts w:hint="eastAsia" w:ascii="宋体" w:hAnsi="宋体" w:cs="宋体"/>
          <w:bCs/>
          <w:sz w:val="24"/>
        </w:rPr>
        <w:t>1.成交供应商在领取成交通知书时支付采购代理服务费。采购代理服务费</w:t>
      </w:r>
      <w:r>
        <w:rPr>
          <w:rFonts w:hint="eastAsia" w:ascii="宋体" w:hAnsi="宋体" w:cs="宋体"/>
          <w:bCs/>
          <w:sz w:val="24"/>
          <w:lang w:val="en-US" w:eastAsia="zh-CN"/>
        </w:rPr>
        <w:t>为29.2080万元</w:t>
      </w:r>
      <w:r>
        <w:rPr>
          <w:rFonts w:hint="eastAsia" w:ascii="宋体" w:hAnsi="宋体" w:cs="宋体"/>
          <w:bCs/>
          <w:sz w:val="24"/>
        </w:rPr>
        <w:t>，报价供应商自行考虑进报价。</w:t>
      </w:r>
    </w:p>
    <w:p>
      <w:pPr>
        <w:spacing w:line="360" w:lineRule="auto"/>
        <w:ind w:firstLine="480" w:firstLineChars="200"/>
        <w:rPr>
          <w:rFonts w:hint="eastAsia" w:ascii="宋体" w:hAnsi="宋体" w:cs="宋体"/>
          <w:sz w:val="24"/>
          <w:shd w:val="clear" w:color="auto" w:fill="FFFFFF"/>
        </w:rPr>
      </w:pPr>
      <w:r>
        <w:rPr>
          <w:rFonts w:hint="eastAsia" w:ascii="宋体" w:hAnsi="宋体" w:cs="宋体"/>
          <w:bCs/>
          <w:sz w:val="24"/>
        </w:rPr>
        <w:t>2.领取成交通知书时成交供应商</w:t>
      </w:r>
      <w:r>
        <w:rPr>
          <w:rFonts w:hint="eastAsia" w:ascii="宋体" w:hAnsi="宋体" w:cs="宋体"/>
          <w:sz w:val="24"/>
          <w:shd w:val="clear" w:color="auto" w:fill="FFFFFF"/>
        </w:rPr>
        <w:t>向采购代理机构一次性付清。</w:t>
      </w:r>
    </w:p>
    <w:p>
      <w:pPr>
        <w:spacing w:line="360" w:lineRule="auto"/>
        <w:ind w:firstLine="480" w:firstLineChars="200"/>
        <w:rPr>
          <w:rFonts w:hint="eastAsia" w:ascii="宋体" w:hAnsi="宋体" w:cs="宋体"/>
          <w:bCs/>
          <w:sz w:val="24"/>
          <w:szCs w:val="24"/>
          <w:highlight w:val="yellow"/>
        </w:rPr>
      </w:pPr>
      <w:r>
        <w:rPr>
          <w:rFonts w:hint="eastAsia" w:ascii="宋体" w:hAnsi="宋体" w:cs="宋体"/>
          <w:sz w:val="24"/>
        </w:rPr>
        <w:t>3.成交供应商如果未按规定缴纳采购代理服务费,采购代理机构将没收其磋商保证金,并保留诉讼的权利。</w:t>
      </w:r>
    </w:p>
    <w:p>
      <w:pPr>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（十五）政府采购信用担保：</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政府采购信用担保，是由专业担保机构为供应商向采购人、代理机构、金融机构提供的保证，主要包括磋商担保、履约担保、融资担保三种形式。供应商可以根据自身情况，自行决定是否选择采用该三种信用担保形式。</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1.磋商担保</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磋商担保，是指由专业担保机构为供应商履行支付磋商保证金的义务向采购人或者采购代理机构提供的保证担保。专业担保机构对供应商进行资信审查后出具磋商担保函，供应商在磋商有效期内发生撤回响应文件，或中标后因自身原因不签署政府采购合同等行为而应实际支付保证金的，由专业担保机构按照担保函的约定履行担保责任。供应商可以自愿选择是否采取磋商担保函的形式交纳磋商保证金。政府采购磋商担保函格式见附件一。</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2.履约担保</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履约担保，是指由专业担保机构为供应商支付履约保证金的义务向采购人提供的保证担保。专业担保机构根据中标供应商的中标、成交通知书为凭据，进行资信审查后出具履约担保函；供应商未按政府采购合同履行约定义务而应实际支付保证金的，由专业担保机构按照担保函约定履行担保责任。供应商可以自愿选择是否采取履约担保函的形式交纳履约保证金。政府采购履约担保函格式见附件二。</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3.融资担保</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成交通知书和政府采购合同作为抵押凭据直接向银行贷款，或通过担保公司担保后向银行贷款，解决政府采购中标、成交的中小企业在履行合同过程中的资金困难。</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4.政府采购信用担保合作担保机构和信用融资合作银行</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中标供应商可以根据自身情况，自行决定是否选择采用磋商、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为无锡市政府采购信用融资合作银行）可以在无锡市范围内依法开展政府采购信用担保融资业务。</w:t>
      </w:r>
    </w:p>
    <w:p>
      <w:pPr>
        <w:tabs>
          <w:tab w:val="left" w:pos="846"/>
          <w:tab w:val="left" w:pos="1050"/>
        </w:tabs>
        <w:spacing w:before="93" w:beforeLines="30" w:after="93" w:afterLines="30" w:line="360" w:lineRule="auto"/>
        <w:ind w:firstLine="480" w:firstLineChars="200"/>
        <w:rPr>
          <w:rFonts w:hint="eastAsia" w:ascii="宋体" w:hAnsi="宋体" w:cs="宋体"/>
          <w:sz w:val="24"/>
        </w:rPr>
      </w:pPr>
      <w:r>
        <w:rPr>
          <w:rFonts w:hint="eastAsia" w:ascii="宋体" w:hAnsi="宋体" w:cs="宋体"/>
          <w:sz w:val="24"/>
        </w:rPr>
        <w:t>5.合作担保机构及银行出具的磋商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jc w:val="center"/>
        <w:rPr>
          <w:rFonts w:hint="default" w:ascii="宋体" w:hAnsi="宋体" w:eastAsia="宋体" w:cs="宋体"/>
          <w:bCs/>
          <w:sz w:val="30"/>
          <w:szCs w:val="30"/>
          <w:lang w:val="en-US" w:eastAsia="zh-CN"/>
        </w:rPr>
      </w:pPr>
      <w:bookmarkStart w:id="3" w:name="四．合同书"/>
      <w:bookmarkEnd w:id="3"/>
      <w:bookmarkStart w:id="4" w:name="三．项目技术配置和有关说明"/>
      <w:bookmarkEnd w:id="4"/>
      <w:r>
        <w:rPr>
          <w:rFonts w:hint="eastAsia" w:ascii="宋体" w:hAnsi="宋体" w:cs="宋体"/>
          <w:bCs/>
          <w:sz w:val="30"/>
          <w:szCs w:val="30"/>
        </w:rPr>
        <w:br w:type="page"/>
      </w:r>
      <w:r>
        <w:rPr>
          <w:rFonts w:hint="eastAsia" w:ascii="宋体" w:hAnsi="宋体" w:cs="宋体"/>
          <w:bCs/>
          <w:sz w:val="30"/>
          <w:szCs w:val="30"/>
          <w:lang w:eastAsia="zh-CN"/>
        </w:rPr>
        <w:t>第三部分</w:t>
      </w:r>
      <w:r>
        <w:rPr>
          <w:rFonts w:hint="eastAsia" w:ascii="宋体" w:hAnsi="宋体" w:cs="宋体"/>
          <w:bCs/>
          <w:sz w:val="30"/>
          <w:szCs w:val="30"/>
          <w:lang w:val="en-US" w:eastAsia="zh-CN"/>
        </w:rPr>
        <w:t xml:space="preserve">  采购需求</w:t>
      </w:r>
    </w:p>
    <w:p>
      <w:pPr>
        <w:rPr>
          <w:rFonts w:ascii="宋体" w:hAnsi="宋体" w:cs="Arial"/>
          <w:b/>
          <w:color w:val="000000"/>
          <w:kern w:val="0"/>
          <w:sz w:val="24"/>
          <w:szCs w:val="24"/>
        </w:rPr>
      </w:pPr>
      <w:r>
        <w:rPr>
          <w:rFonts w:hint="eastAsia" w:ascii="宋体" w:hAnsi="宋体" w:cs="Arial"/>
          <w:b/>
          <w:color w:val="000000"/>
          <w:kern w:val="0"/>
          <w:sz w:val="24"/>
          <w:szCs w:val="24"/>
        </w:rPr>
        <w:t>一、采购标的需实现的功能或者目标，以及为落实政府采购政策需满足的要求：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（一）釆购标的需实现的功能或者目标无锡市锡东生活垃圾焚烧发电厂(一期)项目特许经营权，</w:t>
      </w:r>
      <w:bookmarkStart w:id="5" w:name="bookmark4"/>
      <w:bookmarkEnd w:id="5"/>
      <w:r>
        <w:rPr>
          <w:rFonts w:hint="eastAsia" w:ascii="宋体" w:hAnsi="宋体" w:cs="宋体"/>
          <w:color w:val="000000"/>
          <w:sz w:val="24"/>
          <w:szCs w:val="24"/>
        </w:rPr>
        <w:t>项目位于锡山区东港镇黄土塘村，本项目采用特许经营模式运作。</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（二）执行《政府采购促进中小企业发展暂行办法》(财库</w:t>
      </w:r>
      <w:r>
        <w:rPr>
          <w:rFonts w:hint="eastAsia" w:ascii="宋体" w:hAnsi="宋体" w:cs="宋体"/>
          <w:color w:val="000000"/>
          <w:sz w:val="24"/>
          <w:szCs w:val="24"/>
          <w:lang w:eastAsia="en-US"/>
        </w:rPr>
        <w:t xml:space="preserve">[2011] </w:t>
      </w:r>
      <w:r>
        <w:rPr>
          <w:rFonts w:hint="eastAsia" w:ascii="宋体" w:hAnsi="宋体" w:cs="宋体"/>
          <w:color w:val="000000"/>
          <w:sz w:val="24"/>
          <w:szCs w:val="24"/>
        </w:rPr>
        <w:t>181号)第五条规定，对小型和微型企业产品的价格给予10%的扣除，用扣除后的价格参与评审。执行《关于政府釆购支持监狱企业发展有关问题的通知》(财库[2014]68)第二条规定，监狱企业视同小型、微型企业，享受预留份额、评审中价格扣除等政府釆购促进中小企业发展的政府釆购政策。执行《财政部、民政部、中国残疾人联合会关于促进残疾人就业政府采购政策的通知》(财库(2017) 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p>
    <w:p>
      <w:pPr>
        <w:rPr>
          <w:rFonts w:ascii="宋体" w:hAnsi="宋体"/>
          <w:sz w:val="24"/>
          <w:szCs w:val="24"/>
        </w:rPr>
      </w:pPr>
      <w:r>
        <w:rPr>
          <w:rFonts w:hint="eastAsia" w:ascii="宋体" w:hAnsi="宋体"/>
          <w:b/>
          <w:color w:val="000000"/>
          <w:sz w:val="24"/>
          <w:szCs w:val="24"/>
        </w:rPr>
        <w:t>二、采购标的需执行的国家相关标准、行业标准：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烟气排放采用“SNCR+机械旋转喷雾半干法脱酸+消石灰烟道喷射干法脱酸+活性炭吸附+布袋除尘”，</w:t>
      </w:r>
      <w:r>
        <w:rPr>
          <w:rFonts w:hint="eastAsia" w:ascii="宋体" w:hAnsi="宋体" w:cs="宋体"/>
          <w:sz w:val="24"/>
          <w:szCs w:val="24"/>
        </w:rPr>
        <w:t>满足欧盟2010排放</w:t>
      </w:r>
      <w:r>
        <w:rPr>
          <w:rFonts w:hint="eastAsia" w:ascii="宋体" w:hAnsi="宋体" w:cs="宋体"/>
          <w:color w:val="000000"/>
          <w:sz w:val="24"/>
          <w:szCs w:val="24"/>
        </w:rPr>
        <w:t>标准和《生活垃圾焚烧污染控制标准》(GB18485-2014)</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《污水排放综合标准》（GB8978-1996）</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《生活垃圾填埋场污染控制标准》（GB16889-2008）</w:t>
      </w:r>
    </w:p>
    <w:p>
      <w:pPr>
        <w:rPr>
          <w:rFonts w:ascii="宋体" w:hAnsi="宋体"/>
          <w:sz w:val="24"/>
          <w:szCs w:val="24"/>
        </w:rPr>
      </w:pPr>
      <w:r>
        <w:rPr>
          <w:rFonts w:hint="eastAsia" w:ascii="宋体" w:hAnsi="宋体"/>
          <w:b/>
          <w:color w:val="000000"/>
          <w:sz w:val="24"/>
          <w:szCs w:val="24"/>
        </w:rPr>
        <w:t>三、采购标的需满足的质量、安全、技术规格、物理特性等要求：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（一）质量要求：完全符合采购文件各项要求。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（二）安全要求：安全要求应满足国家相关法律法规的要求，无安全责任事故，且不留安全隐患。</w:t>
      </w:r>
    </w:p>
    <w:p>
      <w:pPr>
        <w:numPr>
          <w:ilvl w:val="0"/>
          <w:numId w:val="19"/>
        </w:numPr>
        <w:rPr>
          <w:rFonts w:hint="eastAsia" w:ascii="宋体" w:hAnsi="宋体"/>
          <w:b/>
          <w:color w:val="000000"/>
          <w:sz w:val="24"/>
          <w:szCs w:val="24"/>
        </w:rPr>
      </w:pPr>
      <w:r>
        <w:rPr>
          <w:rFonts w:hint="eastAsia" w:ascii="宋体" w:hAnsi="宋体"/>
          <w:b/>
          <w:color w:val="000000"/>
          <w:sz w:val="24"/>
          <w:szCs w:val="24"/>
        </w:rPr>
        <w:t>采购标的的数量、采购项目交付或者实施的时间和地点：</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（一）釆购标的的数量：主要处理无锡市区的生活垃圾，包括梁溪区、滨湖区、经开区、惠山区、锡山区、新吴区</w:t>
      </w:r>
      <w:r>
        <w:rPr>
          <w:rFonts w:hint="eastAsia" w:ascii="宋体" w:hAnsi="宋体" w:cs="宋体"/>
          <w:color w:val="000000"/>
          <w:sz w:val="24"/>
          <w:szCs w:val="24"/>
          <w:lang w:val="en-US" w:eastAsia="zh-CN"/>
        </w:rPr>
        <w:t>6</w:t>
      </w:r>
      <w:r>
        <w:rPr>
          <w:rFonts w:hint="eastAsia" w:ascii="宋体" w:hAnsi="宋体" w:cs="宋体"/>
          <w:color w:val="000000"/>
          <w:sz w:val="24"/>
          <w:szCs w:val="24"/>
        </w:rPr>
        <w:t>个区，生活垃圾主要包括居民生活垃圾、商业垃圾、集市贸易市场垃圾、街道清扫垃圾、公共场所生活垃圾和机关、学校、工厂等单位的生活垃圾。设计处理生活垃圾能力2000吨/天；配备四台500t/d的机械炉排焚烧炉，两台18MW凝汽式汽轮机，两台20MW发电机。</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（二）项目合作期：自签订《特许经营协议》之日起30年。</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（三）实施地点：锡山区东港镇黄土塘村。</w:t>
      </w:r>
    </w:p>
    <w:p>
      <w:pPr>
        <w:rPr>
          <w:rFonts w:hint="eastAsia" w:ascii="宋体" w:hAnsi="宋体"/>
          <w:b/>
          <w:color w:val="000000"/>
          <w:sz w:val="24"/>
          <w:szCs w:val="24"/>
        </w:rPr>
      </w:pPr>
      <w:r>
        <w:rPr>
          <w:rFonts w:hint="eastAsia" w:ascii="宋体" w:hAnsi="宋体"/>
          <w:b/>
          <w:color w:val="000000"/>
          <w:sz w:val="24"/>
          <w:szCs w:val="24"/>
        </w:rPr>
        <w:t>五、采购标的需满足的服务标准、期限、效率等要求：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eastAsia="en-US"/>
        </w:rPr>
        <w:t>（</w:t>
      </w:r>
      <w:r>
        <w:rPr>
          <w:rFonts w:hint="eastAsia" w:ascii="宋体" w:hAnsi="宋体" w:cs="宋体"/>
          <w:color w:val="000000"/>
          <w:sz w:val="24"/>
          <w:szCs w:val="24"/>
        </w:rPr>
        <w:t>一）执行国家现行的有关规定及标准，并满足釆购人的要求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（二）服务期限：自签订《特许经营协议》之日起30年</w:t>
      </w:r>
    </w:p>
    <w:p>
      <w:pPr>
        <w:spacing w:line="360" w:lineRule="auto"/>
        <w:ind w:firstLine="480" w:firstLineChars="200"/>
        <w:rPr>
          <w:rFonts w:hint="eastAsia" w:ascii="宋体" w:hAnsi="宋体" w:cs="宋体"/>
          <w:color w:val="000000"/>
          <w:szCs w:val="21"/>
        </w:rPr>
      </w:pPr>
      <w:r>
        <w:rPr>
          <w:rFonts w:hint="eastAsia" w:ascii="宋体" w:hAnsi="宋体" w:cs="宋体"/>
          <w:color w:val="000000"/>
          <w:sz w:val="24"/>
          <w:szCs w:val="24"/>
        </w:rPr>
        <w:t>（三）服务效率：满足釆购人要求。</w:t>
      </w:r>
    </w:p>
    <w:p>
      <w:pPr>
        <w:numPr>
          <w:ilvl w:val="0"/>
          <w:numId w:val="20"/>
        </w:numPr>
        <w:rPr>
          <w:rFonts w:hint="eastAsia" w:ascii="宋体" w:hAnsi="宋体"/>
          <w:b/>
          <w:color w:val="000000"/>
          <w:sz w:val="24"/>
          <w:szCs w:val="24"/>
        </w:rPr>
      </w:pPr>
      <w:r>
        <w:rPr>
          <w:rFonts w:hint="eastAsia" w:ascii="宋体" w:hAnsi="宋体"/>
          <w:b/>
          <w:color w:val="000000"/>
          <w:sz w:val="24"/>
          <w:szCs w:val="24"/>
        </w:rPr>
        <w:t>采购标的验收标准：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烟气排放采用“SNCR+机械旋转喷雾半干法脱酸+消石灰烟道喷射干法脱酸+活性炭吸附+布袋除尘”，满足欧盟2010排放标准和《生活垃圾焚烧污染控制标准》(GB18485-2014)。</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渗滤液处理满足《污水排放综合标准》（GB8978-1996）中的三级排放标准后排入锡山区东港污水处理厂再处理。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飞灰在厂内经水泥+螯合固化处理后，满足《生活垃圾填埋场污染控制标准》（GB16889-2008）中6.3条的要求运输至政府指定的填埋场，运输费用由项目公司承担，填埋费用由政府承担。</w:t>
      </w:r>
    </w:p>
    <w:p>
      <w:pPr>
        <w:numPr>
          <w:ilvl w:val="0"/>
          <w:numId w:val="20"/>
        </w:numPr>
        <w:rPr>
          <w:rFonts w:hint="eastAsia" w:ascii="宋体" w:hAnsi="宋体"/>
          <w:b/>
          <w:bCs w:val="0"/>
          <w:color w:val="000000"/>
          <w:sz w:val="24"/>
          <w:szCs w:val="24"/>
        </w:rPr>
      </w:pPr>
      <w:r>
        <w:rPr>
          <w:rFonts w:hint="eastAsia" w:ascii="宋体" w:hAnsi="宋体"/>
          <w:b/>
          <w:bCs w:val="0"/>
          <w:color w:val="000000"/>
          <w:sz w:val="24"/>
          <w:szCs w:val="24"/>
        </w:rPr>
        <w:t>采购标的的其他技术、服务等要求：</w:t>
      </w:r>
    </w:p>
    <w:p>
      <w:pPr>
        <w:pStyle w:val="2"/>
        <w:numPr>
          <w:ilvl w:val="-1"/>
          <w:numId w:val="0"/>
        </w:numPr>
        <w:ind w:left="0" w:firstLine="0"/>
        <w:rPr>
          <w:rFonts w:hint="default" w:eastAsia="宋体"/>
          <w:lang w:val="en-US" w:eastAsia="zh-CN"/>
        </w:rPr>
      </w:pPr>
      <w:r>
        <w:rPr>
          <w:rFonts w:hint="eastAsia"/>
          <w:lang w:val="en-US" w:eastAsia="zh-CN"/>
        </w:rPr>
        <w:t xml:space="preserve">     </w:t>
      </w:r>
      <w:r>
        <w:rPr>
          <w:rFonts w:hint="eastAsia" w:ascii="宋体" w:hAnsi="宋体" w:cs="宋体"/>
          <w:sz w:val="24"/>
          <w:szCs w:val="24"/>
          <w:lang w:eastAsia="zh-CN"/>
        </w:rPr>
        <w:t>接收原特许经营者单位的</w:t>
      </w:r>
      <w:r>
        <w:rPr>
          <w:rFonts w:hint="eastAsia" w:ascii="宋体" w:hAnsi="宋体" w:cs="宋体"/>
          <w:sz w:val="24"/>
          <w:szCs w:val="24"/>
          <w:lang w:val="en-US" w:eastAsia="zh-CN"/>
        </w:rPr>
        <w:t>17名员工，并办理录用手续，确保本项目的连续、稳定运营。</w:t>
      </w:r>
    </w:p>
    <w:p>
      <w:pPr>
        <w:widowControl/>
        <w:spacing w:line="360" w:lineRule="auto"/>
        <w:jc w:val="left"/>
        <w:rPr>
          <w:rFonts w:hint="eastAsia" w:ascii="宋体" w:hAnsi="宋体"/>
          <w:spacing w:val="10"/>
          <w:sz w:val="24"/>
          <w:szCs w:val="24"/>
        </w:rPr>
      </w:pPr>
      <w:r>
        <w:rPr>
          <w:rFonts w:hint="eastAsia" w:ascii="宋体" w:hAnsi="宋体"/>
          <w:spacing w:val="10"/>
          <w:sz w:val="24"/>
          <w:szCs w:val="24"/>
        </w:rPr>
        <w:t xml:space="preserve">  </w:t>
      </w:r>
    </w:p>
    <w:p>
      <w:pPr>
        <w:tabs>
          <w:tab w:val="left" w:pos="846"/>
          <w:tab w:val="left" w:pos="1050"/>
        </w:tabs>
        <w:spacing w:before="93" w:beforeLines="30" w:after="93" w:afterLines="30" w:line="360" w:lineRule="auto"/>
        <w:ind w:left="479" w:leftChars="228"/>
        <w:rPr>
          <w:rFonts w:hint="eastAsia" w:ascii="宋体" w:hAnsi="宋体" w:cs="宋体"/>
          <w:sz w:val="24"/>
          <w:szCs w:val="22"/>
        </w:rPr>
      </w:pPr>
    </w:p>
    <w:p>
      <w:pPr>
        <w:tabs>
          <w:tab w:val="left" w:pos="846"/>
          <w:tab w:val="left" w:pos="1050"/>
        </w:tabs>
        <w:spacing w:before="93" w:beforeLines="30" w:after="93" w:afterLines="30" w:line="360" w:lineRule="auto"/>
        <w:ind w:firstLine="480" w:firstLineChars="200"/>
        <w:rPr>
          <w:rFonts w:hint="eastAsia" w:ascii="宋体" w:hAnsi="宋体" w:cs="宋体"/>
          <w:sz w:val="24"/>
          <w:szCs w:val="22"/>
        </w:rPr>
      </w:pPr>
    </w:p>
    <w:p>
      <w:pPr>
        <w:spacing w:line="360" w:lineRule="auto"/>
        <w:jc w:val="center"/>
        <w:rPr>
          <w:rFonts w:hint="eastAsia" w:ascii="宋体" w:hAnsi="宋体" w:cs="宋体"/>
          <w:b/>
          <w:sz w:val="44"/>
          <w:szCs w:val="44"/>
        </w:rPr>
      </w:pPr>
      <w:r>
        <w:rPr>
          <w:rFonts w:hint="eastAsia" w:ascii="宋体" w:hAnsi="宋体" w:cs="宋体"/>
          <w:bCs/>
          <w:sz w:val="28"/>
          <w:szCs w:val="28"/>
        </w:rPr>
        <w:br w:type="page"/>
      </w:r>
      <w:r>
        <w:rPr>
          <w:rFonts w:hint="eastAsia" w:ascii="宋体" w:hAnsi="宋体" w:cs="宋体"/>
          <w:b/>
          <w:sz w:val="30"/>
          <w:szCs w:val="30"/>
        </w:rPr>
        <w:t>四．合同条款及格式</w:t>
      </w:r>
    </w:p>
    <w:p>
      <w:pPr>
        <w:spacing w:line="360" w:lineRule="auto"/>
        <w:jc w:val="center"/>
        <w:rPr>
          <w:rFonts w:ascii="宋体" w:hAnsi="宋体" w:cs="宋体"/>
          <w:b/>
          <w:bCs/>
          <w:color w:val="000000"/>
          <w:sz w:val="44"/>
          <w:szCs w:val="44"/>
        </w:rPr>
      </w:pPr>
    </w:p>
    <w:p>
      <w:pPr>
        <w:spacing w:line="360" w:lineRule="auto"/>
        <w:jc w:val="center"/>
        <w:rPr>
          <w:rFonts w:ascii="宋体" w:hAnsi="宋体" w:cs="宋体"/>
          <w:b/>
          <w:bCs/>
          <w:color w:val="000000"/>
          <w:sz w:val="44"/>
          <w:szCs w:val="44"/>
        </w:rPr>
      </w:pP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无锡市锡东生活垃圾焚烧发电厂(一期)</w:t>
      </w:r>
    </w:p>
    <w:p>
      <w:pPr>
        <w:spacing w:before="80" w:after="80" w:line="360" w:lineRule="auto"/>
        <w:jc w:val="center"/>
        <w:rPr>
          <w:rFonts w:ascii="宋体" w:hAnsi="宋体" w:cs="宋体"/>
          <w:b/>
          <w:sz w:val="44"/>
          <w:szCs w:val="44"/>
        </w:rPr>
      </w:pPr>
      <w:r>
        <w:rPr>
          <w:rFonts w:hint="eastAsia" w:ascii="宋体" w:hAnsi="宋体" w:cs="宋体"/>
          <w:b/>
          <w:bCs/>
          <w:color w:val="000000"/>
          <w:sz w:val="44"/>
          <w:szCs w:val="44"/>
        </w:rPr>
        <w:t xml:space="preserve"> 特许经营项目</w:t>
      </w:r>
      <w:r>
        <w:rPr>
          <w:rFonts w:hint="eastAsia" w:ascii="宋体" w:hAnsi="宋体" w:cs="宋体"/>
          <w:b/>
          <w:bCs/>
          <w:sz w:val="44"/>
          <w:szCs w:val="44"/>
        </w:rPr>
        <w:t>合同</w:t>
      </w:r>
    </w:p>
    <w:p>
      <w:pPr>
        <w:spacing w:before="80" w:after="80" w:line="360" w:lineRule="auto"/>
        <w:jc w:val="center"/>
        <w:rPr>
          <w:rFonts w:ascii="宋体" w:hAnsi="宋体" w:cs="宋体"/>
          <w:b/>
          <w:color w:val="000000"/>
          <w:sz w:val="40"/>
          <w:szCs w:val="28"/>
        </w:rPr>
      </w:pPr>
    </w:p>
    <w:p>
      <w:pPr>
        <w:spacing w:before="80" w:after="80" w:line="360" w:lineRule="auto"/>
        <w:jc w:val="center"/>
        <w:rPr>
          <w:rFonts w:ascii="宋体" w:hAnsi="宋体" w:cs="宋体"/>
          <w:b/>
          <w:color w:val="000000"/>
          <w:sz w:val="40"/>
          <w:szCs w:val="28"/>
        </w:rPr>
      </w:pPr>
    </w:p>
    <w:p>
      <w:pPr>
        <w:pStyle w:val="2"/>
        <w:ind w:firstLine="480"/>
      </w:pPr>
    </w:p>
    <w:p/>
    <w:p>
      <w:pPr>
        <w:pStyle w:val="2"/>
        <w:ind w:firstLine="480"/>
      </w:pPr>
    </w:p>
    <w:p/>
    <w:p>
      <w:pPr>
        <w:pStyle w:val="2"/>
        <w:ind w:firstLine="480"/>
      </w:pPr>
    </w:p>
    <w:p/>
    <w:p>
      <w:pPr>
        <w:pStyle w:val="2"/>
        <w:ind w:firstLine="480"/>
      </w:pPr>
    </w:p>
    <w:p/>
    <w:p>
      <w:pPr>
        <w:pStyle w:val="2"/>
        <w:ind w:firstLine="480"/>
      </w:pPr>
    </w:p>
    <w:p/>
    <w:p>
      <w:pPr>
        <w:pStyle w:val="2"/>
        <w:ind w:firstLine="480"/>
      </w:pPr>
    </w:p>
    <w:p/>
    <w:p>
      <w:pPr>
        <w:spacing w:before="80" w:after="80" w:line="360" w:lineRule="auto"/>
        <w:jc w:val="center"/>
        <w:rPr>
          <w:rFonts w:ascii="宋体" w:hAnsi="宋体" w:cs="宋体"/>
          <w:b/>
          <w:color w:val="000000"/>
          <w:sz w:val="28"/>
          <w:szCs w:val="28"/>
        </w:rPr>
      </w:pPr>
      <w:r>
        <w:rPr>
          <w:rFonts w:hint="eastAsia" w:ascii="宋体" w:hAnsi="宋体" w:cs="宋体"/>
          <w:b/>
          <w:color w:val="000000"/>
          <w:sz w:val="40"/>
          <w:szCs w:val="28"/>
        </w:rPr>
        <w:t xml:space="preserve"> </w:t>
      </w:r>
    </w:p>
    <w:p>
      <w:pPr>
        <w:spacing w:line="360" w:lineRule="auto"/>
        <w:rPr>
          <w:rFonts w:ascii="宋体" w:hAnsi="宋体" w:cs="宋体"/>
          <w:b/>
          <w:color w:val="000000"/>
          <w:sz w:val="30"/>
          <w:szCs w:val="30"/>
        </w:rPr>
      </w:pPr>
      <w:r>
        <w:rPr>
          <w:rFonts w:hint="eastAsia" w:ascii="宋体" w:hAnsi="宋体" w:cs="宋体"/>
          <w:b/>
          <w:color w:val="000000"/>
          <w:sz w:val="30"/>
          <w:szCs w:val="30"/>
        </w:rPr>
        <w:t>甲方：</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r>
        <w:rPr>
          <w:rFonts w:hint="eastAsia" w:ascii="宋体" w:hAnsi="宋体" w:cs="宋体"/>
          <w:b/>
          <w:color w:val="000000"/>
          <w:sz w:val="30"/>
          <w:szCs w:val="30"/>
        </w:rPr>
        <w:t>乙方：</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r>
        <w:rPr>
          <w:rFonts w:hint="eastAsia" w:ascii="宋体" w:hAnsi="宋体" w:cs="宋体"/>
          <w:b/>
          <w:color w:val="000000"/>
          <w:sz w:val="30"/>
          <w:szCs w:val="30"/>
        </w:rPr>
        <w:t>签订日期：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 xml:space="preserve">日 </w:t>
      </w:r>
    </w:p>
    <w:p>
      <w:pPr>
        <w:widowControl/>
        <w:spacing w:line="360" w:lineRule="auto"/>
        <w:rPr>
          <w:rFonts w:ascii="宋体" w:hAnsi="宋体" w:cs="宋体"/>
          <w:color w:val="000000"/>
          <w:sz w:val="24"/>
          <w:szCs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before="120" w:after="120" w:line="360" w:lineRule="auto"/>
        <w:jc w:val="center"/>
        <w:rPr>
          <w:rFonts w:ascii="宋体" w:hAnsi="宋体" w:cs="宋体"/>
          <w:b/>
          <w:sz w:val="32"/>
          <w:szCs w:val="24"/>
        </w:rPr>
      </w:pPr>
      <w:r>
        <w:rPr>
          <w:rFonts w:hint="eastAsia" w:ascii="宋体" w:hAnsi="宋体" w:cs="宋体"/>
          <w:b/>
          <w:sz w:val="32"/>
          <w:szCs w:val="24"/>
        </w:rPr>
        <w:t>目  录</w:t>
      </w:r>
    </w:p>
    <w:p>
      <w:pPr>
        <w:pStyle w:val="38"/>
        <w:rPr>
          <w:rFonts w:asciiTheme="minorHAnsi" w:hAnsiTheme="minorHAnsi" w:eastAsiaTheme="minorEastAsia" w:cstheme="minorBidi"/>
          <w:szCs w:val="22"/>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TOC \o "1-2" \h \z \u</w:instrText>
      </w:r>
      <w:r>
        <w:rPr>
          <w:rFonts w:hint="eastAsia" w:ascii="宋体" w:hAnsi="宋体" w:cs="宋体"/>
          <w:color w:val="000000"/>
          <w:sz w:val="28"/>
          <w:szCs w:val="28"/>
        </w:rPr>
        <w:fldChar w:fldCharType="separate"/>
      </w:r>
      <w:r>
        <w:fldChar w:fldCharType="begin"/>
      </w:r>
      <w:r>
        <w:instrText xml:space="preserve"> HYPERLINK \l "_Toc46140681" </w:instrText>
      </w:r>
      <w:r>
        <w:fldChar w:fldCharType="separate"/>
      </w:r>
      <w:r>
        <w:rPr>
          <w:rStyle w:val="62"/>
          <w:rFonts w:hint="eastAsia" w:ascii="宋体" w:hAnsi="宋体" w:cs="宋体"/>
          <w:b/>
        </w:rPr>
        <w:t>第</w:t>
      </w:r>
      <w:r>
        <w:rPr>
          <w:rStyle w:val="62"/>
          <w:rFonts w:ascii="宋体" w:hAnsi="宋体" w:cs="宋体"/>
          <w:b/>
        </w:rPr>
        <w:t>1</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定义和解释</w:t>
      </w:r>
      <w:r>
        <w:tab/>
      </w:r>
      <w:r>
        <w:fldChar w:fldCharType="begin"/>
      </w:r>
      <w:r>
        <w:instrText xml:space="preserve"> PAGEREF _Toc46140681 \h </w:instrText>
      </w:r>
      <w:r>
        <w:fldChar w:fldCharType="separate"/>
      </w:r>
      <w:r>
        <w:t>4</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"_Toc46140682" </w:instrText>
      </w:r>
      <w:r>
        <w:fldChar w:fldCharType="separate"/>
      </w:r>
      <w:r>
        <w:rPr>
          <w:rStyle w:val="62"/>
          <w:rFonts w:hint="eastAsia" w:ascii="宋体" w:hAnsi="宋体" w:cs="宋体"/>
          <w:b/>
        </w:rPr>
        <w:t>第</w:t>
      </w:r>
      <w:r>
        <w:rPr>
          <w:rStyle w:val="62"/>
          <w:rFonts w:ascii="宋体" w:hAnsi="宋体" w:cs="宋体"/>
          <w:b/>
        </w:rPr>
        <w:t>2</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声明与保证</w:t>
      </w:r>
      <w:r>
        <w:tab/>
      </w:r>
      <w:r>
        <w:fldChar w:fldCharType="begin"/>
      </w:r>
      <w:r>
        <w:instrText xml:space="preserve"> PAGEREF _Toc46140682 \h </w:instrText>
      </w:r>
      <w:r>
        <w:fldChar w:fldCharType="separate"/>
      </w:r>
      <w:r>
        <w:t>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"_Toc46140683" </w:instrText>
      </w:r>
      <w:r>
        <w:fldChar w:fldCharType="separate"/>
      </w:r>
      <w:r>
        <w:rPr>
          <w:rStyle w:val="62"/>
          <w:rFonts w:hint="eastAsia" w:ascii="宋体" w:hAnsi="宋体" w:cs="宋体"/>
          <w:b/>
        </w:rPr>
        <w:t>第</w:t>
      </w:r>
      <w:r>
        <w:rPr>
          <w:rStyle w:val="62"/>
          <w:rFonts w:ascii="宋体" w:hAnsi="宋体" w:cs="宋体"/>
          <w:b/>
        </w:rPr>
        <w:t>3</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项目合作范围和合作期限</w:t>
      </w:r>
      <w:r>
        <w:tab/>
      </w:r>
      <w:r>
        <w:fldChar w:fldCharType="begin"/>
      </w:r>
      <w:r>
        <w:instrText xml:space="preserve"> PAGEREF _Toc46140683 \h </w:instrText>
      </w:r>
      <w:r>
        <w:fldChar w:fldCharType="separate"/>
      </w:r>
      <w:r>
        <w:t>10</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"_Toc46140684" </w:instrText>
      </w:r>
      <w:r>
        <w:fldChar w:fldCharType="separate"/>
      </w:r>
      <w:r>
        <w:rPr>
          <w:rStyle w:val="62"/>
          <w:rFonts w:hint="eastAsia" w:ascii="宋体" w:hAnsi="宋体" w:cs="宋体"/>
          <w:b/>
        </w:rPr>
        <w:t>第</w:t>
      </w:r>
      <w:r>
        <w:rPr>
          <w:rStyle w:val="62"/>
          <w:rFonts w:ascii="宋体" w:hAnsi="宋体" w:cs="宋体"/>
          <w:b/>
        </w:rPr>
        <w:t>4</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项目特许经营权转让费、项目融资及限制与财务管理</w:t>
      </w:r>
      <w:r>
        <w:tab/>
      </w:r>
      <w:r>
        <w:fldChar w:fldCharType="begin"/>
      </w:r>
      <w:r>
        <w:instrText xml:space="preserve"> PAGEREF _Toc46140684 \h </w:instrText>
      </w:r>
      <w:r>
        <w:fldChar w:fldCharType="separate"/>
      </w:r>
      <w:r>
        <w:t>11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"_Toc46140685" </w:instrText>
      </w:r>
      <w:r>
        <w:fldChar w:fldCharType="separate"/>
      </w:r>
      <w:r>
        <w:rPr>
          <w:rStyle w:val="62"/>
          <w:rFonts w:hint="eastAsia" w:ascii="宋体" w:hAnsi="宋体" w:cs="宋体"/>
          <w:b/>
        </w:rPr>
        <w:t>第</w:t>
      </w:r>
      <w:r>
        <w:rPr>
          <w:rStyle w:val="62"/>
          <w:rFonts w:ascii="宋体" w:hAnsi="宋体" w:cs="宋体"/>
          <w:b/>
        </w:rPr>
        <w:t>5</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双方的基本权利和义务</w:t>
      </w:r>
      <w:r>
        <w:tab/>
      </w:r>
      <w:r>
        <w:fldChar w:fldCharType="begin"/>
      </w:r>
      <w:r>
        <w:instrText xml:space="preserve"> PAGEREF _Toc46140685 \h </w:instrText>
      </w:r>
      <w:r>
        <w:fldChar w:fldCharType="separate"/>
      </w:r>
      <w:r>
        <w:t>13</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"_Toc46140686" </w:instrText>
      </w:r>
      <w:r>
        <w:fldChar w:fldCharType="separate"/>
      </w:r>
      <w:r>
        <w:rPr>
          <w:rStyle w:val="62"/>
          <w:rFonts w:hint="eastAsia" w:ascii="宋体" w:hAnsi="宋体" w:cs="宋体"/>
          <w:b/>
        </w:rPr>
        <w:t>第</w:t>
      </w:r>
      <w:r>
        <w:rPr>
          <w:rStyle w:val="62"/>
          <w:rFonts w:ascii="宋体" w:hAnsi="宋体" w:cs="宋体"/>
          <w:b/>
        </w:rPr>
        <w:t>6</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项目前期工作及费用承担</w:t>
      </w:r>
      <w:r>
        <w:tab/>
      </w:r>
      <w:r>
        <w:fldChar w:fldCharType="begin"/>
      </w:r>
      <w:r>
        <w:instrText xml:space="preserve"> PAGEREF _Toc46140686 \h </w:instrText>
      </w:r>
      <w:r>
        <w:fldChar w:fldCharType="separate"/>
      </w:r>
      <w:r>
        <w:t>18</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"_Toc46140687" </w:instrText>
      </w:r>
      <w:r>
        <w:fldChar w:fldCharType="separate"/>
      </w:r>
      <w:r>
        <w:rPr>
          <w:rStyle w:val="62"/>
          <w:rFonts w:hint="eastAsia" w:ascii="宋体" w:hAnsi="宋体" w:cs="宋体"/>
          <w:b/>
        </w:rPr>
        <w:t>第</w:t>
      </w:r>
      <w:r>
        <w:rPr>
          <w:rStyle w:val="62"/>
          <w:rFonts w:ascii="宋体" w:hAnsi="宋体" w:cs="宋体"/>
          <w:b/>
        </w:rPr>
        <w:t>7</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土地使用权及项目设施的权属</w:t>
      </w:r>
      <w:r>
        <w:tab/>
      </w:r>
      <w:r>
        <w:fldChar w:fldCharType="begin"/>
      </w:r>
      <w:r>
        <w:instrText xml:space="preserve"> PAGEREF _Toc46140687 \h </w:instrText>
      </w:r>
      <w:r>
        <w:fldChar w:fldCharType="separate"/>
      </w:r>
      <w:r>
        <w:t>18</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"_Toc46140688" </w:instrText>
      </w:r>
      <w:r>
        <w:fldChar w:fldCharType="separate"/>
      </w:r>
      <w:r>
        <w:rPr>
          <w:rStyle w:val="62"/>
          <w:rFonts w:hint="eastAsia" w:ascii="宋体" w:hAnsi="宋体" w:cs="宋体"/>
          <w:b/>
        </w:rPr>
        <w:t>第</w:t>
      </w:r>
      <w:r>
        <w:rPr>
          <w:rStyle w:val="62"/>
          <w:rFonts w:ascii="宋体" w:hAnsi="宋体" w:cs="宋体"/>
          <w:b/>
        </w:rPr>
        <w:t>8</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运营前项目资产移交</w:t>
      </w:r>
      <w:r>
        <w:tab/>
      </w:r>
      <w:r>
        <w:fldChar w:fldCharType="begin"/>
      </w:r>
      <w:r>
        <w:instrText xml:space="preserve"> PAGEREF _Toc46140688 \h </w:instrText>
      </w:r>
      <w:r>
        <w:fldChar w:fldCharType="separate"/>
      </w:r>
      <w:r>
        <w:t>19</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"_Toc46140697" </w:instrText>
      </w:r>
      <w:r>
        <w:fldChar w:fldCharType="separate"/>
      </w:r>
      <w:r>
        <w:rPr>
          <w:rStyle w:val="62"/>
          <w:rFonts w:hint="eastAsia" w:ascii="宋体" w:hAnsi="宋体" w:cs="宋体"/>
          <w:b/>
        </w:rPr>
        <w:t>第</w:t>
      </w:r>
      <w:r>
        <w:rPr>
          <w:rStyle w:val="62"/>
          <w:rFonts w:ascii="宋体" w:hAnsi="宋体" w:cs="宋体"/>
          <w:b/>
        </w:rPr>
        <w:t>9</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项目的运营维护</w:t>
      </w:r>
      <w:r>
        <w:tab/>
      </w:r>
      <w:r>
        <w:fldChar w:fldCharType="begin"/>
      </w:r>
      <w:r>
        <w:instrText xml:space="preserve"> PAGEREF _Toc46140697 \h </w:instrText>
      </w:r>
      <w:r>
        <w:fldChar w:fldCharType="separate"/>
      </w:r>
      <w:r>
        <w:t>21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"_Toc46140698" </w:instrText>
      </w:r>
      <w:r>
        <w:fldChar w:fldCharType="separate"/>
      </w:r>
      <w:r>
        <w:rPr>
          <w:rStyle w:val="62"/>
          <w:rFonts w:hint="eastAsia" w:ascii="宋体" w:hAnsi="宋体" w:cs="宋体"/>
          <w:b/>
        </w:rPr>
        <w:t>第</w:t>
      </w:r>
      <w:r>
        <w:rPr>
          <w:rStyle w:val="62"/>
          <w:rFonts w:ascii="宋体" w:hAnsi="宋体" w:cs="宋体"/>
          <w:b/>
        </w:rPr>
        <w:t>10</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股权变更限制</w:t>
      </w:r>
      <w:r>
        <w:tab/>
      </w:r>
      <w:r>
        <w:fldChar w:fldCharType="begin"/>
      </w:r>
      <w:r>
        <w:instrText xml:space="preserve"> PAGEREF _Toc46140698 \h </w:instrText>
      </w:r>
      <w:r>
        <w:fldChar w:fldCharType="separate"/>
      </w:r>
      <w:r>
        <w:t>25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"_Toc46140699" </w:instrText>
      </w:r>
      <w:r>
        <w:fldChar w:fldCharType="separate"/>
      </w:r>
      <w:r>
        <w:rPr>
          <w:rStyle w:val="62"/>
          <w:rFonts w:hint="eastAsia" w:ascii="宋体" w:hAnsi="宋体" w:cs="宋体"/>
          <w:b/>
        </w:rPr>
        <w:t>第</w:t>
      </w:r>
      <w:r>
        <w:rPr>
          <w:rStyle w:val="62"/>
          <w:rFonts w:ascii="宋体" w:hAnsi="宋体" w:cs="宋体"/>
          <w:b/>
        </w:rPr>
        <w:t>11</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项目绩效评价与中期评估</w:t>
      </w:r>
      <w:r>
        <w:tab/>
      </w:r>
      <w:r>
        <w:fldChar w:fldCharType="begin"/>
      </w:r>
      <w:r>
        <w:instrText xml:space="preserve"> PAGEREF _Toc46140699 \h </w:instrText>
      </w:r>
      <w:r>
        <w:fldChar w:fldCharType="separate"/>
      </w:r>
      <w:r>
        <w:t>25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"_Toc46140700" </w:instrText>
      </w:r>
      <w:r>
        <w:fldChar w:fldCharType="separate"/>
      </w:r>
      <w:r>
        <w:rPr>
          <w:rStyle w:val="62"/>
          <w:rFonts w:hint="eastAsia" w:ascii="宋体" w:hAnsi="宋体" w:cs="宋体"/>
          <w:b/>
        </w:rPr>
        <w:t>第</w:t>
      </w:r>
      <w:r>
        <w:rPr>
          <w:rStyle w:val="62"/>
          <w:rFonts w:ascii="宋体" w:hAnsi="宋体" w:cs="宋体"/>
          <w:b/>
        </w:rPr>
        <w:t>12</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垃圾供应</w:t>
      </w:r>
      <w:r>
        <w:tab/>
      </w:r>
      <w:r>
        <w:fldChar w:fldCharType="begin"/>
      </w:r>
      <w:r>
        <w:instrText xml:space="preserve"> PAGEREF _Toc46140700 \h </w:instrText>
      </w:r>
      <w:r>
        <w:fldChar w:fldCharType="separate"/>
      </w:r>
      <w:r>
        <w:t>34</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"_Toc46140701" </w:instrText>
      </w:r>
      <w:r>
        <w:fldChar w:fldCharType="separate"/>
      </w:r>
      <w:r>
        <w:rPr>
          <w:rStyle w:val="62"/>
          <w:rFonts w:hint="eastAsia" w:ascii="宋体" w:hAnsi="宋体" w:cs="宋体"/>
          <w:b/>
        </w:rPr>
        <w:t>第</w:t>
      </w:r>
      <w:r>
        <w:rPr>
          <w:rStyle w:val="62"/>
          <w:rFonts w:ascii="宋体" w:hAnsi="宋体" w:cs="宋体"/>
          <w:b/>
        </w:rPr>
        <w:t>13</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垃圾处理服务费</w:t>
      </w:r>
      <w:r>
        <w:tab/>
      </w:r>
      <w:r>
        <w:fldChar w:fldCharType="begin"/>
      </w:r>
      <w:r>
        <w:instrText xml:space="preserve"> PAGEREF _Toc46140701 \h </w:instrText>
      </w:r>
      <w:r>
        <w:fldChar w:fldCharType="separate"/>
      </w:r>
      <w:r>
        <w:t>37</w:t>
      </w:r>
      <w:r>
        <w:fldChar w:fldCharType="end"/>
      </w:r>
      <w:r>
        <w:fldChar w:fldCharType="end"/>
      </w:r>
    </w:p>
    <w:p>
      <w:pPr>
        <w:pStyle w:val="38"/>
        <w:rPr>
          <w:rFonts w:hint="eastAsia" w:eastAsia="宋体" w:asciiTheme="minorHAnsi" w:hAnsiTheme="minorHAnsi" w:cstheme="minorBidi"/>
          <w:szCs w:val="22"/>
          <w:lang w:eastAsia="zh-CN"/>
        </w:rPr>
      </w:pPr>
      <w:r>
        <w:fldChar w:fldCharType="begin"/>
      </w:r>
      <w:r>
        <w:instrText xml:space="preserve"> HYPERLINK \l "_Toc46140705" </w:instrText>
      </w:r>
      <w:r>
        <w:fldChar w:fldCharType="separate"/>
      </w:r>
      <w:r>
        <w:rPr>
          <w:rStyle w:val="62"/>
          <w:rFonts w:hint="eastAsia" w:ascii="宋体" w:hAnsi="宋体" w:cs="宋体"/>
          <w:b/>
        </w:rPr>
        <w:t>第</w:t>
      </w:r>
      <w:r>
        <w:rPr>
          <w:rStyle w:val="62"/>
          <w:rFonts w:ascii="宋体" w:hAnsi="宋体" w:cs="宋体"/>
          <w:b/>
        </w:rPr>
        <w:t>14</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其他经营性收入</w:t>
      </w:r>
      <w:r>
        <w:tab/>
      </w:r>
      <w:r>
        <w:fldChar w:fldCharType="begin"/>
      </w:r>
      <w:r>
        <w:instrText xml:space="preserve"> PAGEREF _Toc46140705 \h </w:instrText>
      </w:r>
      <w:r>
        <w:fldChar w:fldCharType="separate"/>
      </w:r>
      <w:r>
        <w:t>43</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"_Toc46140706" </w:instrText>
      </w:r>
      <w:r>
        <w:fldChar w:fldCharType="separate"/>
      </w:r>
      <w:r>
        <w:rPr>
          <w:rStyle w:val="62"/>
          <w:rFonts w:hint="eastAsia" w:ascii="宋体" w:hAnsi="宋体" w:cs="宋体"/>
          <w:b/>
        </w:rPr>
        <w:t>第</w:t>
      </w:r>
      <w:r>
        <w:rPr>
          <w:rStyle w:val="62"/>
          <w:rFonts w:ascii="宋体" w:hAnsi="宋体" w:cs="宋体"/>
          <w:b/>
        </w:rPr>
        <w:t>15</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项目的移交</w:t>
      </w:r>
      <w:r>
        <w:tab/>
      </w:r>
      <w:r>
        <w:fldChar w:fldCharType="begin"/>
      </w:r>
      <w:r>
        <w:instrText xml:space="preserve"> PAGEREF _Toc46140706 \h </w:instrText>
      </w:r>
      <w:r>
        <w:fldChar w:fldCharType="separate"/>
      </w:r>
      <w:r>
        <w:t>44</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"_Toc46140708" </w:instrText>
      </w:r>
      <w:r>
        <w:fldChar w:fldCharType="separate"/>
      </w:r>
      <w:r>
        <w:rPr>
          <w:rStyle w:val="62"/>
          <w:rFonts w:hint="eastAsia" w:ascii="宋体" w:hAnsi="宋体" w:cs="宋体"/>
          <w:b/>
        </w:rPr>
        <w:t>第</w:t>
      </w:r>
      <w:r>
        <w:rPr>
          <w:rStyle w:val="62"/>
          <w:rFonts w:ascii="宋体" w:hAnsi="宋体" w:cs="宋体"/>
          <w:b/>
        </w:rPr>
        <w:t>16</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履约担保和保障</w:t>
      </w:r>
      <w:r>
        <w:tab/>
      </w:r>
      <w:r>
        <w:fldChar w:fldCharType="begin"/>
      </w:r>
      <w:r>
        <w:instrText xml:space="preserve"> PAGEREF _Toc46140708 \h </w:instrText>
      </w:r>
      <w:r>
        <w:fldChar w:fldCharType="separate"/>
      </w:r>
      <w:r>
        <w:t>50</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"_Toc46140709" </w:instrText>
      </w:r>
      <w:r>
        <w:fldChar w:fldCharType="separate"/>
      </w:r>
      <w:r>
        <w:rPr>
          <w:rStyle w:val="62"/>
          <w:rFonts w:hint="eastAsia" w:ascii="宋体" w:hAnsi="宋体" w:cs="宋体"/>
          <w:b/>
        </w:rPr>
        <w:t>第</w:t>
      </w:r>
      <w:r>
        <w:rPr>
          <w:rStyle w:val="62"/>
          <w:rFonts w:ascii="宋体" w:hAnsi="宋体" w:cs="宋体"/>
          <w:b/>
        </w:rPr>
        <w:t>17</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公众监督</w:t>
      </w:r>
      <w:r>
        <w:tab/>
      </w:r>
      <w:r>
        <w:fldChar w:fldCharType="begin"/>
      </w:r>
      <w:r>
        <w:instrText xml:space="preserve"> PAGEREF _Toc46140709 \h </w:instrText>
      </w:r>
      <w:r>
        <w:fldChar w:fldCharType="separate"/>
      </w:r>
      <w:r>
        <w:t>51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"_Toc46140710" </w:instrText>
      </w:r>
      <w:r>
        <w:fldChar w:fldCharType="separate"/>
      </w:r>
      <w:r>
        <w:rPr>
          <w:rStyle w:val="62"/>
          <w:rFonts w:hint="eastAsia" w:ascii="宋体" w:hAnsi="宋体" w:cs="宋体"/>
          <w:b/>
        </w:rPr>
        <w:t>第</w:t>
      </w:r>
      <w:r>
        <w:rPr>
          <w:rStyle w:val="62"/>
          <w:rFonts w:ascii="宋体" w:hAnsi="宋体" w:cs="宋体"/>
          <w:b/>
        </w:rPr>
        <w:t>18</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政府方介入权</w:t>
      </w:r>
      <w:r>
        <w:tab/>
      </w:r>
      <w:r>
        <w:fldChar w:fldCharType="begin"/>
      </w:r>
      <w:r>
        <w:instrText xml:space="preserve"> PAGEREF _Toc46140710 \h </w:instrText>
      </w:r>
      <w:r>
        <w:fldChar w:fldCharType="separate"/>
      </w:r>
      <w:r>
        <w:t>51</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"_Toc46140711" </w:instrText>
      </w:r>
      <w:r>
        <w:fldChar w:fldCharType="separate"/>
      </w:r>
      <w:r>
        <w:rPr>
          <w:rStyle w:val="62"/>
          <w:rFonts w:hint="eastAsia" w:ascii="宋体" w:hAnsi="宋体" w:cs="宋体"/>
          <w:b/>
        </w:rPr>
        <w:t>第</w:t>
      </w:r>
      <w:r>
        <w:rPr>
          <w:rStyle w:val="62"/>
          <w:rFonts w:ascii="宋体" w:hAnsi="宋体" w:cs="宋体"/>
          <w:b/>
        </w:rPr>
        <w:t>19</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保险</w:t>
      </w:r>
      <w:r>
        <w:tab/>
      </w:r>
      <w:r>
        <w:fldChar w:fldCharType="begin"/>
      </w:r>
      <w:r>
        <w:instrText xml:space="preserve"> PAGEREF _Toc46140711 \h </w:instrText>
      </w:r>
      <w:r>
        <w:fldChar w:fldCharType="separate"/>
      </w:r>
      <w:r>
        <w:t>54</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"_Toc46140712" </w:instrText>
      </w:r>
      <w:r>
        <w:fldChar w:fldCharType="separate"/>
      </w:r>
      <w:r>
        <w:rPr>
          <w:rStyle w:val="62"/>
          <w:rFonts w:hint="eastAsia" w:ascii="宋体" w:hAnsi="宋体" w:cs="宋体"/>
          <w:b/>
        </w:rPr>
        <w:t>第</w:t>
      </w:r>
      <w:r>
        <w:rPr>
          <w:rStyle w:val="62"/>
          <w:rFonts w:ascii="宋体" w:hAnsi="宋体" w:cs="宋体"/>
          <w:b/>
        </w:rPr>
        <w:t>20</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再融资</w:t>
      </w:r>
      <w:r>
        <w:tab/>
      </w:r>
      <w:r>
        <w:fldChar w:fldCharType="begin"/>
      </w:r>
      <w:r>
        <w:instrText xml:space="preserve"> PAGEREF _Toc46140712 \h </w:instrText>
      </w:r>
      <w:r>
        <w:fldChar w:fldCharType="separate"/>
      </w:r>
      <w:r>
        <w:t>55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"_Toc46140713" </w:instrText>
      </w:r>
      <w:r>
        <w:fldChar w:fldCharType="separate"/>
      </w:r>
      <w:r>
        <w:rPr>
          <w:rStyle w:val="62"/>
          <w:rFonts w:hint="eastAsia" w:ascii="宋体" w:hAnsi="宋体" w:cs="宋体"/>
          <w:b/>
        </w:rPr>
        <w:t>第</w:t>
      </w:r>
      <w:r>
        <w:rPr>
          <w:rStyle w:val="62"/>
          <w:rFonts w:ascii="宋体" w:hAnsi="宋体" w:cs="宋体"/>
          <w:b/>
        </w:rPr>
        <w:t>21</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不可抗力</w:t>
      </w:r>
      <w:r>
        <w:tab/>
      </w:r>
      <w:r>
        <w:fldChar w:fldCharType="begin"/>
      </w:r>
      <w:r>
        <w:instrText xml:space="preserve"> PAGEREF _Toc46140713 \h </w:instrText>
      </w:r>
      <w:r>
        <w:fldChar w:fldCharType="separate"/>
      </w:r>
      <w:r>
        <w:t>55</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"_Toc46140714" </w:instrText>
      </w:r>
      <w:r>
        <w:fldChar w:fldCharType="separate"/>
      </w:r>
      <w:r>
        <w:rPr>
          <w:rStyle w:val="62"/>
          <w:rFonts w:hint="eastAsia" w:ascii="宋体" w:hAnsi="宋体" w:cs="宋体"/>
          <w:b/>
        </w:rPr>
        <w:t>第</w:t>
      </w:r>
      <w:r>
        <w:rPr>
          <w:rStyle w:val="62"/>
          <w:rFonts w:ascii="宋体" w:hAnsi="宋体" w:cs="宋体"/>
          <w:b/>
        </w:rPr>
        <w:t>22</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政府行为</w:t>
      </w:r>
      <w:r>
        <w:tab/>
      </w:r>
      <w:r>
        <w:fldChar w:fldCharType="begin"/>
      </w:r>
      <w:r>
        <w:instrText xml:space="preserve"> PAGEREF _Toc46140714 \h </w:instrText>
      </w:r>
      <w:r>
        <w:fldChar w:fldCharType="separate"/>
      </w:r>
      <w:r>
        <w:t>56</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"_Toc46140715" </w:instrText>
      </w:r>
      <w:r>
        <w:fldChar w:fldCharType="separate"/>
      </w:r>
      <w:r>
        <w:rPr>
          <w:rStyle w:val="62"/>
          <w:rFonts w:hint="eastAsia" w:ascii="宋体" w:hAnsi="宋体" w:cs="宋体"/>
          <w:b/>
        </w:rPr>
        <w:t>第</w:t>
      </w:r>
      <w:r>
        <w:rPr>
          <w:rStyle w:val="62"/>
          <w:rFonts w:ascii="宋体" w:hAnsi="宋体" w:cs="宋体"/>
          <w:b/>
        </w:rPr>
        <w:t>23</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法律变更</w:t>
      </w:r>
      <w:r>
        <w:tab/>
      </w:r>
      <w:r>
        <w:fldChar w:fldCharType="begin"/>
      </w:r>
      <w:r>
        <w:instrText xml:space="preserve"> PAGEREF _Toc46140715 \h </w:instrText>
      </w:r>
      <w:r>
        <w:fldChar w:fldCharType="separate"/>
      </w:r>
      <w:r>
        <w:t>57</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"_Toc46140716" </w:instrText>
      </w:r>
      <w:r>
        <w:fldChar w:fldCharType="separate"/>
      </w:r>
      <w:r>
        <w:rPr>
          <w:rStyle w:val="62"/>
          <w:rFonts w:hint="eastAsia" w:ascii="宋体" w:hAnsi="宋体" w:cs="宋体"/>
          <w:b/>
        </w:rPr>
        <w:t>第</w:t>
      </w:r>
      <w:r>
        <w:rPr>
          <w:rStyle w:val="62"/>
          <w:rFonts w:ascii="宋体" w:hAnsi="宋体" w:cs="宋体"/>
          <w:b/>
        </w:rPr>
        <w:t>24</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违约及违约赔偿</w:t>
      </w:r>
      <w:r>
        <w:tab/>
      </w:r>
      <w:r>
        <w:fldChar w:fldCharType="begin"/>
      </w:r>
      <w:r>
        <w:instrText xml:space="preserve"> PAGEREF _Toc46140716 \h </w:instrText>
      </w:r>
      <w:r>
        <w:fldChar w:fldCharType="separate"/>
      </w:r>
      <w:r>
        <w:t>58</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"_Toc46140717" </w:instrText>
      </w:r>
      <w:r>
        <w:fldChar w:fldCharType="separate"/>
      </w:r>
      <w:r>
        <w:rPr>
          <w:rStyle w:val="62"/>
          <w:rFonts w:hint="eastAsia" w:ascii="宋体" w:hAnsi="宋体" w:cs="宋体"/>
          <w:b/>
        </w:rPr>
        <w:t>第</w:t>
      </w:r>
      <w:r>
        <w:rPr>
          <w:rStyle w:val="62"/>
          <w:rFonts w:ascii="宋体" w:hAnsi="宋体" w:cs="宋体"/>
          <w:b/>
        </w:rPr>
        <w:t>25</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合同终止与补偿</w:t>
      </w:r>
      <w:r>
        <w:tab/>
      </w:r>
      <w:r>
        <w:fldChar w:fldCharType="begin"/>
      </w:r>
      <w:r>
        <w:instrText xml:space="preserve"> PAGEREF _Toc46140717 \h </w:instrText>
      </w:r>
      <w:r>
        <w:fldChar w:fldCharType="separate"/>
      </w:r>
      <w:r>
        <w:t>62</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"_Toc46140718" </w:instrText>
      </w:r>
      <w:r>
        <w:fldChar w:fldCharType="separate"/>
      </w:r>
      <w:r>
        <w:rPr>
          <w:rStyle w:val="62"/>
          <w:rFonts w:hint="eastAsia" w:ascii="宋体" w:hAnsi="宋体" w:cs="宋体"/>
          <w:b/>
        </w:rPr>
        <w:t>第</w:t>
      </w:r>
      <w:r>
        <w:rPr>
          <w:rStyle w:val="62"/>
          <w:rFonts w:ascii="宋体" w:hAnsi="宋体" w:cs="宋体"/>
          <w:b/>
        </w:rPr>
        <w:t>26</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合同变更和转让</w:t>
      </w:r>
      <w:r>
        <w:tab/>
      </w:r>
      <w:r>
        <w:fldChar w:fldCharType="begin"/>
      </w:r>
      <w:r>
        <w:instrText xml:space="preserve"> PAGEREF _Toc46140718 \h </w:instrText>
      </w:r>
      <w:r>
        <w:fldChar w:fldCharType="separate"/>
      </w:r>
      <w:r>
        <w:t>67</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"_Toc46140719" </w:instrText>
      </w:r>
      <w:r>
        <w:fldChar w:fldCharType="separate"/>
      </w:r>
      <w:r>
        <w:rPr>
          <w:rStyle w:val="62"/>
          <w:rFonts w:hint="eastAsia" w:ascii="宋体" w:hAnsi="宋体" w:cs="宋体"/>
          <w:b/>
        </w:rPr>
        <w:t>第</w:t>
      </w:r>
      <w:r>
        <w:rPr>
          <w:rStyle w:val="62"/>
          <w:rFonts w:ascii="宋体" w:hAnsi="宋体" w:cs="宋体"/>
          <w:b/>
        </w:rPr>
        <w:t>27</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争议解决</w:t>
      </w:r>
      <w:r>
        <w:tab/>
      </w:r>
      <w:r>
        <w:fldChar w:fldCharType="begin"/>
      </w:r>
      <w:r>
        <w:instrText xml:space="preserve"> PAGEREF _Toc46140719 \h </w:instrText>
      </w:r>
      <w:r>
        <w:fldChar w:fldCharType="separate"/>
      </w:r>
      <w:r>
        <w:t>68</w:t>
      </w:r>
      <w:r>
        <w:fldChar w:fldCharType="end"/>
      </w:r>
      <w:r>
        <w:fldChar w:fldCharType="end"/>
      </w:r>
    </w:p>
    <w:p>
      <w:pPr>
        <w:pStyle w:val="38"/>
        <w:rPr>
          <w:rFonts w:asciiTheme="minorHAnsi" w:hAnsiTheme="minorHAnsi" w:eastAsiaTheme="minorEastAsia" w:cstheme="minorBidi"/>
          <w:szCs w:val="22"/>
        </w:rPr>
      </w:pPr>
      <w:r>
        <w:fldChar w:fldCharType="begin"/>
      </w:r>
      <w:r>
        <w:instrText xml:space="preserve"> HYPERLINK \l "_Toc46140720" </w:instrText>
      </w:r>
      <w:r>
        <w:fldChar w:fldCharType="separate"/>
      </w:r>
      <w:r>
        <w:rPr>
          <w:rStyle w:val="62"/>
          <w:rFonts w:hint="eastAsia" w:ascii="宋体" w:hAnsi="宋体" w:cs="宋体"/>
          <w:b/>
        </w:rPr>
        <w:t>第</w:t>
      </w:r>
      <w:r>
        <w:rPr>
          <w:rStyle w:val="62"/>
          <w:rFonts w:ascii="宋体" w:hAnsi="宋体" w:cs="宋体"/>
          <w:b/>
        </w:rPr>
        <w:t>28</w:t>
      </w:r>
      <w:r>
        <w:rPr>
          <w:rStyle w:val="62"/>
          <w:rFonts w:hint="eastAsia" w:ascii="宋体" w:hAnsi="宋体" w:cs="宋体"/>
          <w:b/>
        </w:rPr>
        <w:t>条</w:t>
      </w:r>
      <w:r>
        <w:rPr>
          <w:rStyle w:val="62"/>
          <w:rFonts w:ascii="宋体" w:hAnsi="宋体" w:cs="宋体"/>
          <w:b/>
        </w:rPr>
        <w:t xml:space="preserve">  </w:t>
      </w:r>
      <w:r>
        <w:rPr>
          <w:rStyle w:val="62"/>
          <w:rFonts w:hint="eastAsia" w:ascii="宋体" w:hAnsi="宋体" w:cs="宋体"/>
          <w:b/>
        </w:rPr>
        <w:t>其他约定</w:t>
      </w:r>
      <w:r>
        <w:tab/>
      </w:r>
      <w:r>
        <w:fldChar w:fldCharType="begin"/>
      </w:r>
      <w:r>
        <w:instrText xml:space="preserve"> PAGEREF _Toc46140720 \h </w:instrText>
      </w:r>
      <w:r>
        <w:fldChar w:fldCharType="separate"/>
      </w:r>
      <w:r>
        <w:t>69</w:t>
      </w:r>
      <w:r>
        <w:fldChar w:fldCharType="end"/>
      </w:r>
      <w:r>
        <w:fldChar w:fldCharType="end"/>
      </w:r>
    </w:p>
    <w:p>
      <w:pPr>
        <w:pStyle w:val="4"/>
        <w:spacing w:line="360" w:lineRule="auto"/>
        <w:ind w:firstLine="361" w:firstLineChars="200"/>
        <w:rPr>
          <w:rFonts w:ascii="宋体" w:hAnsi="宋体" w:eastAsia="宋体" w:cs="宋体"/>
          <w:b w:val="0"/>
          <w:szCs w:val="28"/>
        </w:rPr>
      </w:pPr>
      <w:r>
        <w:rPr>
          <w:rFonts w:hint="eastAsia" w:ascii="宋体" w:hAnsi="宋体" w:eastAsia="宋体" w:cs="宋体"/>
          <w:color w:val="000000"/>
          <w:szCs w:val="28"/>
        </w:rPr>
        <w:fldChar w:fldCharType="end"/>
      </w:r>
    </w:p>
    <w:p>
      <w:pPr>
        <w:spacing w:line="360" w:lineRule="auto"/>
        <w:ind w:firstLine="560" w:firstLineChars="200"/>
        <w:rPr>
          <w:rFonts w:ascii="宋体" w:hAnsi="宋体" w:cs="宋体"/>
          <w:color w:val="000000"/>
          <w:sz w:val="28"/>
          <w:szCs w:val="28"/>
        </w:rPr>
      </w:pPr>
    </w:p>
    <w:p>
      <w:pPr>
        <w:widowControl/>
        <w:spacing w:before="80" w:after="80" w:line="360" w:lineRule="auto"/>
        <w:jc w:val="left"/>
        <w:rPr>
          <w:rFonts w:ascii="宋体" w:hAnsi="宋体" w:cs="宋体"/>
          <w:b/>
          <w:sz w:val="24"/>
          <w:szCs w:val="24"/>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spacing w:before="80" w:after="80" w:line="360" w:lineRule="auto"/>
        <w:jc w:val="left"/>
        <w:rPr>
          <w:rFonts w:ascii="宋体" w:hAnsi="宋体" w:cs="宋体"/>
          <w:b/>
          <w:sz w:val="24"/>
          <w:szCs w:val="24"/>
        </w:rPr>
      </w:pPr>
      <w:r>
        <w:rPr>
          <w:rFonts w:hint="eastAsia" w:ascii="宋体" w:hAnsi="宋体" w:cs="宋体"/>
          <w:b/>
          <w:sz w:val="24"/>
          <w:szCs w:val="24"/>
        </w:rPr>
        <w:t>本合同由以下双方于</w:t>
      </w:r>
      <w:r>
        <w:rPr>
          <w:rFonts w:hint="eastAsia" w:ascii="宋体" w:hAnsi="宋体" w:cs="宋体"/>
          <w:sz w:val="24"/>
          <w:szCs w:val="24"/>
        </w:rPr>
        <w:t>______</w:t>
      </w:r>
      <w:r>
        <w:rPr>
          <w:rFonts w:hint="eastAsia" w:ascii="宋体" w:hAnsi="宋体" w:cs="宋体"/>
          <w:b/>
          <w:sz w:val="24"/>
          <w:szCs w:val="24"/>
        </w:rPr>
        <w:t>年</w:t>
      </w:r>
      <w:r>
        <w:rPr>
          <w:rFonts w:hint="eastAsia" w:ascii="宋体" w:hAnsi="宋体" w:cs="宋体"/>
          <w:sz w:val="24"/>
          <w:szCs w:val="24"/>
        </w:rPr>
        <w:t>___</w:t>
      </w:r>
      <w:r>
        <w:rPr>
          <w:rFonts w:hint="eastAsia" w:ascii="宋体" w:hAnsi="宋体" w:cs="宋体"/>
          <w:b/>
          <w:sz w:val="24"/>
          <w:szCs w:val="24"/>
        </w:rPr>
        <w:t>月</w:t>
      </w:r>
      <w:r>
        <w:rPr>
          <w:rFonts w:hint="eastAsia" w:ascii="宋体" w:hAnsi="宋体" w:cs="宋体"/>
          <w:sz w:val="24"/>
          <w:szCs w:val="24"/>
        </w:rPr>
        <w:t>___</w:t>
      </w:r>
      <w:r>
        <w:rPr>
          <w:rFonts w:hint="eastAsia" w:ascii="宋体" w:hAnsi="宋体" w:cs="宋体"/>
          <w:b/>
          <w:sz w:val="24"/>
          <w:szCs w:val="24"/>
        </w:rPr>
        <w:t>日在</w:t>
      </w:r>
      <w:r>
        <w:rPr>
          <w:rFonts w:hint="eastAsia" w:ascii="宋体" w:hAnsi="宋体" w:cs="宋体"/>
          <w:sz w:val="24"/>
          <w:szCs w:val="24"/>
        </w:rPr>
        <w:t>_________</w:t>
      </w:r>
      <w:r>
        <w:rPr>
          <w:rFonts w:hint="eastAsia" w:ascii="宋体" w:hAnsi="宋体" w:cs="宋体"/>
          <w:b/>
          <w:sz w:val="24"/>
          <w:szCs w:val="24"/>
        </w:rPr>
        <w:t>签署：</w:t>
      </w:r>
    </w:p>
    <w:p>
      <w:pPr>
        <w:spacing w:before="80" w:after="80" w:line="360" w:lineRule="auto"/>
        <w:ind w:left="424" w:leftChars="202"/>
        <w:rPr>
          <w:rFonts w:ascii="宋体" w:hAnsi="宋体" w:cs="宋体"/>
          <w:sz w:val="24"/>
          <w:szCs w:val="24"/>
        </w:rPr>
      </w:pPr>
      <w:r>
        <w:rPr>
          <w:rFonts w:hint="eastAsia" w:ascii="宋体" w:hAnsi="宋体" w:cs="宋体"/>
          <w:b/>
          <w:sz w:val="24"/>
          <w:szCs w:val="24"/>
        </w:rPr>
        <w:t>甲方：</w:t>
      </w:r>
    </w:p>
    <w:p>
      <w:pPr>
        <w:spacing w:before="80" w:after="80" w:line="360" w:lineRule="auto"/>
        <w:ind w:left="424" w:leftChars="202"/>
        <w:rPr>
          <w:rFonts w:ascii="宋体" w:hAnsi="宋体" w:cs="宋体"/>
          <w:sz w:val="24"/>
          <w:szCs w:val="24"/>
        </w:rPr>
      </w:pPr>
      <w:r>
        <w:rPr>
          <w:rFonts w:hint="eastAsia" w:ascii="宋体" w:hAnsi="宋体" w:cs="宋体"/>
          <w:sz w:val="24"/>
          <w:szCs w:val="24"/>
        </w:rPr>
        <w:t>注册地址：</w:t>
      </w:r>
    </w:p>
    <w:p>
      <w:pPr>
        <w:spacing w:before="80" w:after="80" w:line="360" w:lineRule="auto"/>
        <w:ind w:left="424" w:leftChars="202"/>
        <w:rPr>
          <w:rFonts w:ascii="宋体" w:hAnsi="宋体" w:cs="宋体"/>
          <w:sz w:val="24"/>
          <w:szCs w:val="24"/>
        </w:rPr>
      </w:pPr>
      <w:r>
        <w:rPr>
          <w:rFonts w:hint="eastAsia" w:ascii="宋体" w:hAnsi="宋体" w:cs="宋体"/>
          <w:sz w:val="24"/>
          <w:szCs w:val="24"/>
        </w:rPr>
        <w:t>法定代表人：</w:t>
      </w:r>
    </w:p>
    <w:p>
      <w:pPr>
        <w:spacing w:before="80" w:after="80" w:line="360" w:lineRule="auto"/>
        <w:ind w:left="567" w:leftChars="270"/>
        <w:rPr>
          <w:rFonts w:ascii="宋体" w:hAnsi="宋体" w:cs="宋体"/>
          <w:sz w:val="24"/>
          <w:szCs w:val="24"/>
        </w:rPr>
      </w:pPr>
    </w:p>
    <w:p>
      <w:pPr>
        <w:spacing w:before="80" w:after="80" w:line="360" w:lineRule="auto"/>
        <w:ind w:left="566" w:leftChars="203" w:hanging="140" w:hangingChars="58"/>
        <w:rPr>
          <w:rFonts w:ascii="宋体" w:hAnsi="宋体" w:cs="宋体"/>
          <w:sz w:val="24"/>
          <w:szCs w:val="24"/>
        </w:rPr>
      </w:pPr>
      <w:r>
        <w:rPr>
          <w:rFonts w:hint="eastAsia" w:ascii="宋体" w:hAnsi="宋体" w:cs="宋体"/>
          <w:b/>
          <w:sz w:val="24"/>
          <w:szCs w:val="24"/>
        </w:rPr>
        <w:t>乙方：</w:t>
      </w:r>
    </w:p>
    <w:p>
      <w:pPr>
        <w:spacing w:before="80" w:after="80" w:line="360" w:lineRule="auto"/>
        <w:ind w:left="565" w:leftChars="203" w:hanging="139" w:hangingChars="58"/>
        <w:rPr>
          <w:rFonts w:ascii="宋体" w:hAnsi="宋体" w:cs="宋体"/>
          <w:sz w:val="24"/>
          <w:szCs w:val="24"/>
        </w:rPr>
      </w:pPr>
      <w:r>
        <w:rPr>
          <w:rFonts w:hint="eastAsia" w:ascii="宋体" w:hAnsi="宋体" w:cs="宋体"/>
          <w:sz w:val="24"/>
          <w:szCs w:val="24"/>
        </w:rPr>
        <w:t>注册地址：</w:t>
      </w:r>
    </w:p>
    <w:p>
      <w:pPr>
        <w:spacing w:before="80" w:after="80" w:line="360" w:lineRule="auto"/>
        <w:ind w:left="565" w:leftChars="203" w:hanging="139" w:hangingChars="58"/>
        <w:rPr>
          <w:rFonts w:ascii="宋体" w:hAnsi="宋体" w:cs="宋体"/>
          <w:sz w:val="24"/>
          <w:szCs w:val="24"/>
        </w:rPr>
      </w:pPr>
      <w:r>
        <w:rPr>
          <w:rFonts w:hint="eastAsia" w:ascii="宋体" w:hAnsi="宋体" w:cs="宋体"/>
          <w:sz w:val="24"/>
          <w:szCs w:val="24"/>
        </w:rPr>
        <w:t>法定代表人：</w:t>
      </w:r>
    </w:p>
    <w:p>
      <w:pPr>
        <w:spacing w:before="80" w:after="80" w:line="360" w:lineRule="auto"/>
        <w:ind w:left="567" w:leftChars="270" w:firstLine="482" w:firstLineChars="200"/>
        <w:rPr>
          <w:rFonts w:ascii="宋体" w:hAnsi="宋体" w:cs="宋体"/>
          <w:b/>
          <w:sz w:val="24"/>
          <w:szCs w:val="24"/>
        </w:rPr>
      </w:pPr>
    </w:p>
    <w:p>
      <w:pPr>
        <w:spacing w:before="80" w:after="80" w:line="360" w:lineRule="auto"/>
        <w:ind w:left="566" w:hanging="566" w:hangingChars="235"/>
        <w:rPr>
          <w:rFonts w:ascii="宋体" w:hAnsi="宋体" w:cs="宋体"/>
          <w:b/>
          <w:sz w:val="24"/>
          <w:szCs w:val="24"/>
        </w:rPr>
      </w:pPr>
      <w:r>
        <w:rPr>
          <w:rFonts w:hint="eastAsia" w:ascii="宋体" w:hAnsi="宋体" w:cs="宋体"/>
          <w:b/>
          <w:sz w:val="24"/>
          <w:szCs w:val="24"/>
        </w:rPr>
        <w:t>鉴于：</w:t>
      </w:r>
    </w:p>
    <w:p>
      <w:pPr>
        <w:numPr>
          <w:ilvl w:val="0"/>
          <w:numId w:val="21"/>
        </w:numPr>
        <w:tabs>
          <w:tab w:val="left" w:pos="900"/>
          <w:tab w:val="clear" w:pos="360"/>
        </w:tabs>
        <w:spacing w:before="80" w:after="80" w:line="360" w:lineRule="auto"/>
        <w:ind w:left="0" w:firstLine="480" w:firstLineChars="200"/>
        <w:rPr>
          <w:rFonts w:ascii="宋体" w:hAnsi="宋体" w:cs="宋体"/>
          <w:sz w:val="24"/>
          <w:szCs w:val="24"/>
        </w:rPr>
      </w:pPr>
      <w:r>
        <w:rPr>
          <w:rFonts w:hint="eastAsia" w:ascii="宋体" w:hAnsi="宋体" w:cs="宋体"/>
          <w:sz w:val="24"/>
          <w:szCs w:val="24"/>
        </w:rPr>
        <w:t>2009年8月30日无锡市人民政府授权无锡市市政公用事业局与无锡锡东环保能源有限公司签署了《无锡市锡东生活垃圾焚烧发电厂（一期）BOT项目协议》及其相关附件（以下称“原协议”），由无锡锡东环保能源有限公司作为无锡市锡东生活垃圾焚烧发电厂（一期）工程及配套工程BOT的投资人负责建设本工程，并在特许经营期内负责运营该项目。</w:t>
      </w:r>
    </w:p>
    <w:p>
      <w:pPr>
        <w:spacing w:before="80" w:after="80" w:line="360" w:lineRule="auto"/>
        <w:ind w:firstLine="480" w:firstLineChars="200"/>
        <w:jc w:val="left"/>
        <w:rPr>
          <w:rFonts w:ascii="宋体" w:hAnsi="宋体" w:cs="宋体"/>
          <w:sz w:val="24"/>
          <w:szCs w:val="24"/>
          <w:highlight w:val="yellow"/>
        </w:rPr>
      </w:pPr>
      <w:r>
        <w:rPr>
          <w:rFonts w:hint="eastAsia" w:ascii="宋体" w:hAnsi="宋体" w:cs="宋体"/>
          <w:sz w:val="24"/>
          <w:szCs w:val="24"/>
        </w:rPr>
        <w:t>2、根据本项目实施方案，无锡市人民政府授权甲方作为实施机构终止“原协议”并负责本项目的具体实施。甲方已通过竞争性磋商方式选定_________为本项目的中选单位，并已于______年___月___日发出【□中标通知书；□成交通知书】。</w:t>
      </w:r>
    </w:p>
    <w:p>
      <w:pPr>
        <w:spacing w:before="80" w:after="80" w:line="360" w:lineRule="auto"/>
        <w:ind w:firstLine="480" w:firstLineChars="200"/>
        <w:rPr>
          <w:rFonts w:ascii="宋体" w:hAnsi="宋体" w:cs="宋体"/>
          <w:bCs/>
          <w:sz w:val="24"/>
          <w:szCs w:val="24"/>
        </w:rPr>
      </w:pPr>
      <w:r>
        <w:rPr>
          <w:rFonts w:hint="eastAsia" w:ascii="宋体" w:hAnsi="宋体" w:cs="宋体"/>
          <w:bCs/>
          <w:sz w:val="24"/>
          <w:szCs w:val="24"/>
        </w:rPr>
        <w:t>3、《无锡市锡东生活垃圾焚烧发电厂（一期）特许经营项目合同》已于______年___月___日经______人民政府批准同意签署。</w:t>
      </w:r>
    </w:p>
    <w:p>
      <w:pPr>
        <w:spacing w:before="80" w:after="80" w:line="360" w:lineRule="auto"/>
        <w:ind w:firstLine="422" w:firstLineChars="176"/>
        <w:rPr>
          <w:rFonts w:ascii="宋体" w:hAnsi="宋体" w:cs="宋体"/>
          <w:sz w:val="24"/>
          <w:szCs w:val="24"/>
        </w:rPr>
      </w:pP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甲、乙双方遵循平等、合作、守信的原则，就本项目实施相关事项协商一致，并根据《中华人民共和国合同法》及有关适用法律规定，共同达成协议如下：</w:t>
      </w:r>
    </w:p>
    <w:p>
      <w:pPr>
        <w:spacing w:before="80" w:after="80" w:line="360" w:lineRule="auto"/>
        <w:outlineLvl w:val="0"/>
        <w:rPr>
          <w:rFonts w:ascii="宋体" w:hAnsi="宋体" w:cs="宋体"/>
          <w:sz w:val="24"/>
          <w:szCs w:val="24"/>
        </w:rPr>
      </w:pPr>
      <w:r>
        <w:rPr>
          <w:rFonts w:hint="eastAsia" w:ascii="宋体" w:hAnsi="宋体" w:cs="宋体"/>
          <w:sz w:val="24"/>
          <w:szCs w:val="24"/>
        </w:rPr>
        <w:br w:type="page"/>
      </w:r>
      <w:bookmarkStart w:id="6" w:name="_Toc46140681"/>
      <w:r>
        <w:rPr>
          <w:rFonts w:hint="eastAsia" w:ascii="宋体" w:hAnsi="宋体" w:cs="宋体"/>
          <w:b/>
          <w:sz w:val="28"/>
          <w:szCs w:val="28"/>
        </w:rPr>
        <w:t>第1条  定义和解释</w:t>
      </w:r>
      <w:bookmarkEnd w:id="6"/>
    </w:p>
    <w:p>
      <w:pPr>
        <w:spacing w:before="80" w:after="80" w:line="360" w:lineRule="auto"/>
        <w:ind w:firstLine="479" w:firstLineChars="199"/>
        <w:rPr>
          <w:rFonts w:ascii="宋体" w:hAnsi="宋体" w:cs="宋体"/>
          <w:b/>
          <w:sz w:val="24"/>
          <w:szCs w:val="24"/>
        </w:rPr>
      </w:pPr>
      <w:r>
        <w:rPr>
          <w:rFonts w:hint="eastAsia" w:ascii="宋体" w:hAnsi="宋体" w:cs="宋体"/>
          <w:b/>
          <w:sz w:val="24"/>
          <w:szCs w:val="24"/>
        </w:rPr>
        <w:t>1.1定义</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除本合同另有约定外，下列术语应具有本款所指的含义：</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1.1.1本合同，指由甲方与乙方就本项目签署的特许经营项目合同，包括全部附件以及日后签署的本合同之补充协议和附件，均视为本合同的组成部分。</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1.1.2本项目，指无锡市锡东生活垃圾焚烧发电厂（一期）工程特许经营项目，处理规模为2000吨/日生活垃圾（指进厂垃圾量），垃圾处理方法为</w:t>
      </w:r>
      <w:bookmarkStart w:id="7" w:name="OLE_LINK5"/>
      <w:bookmarkStart w:id="8" w:name="OLE_LINK6"/>
      <w:r>
        <w:rPr>
          <w:rFonts w:hint="eastAsia" w:ascii="宋体" w:hAnsi="宋体" w:cs="宋体"/>
          <w:sz w:val="24"/>
          <w:szCs w:val="24"/>
          <w:u w:val="single"/>
        </w:rPr>
        <w:t>焚烧发电</w:t>
      </w:r>
      <w:bookmarkEnd w:id="7"/>
      <w:bookmarkEnd w:id="8"/>
      <w:r>
        <w:rPr>
          <w:rFonts w:hint="eastAsia" w:ascii="宋体" w:hAnsi="宋体" w:cs="宋体"/>
          <w:sz w:val="24"/>
          <w:szCs w:val="24"/>
        </w:rPr>
        <w:t>。</w:t>
      </w:r>
    </w:p>
    <w:p>
      <w:pPr>
        <w:spacing w:before="80" w:after="80" w:line="360" w:lineRule="auto"/>
        <w:ind w:left="2" w:leftChars="1" w:firstLine="480" w:firstLineChars="200"/>
        <w:rPr>
          <w:rFonts w:ascii="宋体" w:hAnsi="宋体" w:cs="宋体"/>
          <w:sz w:val="24"/>
          <w:szCs w:val="24"/>
        </w:rPr>
      </w:pPr>
      <w:r>
        <w:rPr>
          <w:rFonts w:hint="eastAsia" w:ascii="宋体" w:hAnsi="宋体" w:cs="宋体"/>
          <w:sz w:val="24"/>
          <w:szCs w:val="24"/>
        </w:rPr>
        <w:t>1.1.3项目设施，指</w:t>
      </w:r>
      <w:r>
        <w:rPr>
          <w:rFonts w:hint="eastAsia" w:ascii="宋体" w:hAnsi="宋体" w:cs="宋体"/>
          <w:kern w:val="0"/>
          <w:sz w:val="24"/>
          <w:szCs w:val="24"/>
        </w:rPr>
        <w:t>与本项目运营和维护管理相关的设施（存量资产），包括但不限于</w:t>
      </w:r>
      <w:r>
        <w:rPr>
          <w:rFonts w:hint="eastAsia" w:ascii="宋体" w:hAnsi="宋体" w:cs="宋体"/>
          <w:sz w:val="24"/>
          <w:szCs w:val="24"/>
        </w:rPr>
        <w:t>垃圾处理厂在内的</w:t>
      </w:r>
      <w:r>
        <w:rPr>
          <w:rFonts w:hint="eastAsia" w:ascii="宋体" w:hAnsi="宋体" w:cs="宋体"/>
          <w:kern w:val="0"/>
          <w:sz w:val="24"/>
          <w:szCs w:val="24"/>
        </w:rPr>
        <w:t>全部构筑物、建筑物、设施、设备等财产</w:t>
      </w:r>
      <w:r>
        <w:rPr>
          <w:rFonts w:hint="eastAsia" w:ascii="宋体" w:hAnsi="宋体" w:cs="宋体"/>
          <w:sz w:val="24"/>
          <w:szCs w:val="24"/>
        </w:rPr>
        <w:t>。</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1.1.4甲方，指本项目中经无锡市人民政府授权确定的项目实施机构，本合同中特指“无锡环境卫生管理处”。</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1.1.5乙方，指政府方就本项目通过法定采购程序选定的中选社会资本或在其根据适用法律和公司章程在中国独资成立和登记注册的、以实施本项目为目的的项目公司。</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1.1.6政府方，指人民政府或其依法授权的实施机构，可指其中之一，也可统指政府和实施机构。</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1.1.7项目公司，指乙方为实施本项目而按照适用法律规定及采购文件要求组建的特殊目的公司。</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1.1.8采购文件，指《无锡市锡东生活垃圾焚烧发电厂（一期）项目竞争性磋商文件》。</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1.1.9响应文件，指乙方按照采购文件要求编制，并对采购文件予以实质性响应的文件。</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1.1.10</w:t>
      </w:r>
      <w:r>
        <w:rPr>
          <w:rFonts w:hint="eastAsia" w:ascii="宋体" w:hAnsi="宋体" w:cs="宋体"/>
          <w:bCs/>
          <w:sz w:val="24"/>
          <w:szCs w:val="24"/>
        </w:rPr>
        <w:t>特许经营权，</w:t>
      </w:r>
      <w:r>
        <w:rPr>
          <w:rFonts w:hint="eastAsia" w:ascii="宋体" w:hAnsi="宋体" w:cs="宋体"/>
          <w:sz w:val="24"/>
          <w:szCs w:val="24"/>
        </w:rPr>
        <w:t>指人民政府授予企业在一定时间和范围对某项公用产品或服务进行经营的权利。本合同所指“特许经营权”是指运营维护无锡市锡东生活垃圾焚烧发电厂（一期）工程并获取收益的权利。</w:t>
      </w:r>
    </w:p>
    <w:p>
      <w:pPr>
        <w:spacing w:before="80" w:after="80" w:line="360" w:lineRule="auto"/>
        <w:ind w:firstLine="477" w:firstLineChars="199"/>
        <w:rPr>
          <w:rFonts w:ascii="宋体" w:hAnsi="宋体" w:cs="宋体"/>
          <w:sz w:val="24"/>
          <w:szCs w:val="24"/>
        </w:rPr>
      </w:pPr>
      <w:r>
        <w:rPr>
          <w:rFonts w:hint="eastAsia" w:ascii="宋体" w:hAnsi="宋体" w:cs="宋体"/>
          <w:color w:val="000000"/>
          <w:sz w:val="24"/>
          <w:szCs w:val="24"/>
        </w:rPr>
        <w:t>1.1.11土壤污染，是指因人为因素导致某种物质进入陆地表层土壤，引起土壤化学、物理、生物等方面特性的改变，影响土壤功能和有效利用，危害公众健康或者破坏生态环境的现象。</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1.1.12日垃圾基本供应量，指本合同第12.1</w:t>
      </w:r>
      <w:r>
        <w:rPr>
          <w:rFonts w:hint="eastAsia" w:ascii="宋体" w:hAnsi="宋体" w:cs="宋体"/>
          <w:sz w:val="24"/>
          <w:szCs w:val="24"/>
          <w:lang w:val="en-US" w:eastAsia="zh-CN"/>
        </w:rPr>
        <w:t>.1</w:t>
      </w:r>
      <w:r>
        <w:rPr>
          <w:rFonts w:hint="eastAsia" w:ascii="宋体" w:hAnsi="宋体" w:cs="宋体"/>
          <w:sz w:val="24"/>
          <w:szCs w:val="24"/>
        </w:rPr>
        <w:t>款所约定的垃圾供应量。</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1.1.13</w:t>
      </w:r>
      <w:r>
        <w:rPr>
          <w:rFonts w:hint="eastAsia" w:ascii="宋体" w:hAnsi="宋体" w:cs="宋体"/>
          <w:bCs/>
          <w:sz w:val="24"/>
          <w:szCs w:val="24"/>
        </w:rPr>
        <w:t>垃圾服务费单价，指乙方按照本合同规定每处理一吨垃圾而应向甲方收取的垃圾处理服务费。</w:t>
      </w:r>
      <w:r>
        <w:rPr>
          <w:rFonts w:hint="eastAsia" w:ascii="宋体" w:hAnsi="宋体" w:cs="宋体"/>
          <w:color w:val="000000"/>
          <w:sz w:val="24"/>
          <w:szCs w:val="24"/>
        </w:rPr>
        <w:t>该服务费的实际支付数额与垃圾处理绩效评价结果挂钩。</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1.1.14履约担保，指根据本项目采购文件规定的要求，履约担保系【■运维履约保函；■移交履约保函】的统称。其中：运维履约担保，指乙方按照第16.1款的约定提交的、为担保其履行在本合同项下的运营维护等义务的担保措施；移交履约担保，指乙方按照第16.2款的约定提交的、为担保其履行在本合同项下移交、质量保证等义务的担保措施，乙方向银行申请的以甲方为受益人的为确保移交后甲方能够继续正常运营本项目而交纳的保函。</w:t>
      </w:r>
    </w:p>
    <w:p>
      <w:pPr>
        <w:spacing w:before="80" w:after="80" w:line="360" w:lineRule="auto"/>
        <w:ind w:firstLine="477" w:firstLineChars="199"/>
        <w:rPr>
          <w:rFonts w:ascii="宋体" w:hAnsi="宋体" w:cs="宋体"/>
          <w:sz w:val="24"/>
          <w:szCs w:val="24"/>
        </w:rPr>
      </w:pPr>
      <w:r>
        <w:rPr>
          <w:rFonts w:hint="eastAsia" w:ascii="宋体" w:hAnsi="宋体" w:cs="宋体"/>
          <w:color w:val="000000"/>
          <w:sz w:val="24"/>
          <w:szCs w:val="24"/>
        </w:rPr>
        <w:t>1.1.15</w:t>
      </w:r>
      <w:r>
        <w:rPr>
          <w:rFonts w:hint="eastAsia" w:ascii="宋体" w:hAnsi="宋体" w:cs="宋体"/>
          <w:bCs/>
          <w:sz w:val="24"/>
          <w:szCs w:val="24"/>
        </w:rPr>
        <w:t>特许经营权经营期</w:t>
      </w:r>
      <w:r>
        <w:rPr>
          <w:rFonts w:hint="eastAsia" w:ascii="宋体" w:hAnsi="宋体" w:cs="宋体"/>
          <w:sz w:val="24"/>
          <w:szCs w:val="24"/>
        </w:rPr>
        <w:t>，指开始运营日起至移交日止的期间。</w:t>
      </w:r>
    </w:p>
    <w:p>
      <w:pPr>
        <w:spacing w:before="80" w:after="80" w:line="360" w:lineRule="auto"/>
        <w:ind w:firstLine="477" w:firstLineChars="199"/>
        <w:rPr>
          <w:rFonts w:ascii="宋体" w:hAnsi="宋体" w:cs="宋体"/>
          <w:color w:val="000000"/>
          <w:sz w:val="24"/>
          <w:szCs w:val="24"/>
        </w:rPr>
      </w:pPr>
      <w:r>
        <w:rPr>
          <w:rFonts w:hint="eastAsia" w:ascii="宋体" w:hAnsi="宋体" w:cs="宋体"/>
          <w:sz w:val="24"/>
          <w:szCs w:val="24"/>
        </w:rPr>
        <w:t>1.1.16</w:t>
      </w:r>
      <w:r>
        <w:rPr>
          <w:rFonts w:hint="eastAsia" w:ascii="宋体" w:hAnsi="宋体" w:cs="宋体"/>
          <w:bCs/>
          <w:sz w:val="24"/>
          <w:szCs w:val="24"/>
        </w:rPr>
        <w:t>运营年度，指投入运营日的零时至第二年的该日期零时为第一运营年度，其余运营年度依此类推</w:t>
      </w:r>
      <w:r>
        <w:rPr>
          <w:rFonts w:hint="eastAsia" w:ascii="宋体" w:hAnsi="宋体" w:cs="宋体"/>
          <w:sz w:val="24"/>
          <w:szCs w:val="24"/>
        </w:rPr>
        <w:t>。</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1.1.17开始运营日，指按照本合同第</w:t>
      </w:r>
      <w:r>
        <w:rPr>
          <w:rFonts w:hint="eastAsia" w:ascii="宋体" w:hAnsi="宋体" w:cs="宋体"/>
          <w:sz w:val="24"/>
          <w:szCs w:val="24"/>
        </w:rPr>
        <w:t>9.1.2款</w:t>
      </w:r>
      <w:r>
        <w:rPr>
          <w:rFonts w:hint="eastAsia" w:ascii="宋体" w:hAnsi="宋体" w:cs="宋体"/>
          <w:color w:val="000000"/>
          <w:sz w:val="24"/>
          <w:szCs w:val="24"/>
        </w:rPr>
        <w:t>约定由甲方书面认可的日期或视为甲方认可的其他日期。</w:t>
      </w:r>
    </w:p>
    <w:p>
      <w:pPr>
        <w:spacing w:before="80" w:after="80" w:line="360" w:lineRule="auto"/>
        <w:ind w:firstLine="477" w:firstLineChars="199"/>
        <w:rPr>
          <w:rFonts w:ascii="宋体" w:hAnsi="宋体" w:cs="宋体"/>
          <w:sz w:val="24"/>
          <w:szCs w:val="24"/>
        </w:rPr>
      </w:pPr>
      <w:r>
        <w:rPr>
          <w:rFonts w:hint="eastAsia" w:ascii="宋体" w:hAnsi="宋体" w:cs="宋体"/>
          <w:color w:val="000000"/>
          <w:sz w:val="24"/>
          <w:szCs w:val="24"/>
        </w:rPr>
        <w:t>1.1.18</w:t>
      </w:r>
      <w:r>
        <w:rPr>
          <w:rFonts w:hint="eastAsia" w:ascii="宋体" w:hAnsi="宋体" w:cs="宋体"/>
          <w:bCs/>
          <w:sz w:val="24"/>
          <w:szCs w:val="24"/>
        </w:rPr>
        <w:t>移交日，指特许经营权期满后次日或本合同提前终止后双方约定的日期，或移交小组确定的其他日期</w:t>
      </w:r>
      <w:r>
        <w:rPr>
          <w:rFonts w:hint="eastAsia" w:ascii="宋体" w:hAnsi="宋体" w:cs="宋体"/>
          <w:sz w:val="24"/>
          <w:szCs w:val="24"/>
        </w:rPr>
        <w:t>。</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1.1.19</w:t>
      </w:r>
      <w:r>
        <w:rPr>
          <w:rFonts w:hint="eastAsia" w:ascii="宋体" w:hAnsi="宋体" w:cs="宋体"/>
          <w:bCs/>
          <w:sz w:val="24"/>
          <w:szCs w:val="24"/>
        </w:rPr>
        <w:t>移交小组，指甲乙双方为进行项目移交而设立的临时组织机构</w:t>
      </w:r>
      <w:r>
        <w:rPr>
          <w:rFonts w:hint="eastAsia" w:ascii="宋体" w:hAnsi="宋体" w:cs="宋体"/>
          <w:sz w:val="24"/>
          <w:szCs w:val="24"/>
        </w:rPr>
        <w:t>。</w:t>
      </w:r>
    </w:p>
    <w:p>
      <w:pPr>
        <w:spacing w:before="80" w:after="80" w:line="360" w:lineRule="auto"/>
        <w:ind w:firstLine="477" w:firstLineChars="19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1.1.20接收人，指在项目移交日负责接收乙方无偿、完整地移交资产和相关权益的政府方指定主体。</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1</w:t>
      </w:r>
      <w:r>
        <w:rPr>
          <w:rFonts w:hint="eastAsia" w:ascii="宋体" w:hAnsi="宋体" w:cs="宋体"/>
          <w:color w:val="000000"/>
          <w:sz w:val="24"/>
          <w:szCs w:val="24"/>
        </w:rPr>
        <w:t>适用法律，指中华人民共和国境内（香港特别行政区、澳门特别行政区和台湾地区除外）所有适用的法律、行政法规、司法解释、地方性法规、规章、政府部门颁布的标准、规范或其他适用的强制性要求，以及有法律约束力的其他规范性文件等。</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2</w:t>
      </w:r>
      <w:r>
        <w:rPr>
          <w:rFonts w:hint="eastAsia" w:ascii="宋体" w:hAnsi="宋体" w:cs="宋体"/>
          <w:color w:val="000000"/>
          <w:sz w:val="24"/>
          <w:szCs w:val="24"/>
        </w:rPr>
        <w:t>法律变更，</w:t>
      </w:r>
      <w:r>
        <w:rPr>
          <w:rFonts w:hint="eastAsia" w:ascii="宋体" w:hAnsi="宋体" w:cs="宋体"/>
          <w:bCs/>
          <w:sz w:val="24"/>
          <w:szCs w:val="24"/>
        </w:rPr>
        <w:t>指在本合同签署日或其后发生的</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（1）</w:t>
      </w:r>
      <w:r>
        <w:rPr>
          <w:rFonts w:hint="eastAsia" w:ascii="宋体" w:hAnsi="宋体" w:cs="宋体"/>
          <w:bCs/>
          <w:sz w:val="24"/>
          <w:szCs w:val="24"/>
        </w:rPr>
        <w:t>任何中国法律、法规、司法解释、规章，包括标准的变更；</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（2）</w:t>
      </w:r>
      <w:r>
        <w:rPr>
          <w:rFonts w:hint="eastAsia" w:ascii="宋体" w:hAnsi="宋体" w:cs="宋体"/>
          <w:bCs/>
          <w:sz w:val="24"/>
          <w:szCs w:val="24"/>
        </w:rPr>
        <w:t>来自甲方的各级上级人民政府及其职能机构的规范性文件的或其他适用的强制性要求的变更；</w:t>
      </w:r>
    </w:p>
    <w:p>
      <w:pPr>
        <w:spacing w:before="80" w:after="80" w:line="360" w:lineRule="auto"/>
        <w:ind w:firstLine="477" w:firstLineChars="199"/>
        <w:rPr>
          <w:rFonts w:ascii="宋体" w:hAnsi="宋体" w:cs="宋体"/>
          <w:color w:val="000000"/>
          <w:sz w:val="24"/>
          <w:szCs w:val="24"/>
        </w:rPr>
      </w:pPr>
      <w:r>
        <w:rPr>
          <w:rFonts w:hint="eastAsia" w:ascii="宋体" w:hAnsi="宋体" w:cs="宋体"/>
          <w:sz w:val="24"/>
          <w:szCs w:val="24"/>
        </w:rPr>
        <w:t>（3）</w:t>
      </w:r>
      <w:r>
        <w:rPr>
          <w:rFonts w:hint="eastAsia" w:ascii="宋体" w:hAnsi="宋体" w:cs="宋体"/>
          <w:bCs/>
          <w:sz w:val="24"/>
          <w:szCs w:val="24"/>
        </w:rPr>
        <w:t>由于(1)或(2)导致本合同一方无法全部或部分履行本合同或显著增加投融资</w:t>
      </w:r>
      <w:r>
        <w:rPr>
          <w:rFonts w:hint="eastAsia" w:ascii="宋体" w:hAnsi="宋体" w:cs="宋体"/>
          <w:bCs/>
          <w:sz w:val="24"/>
          <w:szCs w:val="24"/>
          <w:lang w:eastAsia="zh-CN"/>
        </w:rPr>
        <w:t>、</w:t>
      </w:r>
      <w:r>
        <w:rPr>
          <w:rFonts w:hint="eastAsia" w:ascii="宋体" w:hAnsi="宋体" w:cs="宋体"/>
          <w:bCs/>
          <w:sz w:val="24"/>
          <w:szCs w:val="24"/>
        </w:rPr>
        <w:t>运营、维护或移交的成本。</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3</w:t>
      </w:r>
      <w:r>
        <w:rPr>
          <w:rFonts w:hint="eastAsia" w:ascii="宋体" w:hAnsi="宋体" w:cs="宋体"/>
          <w:color w:val="000000"/>
          <w:sz w:val="24"/>
          <w:szCs w:val="24"/>
        </w:rPr>
        <w:t>政府行为，指甲方及其任何上级政府部门（【市】级及以上）的国有化、征收及征用等行为。</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4</w:t>
      </w:r>
      <w:r>
        <w:rPr>
          <w:rFonts w:hint="eastAsia" w:ascii="宋体" w:hAnsi="宋体" w:cs="宋体"/>
          <w:color w:val="000000"/>
          <w:sz w:val="24"/>
          <w:szCs w:val="24"/>
        </w:rPr>
        <w:t>批准，指为了使乙方能够履行其在本合同项下的义务和行使其在本合同项下的权利，乙方必须或希望从政府机关依法获得的所需要的任何许可、执照、同意、授权、批准、免除或相同及类似的文件。</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5</w:t>
      </w:r>
      <w:r>
        <w:rPr>
          <w:rFonts w:hint="eastAsia" w:ascii="宋体" w:hAnsi="宋体" w:cs="宋体"/>
          <w:color w:val="000000"/>
          <w:sz w:val="24"/>
          <w:szCs w:val="24"/>
        </w:rPr>
        <w:t>融资方，指融资文件中的贷款人或项目融资资金的提供人。</w:t>
      </w:r>
    </w:p>
    <w:p>
      <w:pPr>
        <w:spacing w:before="80" w:after="80" w:line="360" w:lineRule="auto"/>
        <w:ind w:firstLine="477" w:firstLineChars="199"/>
        <w:rPr>
          <w:rFonts w:ascii="宋体" w:hAnsi="宋体" w:cs="宋体"/>
          <w:bCs/>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6</w:t>
      </w:r>
      <w:r>
        <w:rPr>
          <w:rFonts w:hint="eastAsia" w:ascii="宋体" w:hAnsi="宋体" w:cs="宋体"/>
          <w:bCs/>
          <w:sz w:val="24"/>
          <w:szCs w:val="24"/>
        </w:rPr>
        <w:t>融资文件，指依适用法律批准的与项目的融资或再融资相关的贷款协议、票据、契约、担保协议、保函、外汇套期保值协议和其他文件，但不包括</w:t>
      </w:r>
    </w:p>
    <w:p>
      <w:pPr>
        <w:numPr>
          <w:ilvl w:val="0"/>
          <w:numId w:val="22"/>
        </w:numPr>
        <w:spacing w:before="80" w:after="80" w:line="360" w:lineRule="auto"/>
        <w:ind w:firstLine="480" w:firstLineChars="200"/>
        <w:rPr>
          <w:rFonts w:ascii="宋体" w:hAnsi="宋体" w:cs="宋体"/>
          <w:bCs/>
          <w:sz w:val="24"/>
          <w:szCs w:val="24"/>
        </w:rPr>
      </w:pPr>
      <w:r>
        <w:rPr>
          <w:rFonts w:hint="eastAsia" w:ascii="宋体" w:hAnsi="宋体" w:cs="宋体"/>
          <w:bCs/>
          <w:sz w:val="24"/>
          <w:szCs w:val="24"/>
        </w:rPr>
        <w:t>与股权投资者的认股书或股权出资相关的任何文件。</w:t>
      </w:r>
    </w:p>
    <w:p>
      <w:pPr>
        <w:numPr>
          <w:ilvl w:val="0"/>
          <w:numId w:val="22"/>
        </w:numPr>
        <w:spacing w:before="80" w:after="80" w:line="360" w:lineRule="auto"/>
        <w:ind w:firstLine="480" w:firstLineChars="200"/>
        <w:rPr>
          <w:rFonts w:ascii="宋体" w:hAnsi="宋体" w:cs="宋体"/>
          <w:sz w:val="24"/>
          <w:szCs w:val="24"/>
        </w:rPr>
      </w:pPr>
      <w:r>
        <w:rPr>
          <w:rFonts w:hint="eastAsia" w:ascii="宋体" w:hAnsi="宋体" w:cs="宋体"/>
          <w:bCs/>
          <w:sz w:val="24"/>
          <w:szCs w:val="24"/>
        </w:rPr>
        <w:t>与提供履约保函和移交保函相关的文件。</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7</w:t>
      </w:r>
      <w:r>
        <w:rPr>
          <w:rFonts w:hint="eastAsia" w:ascii="宋体" w:hAnsi="宋体" w:cs="宋体"/>
          <w:color w:val="000000"/>
          <w:sz w:val="24"/>
          <w:szCs w:val="24"/>
        </w:rPr>
        <w:t>融资交割，指项目融资所需的有关资信、协议、担保或承诺等文件已签署并提交政府方，且融资文件要求获得首笔资金的前提条件已得到满足或被豁免。</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8</w:t>
      </w:r>
      <w:r>
        <w:rPr>
          <w:rFonts w:hint="eastAsia" w:ascii="宋体" w:hAnsi="宋体" w:cs="宋体"/>
          <w:color w:val="000000"/>
          <w:sz w:val="24"/>
          <w:szCs w:val="24"/>
        </w:rPr>
        <w:t>再融资，指运营期内为维持项目正常运作和保障现金流，在初始融资完成后对融资条件和工具进行调整的融资活动。</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1.1.2</w:t>
      </w:r>
      <w:r>
        <w:rPr>
          <w:rFonts w:hint="eastAsia" w:ascii="宋体" w:hAnsi="宋体" w:cs="宋体"/>
          <w:color w:val="000000"/>
          <w:sz w:val="24"/>
          <w:szCs w:val="24"/>
          <w:lang w:val="en-US" w:eastAsia="zh-CN"/>
        </w:rPr>
        <w:t>9</w:t>
      </w:r>
      <w:r>
        <w:rPr>
          <w:rFonts w:hint="eastAsia" w:ascii="宋体" w:hAnsi="宋体" w:cs="宋体"/>
          <w:color w:val="000000"/>
          <w:sz w:val="24"/>
          <w:szCs w:val="24"/>
        </w:rPr>
        <w:t>项目资产，指与项目有关的所有资产，包括但不限于：</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垃圾处理厂</w:t>
      </w:r>
      <w:r>
        <w:rPr>
          <w:rFonts w:hint="eastAsia" w:ascii="宋体" w:hAnsi="宋体" w:cs="宋体"/>
          <w:color w:val="000000"/>
          <w:sz w:val="24"/>
          <w:szCs w:val="24"/>
        </w:rPr>
        <w:t>在内的全部建筑物、构筑物等不动产；</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（2）主辅设备、备品、备件、工具等动产；</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（3）本项目项下乙方拥有的知识产权；</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（4）合同文件项下的合同性权利；</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（5）运营和维护记录、质量保证计划等文件。</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w:t>
      </w:r>
      <w:r>
        <w:rPr>
          <w:rFonts w:hint="eastAsia" w:ascii="宋体" w:hAnsi="宋体" w:cs="宋体"/>
          <w:color w:val="000000"/>
          <w:sz w:val="24"/>
          <w:szCs w:val="24"/>
          <w:lang w:val="en-US" w:eastAsia="zh-CN"/>
        </w:rPr>
        <w:t>30</w:t>
      </w:r>
      <w:r>
        <w:rPr>
          <w:rFonts w:hint="eastAsia" w:ascii="宋体" w:hAnsi="宋体" w:cs="宋体"/>
          <w:color w:val="000000"/>
          <w:sz w:val="24"/>
          <w:szCs w:val="24"/>
        </w:rPr>
        <w:t>谨慎工程和运营惯例，指可以合理期望的对同一项业务在相同或类似情形下熟练和有经验的承包商或操作者的技能、勤勉、谨慎和预见能力的惯例标准。</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就本项目而言，谨慎工程和运营惯例应包括但不限于采取合理的步骤，以确使：</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（1）在满足正常条件下及合理预测的非正常条件下本项目拥有所需要的充足材料、资源和供应品；</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（2）拥有足够数量、充足经验并经过适当培训的工作人员，以恰当有效地按照相应的手册和技术规范运营本项目并能够处理紧急情况；</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（3）由有知识并受过培训和有经验的人员进行预防性日常和非日常维护和修理，以确使本项目长期、可靠和安全地运营。</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1.1.3</w:t>
      </w:r>
      <w:r>
        <w:rPr>
          <w:rFonts w:hint="eastAsia" w:ascii="宋体" w:hAnsi="宋体" w:cs="宋体"/>
          <w:color w:val="000000"/>
          <w:sz w:val="24"/>
          <w:szCs w:val="24"/>
          <w:lang w:val="en-US" w:eastAsia="zh-CN"/>
        </w:rPr>
        <w:t>1</w:t>
      </w:r>
      <w:r>
        <w:rPr>
          <w:rFonts w:hint="eastAsia" w:ascii="宋体" w:hAnsi="宋体" w:cs="宋体"/>
          <w:color w:val="000000"/>
          <w:sz w:val="24"/>
          <w:szCs w:val="24"/>
        </w:rPr>
        <w:t>争议解决程序，指本合同</w:t>
      </w:r>
      <w:r>
        <w:rPr>
          <w:rFonts w:hint="eastAsia" w:ascii="宋体" w:hAnsi="宋体" w:cs="宋体"/>
          <w:sz w:val="24"/>
          <w:szCs w:val="24"/>
        </w:rPr>
        <w:t>第27条中</w:t>
      </w:r>
      <w:r>
        <w:rPr>
          <w:rFonts w:hint="eastAsia" w:ascii="宋体" w:hAnsi="宋体" w:cs="宋体"/>
          <w:color w:val="000000"/>
          <w:sz w:val="24"/>
          <w:szCs w:val="24"/>
        </w:rPr>
        <w:t>提及的解决争议的程序。</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1.1.3</w:t>
      </w:r>
      <w:r>
        <w:rPr>
          <w:rFonts w:hint="eastAsia" w:ascii="宋体" w:hAnsi="宋体" w:cs="宋体"/>
          <w:color w:val="000000"/>
          <w:sz w:val="24"/>
          <w:szCs w:val="24"/>
          <w:lang w:val="en-US" w:eastAsia="zh-CN"/>
        </w:rPr>
        <w:t>2</w:t>
      </w:r>
      <w:r>
        <w:rPr>
          <w:rFonts w:hint="eastAsia" w:ascii="宋体" w:hAnsi="宋体" w:cs="宋体"/>
          <w:color w:val="000000"/>
          <w:sz w:val="24"/>
          <w:szCs w:val="24"/>
        </w:rPr>
        <w:t>政府部门，指：</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（1）中国国务院及其下属的部、委、局、署、行，中国的任何立法、司法或军事当局，或具有中央政府行政管理功能的其他行政实体；</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（2）本项目所在区域的任何地方立法、行政、司法部门。</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1.1.3</w:t>
      </w:r>
      <w:r>
        <w:rPr>
          <w:rFonts w:hint="eastAsia" w:ascii="宋体" w:hAnsi="宋体" w:cs="宋体"/>
          <w:color w:val="000000"/>
          <w:sz w:val="24"/>
          <w:szCs w:val="24"/>
          <w:lang w:val="en-US" w:eastAsia="zh-CN"/>
        </w:rPr>
        <w:t>3</w:t>
      </w:r>
      <w:r>
        <w:rPr>
          <w:rFonts w:hint="eastAsia" w:ascii="宋体" w:hAnsi="宋体" w:cs="宋体"/>
          <w:color w:val="000000"/>
          <w:sz w:val="24"/>
          <w:szCs w:val="24"/>
        </w:rPr>
        <w:t>终止意向通知，指双方按照本合同</w:t>
      </w:r>
      <w:r>
        <w:rPr>
          <w:rFonts w:hint="eastAsia" w:ascii="宋体" w:hAnsi="宋体" w:cs="宋体"/>
          <w:sz w:val="24"/>
          <w:szCs w:val="24"/>
        </w:rPr>
        <w:t>第25.6.1款</w:t>
      </w:r>
      <w:r>
        <w:rPr>
          <w:rFonts w:hint="eastAsia" w:ascii="宋体" w:hAnsi="宋体" w:cs="宋体"/>
          <w:color w:val="000000"/>
          <w:sz w:val="24"/>
          <w:szCs w:val="24"/>
        </w:rPr>
        <w:t>向对方发出的通知。</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1.1.3</w:t>
      </w:r>
      <w:r>
        <w:rPr>
          <w:rFonts w:hint="eastAsia" w:ascii="宋体" w:hAnsi="宋体" w:cs="宋体"/>
          <w:color w:val="000000"/>
          <w:sz w:val="24"/>
          <w:szCs w:val="24"/>
          <w:lang w:val="en-US" w:eastAsia="zh-CN"/>
        </w:rPr>
        <w:t>4</w:t>
      </w:r>
      <w:r>
        <w:rPr>
          <w:rFonts w:hint="eastAsia" w:ascii="宋体" w:hAnsi="宋体" w:cs="宋体"/>
          <w:color w:val="000000"/>
          <w:sz w:val="24"/>
          <w:szCs w:val="24"/>
        </w:rPr>
        <w:t>终止通知，指双方按照本</w:t>
      </w:r>
      <w:r>
        <w:rPr>
          <w:rFonts w:hint="eastAsia" w:ascii="宋体" w:hAnsi="宋体" w:cs="宋体"/>
          <w:sz w:val="24"/>
          <w:szCs w:val="24"/>
        </w:rPr>
        <w:t>合同第25.6.2款向对</w:t>
      </w:r>
      <w:r>
        <w:rPr>
          <w:rFonts w:hint="eastAsia" w:ascii="宋体" w:hAnsi="宋体" w:cs="宋体"/>
          <w:color w:val="000000"/>
          <w:sz w:val="24"/>
          <w:szCs w:val="24"/>
        </w:rPr>
        <w:t>方发出的通知。</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1.1.3</w:t>
      </w:r>
      <w:r>
        <w:rPr>
          <w:rFonts w:hint="eastAsia" w:ascii="宋体" w:hAnsi="宋体" w:cs="宋体"/>
          <w:sz w:val="24"/>
          <w:szCs w:val="24"/>
          <w:lang w:val="en-US" w:eastAsia="zh-CN"/>
        </w:rPr>
        <w:t>5</w:t>
      </w:r>
      <w:r>
        <w:rPr>
          <w:rFonts w:hint="eastAsia" w:ascii="宋体" w:hAnsi="宋体" w:cs="宋体"/>
          <w:sz w:val="24"/>
          <w:szCs w:val="24"/>
        </w:rPr>
        <w:t>生效日，指本合同甲、乙双方法定代表人或授权代表签字并加盖公章之日。</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en-US" w:eastAsia="zh-CN"/>
        </w:rPr>
        <w:t>36</w:t>
      </w:r>
      <w:r>
        <w:rPr>
          <w:rFonts w:hint="eastAsia" w:ascii="宋体" w:hAnsi="宋体" w:cs="宋体"/>
          <w:sz w:val="24"/>
          <w:szCs w:val="24"/>
        </w:rPr>
        <w:t>其他专业定义</w:t>
      </w:r>
    </w:p>
    <w:p>
      <w:pPr>
        <w:spacing w:before="80" w:after="80" w:line="360" w:lineRule="auto"/>
        <w:ind w:firstLine="477" w:firstLineChars="199"/>
        <w:rPr>
          <w:rFonts w:ascii="宋体" w:hAnsi="宋体" w:cs="宋体"/>
          <w:bCs/>
          <w:sz w:val="24"/>
          <w:szCs w:val="24"/>
        </w:rPr>
      </w:pPr>
      <w:r>
        <w:rPr>
          <w:rFonts w:hint="eastAsia" w:ascii="宋体" w:hAnsi="宋体" w:cs="宋体"/>
          <w:color w:val="000000"/>
          <w:sz w:val="24"/>
          <w:szCs w:val="24"/>
        </w:rPr>
        <w:t>（1）</w:t>
      </w:r>
      <w:r>
        <w:rPr>
          <w:rFonts w:hint="eastAsia" w:ascii="宋体" w:hAnsi="宋体" w:cs="宋体"/>
          <w:bCs/>
          <w:sz w:val="24"/>
          <w:szCs w:val="24"/>
        </w:rPr>
        <w:t>电力公司，指江苏省电力公司或其它负责接受本项目售电的电力部门。</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（2）</w:t>
      </w:r>
      <w:r>
        <w:rPr>
          <w:rFonts w:hint="eastAsia" w:ascii="宋体" w:hAnsi="宋体" w:cs="宋体"/>
          <w:bCs/>
          <w:sz w:val="24"/>
          <w:szCs w:val="24"/>
        </w:rPr>
        <w:t>购售电合同，指乙方与电力公司签订的有关本项目富余电力上网事宜的合同。</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（3）</w:t>
      </w:r>
      <w:r>
        <w:rPr>
          <w:rFonts w:hint="eastAsia" w:ascii="宋体" w:hAnsi="宋体" w:cs="宋体"/>
          <w:bCs/>
          <w:sz w:val="24"/>
          <w:szCs w:val="24"/>
        </w:rPr>
        <w:t>DCG 测试，指对工程日处理能力的测试。</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（4）</w:t>
      </w:r>
      <w:r>
        <w:rPr>
          <w:rFonts w:hint="eastAsia" w:ascii="宋体" w:hAnsi="宋体" w:cs="宋体"/>
          <w:bCs/>
          <w:sz w:val="24"/>
          <w:szCs w:val="24"/>
        </w:rPr>
        <w:t>LHV 值，指《城市生活垃圾采样和物理分析方法》（CJ/T 3039-95 ）定义的湿基低位热值。</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（5）</w:t>
      </w:r>
      <w:r>
        <w:rPr>
          <w:rFonts w:hint="eastAsia" w:ascii="宋体" w:hAnsi="宋体" w:cs="宋体"/>
          <w:bCs/>
          <w:sz w:val="24"/>
          <w:szCs w:val="24"/>
        </w:rPr>
        <w:t>炉渣品质测试(PRG 测试)，指根据《生活垃圾焚烧污染控制标准》（GB18485-2014）的规定对炉渣进行的测试。</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（6）</w:t>
      </w:r>
      <w:r>
        <w:rPr>
          <w:rFonts w:hint="eastAsia" w:ascii="宋体" w:hAnsi="宋体" w:cs="宋体"/>
          <w:bCs/>
          <w:sz w:val="24"/>
          <w:szCs w:val="24"/>
        </w:rPr>
        <w:t>空气污染物排放测试，指根据《生活垃圾焚烧污染控制标准》（GB18485-2014）的规定对空气污染物进行的测试。</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（7）</w:t>
      </w:r>
      <w:r>
        <w:rPr>
          <w:rFonts w:hint="eastAsia" w:ascii="宋体" w:hAnsi="宋体" w:cs="宋体"/>
          <w:bCs/>
          <w:sz w:val="24"/>
          <w:szCs w:val="24"/>
        </w:rPr>
        <w:t>飞灰浸出毒性测试(TCLP 测试) ，指根据《生活垃圾焚烧污染控制标准》（GB18485-2014）的规定对污染物进行的测试。</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（8）</w:t>
      </w:r>
      <w:r>
        <w:rPr>
          <w:rFonts w:hint="eastAsia" w:ascii="宋体" w:hAnsi="宋体" w:cs="宋体"/>
          <w:bCs/>
          <w:sz w:val="24"/>
          <w:szCs w:val="24"/>
        </w:rPr>
        <w:t>噪音控制测试，指根据《生活垃圾焚烧污染控制标准》（GB18485-2014）的规定对噪音进行的测试。</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（9）</w:t>
      </w:r>
      <w:r>
        <w:rPr>
          <w:rFonts w:hint="eastAsia" w:ascii="宋体" w:hAnsi="宋体" w:cs="宋体"/>
          <w:bCs/>
          <w:sz w:val="24"/>
          <w:szCs w:val="24"/>
        </w:rPr>
        <w:t>恶臭排放测试，指根据《生活垃圾焚烧污染控制标准》（GB18485-2014）的规定对恶臭进行的测试。</w:t>
      </w:r>
    </w:p>
    <w:p>
      <w:pPr>
        <w:spacing w:before="80" w:after="80" w:line="360" w:lineRule="auto"/>
        <w:ind w:left="2" w:leftChars="1" w:firstLine="480" w:firstLineChars="200"/>
        <w:rPr>
          <w:rFonts w:ascii="宋体" w:hAnsi="宋体" w:cs="宋体"/>
          <w:bCs/>
          <w:sz w:val="24"/>
          <w:szCs w:val="24"/>
        </w:rPr>
      </w:pPr>
      <w:r>
        <w:rPr>
          <w:rFonts w:hint="eastAsia" w:ascii="宋体" w:hAnsi="宋体" w:cs="宋体"/>
          <w:sz w:val="24"/>
          <w:szCs w:val="24"/>
        </w:rPr>
        <w:t>（10）</w:t>
      </w:r>
      <w:r>
        <w:rPr>
          <w:rFonts w:hint="eastAsia" w:ascii="宋体" w:hAnsi="宋体" w:cs="宋体"/>
          <w:bCs/>
          <w:sz w:val="24"/>
          <w:szCs w:val="24"/>
        </w:rPr>
        <w:t>焚烧炉性能测试，指根据《生活垃圾焚烧炉》（CJ-T118-2000）的规定对焚烧炉进行的测试。</w:t>
      </w:r>
    </w:p>
    <w:p>
      <w:pPr>
        <w:spacing w:before="80" w:after="80" w:line="360" w:lineRule="auto"/>
        <w:ind w:firstLine="477" w:firstLineChars="199"/>
        <w:rPr>
          <w:rFonts w:ascii="宋体" w:hAnsi="宋体" w:cs="宋体"/>
          <w:sz w:val="24"/>
          <w:szCs w:val="24"/>
        </w:rPr>
      </w:pPr>
      <w:r>
        <w:rPr>
          <w:rFonts w:hint="eastAsia" w:ascii="宋体" w:hAnsi="宋体" w:cs="宋体"/>
          <w:sz w:val="24"/>
          <w:szCs w:val="24"/>
        </w:rPr>
        <w:t>（11）</w:t>
      </w:r>
      <w:r>
        <w:rPr>
          <w:rFonts w:hint="eastAsia" w:ascii="宋体" w:hAnsi="宋体" w:cs="宋体"/>
          <w:bCs/>
          <w:sz w:val="24"/>
          <w:szCs w:val="24"/>
        </w:rPr>
        <w:t>测试通过证明文件，指项目通过甲方及当地有关职能部门组织的功能测试后向乙方颁发的证明文件。</w:t>
      </w:r>
    </w:p>
    <w:p>
      <w:pPr>
        <w:pStyle w:val="253"/>
        <w:keepNext w:val="0"/>
        <w:spacing w:before="80" w:after="80" w:line="360" w:lineRule="auto"/>
        <w:ind w:firstLine="480" w:firstLineChars="200"/>
        <w:jc w:val="both"/>
        <w:outlineLvl w:val="9"/>
        <w:rPr>
          <w:rFonts w:ascii="宋体" w:hAnsi="宋体" w:eastAsia="宋体" w:cs="宋体"/>
          <w:color w:val="auto"/>
        </w:rPr>
      </w:pPr>
      <w:bookmarkStart w:id="9" w:name="_Toc24885538"/>
      <w:r>
        <w:rPr>
          <w:rFonts w:hint="eastAsia" w:ascii="宋体" w:hAnsi="宋体" w:eastAsia="宋体" w:cs="宋体"/>
          <w:color w:val="auto"/>
        </w:rPr>
        <w:t>1.1.3</w:t>
      </w:r>
      <w:r>
        <w:rPr>
          <w:rFonts w:hint="eastAsia" w:ascii="宋体" w:hAnsi="宋体" w:eastAsia="宋体" w:cs="宋体"/>
          <w:color w:val="auto"/>
          <w:lang w:val="en-US" w:eastAsia="zh-CN"/>
        </w:rPr>
        <w:t>7</w:t>
      </w:r>
      <w:r>
        <w:rPr>
          <w:rFonts w:hint="eastAsia" w:ascii="宋体" w:hAnsi="宋体" w:eastAsia="宋体" w:cs="宋体"/>
          <w:color w:val="auto"/>
        </w:rPr>
        <w:t>其他特定缩语</w:t>
      </w:r>
      <w:bookmarkEnd w:id="9"/>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除非本合同另有特别说明，本合同以下缩语应当作如下解释：</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（1）T，指吨或一千（1,000）公斤（KG）。</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（2）RMB，指中华人民共和国法定货币“人民币元”。</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（3）KW，指一千瓦，功率单位。</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（4）KWh ，指一千瓦小时，电量计量单位，俗称“度”。</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（5）KVA ，指一千伏安，电力容量单位。</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（6）KJ，指一千焦耳，热能单位。</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（7）KG，指一千克，质量单位。</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（8）KCal，指一千卡，热能单位。</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（9）DCG，日处理能力测试。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（10）TCLP，浸出毒性检测。</w:t>
      </w:r>
    </w:p>
    <w:p>
      <w:pPr>
        <w:spacing w:before="80" w:after="80" w:line="360" w:lineRule="auto"/>
        <w:ind w:firstLine="479" w:firstLineChars="199"/>
        <w:rPr>
          <w:rFonts w:ascii="宋体" w:hAnsi="宋体" w:cs="宋体"/>
          <w:b/>
          <w:sz w:val="24"/>
          <w:szCs w:val="24"/>
        </w:rPr>
      </w:pPr>
      <w:bookmarkStart w:id="10" w:name="_Toc498459543"/>
      <w:bookmarkStart w:id="11" w:name="_Toc495912322"/>
      <w:r>
        <w:rPr>
          <w:rFonts w:hint="eastAsia" w:ascii="宋体" w:hAnsi="宋体" w:cs="宋体"/>
          <w:b/>
          <w:sz w:val="24"/>
          <w:szCs w:val="24"/>
        </w:rPr>
        <w:t>1.2解释</w:t>
      </w:r>
      <w:bookmarkEnd w:id="10"/>
      <w:bookmarkEnd w:id="11"/>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本</w:t>
      </w:r>
      <w:r>
        <w:rPr>
          <w:rFonts w:hint="eastAsia" w:ascii="宋体" w:hAnsi="宋体" w:cs="宋体"/>
          <w:sz w:val="24"/>
          <w:szCs w:val="24"/>
        </w:rPr>
        <w:t>合同</w:t>
      </w:r>
      <w:r>
        <w:rPr>
          <w:rFonts w:hint="eastAsia" w:ascii="宋体" w:hAnsi="宋体" w:cs="宋体"/>
          <w:color w:val="000000"/>
          <w:sz w:val="24"/>
          <w:szCs w:val="24"/>
        </w:rPr>
        <w:t>中的标题仅为参考所设，不应影响条文的解释。以下规定同样适用于对本</w:t>
      </w:r>
      <w:r>
        <w:rPr>
          <w:rFonts w:hint="eastAsia" w:ascii="宋体" w:hAnsi="宋体" w:cs="宋体"/>
          <w:sz w:val="24"/>
          <w:szCs w:val="24"/>
        </w:rPr>
        <w:t>合同</w:t>
      </w:r>
      <w:r>
        <w:rPr>
          <w:rFonts w:hint="eastAsia" w:ascii="宋体" w:hAnsi="宋体" w:cs="宋体"/>
          <w:color w:val="000000"/>
          <w:sz w:val="24"/>
          <w:szCs w:val="24"/>
        </w:rPr>
        <w:t>进行解释，除非其上下文明确显示其不适用。在本</w:t>
      </w:r>
      <w:r>
        <w:rPr>
          <w:rFonts w:hint="eastAsia" w:ascii="宋体" w:hAnsi="宋体" w:cs="宋体"/>
          <w:sz w:val="24"/>
          <w:szCs w:val="24"/>
        </w:rPr>
        <w:t>合同</w:t>
      </w:r>
      <w:r>
        <w:rPr>
          <w:rFonts w:hint="eastAsia" w:ascii="宋体" w:hAnsi="宋体" w:cs="宋体"/>
          <w:color w:val="000000"/>
          <w:sz w:val="24"/>
          <w:szCs w:val="24"/>
        </w:rPr>
        <w:t>中：</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1.2.1协议或文件,指包括经修订、更新、补充或替代后的该协议或文件；</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1.2.2“元”，指中国的法定货币单位“人民币”；</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1.2.3条款或附件，指本合同的条款或附件；</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1.2.4一方、双方、各方，指本协议中的一方或双方或各方，并且包括经允许的替代该方的主体或该方的受让人；</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1.2.5 “包括”，指包括但不限于；</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1.2.6“以上”、“以下”、“以内”或“内”均含本数，“超过”、“以外”均不含本数；</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1.2.7日、月、季、年，均指公历的日、月、季、年；</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1.2.8本</w:t>
      </w:r>
      <w:r>
        <w:rPr>
          <w:rFonts w:hint="eastAsia" w:ascii="宋体" w:hAnsi="宋体" w:cs="宋体"/>
          <w:sz w:val="24"/>
          <w:szCs w:val="24"/>
        </w:rPr>
        <w:t>合同</w:t>
      </w:r>
      <w:r>
        <w:rPr>
          <w:rFonts w:hint="eastAsia" w:ascii="宋体" w:hAnsi="宋体" w:cs="宋体"/>
          <w:color w:val="000000"/>
          <w:sz w:val="24"/>
          <w:szCs w:val="24"/>
        </w:rPr>
        <w:t>并不限制或以其他方式影响甲方及其他政府部门行使其法定行政职权；</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1.2.9在本</w:t>
      </w:r>
      <w:r>
        <w:rPr>
          <w:rFonts w:hint="eastAsia" w:ascii="宋体" w:hAnsi="宋体" w:cs="宋体"/>
          <w:sz w:val="24"/>
          <w:szCs w:val="24"/>
        </w:rPr>
        <w:t>合同</w:t>
      </w:r>
      <w:r>
        <w:rPr>
          <w:rFonts w:hint="eastAsia" w:ascii="宋体" w:hAnsi="宋体" w:cs="宋体"/>
          <w:color w:val="000000"/>
          <w:sz w:val="24"/>
          <w:szCs w:val="24"/>
        </w:rPr>
        <w:t>订立及履约过程中形成的与合同有关的文件均构成合同文件组成部分，并根据其性质按照</w:t>
      </w:r>
      <w:r>
        <w:rPr>
          <w:rFonts w:hint="eastAsia" w:ascii="宋体" w:hAnsi="宋体" w:cs="宋体"/>
          <w:sz w:val="24"/>
          <w:szCs w:val="24"/>
        </w:rPr>
        <w:t>第1.2.10款</w:t>
      </w:r>
      <w:r>
        <w:rPr>
          <w:rFonts w:hint="eastAsia" w:ascii="宋体" w:hAnsi="宋体" w:cs="宋体"/>
          <w:color w:val="000000"/>
          <w:sz w:val="24"/>
          <w:szCs w:val="24"/>
        </w:rPr>
        <w:t>确定优先解释顺序;</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1.2.10本</w:t>
      </w:r>
      <w:r>
        <w:rPr>
          <w:rFonts w:hint="eastAsia" w:ascii="宋体" w:hAnsi="宋体" w:cs="宋体"/>
          <w:sz w:val="24"/>
          <w:szCs w:val="24"/>
        </w:rPr>
        <w:t>合同</w:t>
      </w:r>
      <w:r>
        <w:rPr>
          <w:rFonts w:hint="eastAsia" w:ascii="宋体" w:hAnsi="宋体" w:cs="宋体"/>
          <w:color w:val="000000"/>
          <w:sz w:val="24"/>
          <w:szCs w:val="24"/>
        </w:rPr>
        <w:t>构成双方对项目的完全理解，属于本项目</w:t>
      </w:r>
      <w:r>
        <w:rPr>
          <w:rFonts w:hint="eastAsia" w:ascii="宋体" w:hAnsi="宋体" w:cs="宋体"/>
          <w:sz w:val="24"/>
          <w:szCs w:val="24"/>
        </w:rPr>
        <w:t>合同</w:t>
      </w:r>
      <w:r>
        <w:rPr>
          <w:rFonts w:hint="eastAsia" w:ascii="宋体" w:hAnsi="宋体" w:cs="宋体"/>
          <w:color w:val="000000"/>
          <w:sz w:val="24"/>
          <w:szCs w:val="24"/>
        </w:rPr>
        <w:t>文件的重要组成部分。双方约定</w:t>
      </w:r>
      <w:r>
        <w:rPr>
          <w:rFonts w:hint="eastAsia" w:ascii="宋体" w:hAnsi="宋体" w:cs="宋体"/>
          <w:sz w:val="24"/>
          <w:szCs w:val="24"/>
        </w:rPr>
        <w:t>合同</w:t>
      </w:r>
      <w:r>
        <w:rPr>
          <w:rFonts w:hint="eastAsia" w:ascii="宋体" w:hAnsi="宋体" w:cs="宋体"/>
          <w:color w:val="000000"/>
          <w:sz w:val="24"/>
          <w:szCs w:val="24"/>
        </w:rPr>
        <w:t>文件的地位和优先顺序如下：</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sz w:val="24"/>
          <w:szCs w:val="24"/>
        </w:rPr>
        <w:t>《特许经营项目合同》及</w:t>
      </w:r>
      <w:r>
        <w:rPr>
          <w:rFonts w:hint="eastAsia" w:ascii="宋体" w:hAnsi="宋体" w:cs="宋体"/>
          <w:color w:val="000000"/>
          <w:sz w:val="24"/>
          <w:szCs w:val="24"/>
        </w:rPr>
        <w:t>本</w:t>
      </w:r>
      <w:r>
        <w:rPr>
          <w:rFonts w:hint="eastAsia" w:ascii="宋体" w:hAnsi="宋体" w:cs="宋体"/>
          <w:sz w:val="24"/>
          <w:szCs w:val="24"/>
        </w:rPr>
        <w:t>合同</w:t>
      </w:r>
      <w:r>
        <w:rPr>
          <w:rFonts w:hint="eastAsia" w:ascii="宋体" w:hAnsi="宋体" w:cs="宋体"/>
          <w:color w:val="000000"/>
          <w:sz w:val="24"/>
          <w:szCs w:val="24"/>
        </w:rPr>
        <w:t>附件；</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（2）谈判备忘录；</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（3）响应文件；</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（4）采购文件；</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（5）组成本合同的其他文件。</w:t>
      </w:r>
    </w:p>
    <w:p>
      <w:pPr>
        <w:spacing w:before="80" w:after="80" w:line="360" w:lineRule="auto"/>
        <w:ind w:firstLine="480" w:firstLineChars="200"/>
        <w:rPr>
          <w:rFonts w:ascii="宋体" w:hAnsi="宋体" w:cs="宋体"/>
          <w:color w:val="000000"/>
          <w:sz w:val="24"/>
          <w:szCs w:val="24"/>
        </w:rPr>
      </w:pPr>
      <w:r>
        <w:rPr>
          <w:rFonts w:hint="eastAsia" w:ascii="宋体" w:hAnsi="宋体" w:cs="宋体"/>
          <w:sz w:val="24"/>
          <w:szCs w:val="24"/>
        </w:rPr>
        <w:t>上述合同文件中第（1）项《特许经营项目合同》为甲乙双方之间所有合同文件的统领性文件。若上述合同文件之间出现不一致，应按上述合同文件排序作为本合同解释之优先顺序。</w:t>
      </w:r>
    </w:p>
    <w:p>
      <w:pPr>
        <w:spacing w:before="80" w:after="80" w:line="360" w:lineRule="auto"/>
        <w:outlineLvl w:val="0"/>
        <w:rPr>
          <w:rFonts w:ascii="宋体" w:hAnsi="宋体" w:cs="宋体"/>
          <w:b/>
          <w:sz w:val="28"/>
          <w:szCs w:val="28"/>
        </w:rPr>
      </w:pPr>
      <w:bookmarkStart w:id="12" w:name="_Toc46140682"/>
      <w:r>
        <w:rPr>
          <w:rFonts w:hint="eastAsia" w:ascii="宋体" w:hAnsi="宋体" w:cs="宋体"/>
          <w:b/>
          <w:sz w:val="28"/>
          <w:szCs w:val="28"/>
        </w:rPr>
        <w:t>第2条  声明与保证</w:t>
      </w:r>
      <w:bookmarkEnd w:id="12"/>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2.1甲方的声明与保证</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2.1.1甲方已获得签订本协议所必需的授权及批准，有权签署本</w:t>
      </w:r>
      <w:r>
        <w:rPr>
          <w:rFonts w:hint="eastAsia" w:ascii="宋体" w:hAnsi="宋体" w:cs="宋体"/>
          <w:sz w:val="24"/>
          <w:szCs w:val="24"/>
        </w:rPr>
        <w:t>合同</w:t>
      </w:r>
      <w:r>
        <w:rPr>
          <w:rFonts w:hint="eastAsia" w:ascii="宋体" w:hAnsi="宋体" w:cs="宋体"/>
          <w:color w:val="000000"/>
          <w:sz w:val="24"/>
          <w:szCs w:val="24"/>
        </w:rPr>
        <w:t>；</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2.1.2如果甲方的承诺被证明在作出时存在不实或不能兑现，则乙方有权根据</w:t>
      </w:r>
      <w:r>
        <w:rPr>
          <w:rFonts w:hint="eastAsia" w:ascii="宋体" w:hAnsi="宋体" w:cs="宋体"/>
          <w:sz w:val="24"/>
          <w:szCs w:val="24"/>
        </w:rPr>
        <w:t>第25.2</w:t>
      </w:r>
      <w:r>
        <w:rPr>
          <w:rFonts w:hint="eastAsia" w:ascii="宋体" w:hAnsi="宋体" w:cs="宋体"/>
          <w:color w:val="000000"/>
          <w:sz w:val="24"/>
          <w:szCs w:val="24"/>
        </w:rPr>
        <w:t>款的约定终止本</w:t>
      </w:r>
      <w:r>
        <w:rPr>
          <w:rFonts w:hint="eastAsia" w:ascii="宋体" w:hAnsi="宋体" w:cs="宋体"/>
          <w:sz w:val="24"/>
          <w:szCs w:val="24"/>
        </w:rPr>
        <w:t>合同</w:t>
      </w:r>
      <w:r>
        <w:rPr>
          <w:rFonts w:hint="eastAsia" w:ascii="宋体" w:hAnsi="宋体" w:cs="宋体"/>
          <w:color w:val="000000"/>
          <w:sz w:val="24"/>
          <w:szCs w:val="24"/>
        </w:rPr>
        <w:t>。</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2.2</w:t>
      </w:r>
      <w:r>
        <w:rPr>
          <w:rFonts w:hint="eastAsia" w:ascii="宋体" w:hAnsi="宋体" w:cs="宋体"/>
          <w:b/>
          <w:sz w:val="24"/>
          <w:szCs w:val="24"/>
        </w:rPr>
        <w:tab/>
      </w:r>
      <w:r>
        <w:rPr>
          <w:rFonts w:hint="eastAsia" w:ascii="宋体" w:hAnsi="宋体" w:cs="宋体"/>
          <w:b/>
          <w:sz w:val="24"/>
          <w:szCs w:val="24"/>
        </w:rPr>
        <w:t>乙方的声明与保证</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2.2.1乙方是依法正式成立的企业法人，具有签署和履行本合同条款和条件的法人资格、权利和能力；</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2.2.2签署本合同之前，乙方已为自身的利益进行了必要的调查及检查，包括但不限于对项目场地进行细致而全面的检查、评估，充分知悉项目的现状和风险；</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2.2.3如果乙方的承诺被证明在作出时存在不实或不能兑现，则甲方有权根据本合同</w:t>
      </w:r>
      <w:r>
        <w:rPr>
          <w:rFonts w:hint="eastAsia" w:ascii="宋体" w:hAnsi="宋体" w:cs="宋体"/>
          <w:sz w:val="24"/>
          <w:szCs w:val="24"/>
        </w:rPr>
        <w:t>第25.1款</w:t>
      </w:r>
      <w:r>
        <w:rPr>
          <w:rFonts w:hint="eastAsia" w:ascii="宋体" w:hAnsi="宋体" w:cs="宋体"/>
          <w:color w:val="000000"/>
          <w:sz w:val="24"/>
          <w:szCs w:val="24"/>
        </w:rPr>
        <w:t>的约定终止本合同。</w:t>
      </w:r>
    </w:p>
    <w:p>
      <w:pPr>
        <w:spacing w:before="80" w:after="80" w:line="360" w:lineRule="auto"/>
        <w:outlineLvl w:val="0"/>
        <w:rPr>
          <w:rFonts w:ascii="宋体" w:hAnsi="宋体" w:cs="宋体"/>
          <w:sz w:val="28"/>
          <w:szCs w:val="28"/>
        </w:rPr>
      </w:pPr>
      <w:bookmarkStart w:id="13" w:name="_Toc46140683"/>
      <w:r>
        <w:rPr>
          <w:rFonts w:hint="eastAsia" w:ascii="宋体" w:hAnsi="宋体" w:cs="宋体"/>
          <w:b/>
          <w:sz w:val="28"/>
          <w:szCs w:val="28"/>
        </w:rPr>
        <w:t>第3条  项目合作范围和合作期限</w:t>
      </w:r>
      <w:bookmarkEnd w:id="13"/>
    </w:p>
    <w:p>
      <w:pPr>
        <w:spacing w:before="80" w:after="80" w:line="360" w:lineRule="auto"/>
        <w:ind w:firstLine="426" w:firstLineChars="177"/>
        <w:rPr>
          <w:rFonts w:ascii="宋体" w:hAnsi="宋体" w:cs="宋体"/>
          <w:b/>
          <w:kern w:val="0"/>
          <w:sz w:val="24"/>
          <w:szCs w:val="24"/>
        </w:rPr>
      </w:pPr>
      <w:r>
        <w:rPr>
          <w:rFonts w:hint="eastAsia" w:ascii="宋体" w:hAnsi="宋体" w:cs="宋体"/>
          <w:b/>
          <w:kern w:val="0"/>
          <w:sz w:val="24"/>
          <w:szCs w:val="24"/>
        </w:rPr>
        <w:t>3.1项目合作范围</w:t>
      </w:r>
    </w:p>
    <w:p>
      <w:pPr>
        <w:spacing w:before="80" w:after="80" w:line="360" w:lineRule="auto"/>
        <w:ind w:firstLine="424" w:firstLineChars="177"/>
        <w:rPr>
          <w:rFonts w:ascii="宋体" w:hAnsi="宋体" w:cs="宋体"/>
          <w:bCs/>
          <w:kern w:val="0"/>
          <w:sz w:val="24"/>
          <w:szCs w:val="24"/>
        </w:rPr>
      </w:pPr>
      <w:r>
        <w:rPr>
          <w:rFonts w:hint="eastAsia" w:ascii="宋体" w:hAnsi="宋体" w:cs="宋体"/>
          <w:bCs/>
          <w:kern w:val="0"/>
          <w:sz w:val="24"/>
          <w:szCs w:val="24"/>
        </w:rPr>
        <w:t>自生效日起，由乙方按照本合同约定负责本项目合作范围内的存量项目设施的【■投融资；■运营维护；■移交】工作。</w:t>
      </w:r>
    </w:p>
    <w:p>
      <w:pPr>
        <w:spacing w:before="80" w:after="80" w:line="360" w:lineRule="auto"/>
        <w:ind w:firstLine="426" w:firstLineChars="177"/>
        <w:rPr>
          <w:rFonts w:ascii="宋体" w:hAnsi="宋体" w:cs="宋体"/>
          <w:b/>
          <w:kern w:val="0"/>
          <w:sz w:val="24"/>
          <w:szCs w:val="24"/>
        </w:rPr>
      </w:pPr>
      <w:r>
        <w:rPr>
          <w:rFonts w:hint="eastAsia" w:ascii="宋体" w:hAnsi="宋体" w:cs="宋体"/>
          <w:b/>
          <w:kern w:val="0"/>
          <w:sz w:val="24"/>
          <w:szCs w:val="24"/>
        </w:rPr>
        <w:t>3.2项目</w:t>
      </w:r>
      <w:r>
        <w:rPr>
          <w:rFonts w:hint="eastAsia" w:ascii="宋体" w:hAnsi="宋体" w:cs="宋体"/>
          <w:b/>
          <w:sz w:val="24"/>
          <w:szCs w:val="24"/>
        </w:rPr>
        <w:t>特许</w:t>
      </w:r>
      <w:r>
        <w:rPr>
          <w:rFonts w:hint="eastAsia" w:ascii="宋体" w:hAnsi="宋体" w:cs="宋体"/>
          <w:b/>
          <w:kern w:val="0"/>
          <w:sz w:val="24"/>
          <w:szCs w:val="24"/>
        </w:rPr>
        <w:t>经营权</w:t>
      </w:r>
    </w:p>
    <w:p>
      <w:pPr>
        <w:pStyle w:val="507"/>
        <w:spacing w:before="80" w:after="80" w:line="360" w:lineRule="auto"/>
        <w:ind w:firstLine="424" w:firstLineChars="177"/>
        <w:rPr>
          <w:rFonts w:ascii="宋体" w:hAnsi="宋体" w:cs="宋体"/>
          <w:bCs/>
          <w:strike/>
          <w:kern w:val="0"/>
          <w:sz w:val="24"/>
          <w:szCs w:val="24"/>
        </w:rPr>
      </w:pPr>
      <w:r>
        <w:rPr>
          <w:rFonts w:hint="eastAsia" w:ascii="宋体" w:hAnsi="宋体" w:cs="宋体"/>
          <w:bCs/>
          <w:kern w:val="0"/>
          <w:sz w:val="24"/>
          <w:szCs w:val="24"/>
        </w:rPr>
        <w:t>甲方已获得本级人民政府的授权，通过与乙方签订本合同的方式，将本项目的特许经营权授予乙方，即由乙方负责无锡市锡东生活垃圾焚烧发电厂（一期）工程</w:t>
      </w:r>
      <w:r>
        <w:rPr>
          <w:rFonts w:hint="eastAsia" w:ascii="宋体" w:hAnsi="宋体" w:cs="宋体"/>
          <w:bCs/>
          <w:kern w:val="0"/>
          <w:sz w:val="24"/>
          <w:szCs w:val="24"/>
          <w:lang w:eastAsia="zh-CN"/>
        </w:rPr>
        <w:t>存量</w:t>
      </w:r>
      <w:r>
        <w:rPr>
          <w:rFonts w:hint="eastAsia" w:ascii="宋体" w:hAnsi="宋体" w:cs="宋体"/>
          <w:bCs/>
          <w:kern w:val="0"/>
          <w:sz w:val="24"/>
          <w:szCs w:val="24"/>
        </w:rPr>
        <w:t>垃圾处理项目设施的【■投融资；■运营维护；■移交】，并享有获取垃圾处理服务费及相关收入的权利。</w:t>
      </w:r>
    </w:p>
    <w:p>
      <w:pPr>
        <w:pStyle w:val="507"/>
        <w:spacing w:before="80" w:after="80" w:line="360" w:lineRule="auto"/>
        <w:ind w:firstLine="426" w:firstLineChars="177"/>
        <w:rPr>
          <w:rFonts w:ascii="宋体" w:hAnsi="宋体" w:cs="宋体"/>
          <w:b/>
          <w:color w:val="000000"/>
          <w:kern w:val="0"/>
          <w:sz w:val="24"/>
          <w:szCs w:val="24"/>
        </w:rPr>
      </w:pPr>
      <w:r>
        <w:rPr>
          <w:rFonts w:hint="eastAsia" w:ascii="宋体" w:hAnsi="宋体" w:cs="宋体"/>
          <w:b/>
          <w:kern w:val="0"/>
          <w:sz w:val="24"/>
          <w:szCs w:val="24"/>
        </w:rPr>
        <w:t>3.3</w:t>
      </w:r>
      <w:r>
        <w:rPr>
          <w:rFonts w:hint="eastAsia" w:ascii="宋体" w:hAnsi="宋体" w:cs="宋体"/>
          <w:b/>
          <w:color w:val="000000"/>
          <w:kern w:val="0"/>
          <w:sz w:val="24"/>
          <w:szCs w:val="24"/>
        </w:rPr>
        <w:t>其他经营性业务</w:t>
      </w:r>
    </w:p>
    <w:p>
      <w:pPr>
        <w:pStyle w:val="507"/>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未经甲方事先书面同意，乙方不得开展其他经营性业务，否则甲方有权扣除或提取履约担保的全部金额。</w:t>
      </w:r>
    </w:p>
    <w:p>
      <w:pPr>
        <w:pStyle w:val="507"/>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如未来乙方根据适用法律、甲方要求拟利用本项目设施开展本合同约定内容以外的经营性业务的，必须事先报经甲方书面同意。未来收益分享等有关事宜由甲、乙双方届时协商确定，且乙方必须保证此等经营性业务不得影响本项目的实施，也不得有任何影响公共利益或公共安全的行为，否则甲方有权扣除或提取履约担保的全部金额。</w:t>
      </w:r>
    </w:p>
    <w:p>
      <w:pPr>
        <w:pStyle w:val="507"/>
        <w:spacing w:before="80" w:after="80" w:line="360" w:lineRule="auto"/>
        <w:ind w:firstLine="426" w:firstLineChars="177"/>
        <w:rPr>
          <w:rFonts w:ascii="宋体" w:hAnsi="宋体" w:cs="宋体"/>
          <w:b/>
          <w:color w:val="000000"/>
          <w:kern w:val="0"/>
          <w:sz w:val="24"/>
          <w:szCs w:val="24"/>
        </w:rPr>
      </w:pPr>
      <w:r>
        <w:rPr>
          <w:rFonts w:hint="eastAsia" w:ascii="宋体" w:hAnsi="宋体" w:cs="宋体"/>
          <w:b/>
          <w:color w:val="000000"/>
          <w:kern w:val="0"/>
          <w:sz w:val="24"/>
          <w:szCs w:val="24"/>
        </w:rPr>
        <w:t>3.4项目</w:t>
      </w:r>
      <w:bookmarkStart w:id="14" w:name="_Toc24885545"/>
      <w:r>
        <w:rPr>
          <w:rFonts w:hint="eastAsia" w:ascii="宋体" w:hAnsi="宋体" w:cs="宋体"/>
          <w:b/>
          <w:color w:val="000000"/>
          <w:kern w:val="0"/>
          <w:sz w:val="24"/>
          <w:szCs w:val="24"/>
        </w:rPr>
        <w:t>特许经营权</w:t>
      </w:r>
      <w:bookmarkEnd w:id="14"/>
      <w:r>
        <w:rPr>
          <w:rFonts w:hint="eastAsia" w:ascii="宋体" w:hAnsi="宋体" w:cs="宋体"/>
          <w:b/>
          <w:color w:val="000000"/>
          <w:kern w:val="0"/>
          <w:sz w:val="24"/>
          <w:szCs w:val="24"/>
        </w:rPr>
        <w:t>期及期满处理</w:t>
      </w:r>
    </w:p>
    <w:p>
      <w:pPr>
        <w:pStyle w:val="507"/>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3.4.1特许经营期限的确定</w:t>
      </w:r>
    </w:p>
    <w:p>
      <w:pPr>
        <w:spacing w:before="80" w:after="80" w:line="360" w:lineRule="auto"/>
        <w:ind w:firstLine="424" w:firstLineChars="177"/>
        <w:jc w:val="left"/>
        <w:rPr>
          <w:rFonts w:ascii="宋体" w:hAnsi="宋体" w:cs="宋体"/>
          <w:sz w:val="24"/>
          <w:szCs w:val="24"/>
        </w:rPr>
      </w:pPr>
      <w:r>
        <w:rPr>
          <w:rFonts w:hint="eastAsia" w:ascii="宋体" w:hAnsi="宋体" w:cs="宋体"/>
          <w:sz w:val="24"/>
          <w:szCs w:val="24"/>
        </w:rPr>
        <w:t>除非依据本合同进行修改，本项目的特许经营期为自20【】年【】月【】日起至20【】年【】月【】日终。</w:t>
      </w:r>
    </w:p>
    <w:p>
      <w:pPr>
        <w:spacing w:before="80" w:after="80" w:line="360" w:lineRule="auto"/>
        <w:ind w:firstLine="424" w:firstLineChars="177"/>
        <w:rPr>
          <w:rFonts w:ascii="宋体" w:hAnsi="宋体" w:cs="宋体"/>
          <w:sz w:val="24"/>
          <w:szCs w:val="24"/>
        </w:rPr>
      </w:pPr>
      <w:r>
        <w:rPr>
          <w:rFonts w:hint="eastAsia" w:ascii="宋体" w:hAnsi="宋体" w:cs="宋体"/>
          <w:color w:val="000000"/>
          <w:kern w:val="0"/>
          <w:sz w:val="24"/>
          <w:szCs w:val="24"/>
        </w:rPr>
        <w:t>3.4.2</w:t>
      </w:r>
      <w:r>
        <w:rPr>
          <w:rFonts w:hint="eastAsia" w:ascii="宋体" w:hAnsi="宋体" w:cs="宋体"/>
          <w:sz w:val="24"/>
          <w:szCs w:val="24"/>
        </w:rPr>
        <w:t>合作期限的其他约定</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特许经营期内因甲方或不可抗力原因发生下列任一情况，所延误的期限不应计入特许经营期。</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（1）项目资产交接期延误；</w:t>
      </w:r>
    </w:p>
    <w:p>
      <w:pPr>
        <w:spacing w:before="80" w:after="80" w:line="360" w:lineRule="auto"/>
        <w:ind w:firstLine="480" w:firstLineChars="200"/>
        <w:rPr>
          <w:rFonts w:ascii="宋体" w:hAnsi="宋体" w:cs="宋体"/>
          <w:sz w:val="24"/>
          <w:szCs w:val="24"/>
          <w:u w:val="single"/>
        </w:rPr>
      </w:pPr>
      <w:r>
        <w:rPr>
          <w:rFonts w:hint="eastAsia" w:ascii="宋体" w:hAnsi="宋体" w:cs="宋体"/>
          <w:sz w:val="24"/>
          <w:szCs w:val="24"/>
        </w:rPr>
        <w:t>（2）项目运营中断。</w:t>
      </w:r>
    </w:p>
    <w:p>
      <w:pPr>
        <w:pStyle w:val="507"/>
        <w:spacing w:before="80" w:after="80"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3.4.3合作期满的处理</w:t>
      </w:r>
    </w:p>
    <w:p>
      <w:pPr>
        <w:pStyle w:val="507"/>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本项目合作期限届满时，乙方应向甲方无偿移交所有项目设施及相关权利。甲方有权依照届时适用法律规定选择社会资本，如乙方在上述合作期限内履约记录良好，则在同等条件下可享有优先权。</w:t>
      </w:r>
    </w:p>
    <w:p>
      <w:pPr>
        <w:pStyle w:val="507"/>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乙方应保证在合作期满时清偿其所有债务，解除在项目设施及相关权益上设置的任何担保。在合作期满后不论是否继续经营本项目，其债权债务均由乙方享有和承担，与甲方无关。</w:t>
      </w:r>
    </w:p>
    <w:p>
      <w:pPr>
        <w:pStyle w:val="507"/>
        <w:spacing w:before="80" w:after="80" w:line="360" w:lineRule="auto"/>
        <w:ind w:firstLine="426" w:firstLineChars="177"/>
        <w:rPr>
          <w:rFonts w:ascii="宋体" w:hAnsi="宋体" w:cs="宋体"/>
          <w:b/>
          <w:color w:val="000000"/>
          <w:kern w:val="0"/>
          <w:sz w:val="24"/>
          <w:szCs w:val="24"/>
        </w:rPr>
      </w:pPr>
      <w:r>
        <w:rPr>
          <w:rFonts w:hint="eastAsia" w:ascii="宋体" w:hAnsi="宋体" w:cs="宋体"/>
          <w:b/>
          <w:color w:val="000000"/>
          <w:kern w:val="0"/>
          <w:sz w:val="24"/>
          <w:szCs w:val="24"/>
        </w:rPr>
        <w:t>3.5 经营权的处分限制</w:t>
      </w:r>
    </w:p>
    <w:p>
      <w:pPr>
        <w:pStyle w:val="507"/>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除本合同另有约定外，未经甲方事先书面同意，乙方在项目合作期内不得将经营权出租或以任何形式转让、承包、质押给第三人或为第三人提供担保。</w:t>
      </w:r>
    </w:p>
    <w:p>
      <w:pPr>
        <w:spacing w:before="80" w:after="80" w:line="360" w:lineRule="auto"/>
        <w:outlineLvl w:val="0"/>
        <w:rPr>
          <w:rFonts w:ascii="宋体" w:hAnsi="宋体" w:cs="宋体"/>
          <w:sz w:val="28"/>
          <w:szCs w:val="28"/>
          <w:highlight w:val="none"/>
        </w:rPr>
      </w:pPr>
      <w:bookmarkStart w:id="15" w:name="_Toc46140684"/>
      <w:r>
        <w:rPr>
          <w:rFonts w:hint="eastAsia" w:ascii="宋体" w:hAnsi="宋体" w:cs="宋体"/>
          <w:b/>
          <w:sz w:val="28"/>
          <w:szCs w:val="28"/>
          <w:highlight w:val="none"/>
        </w:rPr>
        <w:t>第4条  项目特许经营权转让费、项目融资及限制与财务管理</w:t>
      </w:r>
      <w:bookmarkEnd w:id="15"/>
    </w:p>
    <w:p>
      <w:pPr>
        <w:pStyle w:val="2"/>
        <w:spacing w:before="80" w:after="80" w:line="360" w:lineRule="auto"/>
        <w:ind w:firstLine="0" w:firstLineChars="0"/>
        <w:rPr>
          <w:rFonts w:hint="eastAsia" w:ascii="宋体" w:hAnsi="宋体" w:cs="宋体"/>
          <w:b/>
          <w:color w:val="000000"/>
          <w:sz w:val="24"/>
          <w:szCs w:val="24"/>
          <w:highlight w:val="none"/>
        </w:rPr>
      </w:pPr>
      <w:r>
        <w:rPr>
          <w:rFonts w:hint="eastAsia"/>
          <w:highlight w:val="none"/>
        </w:rPr>
        <w:t>4.1</w:t>
      </w:r>
      <w:r>
        <w:rPr>
          <w:rFonts w:hint="eastAsia"/>
          <w:highlight w:val="none"/>
        </w:rPr>
        <w:tab/>
      </w:r>
      <w:r>
        <w:rPr>
          <w:rFonts w:hint="eastAsia"/>
          <w:highlight w:val="none"/>
        </w:rPr>
        <w:t>项目特许经营权转让费</w:t>
      </w:r>
    </w:p>
    <w:p>
      <w:pPr>
        <w:spacing w:before="80" w:after="80" w:line="360" w:lineRule="auto"/>
        <w:rPr>
          <w:rFonts w:hint="eastAsia" w:ascii="Times New Roman" w:hAnsi="Times New Roman" w:cs="Times New Roman"/>
          <w:color w:val="000000"/>
          <w:sz w:val="21"/>
          <w:szCs w:val="20"/>
          <w:highlight w:val="none"/>
        </w:rPr>
      </w:pPr>
      <w:r>
        <w:rPr>
          <w:rFonts w:hint="eastAsia" w:ascii="宋体" w:hAnsi="宋体" w:cs="宋体"/>
          <w:color w:val="000000"/>
          <w:sz w:val="24"/>
          <w:szCs w:val="24"/>
          <w:highlight w:val="none"/>
        </w:rPr>
        <w:t>4.1.1本项目</w:t>
      </w:r>
      <w:r>
        <w:rPr>
          <w:rFonts w:hint="eastAsia" w:ascii="宋体" w:hAnsi="宋体" w:cs="宋体"/>
          <w:color w:val="FF0000"/>
          <w:sz w:val="24"/>
          <w:szCs w:val="24"/>
          <w:highlight w:val="none"/>
        </w:rPr>
        <w:t>特许经营权转让费</w:t>
      </w:r>
      <w:r>
        <w:rPr>
          <w:rFonts w:hint="eastAsia" w:ascii="宋体" w:hAnsi="宋体" w:cs="宋体"/>
          <w:color w:val="000000"/>
          <w:sz w:val="24"/>
          <w:szCs w:val="24"/>
          <w:highlight w:val="none"/>
        </w:rPr>
        <w:t>为</w:t>
      </w:r>
      <w:r>
        <w:rPr>
          <w:rFonts w:hint="eastAsia" w:ascii="宋体" w:hAnsi="宋体" w:cs="宋体"/>
          <w:sz w:val="24"/>
          <w:szCs w:val="24"/>
          <w:highlight w:val="none"/>
          <w:u w:val="single"/>
        </w:rPr>
        <w:t>_</w:t>
      </w:r>
      <w:r>
        <w:rPr>
          <w:rFonts w:hint="eastAsia" w:ascii="宋体" w:hAnsi="宋体" w:cs="宋体"/>
          <w:sz w:val="24"/>
          <w:szCs w:val="24"/>
          <w:highlight w:val="none"/>
          <w:u w:val="single"/>
          <w:lang w:val="en-US" w:eastAsia="zh-CN"/>
        </w:rPr>
        <w:t>14.48</w:t>
      </w:r>
      <w:r>
        <w:rPr>
          <w:rFonts w:hint="eastAsia" w:ascii="宋体" w:hAnsi="宋体" w:cs="宋体"/>
          <w:sz w:val="24"/>
          <w:szCs w:val="24"/>
          <w:highlight w:val="none"/>
          <w:u w:val="single"/>
        </w:rPr>
        <w:t>亿</w:t>
      </w:r>
      <w:r>
        <w:rPr>
          <w:rFonts w:hint="eastAsia" w:ascii="宋体" w:hAnsi="宋体" w:cs="宋体"/>
          <w:color w:val="000000"/>
          <w:sz w:val="24"/>
          <w:szCs w:val="24"/>
          <w:highlight w:val="none"/>
          <w:u w:val="single"/>
        </w:rPr>
        <w:t>元</w:t>
      </w:r>
      <w:r>
        <w:rPr>
          <w:rFonts w:hint="eastAsia" w:ascii="宋体" w:hAnsi="宋体" w:cs="宋体"/>
          <w:color w:val="000000"/>
          <w:sz w:val="24"/>
          <w:szCs w:val="24"/>
          <w:highlight w:val="none"/>
        </w:rPr>
        <w:t>；</w:t>
      </w:r>
    </w:p>
    <w:p>
      <w:pPr>
        <w:spacing w:before="80" w:after="80" w:line="360" w:lineRule="auto"/>
        <w:ind w:firstLine="0" w:firstLineChars="0"/>
        <w:rPr>
          <w:rFonts w:hint="eastAsia" w:ascii="Times New Roman" w:hAnsi="Times New Roman" w:cs="Times New Roman"/>
          <w:b w:val="0"/>
          <w:color w:val="000000"/>
          <w:sz w:val="21"/>
          <w:szCs w:val="20"/>
          <w:highlight w:val="none"/>
        </w:rPr>
      </w:pPr>
      <w:r>
        <w:rPr>
          <w:rFonts w:hint="eastAsia" w:ascii="宋体" w:hAnsi="宋体" w:cs="宋体"/>
          <w:color w:val="000000"/>
          <w:sz w:val="24"/>
          <w:szCs w:val="24"/>
          <w:highlight w:val="none"/>
        </w:rPr>
        <w:t>4.1.</w:t>
      </w:r>
      <w:r>
        <w:rPr>
          <w:rFonts w:ascii="宋体" w:hAnsi="宋体" w:cs="宋体"/>
          <w:color w:val="000000"/>
          <w:sz w:val="24"/>
          <w:szCs w:val="24"/>
          <w:highlight w:val="none"/>
        </w:rPr>
        <w:t>2</w:t>
      </w:r>
      <w:r>
        <w:rPr>
          <w:rFonts w:hint="eastAsia" w:ascii="宋体" w:hAnsi="宋体" w:cs="宋体"/>
          <w:color w:val="000000"/>
          <w:sz w:val="24"/>
          <w:szCs w:val="24"/>
          <w:highlight w:val="none"/>
        </w:rPr>
        <w:t>本项目</w:t>
      </w:r>
      <w:r>
        <w:rPr>
          <w:rFonts w:hint="eastAsia" w:ascii="宋体" w:hAnsi="宋体" w:cs="宋体"/>
          <w:color w:val="FF0000"/>
          <w:sz w:val="24"/>
          <w:szCs w:val="24"/>
          <w:highlight w:val="none"/>
        </w:rPr>
        <w:t>特许经营权转让费</w:t>
      </w:r>
      <w:r>
        <w:rPr>
          <w:rFonts w:hint="eastAsia" w:ascii="宋体" w:hAnsi="宋体" w:cs="宋体"/>
          <w:color w:val="000000"/>
          <w:sz w:val="24"/>
          <w:szCs w:val="24"/>
          <w:highlight w:val="none"/>
        </w:rPr>
        <w:t>由乙方自行予以解决，乙方根据甲方指定时间完成</w:t>
      </w:r>
      <w:r>
        <w:rPr>
          <w:rFonts w:hint="eastAsia" w:ascii="宋体" w:hAnsi="宋体" w:cs="宋体"/>
          <w:color w:val="FF0000"/>
          <w:sz w:val="24"/>
          <w:szCs w:val="24"/>
          <w:highlight w:val="none"/>
        </w:rPr>
        <w:t>特许经营权转让费支付</w:t>
      </w:r>
      <w:r>
        <w:rPr>
          <w:rFonts w:hint="eastAsia" w:ascii="宋体" w:hAnsi="宋体" w:cs="宋体"/>
          <w:color w:val="000000"/>
          <w:sz w:val="24"/>
          <w:szCs w:val="24"/>
          <w:highlight w:val="none"/>
        </w:rPr>
        <w:t>进度。</w:t>
      </w:r>
    </w:p>
    <w:p>
      <w:pPr>
        <w:spacing w:before="80" w:after="80" w:line="360" w:lineRule="auto"/>
        <w:ind w:firstLine="482"/>
        <w:rPr>
          <w:rFonts w:ascii="宋体" w:hAnsi="宋体" w:cs="宋体"/>
          <w:b/>
          <w:color w:val="000000"/>
          <w:sz w:val="24"/>
          <w:szCs w:val="24"/>
          <w:highlight w:val="none"/>
        </w:rPr>
      </w:pPr>
      <w:r>
        <w:rPr>
          <w:rFonts w:hint="eastAsia" w:ascii="宋体" w:hAnsi="宋体" w:cs="宋体"/>
          <w:b/>
          <w:color w:val="000000"/>
          <w:sz w:val="24"/>
          <w:szCs w:val="24"/>
          <w:highlight w:val="none"/>
        </w:rPr>
        <w:t>4.2 项目融资</w:t>
      </w:r>
    </w:p>
    <w:p>
      <w:pPr>
        <w:spacing w:before="80" w:after="80" w:line="360" w:lineRule="auto"/>
        <w:ind w:firstLine="424" w:firstLineChars="177"/>
        <w:rPr>
          <w:rFonts w:ascii="宋体" w:hAnsi="宋体" w:cs="宋体"/>
          <w:color w:val="000000"/>
          <w:sz w:val="24"/>
          <w:szCs w:val="24"/>
          <w:highlight w:val="none"/>
        </w:rPr>
      </w:pPr>
      <w:r>
        <w:rPr>
          <w:rFonts w:hint="eastAsia" w:ascii="宋体" w:hAnsi="宋体" w:cs="宋体"/>
          <w:color w:val="000000"/>
          <w:sz w:val="24"/>
          <w:szCs w:val="24"/>
          <w:highlight w:val="none"/>
        </w:rPr>
        <w:t>4.2.1为本项目融资之目的，经甲方书面同意，乙方可以本特许经营权及相关权益向第三方提供抵押、质押和其它形式的担保方式进行融资，担保期不得长于剩余特许经营期限，相关融资文件应及时提交甲方备案。</w:t>
      </w:r>
    </w:p>
    <w:p>
      <w:pPr>
        <w:pStyle w:val="2"/>
        <w:spacing w:before="80" w:after="80" w:line="360" w:lineRule="auto"/>
        <w:ind w:firstLine="424" w:firstLineChars="177"/>
        <w:rPr>
          <w:rFonts w:hint="eastAsia" w:ascii="宋体" w:hAnsi="宋体" w:cs="宋体"/>
          <w:color w:val="000000"/>
          <w:sz w:val="24"/>
          <w:szCs w:val="24"/>
          <w:highlight w:val="none"/>
        </w:rPr>
      </w:pPr>
      <w:r>
        <w:rPr>
          <w:rFonts w:hint="eastAsia"/>
          <w:highlight w:val="none"/>
        </w:rPr>
        <w:t>4.2.2如经甲方书面同意乙方在合作期限内设置特许经营权及相关权益抵押或质押的，乙方应在移交日前解除特许经营权及相关权益的质押等担保措施。</w:t>
      </w:r>
    </w:p>
    <w:p>
      <w:pPr>
        <w:spacing w:before="80" w:after="80" w:line="360" w:lineRule="auto"/>
        <w:ind w:firstLine="426" w:firstLineChars="177"/>
        <w:rPr>
          <w:rFonts w:ascii="宋体" w:hAnsi="宋体" w:cs="宋体"/>
          <w:b/>
          <w:color w:val="000000"/>
          <w:sz w:val="24"/>
          <w:szCs w:val="24"/>
          <w:highlight w:val="none"/>
        </w:rPr>
      </w:pPr>
      <w:r>
        <w:rPr>
          <w:rFonts w:hint="eastAsia" w:ascii="宋体" w:hAnsi="宋体" w:cs="宋体"/>
          <w:b/>
          <w:color w:val="000000"/>
          <w:sz w:val="24"/>
          <w:szCs w:val="24"/>
          <w:highlight w:val="none"/>
        </w:rPr>
        <w:t>4.</w:t>
      </w:r>
      <w:r>
        <w:rPr>
          <w:rFonts w:ascii="宋体" w:hAnsi="宋体" w:cs="宋体"/>
          <w:b/>
          <w:color w:val="000000"/>
          <w:sz w:val="24"/>
          <w:szCs w:val="24"/>
          <w:highlight w:val="none"/>
        </w:rPr>
        <w:t>3</w:t>
      </w:r>
      <w:r>
        <w:rPr>
          <w:rFonts w:hint="eastAsia" w:ascii="宋体" w:hAnsi="宋体" w:cs="宋体"/>
          <w:b/>
          <w:color w:val="000000"/>
          <w:sz w:val="24"/>
          <w:szCs w:val="24"/>
          <w:highlight w:val="none"/>
        </w:rPr>
        <w:tab/>
      </w:r>
      <w:r>
        <w:rPr>
          <w:rFonts w:hint="eastAsia" w:ascii="宋体" w:hAnsi="宋体" w:cs="宋体"/>
          <w:b/>
          <w:color w:val="000000"/>
          <w:sz w:val="24"/>
          <w:szCs w:val="24"/>
          <w:highlight w:val="none"/>
        </w:rPr>
        <w:t>融资及担保的限制</w:t>
      </w:r>
    </w:p>
    <w:p>
      <w:pPr>
        <w:spacing w:before="80" w:after="80" w:line="360" w:lineRule="auto"/>
        <w:ind w:firstLine="424" w:firstLineChars="177"/>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3</w:t>
      </w:r>
      <w:r>
        <w:rPr>
          <w:rFonts w:hint="eastAsia" w:ascii="宋体" w:hAnsi="宋体" w:cs="宋体"/>
          <w:color w:val="000000"/>
          <w:sz w:val="24"/>
          <w:szCs w:val="24"/>
          <w:highlight w:val="none"/>
        </w:rPr>
        <w:t>.1除因本项目运营维护所需之目的外，乙方不得以本项目进行融资。</w:t>
      </w:r>
    </w:p>
    <w:p>
      <w:pPr>
        <w:spacing w:before="80" w:after="80" w:line="360" w:lineRule="auto"/>
        <w:ind w:firstLine="424" w:firstLineChars="177"/>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3</w:t>
      </w:r>
      <w:r>
        <w:rPr>
          <w:rFonts w:hint="eastAsia" w:ascii="宋体" w:hAnsi="宋体" w:cs="宋体"/>
          <w:color w:val="000000"/>
          <w:sz w:val="24"/>
          <w:szCs w:val="24"/>
          <w:highlight w:val="none"/>
        </w:rPr>
        <w:t>.2除为本项目融资并经甲方书面同意外，乙方不得将项目设施或本特许经营权及相关权益进行抵押或质押、出售、转让、出租或以任何其他方式交由第三人使用或设定权利负担。</w:t>
      </w:r>
    </w:p>
    <w:p>
      <w:pPr>
        <w:spacing w:before="80" w:after="80" w:line="360" w:lineRule="auto"/>
        <w:ind w:firstLine="424" w:firstLineChars="177"/>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3</w:t>
      </w:r>
      <w:r>
        <w:rPr>
          <w:rFonts w:hint="eastAsia" w:ascii="宋体" w:hAnsi="宋体" w:cs="宋体"/>
          <w:color w:val="000000"/>
          <w:sz w:val="24"/>
          <w:szCs w:val="24"/>
          <w:highlight w:val="none"/>
        </w:rPr>
        <w:t>.3项目融资文件</w:t>
      </w:r>
    </w:p>
    <w:p>
      <w:pPr>
        <w:spacing w:before="80" w:after="80" w:line="360" w:lineRule="auto"/>
        <w:ind w:firstLine="424" w:firstLineChars="177"/>
        <w:rPr>
          <w:rFonts w:ascii="宋体" w:hAnsi="宋体" w:cs="宋体"/>
          <w:color w:val="000000"/>
          <w:sz w:val="24"/>
          <w:szCs w:val="24"/>
          <w:highlight w:val="none"/>
        </w:rPr>
      </w:pPr>
      <w:r>
        <w:rPr>
          <w:rFonts w:hint="eastAsia" w:ascii="宋体" w:hAnsi="宋体" w:cs="宋体"/>
          <w:sz w:val="24"/>
          <w:szCs w:val="24"/>
          <w:highlight w:val="none"/>
        </w:rPr>
        <w:t>乙方签署融资协议前须取得甲方书面同意，并将为本项目融资签署的所有融资文件</w:t>
      </w:r>
      <w:r>
        <w:rPr>
          <w:rFonts w:hint="eastAsia" w:ascii="宋体" w:hAnsi="宋体" w:cs="宋体"/>
          <w:color w:val="000000"/>
          <w:sz w:val="24"/>
          <w:szCs w:val="24"/>
          <w:highlight w:val="none"/>
        </w:rPr>
        <w:t>报经甲方备案。</w:t>
      </w:r>
    </w:p>
    <w:p>
      <w:pPr>
        <w:spacing w:before="80" w:after="80" w:line="360" w:lineRule="auto"/>
        <w:ind w:firstLine="424" w:firstLineChars="177"/>
        <w:rPr>
          <w:rFonts w:ascii="宋体" w:hAnsi="宋体" w:cs="宋体"/>
          <w:color w:val="000000"/>
          <w:sz w:val="24"/>
          <w:szCs w:val="24"/>
          <w:highlight w:val="none"/>
        </w:rPr>
      </w:pPr>
      <w:r>
        <w:rPr>
          <w:rFonts w:hint="eastAsia" w:ascii="宋体" w:hAnsi="宋体" w:cs="宋体"/>
          <w:color w:val="000000"/>
          <w:sz w:val="24"/>
          <w:szCs w:val="24"/>
          <w:highlight w:val="none"/>
        </w:rPr>
        <w:t>为保障本项目顺利实施，乙方应</w:t>
      </w:r>
      <w:bookmarkStart w:id="16" w:name="_Hlk518308909"/>
      <w:r>
        <w:rPr>
          <w:rFonts w:hint="eastAsia" w:ascii="宋体" w:hAnsi="宋体" w:cs="宋体"/>
          <w:color w:val="000000"/>
          <w:sz w:val="24"/>
          <w:szCs w:val="24"/>
          <w:highlight w:val="none"/>
        </w:rPr>
        <w:t>确保融资文件中包含融资方承诺的</w:t>
      </w:r>
      <w:r>
        <w:rPr>
          <w:rFonts w:hint="eastAsia" w:ascii="宋体" w:hAnsi="宋体" w:cs="宋体"/>
          <w:sz w:val="24"/>
          <w:szCs w:val="24"/>
          <w:highlight w:val="none"/>
        </w:rPr>
        <w:t>下列</w:t>
      </w:r>
      <w:r>
        <w:rPr>
          <w:rFonts w:hint="eastAsia" w:ascii="宋体" w:hAnsi="宋体" w:cs="宋体"/>
          <w:color w:val="000000"/>
          <w:sz w:val="24"/>
          <w:szCs w:val="24"/>
          <w:highlight w:val="none"/>
        </w:rPr>
        <w:t>条款</w:t>
      </w:r>
      <w:bookmarkEnd w:id="16"/>
      <w:r>
        <w:rPr>
          <w:rFonts w:hint="eastAsia" w:ascii="宋体" w:hAnsi="宋体" w:cs="宋体"/>
          <w:color w:val="000000"/>
          <w:sz w:val="24"/>
          <w:szCs w:val="24"/>
          <w:highlight w:val="none"/>
        </w:rPr>
        <w:t>：</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（1）只要本合同（含附件）有效，融资方不得采取任何行动影响、干扰、损害或终止甲方在本合同项下的权利或以其他方式对本合同造成不利影响；</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如融资文件中包含了融资方介入权的约定，即当乙方违反融资文件或乙方出现重大经营或财务风险，威胁或侵害融资方利益时，融资方可以行使其作为债权人的权利，要求乙方改善管理、增加投入，或请求甲方认可的合格机构接管本项目，但融资方行使上述介入权时应按照如下程序进行：</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a．融资方通过书面方式将乙方在融资文件项下的违约事件通知甲方；</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b．给予乙方在收到上述通知后日柒（7）日内纠正此类违约的权利；</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c．在上述纠正期间不行使融资方对违约事件的任何权利或补救；</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d．纠正期满时，乙方违约事件持续的，融资方行使权利应以不妨害和损害甲方在本合同项下的权利和项目的正常运营为前提。如在纠正期内，触发融资方直接介入的重大风险解除或者乙方提供融资方能接受的补充担保措施后，融资方应停止介入。</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4.</w:t>
      </w:r>
      <w:r>
        <w:rPr>
          <w:rFonts w:ascii="宋体" w:hAnsi="宋体" w:cs="宋体"/>
          <w:b/>
          <w:color w:val="000000"/>
          <w:sz w:val="24"/>
          <w:szCs w:val="24"/>
        </w:rPr>
        <w:t>4</w:t>
      </w:r>
      <w:r>
        <w:rPr>
          <w:rFonts w:hint="eastAsia" w:ascii="宋体" w:hAnsi="宋体" w:cs="宋体"/>
          <w:b/>
          <w:color w:val="000000"/>
          <w:sz w:val="24"/>
          <w:szCs w:val="24"/>
        </w:rPr>
        <w:t>项目资金使用管理</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4</w:t>
      </w:r>
      <w:r>
        <w:rPr>
          <w:rFonts w:hint="eastAsia" w:ascii="宋体" w:hAnsi="宋体" w:cs="宋体"/>
          <w:color w:val="000000"/>
          <w:sz w:val="24"/>
          <w:szCs w:val="24"/>
        </w:rPr>
        <w:t>.1乙方按照上述</w:t>
      </w:r>
      <w:r>
        <w:rPr>
          <w:rFonts w:ascii="宋体" w:hAnsi="宋体" w:cs="宋体"/>
          <w:b w:val="0"/>
          <w:color w:val="000000"/>
          <w:sz w:val="24"/>
          <w:szCs w:val="24"/>
        </w:rPr>
        <w:t>4.2</w:t>
      </w:r>
      <w:r>
        <w:rPr>
          <w:rFonts w:hint="eastAsia" w:ascii="宋体" w:hAnsi="宋体" w:cs="宋体"/>
          <w:color w:val="000000"/>
          <w:sz w:val="24"/>
          <w:szCs w:val="24"/>
        </w:rPr>
        <w:t>要求融资的，为确保项目资金专款专用，</w:t>
      </w:r>
      <w:r>
        <w:rPr>
          <w:rFonts w:hint="eastAsia" w:ascii="宋体" w:hAnsi="宋体" w:cs="宋体"/>
          <w:color w:val="000000"/>
          <w:kern w:val="0"/>
          <w:sz w:val="24"/>
          <w:szCs w:val="24"/>
        </w:rPr>
        <w:t>乙方应按规定及时开设项目资金专用账户，在不影响项目维护和运营的前提下，甲方有权对专用账户中的项目资金使用情况进行监督和检查，乙方应予以配合</w:t>
      </w:r>
      <w:r>
        <w:rPr>
          <w:rFonts w:hint="eastAsia" w:ascii="宋体" w:hAnsi="宋体" w:cs="宋体"/>
          <w:color w:val="000000"/>
          <w:sz w:val="24"/>
          <w:szCs w:val="24"/>
        </w:rPr>
        <w:t>。</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乙方应独立进行运营期的资金使用和财务核算，项目资金不得用于与本项目无关的经济活动。</w:t>
      </w:r>
    </w:p>
    <w:p>
      <w:pPr>
        <w:keepNext w:val="0"/>
        <w:spacing w:before="80" w:after="80" w:line="360" w:lineRule="auto"/>
        <w:jc w:val="both"/>
        <w:outlineLvl w:val="0"/>
        <w:rPr>
          <w:rFonts w:ascii="宋体" w:hAnsi="宋体" w:cs="宋体"/>
          <w:sz w:val="28"/>
          <w:szCs w:val="28"/>
        </w:rPr>
      </w:pPr>
      <w:bookmarkStart w:id="17" w:name="_Toc46140685"/>
      <w:r>
        <w:rPr>
          <w:rFonts w:hint="eastAsia" w:ascii="宋体" w:hAnsi="宋体" w:cs="宋体"/>
          <w:b/>
          <w:sz w:val="28"/>
          <w:szCs w:val="28"/>
        </w:rPr>
        <w:t>第</w:t>
      </w:r>
      <w:r>
        <w:rPr>
          <w:rFonts w:ascii="宋体" w:hAnsi="宋体" w:cs="宋体"/>
          <w:b/>
          <w:sz w:val="28"/>
          <w:szCs w:val="28"/>
        </w:rPr>
        <w:t xml:space="preserve">5条  </w:t>
      </w:r>
      <w:r>
        <w:rPr>
          <w:rFonts w:hint="eastAsia" w:ascii="宋体" w:hAnsi="宋体" w:cs="宋体"/>
          <w:b/>
          <w:sz w:val="28"/>
          <w:szCs w:val="28"/>
        </w:rPr>
        <w:t>双方的基本权利和义务</w:t>
      </w:r>
      <w:bookmarkEnd w:id="17"/>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5.1甲方的权利和义务</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5.1.1甲方在合作期内的权利:</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（1）甲方有权对乙方在本合同项下的履约行为进行全程监管，如发现与本合同约定存在不相符合的情形，有权责成乙方限期整改，并根据合同约定扣除或提取相应金额的履约担保，追究乙方违约责任。</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（2）甲方或甲方委托的单位，在运营期内有权对乙方的运营维护情况进行监督检查。</w:t>
      </w:r>
    </w:p>
    <w:p>
      <w:pPr>
        <w:widowControl/>
        <w:tabs>
          <w:tab w:val="left" w:pos="822"/>
          <w:tab w:val="left" w:pos="3696"/>
        </w:tabs>
        <w:autoSpaceDE w:val="0"/>
        <w:autoSpaceDN w:val="0"/>
        <w:adjustRightInd w:val="0"/>
        <w:spacing w:before="156" w:beforeLines="50" w:after="156" w:afterLines="50" w:line="360" w:lineRule="auto"/>
        <w:ind w:firstLine="480" w:firstLineChars="200"/>
        <w:outlineLvl w:val="9"/>
        <w:rPr>
          <w:kern w:val="0"/>
          <w:sz w:val="24"/>
        </w:rPr>
      </w:pPr>
      <w:r>
        <w:rPr>
          <w:rFonts w:hint="eastAsia"/>
          <w:kern w:val="0"/>
          <w:sz w:val="24"/>
        </w:rPr>
        <w:t>（3）甲方</w:t>
      </w:r>
      <w:r>
        <w:rPr>
          <w:kern w:val="0"/>
          <w:sz w:val="24"/>
        </w:rPr>
        <w:t>有权在运营期要求乙方提交运营记录并进入项目设施，监督项目设施的运营和维护，如发现存在违约情况，有权根据本合同进行违约处理</w:t>
      </w:r>
      <w:r>
        <w:rPr>
          <w:rFonts w:hint="eastAsia"/>
          <w:kern w:val="0"/>
          <w:sz w:val="24"/>
        </w:rPr>
        <w:t>。</w:t>
      </w:r>
    </w:p>
    <w:p>
      <w:pPr>
        <w:pStyle w:val="282"/>
        <w:widowControl/>
        <w:tabs>
          <w:tab w:val="left" w:pos="822"/>
        </w:tabs>
        <w:autoSpaceDE w:val="0"/>
        <w:autoSpaceDN w:val="0"/>
        <w:spacing w:before="156" w:beforeLines="50" w:after="156" w:afterLines="50" w:line="360" w:lineRule="auto"/>
        <w:ind w:firstLine="480"/>
        <w:outlineLvl w:val="9"/>
      </w:pPr>
      <w:r>
        <w:rPr>
          <w:rFonts w:hint="eastAsia"/>
          <w:kern w:val="0"/>
          <w:sz w:val="24"/>
        </w:rPr>
        <w:t>（4）甲方</w:t>
      </w:r>
      <w:r>
        <w:rPr>
          <w:kern w:val="0"/>
          <w:sz w:val="24"/>
        </w:rPr>
        <w:t>有权定期对乙方的财务状况、经营成果依法进行审计</w:t>
      </w:r>
      <w:r>
        <w:rPr>
          <w:rFonts w:hint="eastAsia"/>
          <w:kern w:val="0"/>
          <w:sz w:val="24"/>
        </w:rPr>
        <w:t>。</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（3）甲方或政府方指定机构或其委托的第三方机构，有权对乙方的投资、经营、管理、安全、质量、服务状况等进行绩效评价及中期评估，并有权将评价结果和评估结果向社会公布，接受公众监督。</w:t>
      </w:r>
    </w:p>
    <w:p>
      <w:pPr>
        <w:spacing w:before="80" w:after="80" w:line="360" w:lineRule="auto"/>
        <w:ind w:firstLine="424" w:firstLineChars="177"/>
        <w:rPr>
          <w:rFonts w:ascii="宋体" w:hAnsi="宋体" w:cs="宋体"/>
          <w:color w:val="0000FF"/>
          <w:sz w:val="24"/>
          <w:szCs w:val="24"/>
        </w:rPr>
      </w:pPr>
      <w:r>
        <w:rPr>
          <w:rFonts w:hint="eastAsia" w:ascii="宋体" w:hAnsi="宋体" w:cs="宋体"/>
          <w:color w:val="000000"/>
          <w:sz w:val="24"/>
          <w:szCs w:val="24"/>
        </w:rPr>
        <w:t>（4）</w:t>
      </w:r>
      <w:r>
        <w:rPr>
          <w:rFonts w:hint="eastAsia" w:ascii="宋体" w:hAnsi="宋体" w:cs="宋体"/>
          <w:sz w:val="24"/>
          <w:szCs w:val="24"/>
        </w:rPr>
        <w:t>甲方对全市的垃圾运输与供应有调配的权利，在符合本合同的前提下此权利不受乙方的限制。</w:t>
      </w:r>
    </w:p>
    <w:p>
      <w:pPr>
        <w:spacing w:before="80" w:after="80"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（5）合同约定的其他权利：</w:t>
      </w:r>
    </w:p>
    <w:p>
      <w:pPr>
        <w:pStyle w:val="253"/>
        <w:keepNext w:val="0"/>
        <w:spacing w:before="80" w:after="80" w:line="360" w:lineRule="auto"/>
        <w:ind w:firstLine="480" w:firstLineChars="200"/>
        <w:jc w:val="both"/>
        <w:outlineLvl w:val="9"/>
        <w:rPr>
          <w:rFonts w:cs="宋体" w:asciiTheme="minorEastAsia" w:hAnsiTheme="minorEastAsia" w:eastAsiaTheme="minorEastAsia"/>
          <w:color w:val="auto"/>
        </w:rPr>
      </w:pPr>
      <w:bookmarkStart w:id="18" w:name="_Toc24885554"/>
      <w:r>
        <w:rPr>
          <w:rFonts w:hint="eastAsia" w:cs="宋体" w:asciiTheme="minorEastAsia" w:hAnsiTheme="minorEastAsia" w:eastAsiaTheme="minorEastAsia"/>
        </w:rPr>
        <w:t>a．</w:t>
      </w:r>
      <w:r>
        <w:rPr>
          <w:rFonts w:hint="eastAsia" w:cs="宋体" w:asciiTheme="minorEastAsia" w:hAnsiTheme="minorEastAsia" w:eastAsiaTheme="minorEastAsia"/>
          <w:color w:val="auto"/>
        </w:rPr>
        <w:t>甲方有权委派特许经营权项目公益董事或</w:t>
      </w:r>
      <w:bookmarkEnd w:id="18"/>
      <w:r>
        <w:rPr>
          <w:rFonts w:hint="eastAsia" w:cs="宋体" w:asciiTheme="minorEastAsia" w:hAnsiTheme="minorEastAsia" w:eastAsiaTheme="minorEastAsia"/>
          <w:color w:val="auto"/>
        </w:rPr>
        <w:t>监督员。</w:t>
      </w:r>
    </w:p>
    <w:p>
      <w:pPr>
        <w:pStyle w:val="307"/>
        <w:adjustRightInd/>
        <w:spacing w:before="80" w:after="80" w:line="360" w:lineRule="auto"/>
        <w:ind w:firstLine="480" w:firstLineChars="200"/>
        <w:jc w:val="both"/>
        <w:outlineLvl w:val="9"/>
        <w:rPr>
          <w:rFonts w:cs="宋体" w:asciiTheme="minorEastAsia" w:hAnsiTheme="minorEastAsia" w:eastAsiaTheme="minorEastAsia"/>
          <w:color w:val="auto"/>
        </w:rPr>
      </w:pPr>
      <w:r>
        <w:rPr>
          <w:rFonts w:hint="eastAsia" w:cs="宋体" w:asciiTheme="minorEastAsia" w:hAnsiTheme="minorEastAsia" w:eastAsiaTheme="minorEastAsia"/>
          <w:color w:val="auto"/>
        </w:rPr>
        <w:t>b．为了更好地配合乙方运营本项目并对乙方日常工作进行监督，根据《江苏省城市市政公用事业公益董事或监督员制度》的规定，甲方有权委派1名公益董事或监督员对项目公司的运营状况进行监督，其相关资历由甲方另行提供给乙方。乙方应对公益董事或监督员行使其权利提供便利。</w:t>
      </w:r>
    </w:p>
    <w:p>
      <w:pPr>
        <w:pStyle w:val="307"/>
        <w:adjustRightInd/>
        <w:spacing w:before="80" w:after="80" w:line="360" w:lineRule="auto"/>
        <w:ind w:firstLine="480" w:firstLineChars="200"/>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c．公益董事或监督员对企业可能影响社会公共利益或社会公共安全的重大决策及经营活动可以行使监督权；公益董事或监督员负责了解项目的企业的正常生产、经营情况；监督企业的重要经营活动和重大决策；代表委派方对特许经营企业出具年度评价意见；根据委派方要求，向政府有关部门定期述职。</w:t>
      </w:r>
    </w:p>
    <w:p>
      <w:pPr>
        <w:pStyle w:val="307"/>
        <w:adjustRightInd/>
        <w:spacing w:before="80" w:after="80" w:line="360" w:lineRule="auto"/>
        <w:ind w:firstLine="480" w:firstLineChars="200"/>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d．公益董事或监督员对发现的问题可直接向甲方汇报。</w:t>
      </w:r>
    </w:p>
    <w:p>
      <w:pPr>
        <w:pStyle w:val="307"/>
        <w:adjustRightInd/>
        <w:spacing w:before="80" w:after="80" w:line="360" w:lineRule="auto"/>
        <w:ind w:firstLine="480" w:firstLineChars="200"/>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e．公益董事或监督员除了负责上述监督权利以外，应积极协助乙方运营本项目，并积极协调各项关系，帮助乙方解决困难。</w:t>
      </w:r>
    </w:p>
    <w:p>
      <w:pPr>
        <w:pStyle w:val="307"/>
        <w:spacing w:before="80" w:after="80" w:line="360" w:lineRule="auto"/>
        <w:ind w:firstLine="480" w:firstLineChars="200"/>
        <w:jc w:val="both"/>
        <w:rPr>
          <w:rFonts w:cs="宋体" w:asciiTheme="minorEastAsia" w:hAnsiTheme="minorEastAsia" w:eastAsiaTheme="minorEastAsia"/>
          <w:color w:val="auto"/>
        </w:rPr>
      </w:pPr>
      <w:r>
        <w:rPr>
          <w:rFonts w:hint="eastAsia" w:cs="宋体" w:asciiTheme="minorEastAsia" w:hAnsiTheme="minorEastAsia" w:eastAsiaTheme="minorEastAsia"/>
          <w:color w:val="auto"/>
        </w:rPr>
        <w:t>f．如公益董事或监督员提出要求，乙方应无条件同意公益董事或监督员驻厂办公，实施监督权，乙方应无偿提供相应办公地点及办公设施供公益董事或监督员使用。监督员的薪酬由委派单位支付。</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5.1.2甲方在合作期内的义务：</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甲方负责按照本合同第6条约定完成前期工作，并按照双方约定的时间及方式向乙方移交项目前期工作文件。</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w:t>
      </w:r>
      <w:r>
        <w:rPr>
          <w:rFonts w:hint="eastAsia" w:ascii="宋体" w:hAnsi="宋体" w:cs="宋体"/>
          <w:color w:val="000000"/>
          <w:sz w:val="24"/>
          <w:szCs w:val="24"/>
        </w:rPr>
        <w:t>协助乙方及时获得相关的许可或批准文件。</w:t>
      </w:r>
    </w:p>
    <w:p>
      <w:pPr>
        <w:spacing w:line="360" w:lineRule="auto"/>
        <w:ind w:firstLine="480" w:firstLineChars="200"/>
        <w:rPr>
          <w:rFonts w:ascii="宋体" w:hAnsi="宋体" w:cs="宋体"/>
          <w:sz w:val="24"/>
          <w:szCs w:val="24"/>
        </w:rPr>
      </w:pPr>
      <w:r>
        <w:rPr>
          <w:rFonts w:hint="eastAsia" w:ascii="宋体" w:hAnsi="宋体" w:cs="宋体"/>
          <w:sz w:val="24"/>
          <w:szCs w:val="24"/>
        </w:rPr>
        <w:t>（3）由甲方负责将垃圾运送至本项目所约定的垃圾交付点交付给乙方。</w:t>
      </w:r>
    </w:p>
    <w:p>
      <w:pPr>
        <w:spacing w:line="360" w:lineRule="auto"/>
        <w:ind w:firstLine="480" w:firstLineChars="200"/>
        <w:rPr>
          <w:rFonts w:ascii="宋体" w:hAnsi="宋体" w:cs="宋体"/>
          <w:strike/>
          <w:sz w:val="24"/>
          <w:szCs w:val="24"/>
          <w:highlight w:val="yellow"/>
        </w:rPr>
      </w:pPr>
      <w:r>
        <w:rPr>
          <w:rFonts w:hint="eastAsia" w:ascii="宋体" w:hAnsi="宋体" w:cs="宋体"/>
          <w:sz w:val="24"/>
          <w:szCs w:val="24"/>
        </w:rPr>
        <w:t>（4）确保本项目的服务费纳入年度财政预算和中期财政规划，按照本合同约定开展绩效评价，并根据绩效评价结果及时、足额向乙方支付服务费。</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5.2乙方的权利和义务</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5.2.1乙方在合作期内的权利：</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（1）依约享有项目经营权，并获取垃圾处理服务费及相关收入的权利。</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（2）要求甲方按照本合同的约定支付相应垃圾处理服务费的权利。</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如因不可归责于乙方的原因导致乙方履约不能的，则乙方有权和甲方就有关事宜进行沟通，如经甲方确认确属不可归责于乙方的原因且乙方已为避免此种情形采取必要措施的，则甲方应根据上述原因造成的实际影响对乙方责任予以相应豁免，并对绩效评价指标的达成率进行相应调整。</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（4）合同约定的其他权利：</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在本项目的运营与维护期内，乙方将根据本合同及其附件的规定，向甲方提供生活垃圾无害化处理服务，并向甲方收取垃圾服务费；同时向电力公司销售垃圾焚烧余热发电多余的电量并收取电费。</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5.2.2乙方在合作期内的义务：</w:t>
      </w:r>
    </w:p>
    <w:p>
      <w:pPr>
        <w:spacing w:before="80" w:after="80" w:line="360" w:lineRule="auto"/>
        <w:ind w:firstLine="424" w:firstLineChars="177"/>
        <w:rPr>
          <w:rFonts w:ascii="宋体" w:hAnsi="宋体" w:cs="宋体"/>
          <w:sz w:val="24"/>
          <w:szCs w:val="24"/>
        </w:rPr>
      </w:pPr>
      <w:r>
        <w:rPr>
          <w:rFonts w:hint="eastAsia" w:ascii="宋体" w:hAnsi="宋体" w:cs="宋体"/>
          <w:color w:val="000000"/>
          <w:sz w:val="24"/>
          <w:szCs w:val="24"/>
        </w:rPr>
        <w:t>（1）承担本合同约定的项目投融资及运营等责任和风险，并承担与原项目公司资产移交责任，负责与原项目公司办理资产移交手续，</w:t>
      </w:r>
      <w:r>
        <w:rPr>
          <w:rFonts w:hint="eastAsia" w:ascii="宋体" w:hAnsi="宋体" w:cs="宋体"/>
          <w:color w:val="000000"/>
          <w:sz w:val="24"/>
          <w:szCs w:val="24"/>
          <w:highlight w:val="yellow"/>
        </w:rPr>
        <w:t>按照甲方指定时间完成特许经营权转让费的支付。</w:t>
      </w:r>
    </w:p>
    <w:p>
      <w:pPr>
        <w:spacing w:before="80" w:after="80" w:line="360" w:lineRule="auto"/>
        <w:ind w:firstLine="424" w:firstLineChars="177"/>
        <w:rPr>
          <w:rFonts w:ascii="宋体" w:hAnsi="宋体" w:cs="宋体"/>
          <w:sz w:val="24"/>
          <w:szCs w:val="24"/>
        </w:rPr>
      </w:pPr>
      <w:r>
        <w:rPr>
          <w:rFonts w:hint="eastAsia" w:ascii="宋体" w:hAnsi="宋体" w:cs="宋体"/>
          <w:color w:val="000000"/>
          <w:sz w:val="24"/>
          <w:szCs w:val="24"/>
        </w:rPr>
        <w:t>（2）在合作范围内，按照经批准的相关规划以及合同约定负责实施本项目，确保项目运营维护符合本合同约定的技术规范和技术要求。</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（3）在运营期内严格按适用法律及本合同约定对项目设施进行运营维护，持续、安全、稳定地提供服务，并确保垃圾处理产出及污染物排放达到本合同约定的标准。</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（4）接受并有义务配合甲方在合作期内进行的监督管理，</w:t>
      </w:r>
      <w:r>
        <w:rPr>
          <w:rFonts w:hint="eastAsia" w:ascii="宋体" w:hAnsi="宋体" w:cs="宋体"/>
          <w:kern w:val="0"/>
          <w:sz w:val="24"/>
          <w:szCs w:val="24"/>
        </w:rPr>
        <w:t>并应按照相关规范，负责垃圾处理厂在线监测设施、设备的安装、运行及维护并承担相关费用，并应实现与甲方及相关政府职能部门的联网，以满足甲方及相关政府职能部门的监管需要</w:t>
      </w:r>
      <w:r>
        <w:rPr>
          <w:rFonts w:hint="eastAsia" w:ascii="宋体" w:hAnsi="宋体" w:cs="宋体"/>
          <w:color w:val="000000"/>
          <w:sz w:val="24"/>
          <w:szCs w:val="24"/>
        </w:rPr>
        <w:t>。</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（5）按照本合同约定提交履约担保、移交保函等。</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（6）乙方应按本合同约定自费取得和保持项目运营维护所要求的所有批准，并应督促项目</w:t>
      </w:r>
      <w:bookmarkStart w:id="19" w:name="OLE_LINK1"/>
      <w:bookmarkStart w:id="20" w:name="OLE_LINK2"/>
      <w:r>
        <w:rPr>
          <w:rFonts w:hint="eastAsia" w:ascii="宋体" w:hAnsi="宋体" w:cs="宋体"/>
          <w:color w:val="000000"/>
          <w:sz w:val="24"/>
          <w:szCs w:val="24"/>
        </w:rPr>
        <w:t>运营维护</w:t>
      </w:r>
      <w:bookmarkEnd w:id="19"/>
      <w:bookmarkEnd w:id="20"/>
      <w:r>
        <w:rPr>
          <w:rFonts w:hint="eastAsia" w:ascii="宋体" w:hAnsi="宋体" w:cs="宋体"/>
          <w:color w:val="000000"/>
          <w:sz w:val="24"/>
          <w:szCs w:val="24"/>
        </w:rPr>
        <w:t>商取得并保持所需的一切此类批准。</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（7）乙方应确保融资文件、本合同项下的保险单以及其他由乙方签订的与项目有关的任何协议符合本合同约定的要求。</w:t>
      </w:r>
    </w:p>
    <w:p>
      <w:pPr>
        <w:spacing w:before="80" w:after="80" w:line="360" w:lineRule="auto"/>
        <w:ind w:firstLine="424" w:firstLineChars="177"/>
        <w:rPr>
          <w:rFonts w:ascii="宋体" w:hAnsi="宋体" w:cs="宋体"/>
          <w:sz w:val="24"/>
          <w:szCs w:val="24"/>
        </w:rPr>
      </w:pPr>
      <w:r>
        <w:rPr>
          <w:rFonts w:hint="eastAsia" w:ascii="宋体" w:hAnsi="宋体" w:cs="宋体"/>
          <w:color w:val="000000"/>
          <w:sz w:val="24"/>
          <w:szCs w:val="24"/>
        </w:rPr>
        <w:t>（8）</w:t>
      </w:r>
      <w:r>
        <w:rPr>
          <w:rFonts w:hint="eastAsia" w:ascii="宋体" w:hAnsi="宋体" w:cs="宋体"/>
          <w:sz w:val="24"/>
          <w:szCs w:val="24"/>
        </w:rPr>
        <w:t>在本合同履行过程中，乙方必须获得所有相关政府机关或公共服务机构要求的以乙方名义申请的各种许可、批准和许可证以备履行本协议之用，甲方参与协调各方关系。</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（9）除非本合同另有规定，乙方应在特许经营期内自行承担本合同及附件规定的项目费用及风险，并负责项目的运营及维护，以及在特许经营期满后将全部项目无偿移交甲方。</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（10）非经甲方书面同意，乙方不得超出本合同约定的经营范围进行经营。同时，非经甲方书面同意，乙方不得以本项目资产或名义对外进行投资。</w:t>
      </w:r>
    </w:p>
    <w:p>
      <w:pPr>
        <w:spacing w:before="80" w:after="80" w:line="360" w:lineRule="auto"/>
        <w:ind w:firstLine="482"/>
        <w:rPr>
          <w:rFonts w:ascii="宋体" w:hAnsi="宋体" w:cs="宋体"/>
          <w:sz w:val="24"/>
          <w:szCs w:val="24"/>
        </w:rPr>
      </w:pPr>
      <w:r>
        <w:rPr>
          <w:rFonts w:hint="eastAsia" w:ascii="宋体" w:hAnsi="宋体" w:cs="宋体"/>
          <w:sz w:val="24"/>
          <w:szCs w:val="24"/>
        </w:rPr>
        <w:t>（11）乙方应始终遵守中华人民共和国各级权力机关和政府所颁布的所有有关法律、法规和法令。乙方应遵照国家和项目所在地有关的工程技术规范、技术标准、建筑施工和环境管理的有关规章，以及按谨慎工程和运营惯例，运营、维护本项目，使本项目满足规定的标准与要求，并始终处于良好的运营状态；特许经营期满后，将正常运营的垃圾焚烧发电厂无偿移交给甲方。</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（12）所有权及股权变更的限制参考本合同第10条的规定。</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（13）乙方应全力配合甲方为达成本合同目的所提出之任何其它合理要求，并尽力与其合作。</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（14）乙方在本项目中采用的工艺技术及设备，若属专利技术，应为乙方拥有的专利技术或被授权使用的专利技术；若由此产生的任何知识产权纠纷或者其他类似纠纷，均由乙方负责解决和承担责任。</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（15）对本合同有关的文件、数据、信息以及本项目的各种技术文件、数据和资料，不管这些信息是在协议前、期间或终止以后所获取的，乙方应采取严格的保密措施，避免泄露给其他人。</w:t>
      </w:r>
    </w:p>
    <w:p>
      <w:pPr>
        <w:spacing w:before="80" w:after="80" w:line="360" w:lineRule="auto"/>
        <w:ind w:firstLine="482"/>
        <w:rPr>
          <w:rFonts w:ascii="宋体" w:hAnsi="宋体" w:cs="宋体"/>
          <w:sz w:val="24"/>
          <w:szCs w:val="24"/>
        </w:rPr>
      </w:pPr>
      <w:r>
        <w:rPr>
          <w:rFonts w:hint="eastAsia" w:ascii="宋体" w:hAnsi="宋体" w:cs="宋体"/>
          <w:sz w:val="24"/>
          <w:szCs w:val="24"/>
        </w:rPr>
        <w:t>（16）在甲方保证严格履行本合同规定的保密义务的情况下，乙方对甲方在监督与评估乙方时需要掌握的或者在项目移交后运营与维护本项目所需要掌握的工艺原理、技术要点和其他技术信息资料，必须给予提供，并对甲方的有关管理人员进行必要的免费培训。</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17）乙方应遵照国家和项目所在地政府有关的劳动法规，聘用和管理本项目的技术专业人员、施工人员和运营管理人员，并按照规定为这些人员办理各种劳动、就业、医疗、生育、失业、工伤等保险。同时，乙方应遵照国家有关的谨慎运营惯例，为本项目的运营与维护过程办理各种财产等保险。</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18）乙方应按照中华人民共和国法律和政府相关管理部门的有关规定，依法缴纳本项目的各种税款和相关的各种费用；按照国家有关安全生产（含消防）的管理规范与要求，制订并严格执行各种安全生产规章制度和安全生产管理措施，确保本项目的安全运营；按照国家有关环境保护的法律法规及管理规范，实行文明施工和文明生产，尽量减少本项目运营给周边环境带来的影响；同时乙方应遵守国家及省市颁布的其他所有法规及规定。</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（19）乙方应对其承包商及承包商之雇员的行为或疏忽负责，这些行为和疏忽视同于乙方或者乙方雇员的行为和疏忽。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20）乙方应确保其在谈判响应性文件中承诺的主要管理人员能按时到位，参与本项目的运营和维护管理。承诺的主要管理人员因客观原因无法到位的，乙方应向甲方说明理由并改派与承诺主要管理人员相同水平的其他人员。除非事先取得甲方的书面同意，乙方不得随意更换谈判响应性文件中承诺的主要管理人员。</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（21）运营与维护期内，乙方应按国家、省、市有关法律法规、规章、规范性文件、标准及行业规范组织生产运营，并做好本项目与无锡市其他相关项目或管理单位的协调配合工作。</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22）乙方应妥善保存一切有关本项目运营维护有关的记录与文件，例如运营维修报告、经审计的财务报告、工作资料等供甲方查阅。甲方认为必要时，在提前通知乙方的前提下，可以自行或指定第三方进入乙方场所或要求乙方提供前述相关文件或记录供其查阅，或询问其有关人员，乙方应配合办理，不得拒绝。</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23）乙方对政府部门参观、考察、见习、检查本项目的维护与运营情况，应给予尽可能的便利与配合；对甲方的指示或要求、可能出现的争议或紧急情况，乙方应以积极的、合理的、及时的方式予以回应，并采取必要的处理措施。</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（24）乙方将其本合同项下的财产和任何权利、所有权和权益设定任何抵押须满足本合同第4.3款的规定。</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25）乙方应按照国家有关法律法规及标准规定的安全及技术要求运营与维护本项目。如果本项目或其任何部分被发现有任何违背安全之处，甲方可以通知乙方进行整改，直至甲方认为本项目的安全状况符合要求。</w:t>
      </w:r>
    </w:p>
    <w:p>
      <w:pPr>
        <w:spacing w:before="80" w:after="80" w:line="360" w:lineRule="auto"/>
        <w:ind w:firstLine="480" w:firstLineChars="200"/>
        <w:rPr>
          <w:rFonts w:ascii="宋体" w:hAnsi="宋体" w:cs="宋体"/>
          <w:iCs/>
          <w:sz w:val="24"/>
          <w:szCs w:val="24"/>
        </w:rPr>
      </w:pPr>
      <w:r>
        <w:rPr>
          <w:rFonts w:hint="eastAsia" w:ascii="宋体" w:hAnsi="宋体" w:cs="宋体"/>
          <w:sz w:val="24"/>
          <w:szCs w:val="24"/>
        </w:rPr>
        <w:t>（26）</w:t>
      </w:r>
      <w:r>
        <w:rPr>
          <w:rFonts w:hint="eastAsia" w:ascii="宋体" w:hAnsi="宋体" w:cs="宋体"/>
          <w:iCs/>
          <w:sz w:val="24"/>
          <w:szCs w:val="24"/>
        </w:rPr>
        <w:t>乙方应当在甲方通知规定的时间内使本项目达到安全要求，并且乙方不得就上述甲方制定的限制提出任何补偿要求。</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（27）乙方应于每个会计年度终了后150 日内，向甲方提交经审计的年度财务报告。</w:t>
      </w:r>
    </w:p>
    <w:p>
      <w:pPr>
        <w:spacing w:before="80" w:after="80" w:line="360" w:lineRule="auto"/>
        <w:ind w:firstLine="480" w:firstLineChars="200"/>
        <w:rPr>
          <w:rFonts w:ascii="宋体" w:hAnsi="宋体" w:cs="宋体"/>
          <w:color w:val="0000FF"/>
          <w:sz w:val="24"/>
          <w:szCs w:val="24"/>
          <w:highlight w:val="yellow"/>
        </w:rPr>
      </w:pPr>
      <w:r>
        <w:rPr>
          <w:rFonts w:hint="eastAsia" w:ascii="宋体" w:hAnsi="宋体" w:cs="宋体"/>
          <w:color w:val="000000"/>
          <w:sz w:val="24"/>
          <w:szCs w:val="24"/>
        </w:rPr>
        <w:t>（28）</w:t>
      </w:r>
      <w:r>
        <w:rPr>
          <w:rFonts w:hint="eastAsia" w:ascii="宋体" w:hAnsi="宋体" w:cs="宋体"/>
          <w:sz w:val="24"/>
          <w:szCs w:val="24"/>
        </w:rPr>
        <w:t>根据项目经营情况，乙方于每一年度向项目所在地周边集体经济组织无偿支付</w:t>
      </w:r>
      <w:r>
        <w:rPr>
          <w:rFonts w:hint="eastAsia" w:ascii="宋体" w:hAnsi="宋体" w:cs="宋体"/>
          <w:sz w:val="24"/>
          <w:szCs w:val="24"/>
          <w:lang w:eastAsia="zh-CN"/>
        </w:rPr>
        <w:t>贰佰万元</w:t>
      </w:r>
      <w:r>
        <w:rPr>
          <w:rFonts w:hint="eastAsia" w:ascii="宋体" w:hAnsi="宋体" w:cs="宋体"/>
          <w:sz w:val="24"/>
          <w:szCs w:val="24"/>
        </w:rPr>
        <w:t>的补助资金，具体支付对象由甲方与项目公司协商后确定。</w:t>
      </w:r>
    </w:p>
    <w:p>
      <w:pPr>
        <w:pStyle w:val="418"/>
        <w:keepNext w:val="0"/>
        <w:spacing w:before="80" w:after="80" w:line="360" w:lineRule="auto"/>
        <w:ind w:firstLine="482" w:firstLineChars="200"/>
        <w:jc w:val="both"/>
        <w:outlineLvl w:val="9"/>
        <w:rPr>
          <w:rFonts w:ascii="宋体" w:hAnsi="宋体" w:eastAsia="宋体" w:cs="宋体"/>
          <w:color w:val="auto"/>
          <w:sz w:val="24"/>
          <w:szCs w:val="24"/>
        </w:rPr>
      </w:pPr>
      <w:bookmarkStart w:id="21" w:name="_Toc222563682"/>
      <w:bookmarkStart w:id="22" w:name="_Toc218310983"/>
      <w:r>
        <w:rPr>
          <w:rFonts w:hint="eastAsia" w:ascii="宋体" w:hAnsi="宋体" w:eastAsia="宋体" w:cs="宋体"/>
          <w:color w:val="auto"/>
          <w:sz w:val="24"/>
          <w:szCs w:val="24"/>
        </w:rPr>
        <w:t xml:space="preserve">5.3 </w:t>
      </w:r>
      <w:bookmarkStart w:id="23" w:name="_Toc24885579"/>
      <w:r>
        <w:rPr>
          <w:rFonts w:hint="eastAsia" w:ascii="宋体" w:hAnsi="宋体" w:eastAsia="宋体" w:cs="宋体"/>
          <w:color w:val="auto"/>
          <w:sz w:val="24"/>
          <w:szCs w:val="24"/>
        </w:rPr>
        <w:t>双方共同的义务</w:t>
      </w:r>
      <w:bookmarkEnd w:id="21"/>
      <w:bookmarkEnd w:id="22"/>
      <w:bookmarkEnd w:id="23"/>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5.3.1每一方均应保障、保护和防止损害另一方、并为其提供必要的协助，使其免于承担或者尽可能少的承担由于履行本协议所产生的任何性质的人身伤害或财产损失而引起的所有债务、损害、损失、费用、索赔，除非此种损害是由于寻求被保障一方的过失或故意行为或疏忽所造成的。</w:t>
      </w:r>
    </w:p>
    <w:p>
      <w:pPr>
        <w:pStyle w:val="253"/>
        <w:keepNext w:val="0"/>
        <w:spacing w:before="80" w:after="80" w:line="360" w:lineRule="auto"/>
        <w:ind w:firstLine="480" w:firstLineChars="200"/>
        <w:jc w:val="both"/>
        <w:outlineLvl w:val="9"/>
        <w:rPr>
          <w:rFonts w:ascii="宋体" w:hAnsi="宋体" w:eastAsia="宋体" w:cs="宋体"/>
          <w:color w:val="auto"/>
        </w:rPr>
      </w:pPr>
      <w:bookmarkStart w:id="24" w:name="_Toc24885581"/>
      <w:r>
        <w:rPr>
          <w:rFonts w:hint="eastAsia" w:ascii="宋体" w:hAnsi="宋体" w:eastAsia="宋体" w:cs="宋体"/>
          <w:color w:val="auto"/>
        </w:rPr>
        <w:t>5.3.2减少损失</w:t>
      </w:r>
      <w:bookmarkEnd w:id="24"/>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如果由于履行本协议所产生的任何损失或损害，其中部分是由于甲方的过失、故意行为或疏忽，部分由于乙方的过失或故意行为或疏忽，每一方均应按其相应的错误程度向对方承担责任。</w:t>
      </w:r>
    </w:p>
    <w:p>
      <w:pPr>
        <w:pStyle w:val="253"/>
        <w:keepNext w:val="0"/>
        <w:spacing w:before="80" w:after="80" w:line="360" w:lineRule="auto"/>
        <w:ind w:firstLine="480" w:firstLineChars="200"/>
        <w:jc w:val="both"/>
        <w:outlineLvl w:val="9"/>
        <w:rPr>
          <w:rFonts w:ascii="宋体" w:hAnsi="宋体" w:eastAsia="宋体" w:cs="宋体"/>
          <w:color w:val="auto"/>
        </w:rPr>
      </w:pPr>
      <w:bookmarkStart w:id="25" w:name="_Toc24885582"/>
      <w:r>
        <w:rPr>
          <w:rFonts w:hint="eastAsia" w:ascii="宋体" w:hAnsi="宋体" w:eastAsia="宋体" w:cs="宋体"/>
          <w:color w:val="auto"/>
        </w:rPr>
        <w:t>5.3.3互相保护例外原则</w:t>
      </w:r>
      <w:bookmarkEnd w:id="25"/>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以下情形不适用本条的互相保护原则：</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（1）因劳动纠纷所产生的债务或损害；</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（2）因环境污染给第三人造成的损害。</w:t>
      </w:r>
    </w:p>
    <w:p>
      <w:pPr>
        <w:keepNext w:val="0"/>
        <w:spacing w:before="80" w:after="80" w:line="360" w:lineRule="auto"/>
        <w:jc w:val="both"/>
        <w:outlineLvl w:val="0"/>
        <w:rPr>
          <w:rFonts w:ascii="宋体" w:hAnsi="宋体" w:cs="宋体"/>
          <w:sz w:val="28"/>
          <w:szCs w:val="28"/>
        </w:rPr>
      </w:pPr>
      <w:bookmarkStart w:id="26" w:name="_Toc519103585"/>
      <w:bookmarkStart w:id="27" w:name="_Toc46140686"/>
      <w:r>
        <w:rPr>
          <w:rFonts w:hint="eastAsia" w:ascii="宋体" w:hAnsi="宋体" w:cs="宋体"/>
          <w:b/>
          <w:sz w:val="28"/>
          <w:szCs w:val="28"/>
        </w:rPr>
        <w:t>第</w:t>
      </w:r>
      <w:r>
        <w:rPr>
          <w:rFonts w:ascii="宋体" w:hAnsi="宋体" w:cs="宋体"/>
          <w:b/>
          <w:sz w:val="28"/>
          <w:szCs w:val="28"/>
        </w:rPr>
        <w:t xml:space="preserve">6条 </w:t>
      </w:r>
      <w:r>
        <w:rPr>
          <w:rFonts w:hint="eastAsia" w:ascii="宋体" w:hAnsi="宋体" w:cs="宋体"/>
          <w:b/>
          <w:sz w:val="28"/>
          <w:szCs w:val="28"/>
        </w:rPr>
        <w:t>项目前期工作及费用承担</w:t>
      </w:r>
      <w:bookmarkEnd w:id="26"/>
      <w:bookmarkEnd w:id="27"/>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6.1 项目前期工作</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前期工作的交接和相关责任约定：</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由甲方协调原项目公司与中标供应商进行交接，相关责任交接前由甲方负责，交接后由中标供应商负责。</w:t>
      </w:r>
    </w:p>
    <w:p>
      <w:pPr>
        <w:spacing w:before="80" w:after="80" w:line="360" w:lineRule="auto"/>
        <w:ind w:firstLine="479" w:firstLineChars="199"/>
        <w:rPr>
          <w:rFonts w:ascii="宋体" w:hAnsi="宋体" w:cs="宋体"/>
          <w:b/>
          <w:color w:val="000000"/>
          <w:sz w:val="24"/>
          <w:szCs w:val="24"/>
        </w:rPr>
      </w:pPr>
      <w:r>
        <w:rPr>
          <w:rFonts w:hint="eastAsia" w:ascii="宋体" w:hAnsi="宋体" w:cs="宋体"/>
          <w:b/>
          <w:color w:val="000000"/>
          <w:sz w:val="24"/>
          <w:szCs w:val="24"/>
        </w:rPr>
        <w:t>6.2 前期工作费用的承担</w:t>
      </w:r>
    </w:p>
    <w:p>
      <w:pPr>
        <w:spacing w:before="80" w:after="80" w:line="360" w:lineRule="auto"/>
        <w:ind w:firstLine="477" w:firstLineChars="199"/>
        <w:rPr>
          <w:rFonts w:ascii="宋体" w:hAnsi="宋体" w:cs="宋体"/>
          <w:color w:val="000000"/>
          <w:sz w:val="24"/>
          <w:szCs w:val="24"/>
        </w:rPr>
      </w:pPr>
      <w:r>
        <w:rPr>
          <w:rFonts w:hint="eastAsia" w:ascii="宋体" w:hAnsi="宋体" w:cs="宋体"/>
          <w:color w:val="000000"/>
          <w:sz w:val="24"/>
          <w:szCs w:val="24"/>
        </w:rPr>
        <w:t>本项目前期工作费用，指政府方为开展本项目的前期工作所发生的费用。双方同意，本项目前期工作费用按以下方式处理：</w:t>
      </w:r>
    </w:p>
    <w:p>
      <w:pPr>
        <w:spacing w:before="80" w:after="80" w:line="360" w:lineRule="auto"/>
        <w:ind w:firstLine="477" w:firstLineChars="199"/>
        <w:rPr>
          <w:rFonts w:ascii="宋体" w:hAnsi="宋体" w:cs="宋体"/>
          <w:color w:val="000000"/>
          <w:sz w:val="24"/>
          <w:szCs w:val="24"/>
          <w:highlight w:val="yellow"/>
        </w:rPr>
      </w:pPr>
      <w:r>
        <w:rPr>
          <w:rFonts w:hint="eastAsia" w:ascii="宋体" w:hAnsi="宋体" w:cs="宋体"/>
          <w:color w:val="000000"/>
          <w:sz w:val="24"/>
          <w:szCs w:val="24"/>
          <w:highlight w:val="yellow"/>
        </w:rPr>
        <w:t>前期工作费用由甲方或甲方协调原项目公司承担，费用不计入项目特许经营权转让费。</w:t>
      </w:r>
    </w:p>
    <w:p>
      <w:pPr>
        <w:keepNext w:val="0"/>
        <w:spacing w:before="80" w:after="80" w:line="360" w:lineRule="auto"/>
        <w:jc w:val="both"/>
        <w:outlineLvl w:val="0"/>
        <w:rPr>
          <w:rFonts w:ascii="宋体" w:hAnsi="宋体" w:cs="宋体"/>
          <w:sz w:val="28"/>
          <w:szCs w:val="28"/>
        </w:rPr>
      </w:pPr>
      <w:bookmarkStart w:id="28" w:name="_Toc46140687"/>
      <w:r>
        <w:rPr>
          <w:rFonts w:hint="eastAsia" w:ascii="宋体" w:hAnsi="宋体" w:cs="宋体"/>
          <w:b/>
          <w:sz w:val="28"/>
          <w:szCs w:val="28"/>
        </w:rPr>
        <w:t>第</w:t>
      </w:r>
      <w:r>
        <w:rPr>
          <w:rFonts w:ascii="宋体" w:hAnsi="宋体" w:cs="宋体"/>
          <w:b/>
          <w:sz w:val="28"/>
          <w:szCs w:val="28"/>
        </w:rPr>
        <w:t xml:space="preserve">7条  </w:t>
      </w:r>
      <w:r>
        <w:rPr>
          <w:rFonts w:hint="eastAsia" w:ascii="宋体" w:hAnsi="宋体" w:cs="宋体"/>
          <w:b/>
          <w:sz w:val="28"/>
          <w:szCs w:val="28"/>
        </w:rPr>
        <w:t>土地使用权及项目设施的权属</w:t>
      </w:r>
      <w:bookmarkEnd w:id="28"/>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7.1场地范围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甲方应依法提供本项目建设工程场地红线图，并以政府有关部门批准的测量数据为准。</w:t>
      </w:r>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7.2土地使用的权利</w:t>
      </w:r>
    </w:p>
    <w:p>
      <w:pPr>
        <w:spacing w:before="80" w:after="80" w:line="360" w:lineRule="auto"/>
        <w:ind w:firstLine="424" w:firstLineChars="177"/>
        <w:jc w:val="left"/>
        <w:rPr>
          <w:rFonts w:ascii="宋体" w:hAnsi="宋体" w:cs="宋体"/>
          <w:color w:val="000000"/>
          <w:sz w:val="24"/>
          <w:szCs w:val="24"/>
        </w:rPr>
      </w:pPr>
      <w:r>
        <w:rPr>
          <w:rFonts w:hint="eastAsia" w:ascii="宋体" w:hAnsi="宋体" w:cs="宋体"/>
          <w:color w:val="000000"/>
          <w:sz w:val="24"/>
          <w:szCs w:val="24"/>
        </w:rPr>
        <w:t>本项目红线范围内土地使用权由</w:t>
      </w:r>
      <w:r>
        <w:rPr>
          <w:rFonts w:hint="eastAsia" w:ascii="宋体" w:hAnsi="宋体" w:cs="宋体"/>
          <w:sz w:val="24"/>
          <w:szCs w:val="24"/>
        </w:rPr>
        <w:t>以划拨方式供应，乙方应根据适用法律规定和本合同约定在本项目合作期限内合理使用，在特许经营期满或提前终止时，乙方应将上述土地使用权无偿移交给甲方。</w:t>
      </w:r>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7.3土地使用的限制</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一期工程的场地为本项目专用，在未事先得到甲方的书面许可之前，乙方不得将场地另作他用，且不得对该等土地使用权以出租、出让、转让、抵押、质押或其他方式设定权利负担。</w:t>
      </w:r>
    </w:p>
    <w:p>
      <w:pPr>
        <w:spacing w:before="80" w:after="80" w:line="360" w:lineRule="auto"/>
        <w:ind w:firstLine="480" w:firstLineChars="200"/>
        <w:rPr>
          <w:rFonts w:ascii="宋体" w:hAnsi="宋体" w:cs="宋体"/>
          <w:color w:val="000000"/>
          <w:sz w:val="24"/>
          <w:szCs w:val="24"/>
        </w:rPr>
      </w:pPr>
      <w:r>
        <w:rPr>
          <w:rFonts w:hint="eastAsia" w:ascii="宋体" w:hAnsi="宋体" w:cs="宋体"/>
          <w:sz w:val="24"/>
          <w:szCs w:val="24"/>
        </w:rPr>
        <w:t>乙方对场地的使用及场地的平面布置图应事先征得甲方的书面同意，不得擅自在场地上建设建筑物、构筑物等建筑。</w:t>
      </w:r>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7.4土壤污染责任承担</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土地交付前甲方应按照环保标准和规范要求完成土壤环境的调查评估并出具相应证明文件，乙方有权对相应土地进行察看和检查。如确存在污染并需要治理修复的，由甲方负责组织实施修复并达到环保要求。土地交付后，乙方应按照环保标准和规范要求负责土壤污染风险管控和修复，并承担相应的土壤污染责任。项目实施过程中，因土壤污染责任发生争议的，由甲、乙双方按照本合同</w:t>
      </w:r>
      <w:r>
        <w:rPr>
          <w:rFonts w:hint="eastAsia" w:ascii="宋体" w:hAnsi="宋体" w:cs="宋体"/>
          <w:sz w:val="24"/>
          <w:szCs w:val="24"/>
        </w:rPr>
        <w:t>第27条约定</w:t>
      </w:r>
      <w:r>
        <w:rPr>
          <w:rFonts w:hint="eastAsia" w:ascii="宋体" w:hAnsi="宋体" w:cs="宋体"/>
          <w:color w:val="000000"/>
          <w:sz w:val="24"/>
          <w:szCs w:val="24"/>
        </w:rPr>
        <w:t>执行。</w:t>
      </w:r>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7.5甲方对项目场地的出入权</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甲方以及有关政府部门在</w:t>
      </w:r>
      <w:r>
        <w:rPr>
          <w:rFonts w:hint="eastAsia" w:ascii="宋体" w:hAnsi="宋体" w:cs="宋体"/>
          <w:sz w:val="24"/>
          <w:szCs w:val="24"/>
        </w:rPr>
        <w:t>下列</w:t>
      </w:r>
      <w:r>
        <w:rPr>
          <w:rFonts w:hint="eastAsia" w:ascii="宋体" w:hAnsi="宋体" w:cs="宋体"/>
          <w:color w:val="000000"/>
          <w:sz w:val="24"/>
          <w:szCs w:val="24"/>
        </w:rPr>
        <w:t>情形下，经合理通知乙方后有权出入项目场地：</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7.5.1有权为了解运营维护情况或检查乙方履行本合同项下其他义务的目的行使此项出入权；</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7.5.2本合同约定的其他出入的权利。</w:t>
      </w:r>
    </w:p>
    <w:p>
      <w:pPr>
        <w:spacing w:before="80" w:after="80" w:line="360" w:lineRule="auto"/>
        <w:ind w:firstLine="424" w:firstLineChars="176"/>
        <w:rPr>
          <w:rFonts w:ascii="宋体" w:hAnsi="宋体" w:cs="宋体"/>
          <w:color w:val="000000"/>
          <w:sz w:val="24"/>
          <w:szCs w:val="24"/>
        </w:rPr>
      </w:pPr>
      <w:r>
        <w:rPr>
          <w:rFonts w:hint="eastAsia" w:ascii="宋体" w:hAnsi="宋体" w:cs="宋体"/>
          <w:b/>
          <w:color w:val="000000"/>
          <w:sz w:val="24"/>
          <w:szCs w:val="24"/>
        </w:rPr>
        <w:t xml:space="preserve">7.6 </w:t>
      </w:r>
      <w:r>
        <w:rPr>
          <w:rFonts w:hint="eastAsia" w:ascii="宋体" w:hAnsi="宋体" w:cs="宋体"/>
          <w:b/>
          <w:color w:val="000000"/>
          <w:kern w:val="0"/>
          <w:sz w:val="24"/>
          <w:szCs w:val="24"/>
        </w:rPr>
        <w:t>项目设施的权属</w:t>
      </w:r>
    </w:p>
    <w:p>
      <w:pPr>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kern w:val="0"/>
          <w:sz w:val="24"/>
          <w:szCs w:val="24"/>
        </w:rPr>
        <w:t>在合作期内，项目设施所有权归甲方所有。</w:t>
      </w:r>
    </w:p>
    <w:p>
      <w:pPr>
        <w:spacing w:before="80" w:after="80" w:line="360" w:lineRule="auto"/>
        <w:outlineLvl w:val="0"/>
        <w:rPr>
          <w:rFonts w:ascii="宋体" w:hAnsi="宋体" w:cs="宋体"/>
          <w:b/>
          <w:sz w:val="28"/>
          <w:szCs w:val="28"/>
        </w:rPr>
      </w:pPr>
      <w:bookmarkStart w:id="29" w:name="_Toc46140688"/>
      <w:r>
        <w:rPr>
          <w:rFonts w:hint="eastAsia" w:ascii="宋体" w:hAnsi="宋体" w:cs="宋体"/>
          <w:b/>
          <w:sz w:val="28"/>
          <w:szCs w:val="28"/>
        </w:rPr>
        <w:t>第8条 运营前项目资产移交</w:t>
      </w:r>
      <w:bookmarkEnd w:id="29"/>
    </w:p>
    <w:p>
      <w:pPr>
        <w:spacing w:before="80" w:after="80" w:line="360" w:lineRule="auto"/>
        <w:ind w:firstLine="424" w:firstLineChars="176"/>
        <w:rPr>
          <w:sz w:val="24"/>
          <w:szCs w:val="24"/>
          <w:highlight w:val="none"/>
        </w:rPr>
      </w:pPr>
      <w:bookmarkStart w:id="30" w:name="_Toc46139732"/>
      <w:bookmarkStart w:id="31" w:name="_Toc261360521"/>
      <w:bookmarkStart w:id="32" w:name="_Toc46140689"/>
      <w:bookmarkStart w:id="33" w:name="_Toc46139772"/>
      <w:r>
        <w:rPr>
          <w:rFonts w:hint="eastAsia" w:ascii="宋体" w:hAnsi="宋体" w:cs="宋体"/>
          <w:b/>
          <w:color w:val="000000"/>
          <w:sz w:val="24"/>
          <w:szCs w:val="24"/>
          <w:highlight w:val="none"/>
        </w:rPr>
        <w:t>8.1移交的组织形式</w:t>
      </w:r>
      <w:bookmarkEnd w:id="30"/>
      <w:bookmarkEnd w:id="31"/>
      <w:bookmarkEnd w:id="32"/>
      <w:bookmarkEnd w:id="33"/>
    </w:p>
    <w:p>
      <w:pPr>
        <w:pStyle w:val="506"/>
        <w:spacing w:before="120"/>
        <w:ind w:firstLine="48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8.1.1为规范移交程序，保证移交工作的顺利进行，本协议签订生效后十（10）日内，双方共同成立移交小组，移交小组成员由双方各自委派，组长由甲方成员担任，副组长由乙方成员担任。双方的资产移交工作应在移交小组的领导下进行，移交小组或其委托的专门机构有权对与移交有关的或可能影响移交的事项进行监督，乙方有义务为其提供方便。</w:t>
      </w:r>
    </w:p>
    <w:p>
      <w:pPr>
        <w:spacing w:before="80" w:after="80" w:line="360" w:lineRule="auto"/>
        <w:ind w:firstLine="422" w:firstLineChars="176"/>
        <w:rPr>
          <w:rFonts w:ascii="宋体" w:hAnsi="宋体" w:cs="宋体"/>
          <w:b/>
          <w:color w:val="000000"/>
          <w:sz w:val="24"/>
          <w:szCs w:val="24"/>
          <w:highlight w:val="none"/>
        </w:rPr>
      </w:pPr>
      <w:bookmarkStart w:id="34" w:name="_Toc46140690"/>
      <w:bookmarkStart w:id="35" w:name="_Toc46139733"/>
      <w:bookmarkStart w:id="36" w:name="_Toc46139773"/>
      <w:bookmarkStart w:id="37" w:name="_Toc261360522"/>
      <w:r>
        <w:rPr>
          <w:rFonts w:hint="eastAsia"/>
          <w:sz w:val="24"/>
          <w:szCs w:val="24"/>
          <w:highlight w:val="none"/>
        </w:rPr>
        <w:t>8.1.2移交小组的工作内容</w:t>
      </w:r>
      <w:bookmarkEnd w:id="34"/>
      <w:bookmarkEnd w:id="35"/>
      <w:bookmarkEnd w:id="36"/>
      <w:bookmarkEnd w:id="37"/>
      <w:r>
        <w:rPr>
          <w:rFonts w:hint="eastAsia"/>
          <w:sz w:val="24"/>
          <w:szCs w:val="24"/>
          <w:highlight w:val="none"/>
        </w:rPr>
        <w:t>：</w:t>
      </w:r>
      <w:r>
        <w:rPr>
          <w:sz w:val="24"/>
          <w:szCs w:val="24"/>
          <w:highlight w:val="none"/>
        </w:rPr>
        <w:t>（1）</w:t>
      </w:r>
      <w:r>
        <w:rPr>
          <w:rFonts w:hint="eastAsia" w:asciiTheme="minorEastAsia" w:hAnsiTheme="minorEastAsia" w:eastAsiaTheme="minorEastAsia"/>
          <w:color w:val="000000"/>
          <w:sz w:val="24"/>
          <w:szCs w:val="24"/>
          <w:highlight w:val="none"/>
        </w:rPr>
        <w:t>以按照存量资产清单（详见附件）载明的资产为限，对移交的资产进行清点、查核；确保资产移交的顺利进行；</w:t>
      </w:r>
      <w:r>
        <w:rPr>
          <w:rFonts w:asciiTheme="minorEastAsia" w:hAnsiTheme="minorEastAsia" w:eastAsiaTheme="minorEastAsia"/>
          <w:color w:val="000000"/>
          <w:sz w:val="24"/>
          <w:szCs w:val="24"/>
          <w:highlight w:val="none"/>
        </w:rPr>
        <w:t>（2）</w:t>
      </w:r>
      <w:r>
        <w:rPr>
          <w:rFonts w:hint="eastAsia" w:asciiTheme="minorEastAsia" w:hAnsiTheme="minorEastAsia" w:eastAsiaTheme="minorEastAsia"/>
          <w:color w:val="000000"/>
          <w:sz w:val="24"/>
          <w:szCs w:val="24"/>
          <w:highlight w:val="none"/>
        </w:rPr>
        <w:t>协助甲、乙双方进行具体的资产移交事宜。</w:t>
      </w:r>
    </w:p>
    <w:p>
      <w:pPr>
        <w:spacing w:before="80" w:after="80" w:line="360" w:lineRule="auto"/>
        <w:ind w:firstLine="422" w:firstLineChars="176"/>
        <w:rPr>
          <w:sz w:val="24"/>
          <w:szCs w:val="24"/>
          <w:highlight w:val="none"/>
        </w:rPr>
      </w:pPr>
      <w:bookmarkStart w:id="38" w:name="_Toc46139734"/>
      <w:bookmarkStart w:id="39" w:name="_Toc46139774"/>
      <w:bookmarkStart w:id="40" w:name="_Toc46140691"/>
      <w:bookmarkStart w:id="41" w:name="_Toc261360523"/>
      <w:r>
        <w:rPr>
          <w:rFonts w:hint="eastAsia"/>
          <w:sz w:val="24"/>
          <w:szCs w:val="24"/>
          <w:highlight w:val="none"/>
        </w:rPr>
        <w:t>8.1.3移交的范围</w:t>
      </w:r>
      <w:bookmarkEnd w:id="38"/>
      <w:bookmarkEnd w:id="39"/>
      <w:bookmarkEnd w:id="40"/>
      <w:bookmarkEnd w:id="41"/>
    </w:p>
    <w:p>
      <w:pPr>
        <w:pStyle w:val="506"/>
        <w:spacing w:before="120"/>
        <w:ind w:firstLine="48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按照存量资产清单（详见附件）所载明的资产范围为限。</w:t>
      </w:r>
    </w:p>
    <w:p>
      <w:pPr>
        <w:spacing w:before="80" w:after="80" w:line="360" w:lineRule="auto"/>
        <w:ind w:firstLine="424" w:firstLineChars="176"/>
        <w:rPr>
          <w:rFonts w:ascii="宋体" w:hAnsi="宋体" w:cs="宋体"/>
          <w:b/>
          <w:color w:val="000000"/>
          <w:sz w:val="24"/>
          <w:szCs w:val="24"/>
          <w:highlight w:val="none"/>
        </w:rPr>
      </w:pPr>
      <w:bookmarkStart w:id="42" w:name="_Toc46140692"/>
      <w:bookmarkStart w:id="43" w:name="_Toc46139775"/>
      <w:bookmarkStart w:id="44" w:name="_Toc261360524"/>
      <w:bookmarkStart w:id="45" w:name="_Toc46139735"/>
      <w:r>
        <w:rPr>
          <w:rFonts w:hint="eastAsia" w:ascii="宋体" w:hAnsi="宋体" w:cs="宋体"/>
          <w:b/>
          <w:color w:val="000000"/>
          <w:sz w:val="24"/>
          <w:szCs w:val="24"/>
          <w:highlight w:val="none"/>
        </w:rPr>
        <w:t>8.2资产移交标准</w:t>
      </w:r>
      <w:bookmarkEnd w:id="42"/>
      <w:bookmarkEnd w:id="43"/>
      <w:bookmarkEnd w:id="44"/>
      <w:bookmarkEnd w:id="45"/>
    </w:p>
    <w:p>
      <w:pPr>
        <w:pStyle w:val="506"/>
        <w:spacing w:before="120"/>
        <w:ind w:firstLine="48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甲方按现状向乙方移交项目资产，不提供任何保修责任，不接受乙方以任何形式和理由对资产现状的索赔。但甲方应保证项目设施已通过有关部门的验收，其性能满足设计要求。</w:t>
      </w:r>
    </w:p>
    <w:p>
      <w:pPr>
        <w:spacing w:before="80" w:after="80" w:line="360" w:lineRule="auto"/>
        <w:ind w:firstLine="424" w:firstLineChars="176"/>
        <w:rPr>
          <w:rFonts w:asciiTheme="minorEastAsia" w:hAnsiTheme="minorEastAsia" w:eastAsiaTheme="minorEastAsia"/>
          <w:color w:val="000000"/>
          <w:sz w:val="24"/>
          <w:szCs w:val="24"/>
          <w:highlight w:val="none"/>
        </w:rPr>
      </w:pPr>
      <w:bookmarkStart w:id="46" w:name="_Toc46139736"/>
      <w:bookmarkStart w:id="47" w:name="_Toc46140693"/>
      <w:bookmarkStart w:id="48" w:name="_Toc46139776"/>
      <w:bookmarkStart w:id="49" w:name="_Toc261360525"/>
      <w:r>
        <w:rPr>
          <w:rFonts w:hint="eastAsia" w:ascii="宋体" w:hAnsi="宋体" w:cs="宋体"/>
          <w:b/>
          <w:color w:val="000000"/>
          <w:sz w:val="24"/>
          <w:szCs w:val="24"/>
          <w:highlight w:val="none"/>
        </w:rPr>
        <w:t>8.3移交的时间和地点</w:t>
      </w:r>
      <w:bookmarkEnd w:id="46"/>
      <w:bookmarkEnd w:id="47"/>
      <w:bookmarkEnd w:id="48"/>
      <w:bookmarkEnd w:id="49"/>
    </w:p>
    <w:p>
      <w:pPr>
        <w:pStyle w:val="506"/>
        <w:spacing w:before="120"/>
        <w:ind w:firstLine="480"/>
        <w:rPr>
          <w:rFonts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lang w:eastAsia="zh-CN"/>
        </w:rPr>
        <w:t>本协议正式协议签订生效后，于20【】年【】月【】日前双方进行移交。移交地点为本项目的项目地点。</w:t>
      </w:r>
    </w:p>
    <w:p>
      <w:pPr>
        <w:spacing w:before="80" w:after="80" w:line="360" w:lineRule="auto"/>
        <w:ind w:firstLine="424" w:firstLineChars="176"/>
        <w:rPr>
          <w:rFonts w:ascii="宋体" w:hAnsi="宋体" w:cs="宋体"/>
          <w:b/>
          <w:color w:val="000000"/>
          <w:sz w:val="24"/>
          <w:szCs w:val="24"/>
          <w:highlight w:val="none"/>
        </w:rPr>
      </w:pPr>
      <w:bookmarkStart w:id="50" w:name="_Toc46139777"/>
      <w:bookmarkStart w:id="51" w:name="_Toc46139737"/>
      <w:bookmarkStart w:id="52" w:name="_Toc261360526"/>
      <w:bookmarkStart w:id="53" w:name="_Toc46140694"/>
      <w:r>
        <w:rPr>
          <w:rFonts w:hint="eastAsia" w:ascii="宋体" w:hAnsi="宋体" w:cs="宋体"/>
          <w:b/>
          <w:color w:val="000000"/>
          <w:sz w:val="24"/>
          <w:szCs w:val="24"/>
          <w:highlight w:val="none"/>
        </w:rPr>
        <w:t>8.4移交完成日</w:t>
      </w:r>
      <w:bookmarkEnd w:id="50"/>
      <w:bookmarkEnd w:id="51"/>
      <w:bookmarkEnd w:id="52"/>
      <w:bookmarkEnd w:id="53"/>
    </w:p>
    <w:p>
      <w:pPr>
        <w:spacing w:before="80" w:after="80" w:line="360" w:lineRule="auto"/>
        <w:ind w:firstLine="422" w:firstLineChars="176"/>
        <w:rPr>
          <w:rFonts w:ascii="宋体" w:hAnsi="宋体" w:cs="宋体"/>
          <w:kern w:val="0"/>
          <w:sz w:val="24"/>
          <w:szCs w:val="24"/>
          <w:highlight w:val="none"/>
        </w:rPr>
      </w:pPr>
      <w:r>
        <w:rPr>
          <w:rFonts w:hint="eastAsia" w:ascii="宋体" w:hAnsi="宋体" w:cs="宋体"/>
          <w:kern w:val="0"/>
          <w:sz w:val="24"/>
          <w:szCs w:val="24"/>
          <w:highlight w:val="none"/>
        </w:rPr>
        <w:t xml:space="preserve">甲乙双方约定移交工作小组的工作全部完成之日为移交完成日，移交工作小组的工作包括： </w:t>
      </w:r>
      <w:r>
        <w:rPr>
          <w:rFonts w:ascii="宋体" w:hAnsi="宋体" w:cs="宋体"/>
          <w:kern w:val="0"/>
          <w:sz w:val="24"/>
          <w:szCs w:val="24"/>
          <w:highlight w:val="none"/>
        </w:rPr>
        <w:t>（1）</w:t>
      </w:r>
      <w:r>
        <w:rPr>
          <w:rFonts w:hint="eastAsia" w:ascii="宋体" w:hAnsi="宋体" w:cs="宋体"/>
          <w:kern w:val="0"/>
          <w:sz w:val="24"/>
          <w:szCs w:val="24"/>
          <w:highlight w:val="none"/>
        </w:rPr>
        <w:t>乙方收到了甲方提供的有关项目设施的全部必要资料和文件；</w:t>
      </w:r>
      <w:r>
        <w:rPr>
          <w:rFonts w:ascii="宋体" w:hAnsi="宋体" w:cs="宋体"/>
          <w:kern w:val="0"/>
          <w:sz w:val="24"/>
          <w:szCs w:val="24"/>
          <w:highlight w:val="none"/>
        </w:rPr>
        <w:t>（2）</w:t>
      </w:r>
      <w:r>
        <w:rPr>
          <w:rFonts w:hint="eastAsia" w:ascii="宋体" w:hAnsi="宋体" w:cs="宋体"/>
          <w:kern w:val="0"/>
          <w:sz w:val="24"/>
          <w:szCs w:val="24"/>
          <w:highlight w:val="none"/>
        </w:rPr>
        <w:t>对项目设施的清点工作已经完成；</w:t>
      </w:r>
      <w:r>
        <w:rPr>
          <w:rFonts w:ascii="宋体" w:hAnsi="宋体" w:cs="宋体"/>
          <w:kern w:val="0"/>
          <w:sz w:val="24"/>
          <w:szCs w:val="24"/>
          <w:highlight w:val="none"/>
        </w:rPr>
        <w:t>（3）</w:t>
      </w:r>
      <w:r>
        <w:rPr>
          <w:rFonts w:hint="eastAsia" w:ascii="宋体" w:hAnsi="宋体" w:cs="宋体"/>
          <w:kern w:val="0"/>
          <w:sz w:val="24"/>
          <w:szCs w:val="24"/>
          <w:highlight w:val="none"/>
        </w:rPr>
        <w:t>乙方已收到与本项目有关的专有技术、专利及其他知识产权的相关权利证书；</w:t>
      </w:r>
    </w:p>
    <w:p>
      <w:pPr>
        <w:spacing w:before="80" w:after="80" w:line="360" w:lineRule="auto"/>
        <w:ind w:firstLine="424" w:firstLineChars="176"/>
        <w:rPr>
          <w:rFonts w:ascii="宋体" w:hAnsi="宋体" w:cs="宋体"/>
          <w:b/>
          <w:color w:val="000000"/>
          <w:sz w:val="24"/>
          <w:szCs w:val="24"/>
          <w:highlight w:val="none"/>
        </w:rPr>
      </w:pPr>
      <w:bookmarkStart w:id="54" w:name="_Toc46139738"/>
      <w:bookmarkStart w:id="55" w:name="_Toc46139778"/>
      <w:bookmarkStart w:id="56" w:name="_Toc261360527"/>
      <w:bookmarkStart w:id="57" w:name="_Toc46140695"/>
      <w:r>
        <w:rPr>
          <w:rFonts w:hint="eastAsia" w:ascii="宋体" w:hAnsi="宋体" w:cs="宋体"/>
          <w:b/>
          <w:color w:val="000000"/>
          <w:sz w:val="24"/>
          <w:szCs w:val="24"/>
          <w:highlight w:val="none"/>
        </w:rPr>
        <w:t>8.5移交备忘录的签署及其效力</w:t>
      </w:r>
      <w:bookmarkEnd w:id="54"/>
      <w:bookmarkEnd w:id="55"/>
      <w:bookmarkEnd w:id="56"/>
      <w:bookmarkEnd w:id="57"/>
    </w:p>
    <w:p>
      <w:pPr>
        <w:spacing w:before="80" w:after="80" w:line="360" w:lineRule="auto"/>
        <w:ind w:firstLine="422" w:firstLineChars="176"/>
        <w:rPr>
          <w:rFonts w:ascii="宋体" w:hAnsi="宋体" w:cs="宋体"/>
          <w:kern w:val="0"/>
          <w:sz w:val="24"/>
          <w:szCs w:val="24"/>
          <w:highlight w:val="none"/>
        </w:rPr>
      </w:pPr>
      <w:r>
        <w:rPr>
          <w:rFonts w:hint="eastAsia" w:ascii="宋体" w:hAnsi="宋体" w:cs="宋体"/>
          <w:kern w:val="0"/>
          <w:sz w:val="24"/>
          <w:szCs w:val="24"/>
          <w:highlight w:val="none"/>
        </w:rPr>
        <w:t>双方在办理完成移交后，由双方委派人员共同签署移交备忘录，该备忘录在特许经营期限内具有法律效力。移交备忘录经甲乙双方签字或盖章，即视为甲方履行了全部移交本项目的义务。</w:t>
      </w:r>
    </w:p>
    <w:p>
      <w:pPr>
        <w:spacing w:before="80" w:after="80" w:line="360" w:lineRule="auto"/>
        <w:ind w:firstLine="424" w:firstLineChars="176"/>
        <w:rPr>
          <w:rFonts w:ascii="宋体" w:hAnsi="宋体" w:cs="宋体"/>
          <w:b/>
          <w:color w:val="000000"/>
          <w:sz w:val="24"/>
          <w:szCs w:val="24"/>
          <w:highlight w:val="none"/>
        </w:rPr>
      </w:pPr>
      <w:bookmarkStart w:id="58" w:name="_Toc46139739"/>
      <w:bookmarkStart w:id="59" w:name="_Toc46140696"/>
      <w:bookmarkStart w:id="60" w:name="_Toc46139779"/>
      <w:bookmarkStart w:id="61" w:name="_Toc261360528"/>
      <w:r>
        <w:rPr>
          <w:rFonts w:hint="eastAsia" w:ascii="宋体" w:hAnsi="宋体" w:cs="宋体"/>
          <w:b/>
          <w:color w:val="000000"/>
          <w:sz w:val="24"/>
          <w:szCs w:val="24"/>
          <w:highlight w:val="none"/>
        </w:rPr>
        <w:t>8.6风险转移</w:t>
      </w:r>
      <w:bookmarkEnd w:id="58"/>
      <w:bookmarkEnd w:id="59"/>
      <w:bookmarkEnd w:id="60"/>
      <w:bookmarkEnd w:id="61"/>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highlight w:val="none"/>
        </w:rPr>
        <w:t>本项目资产及设施移交给乙方后，本项目资产及设施的全部损失或损坏的风险由乙方承担，除非该损失或损坏是由甲方的过错或违约所致。</w:t>
      </w:r>
    </w:p>
    <w:p>
      <w:pPr>
        <w:keepNext w:val="0"/>
        <w:spacing w:before="80" w:after="80" w:line="360" w:lineRule="auto"/>
        <w:jc w:val="both"/>
        <w:outlineLvl w:val="0"/>
        <w:rPr>
          <w:rFonts w:ascii="宋体" w:hAnsi="宋体" w:cs="宋体"/>
          <w:sz w:val="28"/>
          <w:szCs w:val="28"/>
        </w:rPr>
      </w:pPr>
      <w:bookmarkStart w:id="62" w:name="_Toc46140697"/>
      <w:r>
        <w:rPr>
          <w:rFonts w:hint="eastAsia" w:ascii="宋体" w:hAnsi="宋体" w:cs="宋体"/>
          <w:b/>
          <w:sz w:val="28"/>
          <w:szCs w:val="28"/>
        </w:rPr>
        <w:t>第</w:t>
      </w:r>
      <w:r>
        <w:rPr>
          <w:rFonts w:ascii="宋体" w:hAnsi="宋体" w:cs="宋体"/>
          <w:b/>
          <w:sz w:val="28"/>
          <w:szCs w:val="28"/>
        </w:rPr>
        <w:t xml:space="preserve">9条  </w:t>
      </w:r>
      <w:r>
        <w:rPr>
          <w:rFonts w:hint="eastAsia" w:ascii="宋体" w:hAnsi="宋体" w:cs="宋体"/>
          <w:b/>
          <w:sz w:val="28"/>
          <w:szCs w:val="28"/>
        </w:rPr>
        <w:t>项目的运营维护</w:t>
      </w:r>
      <w:bookmarkEnd w:id="62"/>
    </w:p>
    <w:p>
      <w:pPr>
        <w:spacing w:before="80" w:after="80" w:line="360" w:lineRule="auto"/>
        <w:ind w:firstLine="424" w:firstLineChars="176"/>
        <w:rPr>
          <w:rFonts w:ascii="宋体" w:hAnsi="宋体" w:cs="宋体"/>
          <w:b/>
          <w:kern w:val="0"/>
          <w:sz w:val="24"/>
          <w:szCs w:val="24"/>
        </w:rPr>
      </w:pPr>
      <w:r>
        <w:rPr>
          <w:rFonts w:hint="eastAsia" w:ascii="宋体" w:hAnsi="宋体" w:cs="宋体"/>
          <w:b/>
          <w:kern w:val="0"/>
          <w:sz w:val="24"/>
          <w:szCs w:val="24"/>
        </w:rPr>
        <w:t xml:space="preserve">9.1开始运营的条件、程序和内容 </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9.1.1开始运营的前提条件</w:t>
      </w:r>
    </w:p>
    <w:p>
      <w:pPr>
        <w:widowControl/>
        <w:spacing w:before="80" w:after="80" w:line="360" w:lineRule="auto"/>
        <w:ind w:firstLine="424" w:firstLineChars="177"/>
        <w:jc w:val="left"/>
        <w:rPr>
          <w:rFonts w:ascii="宋体" w:hAnsi="宋体" w:cs="宋体"/>
          <w:color w:val="000000"/>
          <w:sz w:val="24"/>
          <w:szCs w:val="24"/>
        </w:rPr>
      </w:pPr>
      <w:r>
        <w:rPr>
          <w:rFonts w:hint="eastAsia" w:ascii="宋体" w:hAnsi="宋体" w:cs="宋体"/>
          <w:color w:val="000000"/>
          <w:sz w:val="24"/>
          <w:szCs w:val="24"/>
        </w:rPr>
        <w:t>（1）项目交接完毕后，垃圾处理厂处于连续稳定运行状态，且连续10日垃圾处理产出及污染物排放达到本合同约定的标准和要求；</w:t>
      </w:r>
    </w:p>
    <w:p>
      <w:pPr>
        <w:widowControl/>
        <w:spacing w:before="80" w:after="80" w:line="360" w:lineRule="auto"/>
        <w:ind w:firstLine="424" w:firstLineChars="177"/>
        <w:jc w:val="left"/>
        <w:rPr>
          <w:rFonts w:ascii="宋体" w:hAnsi="宋体" w:cs="宋体"/>
          <w:color w:val="000000"/>
          <w:sz w:val="24"/>
          <w:szCs w:val="24"/>
        </w:rPr>
      </w:pPr>
      <w:r>
        <w:rPr>
          <w:rFonts w:hint="eastAsia" w:ascii="宋体" w:hAnsi="宋体" w:cs="宋体"/>
          <w:color w:val="000000"/>
          <w:sz w:val="24"/>
          <w:szCs w:val="24"/>
        </w:rPr>
        <w:t>（2）乙方已与■电力公司签订相关的供销协议。</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9.1.2开始运营程序</w:t>
      </w:r>
    </w:p>
    <w:p>
      <w:pPr>
        <w:spacing w:before="80" w:after="80" w:line="360" w:lineRule="auto"/>
        <w:ind w:firstLine="422" w:firstLineChars="176"/>
        <w:rPr>
          <w:rFonts w:ascii="宋体" w:hAnsi="宋体" w:cs="宋体"/>
          <w:sz w:val="24"/>
          <w:szCs w:val="24"/>
        </w:rPr>
      </w:pPr>
      <w:bookmarkStart w:id="63" w:name="_Toc24885589"/>
      <w:bookmarkStart w:id="64" w:name="_Ref24884865"/>
      <w:r>
        <w:rPr>
          <w:rFonts w:hint="eastAsia" w:ascii="宋体" w:hAnsi="宋体" w:cs="宋体"/>
          <w:sz w:val="24"/>
          <w:szCs w:val="24"/>
        </w:rPr>
        <w:t>（1）在满足第9.1.1款约定的前提条件下，乙方应在计划开始运营日前向甲方提出开始运营的书面申请并提交证明其满足第9.1.1款约定条件的证明文件。甲方自收到前款所述书面申请之日起5日内书面通知乙方是否同意其开始运营以及开始运营的确定日期，如果不同意须同时书面陈述理由。如果甲方不同意乙方开始运营的申请，乙方在收到甲方不同意开始运营的书面通知后，应按照甲方的意见，尽快纠正其存在的问题，并按照前述约定重新申请开始运营。如甲方未于前述_5__日内发出同意或不同意的书面通知，视为同意乙方开始运营，开始运营日为乙方申请文件提交给甲方后的次日。</w:t>
      </w:r>
    </w:p>
    <w:p>
      <w:pPr>
        <w:pStyle w:val="253"/>
        <w:keepNext w:val="0"/>
        <w:spacing w:before="80" w:after="80" w:line="360" w:lineRule="auto"/>
        <w:ind w:firstLine="480" w:firstLineChars="200"/>
        <w:jc w:val="both"/>
        <w:outlineLvl w:val="9"/>
        <w:rPr>
          <w:rFonts w:ascii="宋体" w:hAnsi="宋体" w:eastAsia="宋体" w:cs="宋体"/>
          <w:color w:val="auto"/>
        </w:rPr>
      </w:pPr>
      <w:r>
        <w:rPr>
          <w:rFonts w:hint="eastAsia" w:ascii="宋体" w:hAnsi="宋体" w:eastAsia="宋体" w:cs="宋体"/>
          <w:color w:val="auto"/>
        </w:rPr>
        <w:t>（2）运营与维护期</w:t>
      </w:r>
      <w:bookmarkEnd w:id="63"/>
      <w:bookmarkEnd w:id="64"/>
    </w:p>
    <w:p>
      <w:pPr>
        <w:spacing w:before="80" w:after="80" w:line="360" w:lineRule="auto"/>
        <w:ind w:firstLine="480" w:firstLineChars="200"/>
        <w:rPr>
          <w:rFonts w:ascii="宋体" w:hAnsi="宋体" w:cs="宋体"/>
          <w:kern w:val="0"/>
          <w:sz w:val="24"/>
          <w:szCs w:val="24"/>
        </w:rPr>
      </w:pPr>
      <w:r>
        <w:rPr>
          <w:rFonts w:hint="eastAsia" w:ascii="宋体" w:hAnsi="宋体" w:cs="宋体"/>
          <w:sz w:val="24"/>
          <w:szCs w:val="24"/>
        </w:rPr>
        <w:t>指乙方进行本项目运营的时间，</w:t>
      </w:r>
      <w:r>
        <w:rPr>
          <w:rFonts w:hint="eastAsia" w:ascii="宋体" w:hAnsi="宋体" w:cs="宋体"/>
          <w:sz w:val="24"/>
          <w:szCs w:val="24"/>
          <w:highlight w:val="yellow"/>
        </w:rPr>
        <w:t>具体为20【】年【】月【】日起至本项目的移交日20【】年【】月【】日止。</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9.1.3 项目运营内容</w:t>
      </w:r>
    </w:p>
    <w:p>
      <w:pPr>
        <w:spacing w:before="80" w:after="80" w:line="360" w:lineRule="auto"/>
        <w:ind w:firstLine="422" w:firstLineChars="176"/>
        <w:rPr>
          <w:rFonts w:ascii="宋体" w:hAnsi="宋体" w:cs="宋体"/>
          <w:kern w:val="0"/>
          <w:sz w:val="24"/>
          <w:szCs w:val="24"/>
        </w:rPr>
      </w:pPr>
      <w:r>
        <w:rPr>
          <w:rFonts w:hint="eastAsia" w:ascii="宋体" w:hAnsi="宋体" w:cs="宋体"/>
          <w:color w:val="000000"/>
          <w:kern w:val="0"/>
          <w:sz w:val="24"/>
          <w:szCs w:val="24"/>
        </w:rPr>
        <w:t>由乙方负责本项目合作范围内的项目设施的运营维护，具体运营内容包括：</w:t>
      </w:r>
      <w:r>
        <w:rPr>
          <w:rFonts w:hint="eastAsia" w:ascii="宋体" w:hAnsi="宋体" w:cs="宋体"/>
          <w:sz w:val="24"/>
          <w:szCs w:val="24"/>
        </w:rPr>
        <w:t>在运营与维护期内，乙方应负责本项目的运营与维护，并自行承担项目的所有费用和风险。乙方应保证在整个特许经营权经营期内始终按运营惯例运营本项目，使本项目处于良好的运营状态并能够安全稳定地按照运营参数处置垃圾。</w:t>
      </w:r>
    </w:p>
    <w:p>
      <w:pPr>
        <w:spacing w:before="80" w:after="80" w:line="360" w:lineRule="auto"/>
        <w:ind w:firstLine="482" w:firstLineChars="200"/>
        <w:rPr>
          <w:rFonts w:ascii="宋体" w:hAnsi="宋体" w:cs="宋体"/>
          <w:bCs/>
          <w:color w:val="000000"/>
          <w:sz w:val="24"/>
          <w:szCs w:val="24"/>
        </w:rPr>
      </w:pPr>
      <w:r>
        <w:rPr>
          <w:rFonts w:hint="eastAsia" w:ascii="宋体" w:hAnsi="宋体" w:cs="宋体"/>
          <w:b/>
          <w:color w:val="000000"/>
          <w:kern w:val="0"/>
          <w:sz w:val="24"/>
          <w:szCs w:val="24"/>
        </w:rPr>
        <w:t>9.2运营维护要求</w:t>
      </w:r>
    </w:p>
    <w:p>
      <w:pPr>
        <w:pStyle w:val="476"/>
        <w:adjustRightInd/>
        <w:spacing w:before="80" w:after="80" w:line="360" w:lineRule="auto"/>
        <w:ind w:firstLine="480" w:firstLineChars="200"/>
        <w:jc w:val="both"/>
        <w:rPr>
          <w:rFonts w:ascii="宋体" w:hAnsi="宋体" w:cs="宋体"/>
          <w:color w:val="000000"/>
        </w:rPr>
      </w:pPr>
      <w:r>
        <w:rPr>
          <w:rFonts w:hint="eastAsia" w:ascii="宋体" w:hAnsi="宋体" w:cs="宋体"/>
          <w:color w:val="000000"/>
        </w:rPr>
        <w:t>9.2.1运营维护具体要求</w:t>
      </w:r>
    </w:p>
    <w:p>
      <w:pPr>
        <w:pStyle w:val="476"/>
        <w:adjustRightInd/>
        <w:spacing w:before="80" w:after="80" w:line="360" w:lineRule="auto"/>
        <w:ind w:firstLine="480" w:firstLineChars="200"/>
        <w:jc w:val="both"/>
        <w:rPr>
          <w:rFonts w:ascii="宋体" w:hAnsi="宋体" w:cs="宋体"/>
          <w:color w:val="000000"/>
        </w:rPr>
      </w:pPr>
      <w:r>
        <w:rPr>
          <w:rFonts w:hint="eastAsia" w:ascii="宋体" w:hAnsi="宋体" w:cs="宋体"/>
          <w:color w:val="000000"/>
        </w:rPr>
        <w:t>（1）在整个运营期内，乙方应当承担运营费用和风险，负责管理、运营维护项目设施，除非取得甲方书面同意，乙方每条生产线每年的维护与维修计划时间不能超过三十（30）天，以确保每条线每年的运行时间不低于8000小时。</w:t>
      </w:r>
    </w:p>
    <w:p>
      <w:pPr>
        <w:pStyle w:val="476"/>
        <w:adjustRightInd/>
        <w:spacing w:before="80" w:after="80" w:line="360" w:lineRule="auto"/>
        <w:ind w:firstLine="480" w:firstLineChars="200"/>
        <w:jc w:val="both"/>
        <w:rPr>
          <w:rFonts w:ascii="宋体" w:hAnsi="宋体" w:cs="宋体"/>
          <w:color w:val="000000"/>
        </w:rPr>
      </w:pPr>
      <w:r>
        <w:rPr>
          <w:rFonts w:hint="eastAsia" w:ascii="宋体" w:hAnsi="宋体" w:cs="宋体"/>
          <w:color w:val="000000"/>
        </w:rPr>
        <w:t>（2）乙方应建立运营维护质量保证和质量控制的具体措施和制度交甲方确认后执行。在需要对本项目任何部分设施作计划外的维护或维修时，乙方应立即与甲方协商，并在甲方同意后开始执行该等计划外的维护或维修，以尽可能减少对甲方垃圾处理系统造成的干扰。在紧急情况下，乙方可先采取措施，并在48小时内向甲方提交书面报告。</w:t>
      </w:r>
    </w:p>
    <w:p>
      <w:pPr>
        <w:spacing w:before="80" w:after="80" w:line="360" w:lineRule="auto"/>
        <w:ind w:firstLine="422" w:firstLineChars="176"/>
        <w:rPr>
          <w:rFonts w:ascii="宋体" w:hAnsi="宋体" w:cs="宋体"/>
          <w:iCs/>
          <w:sz w:val="24"/>
          <w:szCs w:val="24"/>
        </w:rPr>
      </w:pPr>
      <w:r>
        <w:rPr>
          <w:rFonts w:hint="eastAsia" w:ascii="宋体" w:hAnsi="宋体" w:cs="宋体"/>
          <w:color w:val="000000"/>
          <w:sz w:val="24"/>
          <w:szCs w:val="24"/>
        </w:rPr>
        <w:t>（3）</w:t>
      </w:r>
      <w:r>
        <w:rPr>
          <w:rFonts w:hint="eastAsia" w:ascii="宋体" w:hAnsi="宋体" w:cs="宋体"/>
          <w:color w:val="000000"/>
          <w:kern w:val="0"/>
          <w:sz w:val="24"/>
          <w:szCs w:val="24"/>
        </w:rPr>
        <w:t>在每个运营年度结束日的六十（60）天前，乙方应向甲方提供一份下一个运营年度的维护与维修计划，并说明计划停运的开始日期、持续时间及其垃圾需求计划，以便甲方协调计划停运期间的垃圾运输和处理。乙方可对维护与维修计划进行修订，但必须在其实施开始日的六十（60）天前，以书面的形式通知甲方。</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sz w:val="24"/>
          <w:szCs w:val="24"/>
        </w:rPr>
        <w:t>（4）</w:t>
      </w:r>
      <w:r>
        <w:rPr>
          <w:rFonts w:hint="eastAsia" w:ascii="宋体" w:hAnsi="宋体" w:cs="宋体"/>
          <w:color w:val="000000"/>
          <w:kern w:val="0"/>
          <w:sz w:val="24"/>
          <w:szCs w:val="24"/>
        </w:rPr>
        <w:t>乙方应确保在整个合作期内，始终根据下列规定运营维护项目设施：</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a</w:t>
      </w:r>
      <w:r>
        <w:rPr>
          <w:rFonts w:hint="eastAsia" w:ascii="宋体" w:hAnsi="宋体" w:cs="宋体"/>
          <w:color w:val="000000"/>
          <w:sz w:val="24"/>
          <w:szCs w:val="24"/>
        </w:rPr>
        <w:t>．</w:t>
      </w:r>
      <w:r>
        <w:rPr>
          <w:rFonts w:hint="eastAsia" w:ascii="宋体" w:hAnsi="宋体" w:cs="宋体"/>
          <w:color w:val="000000"/>
          <w:kern w:val="0"/>
          <w:sz w:val="24"/>
          <w:szCs w:val="24"/>
        </w:rPr>
        <w:t>适用法律；</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b</w:t>
      </w:r>
      <w:r>
        <w:rPr>
          <w:rFonts w:hint="eastAsia" w:ascii="宋体" w:hAnsi="宋体" w:cs="宋体"/>
          <w:color w:val="000000"/>
          <w:sz w:val="24"/>
          <w:szCs w:val="24"/>
        </w:rPr>
        <w:t>．</w:t>
      </w:r>
      <w:r>
        <w:rPr>
          <w:rFonts w:hint="eastAsia" w:ascii="宋体" w:hAnsi="宋体" w:cs="宋体"/>
          <w:color w:val="000000"/>
          <w:kern w:val="0"/>
          <w:sz w:val="24"/>
          <w:szCs w:val="24"/>
        </w:rPr>
        <w:t>经甲方审核确定的运营维护方案；</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c</w:t>
      </w:r>
      <w:r>
        <w:rPr>
          <w:rFonts w:hint="eastAsia" w:ascii="宋体" w:hAnsi="宋体" w:cs="宋体"/>
          <w:color w:val="000000"/>
          <w:sz w:val="24"/>
          <w:szCs w:val="24"/>
        </w:rPr>
        <w:t>．</w:t>
      </w:r>
      <w:r>
        <w:rPr>
          <w:rFonts w:hint="eastAsia" w:ascii="宋体" w:hAnsi="宋体" w:cs="宋体"/>
          <w:color w:val="000000"/>
          <w:kern w:val="0"/>
          <w:sz w:val="24"/>
          <w:szCs w:val="24"/>
        </w:rPr>
        <w:t>运营维护手册以及与项目设施有关的设备制造商提供的一切有关手册、指导和建议；</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d</w:t>
      </w:r>
      <w:r>
        <w:rPr>
          <w:rFonts w:hint="eastAsia" w:ascii="宋体" w:hAnsi="宋体" w:cs="宋体"/>
          <w:color w:val="000000"/>
          <w:sz w:val="24"/>
          <w:szCs w:val="24"/>
        </w:rPr>
        <w:t>．</w:t>
      </w:r>
      <w:r>
        <w:rPr>
          <w:rFonts w:hint="eastAsia" w:ascii="宋体" w:hAnsi="宋体" w:cs="宋体"/>
          <w:color w:val="000000"/>
          <w:kern w:val="0"/>
          <w:sz w:val="24"/>
          <w:szCs w:val="24"/>
        </w:rPr>
        <w:t>谨慎工程和运营惯例;</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e</w:t>
      </w:r>
      <w:r>
        <w:rPr>
          <w:rFonts w:hint="eastAsia" w:ascii="宋体" w:hAnsi="宋体" w:cs="宋体"/>
          <w:color w:val="000000"/>
          <w:sz w:val="24"/>
          <w:szCs w:val="24"/>
        </w:rPr>
        <w:t>．</w:t>
      </w:r>
      <w:r>
        <w:rPr>
          <w:rFonts w:hint="eastAsia" w:ascii="宋体" w:hAnsi="宋体" w:cs="宋体"/>
          <w:color w:val="000000"/>
          <w:kern w:val="0"/>
          <w:sz w:val="24"/>
          <w:szCs w:val="24"/>
        </w:rPr>
        <w:t>本合同下对项目运营的其他所有要求。</w:t>
      </w:r>
    </w:p>
    <w:p>
      <w:pPr>
        <w:pStyle w:val="482"/>
        <w:adjustRightInd/>
        <w:spacing w:before="80" w:after="80" w:line="360" w:lineRule="auto"/>
        <w:ind w:firstLine="480" w:firstLineChars="200"/>
        <w:jc w:val="both"/>
        <w:rPr>
          <w:rFonts w:ascii="宋体" w:hAnsi="宋体" w:cs="宋体"/>
          <w:color w:val="000000"/>
        </w:rPr>
      </w:pPr>
      <w:r>
        <w:rPr>
          <w:rFonts w:hint="eastAsia" w:ascii="宋体" w:hAnsi="宋体" w:cs="宋体"/>
          <w:color w:val="000000"/>
        </w:rPr>
        <w:t>（5）乙方应确保项目设施始终处于良好营运状态并能够以安全、连续和稳定的方式提供符合适用法律和本合同要求的服务，乙方应在设备检修期间设置防止臭气外逸的装置，防止产生二次污染。</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sz w:val="24"/>
          <w:szCs w:val="24"/>
        </w:rPr>
        <w:t>（6）</w:t>
      </w:r>
      <w:r>
        <w:rPr>
          <w:rFonts w:hint="eastAsia" w:ascii="宋体" w:hAnsi="宋体" w:cs="宋体"/>
          <w:color w:val="000000"/>
          <w:kern w:val="0"/>
          <w:sz w:val="24"/>
          <w:szCs w:val="24"/>
        </w:rPr>
        <w:t>乙方应按照甲方要求提交运营成本资料以及甲方可合理要求提供的有关乙方财务状况的其他资料。</w:t>
      </w:r>
    </w:p>
    <w:p>
      <w:pPr>
        <w:spacing w:before="80" w:after="80" w:line="360" w:lineRule="auto"/>
        <w:ind w:firstLine="422" w:firstLineChars="176"/>
        <w:rPr>
          <w:rFonts w:ascii="宋体" w:hAnsi="宋体" w:cs="宋体"/>
          <w:kern w:val="0"/>
          <w:sz w:val="24"/>
          <w:szCs w:val="24"/>
        </w:rPr>
      </w:pPr>
      <w:r>
        <w:rPr>
          <w:rFonts w:hint="eastAsia" w:ascii="宋体" w:hAnsi="宋体" w:cs="宋体"/>
          <w:color w:val="000000"/>
          <w:sz w:val="24"/>
          <w:szCs w:val="24"/>
        </w:rPr>
        <w:t>（7）</w:t>
      </w:r>
      <w:r>
        <w:rPr>
          <w:rFonts w:hint="eastAsia" w:ascii="宋体" w:hAnsi="宋体" w:cs="宋体"/>
          <w:kern w:val="0"/>
          <w:sz w:val="24"/>
          <w:szCs w:val="24"/>
        </w:rPr>
        <w:t>本合同生效日后，项目开始运营前，乙方须向甲方提交运营维护方案，并经甲方审核同意后执行；乙方应当根据经审核确定的运营维护方案等要求编制运营维护手册（手册应包括进行定期和年度检查、日常运行维护、大修维护和年度维护的程序和计划，以及调整和改进检验及维护安排的程序和计划），并报甲方备案。</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9.2.2运营、维护和修理记录</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乙方应确保：</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对项目运营、维护和修理的情况进行详细记录；</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准许甲方在给予合理通知后在正常工作时间对其运营维护情况进行检查并查阅和复制上述记录。</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9.2.3监督与检查</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sz w:val="24"/>
          <w:szCs w:val="24"/>
        </w:rPr>
        <w:t>在运营与维护期，</w:t>
      </w:r>
      <w:r>
        <w:rPr>
          <w:rFonts w:hint="eastAsia" w:ascii="宋体" w:hAnsi="宋体" w:cs="宋体"/>
          <w:color w:val="000000"/>
          <w:kern w:val="0"/>
          <w:sz w:val="24"/>
          <w:szCs w:val="24"/>
        </w:rPr>
        <w:t>甲方有权派出监督员或者指定代表在任何时候进入项目场地，以监察项目设施的运营维护。但是，甲方监督员或其指定代表进入项目场地或乙方的办公场所应当遵守项目公司或乙方合理的安全保卫规定，不应不适当地干涉乙方对项目的正常运营维护工作。</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（2）应甲方的要求，乙方应提供下列文件：</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a．自开始运营日起，在每个季度结束后_30__日内向甲方提交当季项目运营维护报告；</w:t>
      </w:r>
    </w:p>
    <w:p>
      <w:pPr>
        <w:spacing w:before="80" w:after="80" w:line="360" w:lineRule="auto"/>
        <w:ind w:firstLine="480" w:firstLineChars="200"/>
        <w:rPr>
          <w:rFonts w:ascii="宋体" w:hAnsi="宋体" w:cs="宋体"/>
          <w:color w:val="0000FF"/>
          <w:sz w:val="24"/>
          <w:szCs w:val="24"/>
        </w:rPr>
      </w:pPr>
      <w:r>
        <w:rPr>
          <w:rFonts w:hint="eastAsia" w:ascii="宋体" w:hAnsi="宋体" w:cs="宋体"/>
          <w:color w:val="000000"/>
          <w:kern w:val="0"/>
          <w:sz w:val="24"/>
          <w:szCs w:val="24"/>
        </w:rPr>
        <w:t>b</w:t>
      </w:r>
      <w:r>
        <w:rPr>
          <w:rFonts w:hint="eastAsia" w:ascii="宋体" w:hAnsi="宋体" w:cs="宋体"/>
          <w:color w:val="000000"/>
          <w:sz w:val="24"/>
          <w:szCs w:val="24"/>
        </w:rPr>
        <w:t>．</w:t>
      </w:r>
      <w:r>
        <w:rPr>
          <w:rFonts w:hint="eastAsia" w:ascii="宋体" w:hAnsi="宋体" w:cs="宋体"/>
          <w:color w:val="000000"/>
          <w:kern w:val="0"/>
          <w:sz w:val="24"/>
          <w:szCs w:val="24"/>
        </w:rPr>
        <w:t>甲方认为必要的任何其他运营维护资料和信息。</w:t>
      </w:r>
    </w:p>
    <w:p>
      <w:pPr>
        <w:spacing w:before="80" w:after="80" w:line="360" w:lineRule="auto"/>
        <w:ind w:firstLine="482" w:firstLineChars="200"/>
        <w:rPr>
          <w:rFonts w:ascii="宋体" w:hAnsi="宋体" w:cs="宋体"/>
          <w:color w:val="000000"/>
          <w:kern w:val="0"/>
          <w:sz w:val="24"/>
          <w:szCs w:val="24"/>
        </w:rPr>
      </w:pPr>
      <w:bookmarkStart w:id="65" w:name="_Hlk518316438"/>
      <w:r>
        <w:rPr>
          <w:rFonts w:hint="eastAsia" w:ascii="宋体" w:hAnsi="宋体" w:cs="宋体"/>
          <w:b/>
          <w:color w:val="000000"/>
          <w:kern w:val="0"/>
          <w:sz w:val="24"/>
          <w:szCs w:val="24"/>
        </w:rPr>
        <w:t>9.3削减或暂停</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kern w:val="0"/>
          <w:sz w:val="24"/>
          <w:szCs w:val="24"/>
        </w:rPr>
        <w:t>9.3.1除依第9.3.2款或第9.3.3款约定的紧急情况外，乙方因年度维修计划外的设施、设备更新、维修，在未满足以下条件之前不得削减或暂停垃圾处理服务：</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（1）至少提前 24 小时向甲方发出有关任何此种削减或暂停的书面通知。此种通知应包括削减或暂停情况可能持续的时间、原因和针对此种情况的补救措施；</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（2）获得甲方对削减或暂停的事先批准。甲方应在收到上述通知后24小时内书面回复，否则视为同意。</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9.3.2紧急削减或暂停</w:t>
      </w:r>
    </w:p>
    <w:p>
      <w:pPr>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乙方如果在紧急情况下认为因项目设施原因或按照谨慎工程和运营惯例必须削减或暂停垃圾处理，应立即将此种削减或暂停书面通知甲方，通知应包括削减或暂停的原因、可能持续的时间及补救措施；</w:t>
      </w:r>
    </w:p>
    <w:p>
      <w:pPr>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乙方应采取一切必要措施使项目设施尽快恢复到紧急削减或暂停前的状态；</w:t>
      </w:r>
    </w:p>
    <w:p>
      <w:pPr>
        <w:spacing w:before="80" w:after="80" w:line="360" w:lineRule="auto"/>
        <w:ind w:firstLine="424" w:firstLineChars="177"/>
        <w:rPr>
          <w:rFonts w:ascii="宋体" w:hAnsi="宋体" w:cs="宋体"/>
          <w:color w:val="000000"/>
          <w:kern w:val="0"/>
          <w:sz w:val="24"/>
          <w:szCs w:val="24"/>
        </w:rPr>
      </w:pPr>
      <w:r>
        <w:rPr>
          <w:rFonts w:hint="eastAsia" w:ascii="宋体" w:hAnsi="宋体" w:cs="宋体"/>
          <w:color w:val="000000"/>
          <w:sz w:val="24"/>
          <w:szCs w:val="24"/>
        </w:rPr>
        <w:t>（3）</w:t>
      </w:r>
      <w:r>
        <w:rPr>
          <w:rFonts w:hint="eastAsia" w:ascii="宋体" w:hAnsi="宋体" w:cs="宋体"/>
          <w:color w:val="000000"/>
          <w:kern w:val="0"/>
          <w:sz w:val="24"/>
          <w:szCs w:val="24"/>
        </w:rPr>
        <w:t>除不可抗力或甲方责任外，乙方应对此向甲方承担违约或损害赔偿责任。</w:t>
      </w:r>
    </w:p>
    <w:p>
      <w:pPr>
        <w:spacing w:before="80" w:after="8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9.3.3甲方要求紧急削减或暂停</w:t>
      </w:r>
    </w:p>
    <w:p>
      <w:pPr>
        <w:spacing w:before="80" w:after="80" w:line="360" w:lineRule="auto"/>
        <w:ind w:firstLine="424" w:firstLineChars="177"/>
        <w:rPr>
          <w:rFonts w:ascii="宋体" w:hAnsi="宋体" w:cs="宋体"/>
          <w:b/>
          <w:color w:val="000000"/>
          <w:kern w:val="0"/>
          <w:sz w:val="24"/>
          <w:szCs w:val="24"/>
        </w:rPr>
      </w:pPr>
      <w:r>
        <w:rPr>
          <w:rFonts w:hint="eastAsia" w:ascii="宋体" w:hAnsi="宋体" w:cs="宋体"/>
          <w:color w:val="000000"/>
          <w:kern w:val="0"/>
          <w:sz w:val="24"/>
          <w:szCs w:val="24"/>
        </w:rPr>
        <w:t>无论本合同是否有任何其他规定，如果甲方认为需要紧急削减或暂停垃圾处理，则甲方可随时向乙方发出紧急削减或暂停的指令。乙方应执行甲方的上述指令。除不可抗力或乙方责任外，甲方应对由此给乙方造成的损失予以补偿。</w:t>
      </w:r>
    </w:p>
    <w:p>
      <w:pPr>
        <w:spacing w:before="80" w:after="80" w:line="360" w:lineRule="auto"/>
        <w:ind w:firstLine="482" w:firstLineChars="200"/>
        <w:rPr>
          <w:rFonts w:ascii="宋体" w:hAnsi="宋体" w:cs="宋体"/>
          <w:b/>
          <w:color w:val="000000"/>
          <w:kern w:val="0"/>
          <w:sz w:val="24"/>
          <w:szCs w:val="24"/>
        </w:rPr>
      </w:pPr>
      <w:r>
        <w:rPr>
          <w:rFonts w:hint="eastAsia" w:ascii="宋体" w:hAnsi="宋体" w:cs="宋体"/>
          <w:b/>
          <w:color w:val="000000"/>
          <w:kern w:val="0"/>
          <w:sz w:val="24"/>
          <w:szCs w:val="24"/>
        </w:rPr>
        <w:t>9.4运营期内的环境保护</w:t>
      </w:r>
    </w:p>
    <w:p>
      <w:pPr>
        <w:widowControl/>
        <w:spacing w:before="80" w:after="80"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9.4.1乙方不应在项目的运营维护过程中造成环境污染。</w:t>
      </w:r>
    </w:p>
    <w:p>
      <w:pPr>
        <w:widowControl/>
        <w:spacing w:before="80" w:after="80"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9.4.2乙方应当执行适用法律规定、政府及相关部门的规定或要求，公布相应的环保信息。</w:t>
      </w:r>
    </w:p>
    <w:p>
      <w:pPr>
        <w:widowControl/>
        <w:spacing w:before="80" w:after="80"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9.4.3乙方应当建立健全本单位环境信息公开制度，报经甲方同意后执行。</w:t>
      </w:r>
    </w:p>
    <w:p>
      <w:pPr>
        <w:widowControl/>
        <w:spacing w:before="80" w:after="80" w:line="360" w:lineRule="auto"/>
        <w:ind w:firstLine="480"/>
        <w:rPr>
          <w:rFonts w:ascii="宋体" w:hAnsi="宋体" w:cs="宋体"/>
          <w:sz w:val="24"/>
          <w:szCs w:val="24"/>
        </w:rPr>
      </w:pPr>
      <w:r>
        <w:rPr>
          <w:rFonts w:hint="eastAsia" w:ascii="宋体" w:hAnsi="宋体" w:cs="宋体"/>
          <w:color w:val="000000"/>
          <w:kern w:val="0"/>
          <w:sz w:val="24"/>
          <w:szCs w:val="24"/>
        </w:rPr>
        <w:t>9.4.4乙方在项目设施的运营维护期间应根据本合同技术要求及国家的有关规定，采取一切合理措施来避免或尽量减少对项目周围设施、建筑物和居民区的干扰。</w:t>
      </w:r>
      <w:bookmarkEnd w:id="65"/>
    </w:p>
    <w:p>
      <w:pPr>
        <w:keepNext w:val="0"/>
        <w:spacing w:before="80" w:after="80" w:line="360" w:lineRule="auto"/>
        <w:jc w:val="both"/>
        <w:outlineLvl w:val="0"/>
        <w:rPr>
          <w:rFonts w:ascii="宋体" w:hAnsi="宋体" w:eastAsia="宋体" w:cs="宋体"/>
          <w:color w:val="000000"/>
          <w:sz w:val="28"/>
          <w:szCs w:val="28"/>
        </w:rPr>
      </w:pPr>
      <w:bookmarkStart w:id="66" w:name="_Toc46140698"/>
      <w:bookmarkStart w:id="67" w:name="_Toc519103589"/>
      <w:r>
        <w:rPr>
          <w:rFonts w:hint="eastAsia" w:ascii="宋体" w:hAnsi="宋体" w:cs="宋体"/>
          <w:b/>
          <w:color w:val="000000"/>
          <w:sz w:val="28"/>
          <w:szCs w:val="28"/>
        </w:rPr>
        <w:t>第</w:t>
      </w:r>
      <w:r>
        <w:rPr>
          <w:rFonts w:ascii="宋体" w:hAnsi="宋体" w:cs="宋体"/>
          <w:b/>
          <w:color w:val="000000"/>
          <w:sz w:val="28"/>
          <w:szCs w:val="28"/>
        </w:rPr>
        <w:t xml:space="preserve">10条 </w:t>
      </w:r>
      <w:r>
        <w:rPr>
          <w:rFonts w:hint="eastAsia" w:ascii="宋体" w:hAnsi="宋体" w:cs="宋体"/>
          <w:b/>
          <w:color w:val="000000"/>
          <w:sz w:val="28"/>
          <w:szCs w:val="28"/>
        </w:rPr>
        <w:t>股权变更限制</w:t>
      </w:r>
      <w:bookmarkEnd w:id="66"/>
      <w:bookmarkEnd w:id="67"/>
    </w:p>
    <w:p>
      <w:pPr>
        <w:pStyle w:val="507"/>
        <w:spacing w:before="80" w:after="80" w:line="360" w:lineRule="auto"/>
        <w:ind w:firstLine="480"/>
        <w:rPr>
          <w:rFonts w:ascii="宋体" w:hAnsi="宋体" w:cs="宋体"/>
          <w:color w:val="000000"/>
          <w:sz w:val="24"/>
          <w:szCs w:val="24"/>
        </w:rPr>
      </w:pPr>
      <w:r>
        <w:rPr>
          <w:rFonts w:hint="eastAsia" w:ascii="宋体" w:hAnsi="宋体" w:cs="宋体"/>
          <w:color w:val="000000"/>
          <w:sz w:val="24"/>
          <w:szCs w:val="24"/>
        </w:rPr>
        <w:t>对于股权变更的限制事宜，按照以下约定执行。</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（1）非经甲方书面同意，乙方成立时的原始股东不得将其所持有的乙方股权转让或质押给任何非原始股东方；</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（2）非经甲方书面同意，乙方成立时的原始股东不得将其所持有的股权转让或质押给其他股东；</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（3）非经甲方书面同意，乙方不得以减少注册资本金或任何其他方式以使乙方原始股东减持股权。</w:t>
      </w:r>
    </w:p>
    <w:p>
      <w:pPr>
        <w:keepNext w:val="0"/>
        <w:spacing w:before="80" w:after="80" w:line="360" w:lineRule="auto"/>
        <w:jc w:val="both"/>
        <w:outlineLvl w:val="0"/>
        <w:rPr>
          <w:rFonts w:ascii="宋体" w:hAnsi="宋体" w:cs="宋体"/>
          <w:sz w:val="28"/>
          <w:szCs w:val="28"/>
        </w:rPr>
      </w:pPr>
      <w:bookmarkStart w:id="68" w:name="_Toc46140699"/>
      <w:bookmarkStart w:id="69" w:name="_Toc519103590"/>
      <w:r>
        <w:rPr>
          <w:rFonts w:hint="eastAsia" w:ascii="宋体" w:hAnsi="宋体" w:cs="宋体"/>
          <w:b/>
          <w:sz w:val="28"/>
          <w:szCs w:val="28"/>
        </w:rPr>
        <w:t>第</w:t>
      </w:r>
      <w:r>
        <w:rPr>
          <w:rFonts w:ascii="宋体" w:hAnsi="宋体" w:cs="宋体"/>
          <w:b/>
          <w:sz w:val="28"/>
          <w:szCs w:val="28"/>
        </w:rPr>
        <w:t xml:space="preserve">11条  </w:t>
      </w:r>
      <w:r>
        <w:rPr>
          <w:rFonts w:hint="eastAsia" w:ascii="宋体" w:hAnsi="宋体" w:cs="宋体"/>
          <w:b/>
          <w:sz w:val="28"/>
          <w:szCs w:val="28"/>
        </w:rPr>
        <w:t>项目绩效评价与中期评估</w:t>
      </w:r>
      <w:bookmarkEnd w:id="68"/>
      <w:bookmarkEnd w:id="69"/>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11.1绩效评价主体</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本项目由甲方或甲方委托的第三方监管机构对乙方进行绩效评价，乙方应予以协助配合。</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11.2绩效评价标准和方法</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11.2.1垃圾处理质量</w:t>
      </w:r>
    </w:p>
    <w:p>
      <w:pPr>
        <w:pStyle w:val="6"/>
        <w:numPr>
          <w:ilvl w:val="0"/>
          <w:numId w:val="23"/>
        </w:numPr>
        <w:spacing w:before="120" w:after="120" w:line="360" w:lineRule="auto"/>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乙方应按照国家有关法律法规以及</w:t>
      </w:r>
      <w:r>
        <w:rPr>
          <w:rFonts w:hint="eastAsia" w:ascii="宋体" w:hAnsi="宋体" w:eastAsia="宋体" w:cs="宋体"/>
          <w:b w:val="0"/>
          <w:bCs w:val="0"/>
          <w:sz w:val="24"/>
          <w:szCs w:val="24"/>
          <w:highlight w:val="none"/>
        </w:rPr>
        <w:t>本合同附件</w:t>
      </w:r>
      <w:r>
        <w:rPr>
          <w:rFonts w:hint="eastAsia" w:ascii="宋体" w:hAnsi="宋体" w:eastAsia="宋体" w:cs="宋体"/>
          <w:b w:val="0"/>
          <w:bCs w:val="0"/>
          <w:sz w:val="24"/>
          <w:szCs w:val="24"/>
          <w:highlight w:val="none"/>
          <w:lang w:eastAsia="zh-CN"/>
        </w:rPr>
        <w:t>一生活垃圾焚烧发电厂</w:t>
      </w:r>
      <w:r>
        <w:rPr>
          <w:rFonts w:hint="eastAsia" w:ascii="宋体" w:hAnsi="宋体" w:eastAsia="宋体" w:cs="宋体"/>
          <w:b w:val="0"/>
          <w:bCs w:val="0"/>
          <w:sz w:val="24"/>
          <w:szCs w:val="24"/>
          <w:highlight w:val="none"/>
        </w:rPr>
        <w:t>技术规范和技术要求的有关规定和要求，进行本项</w:t>
      </w:r>
      <w:r>
        <w:rPr>
          <w:rFonts w:hint="eastAsia" w:ascii="宋体" w:hAnsi="宋体" w:eastAsia="宋体" w:cs="宋体"/>
          <w:b w:val="0"/>
          <w:bCs w:val="0"/>
          <w:sz w:val="24"/>
          <w:szCs w:val="24"/>
        </w:rPr>
        <w:t>目的运行与维护，并对垃圾处理过程中可能产生的废气、废水、废渣、噪音、恶臭、渗滤液、飞灰等污染进行治理。</w:t>
      </w:r>
    </w:p>
    <w:p>
      <w:pPr>
        <w:pStyle w:val="6"/>
        <w:numPr>
          <w:ilvl w:val="0"/>
          <w:numId w:val="23"/>
        </w:numPr>
        <w:spacing w:before="120" w:after="120" w:line="360" w:lineRule="auto"/>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为确保本项目的运行质量，双方一致同意对乙方的运营质量按本合同附件技术规范和技术要求约定进行定期检测。烟气污染排放标准满足《生活垃圾焚烧污染控制标准》（GB 18485-2014）要求（最终以环评批复为准）。</w:t>
      </w:r>
    </w:p>
    <w:p>
      <w:pPr>
        <w:pStyle w:val="6"/>
        <w:spacing w:before="120" w:after="120" w:line="360" w:lineRule="auto"/>
        <w:ind w:firstLine="480" w:firstLineChars="200"/>
        <w:jc w:val="both"/>
        <w:rPr>
          <w:rFonts w:ascii="宋体" w:hAnsi="宋体" w:eastAsia="宋体" w:cs="宋体"/>
          <w:sz w:val="24"/>
          <w:szCs w:val="24"/>
        </w:rPr>
      </w:pPr>
      <w:r>
        <w:rPr>
          <w:rFonts w:hint="eastAsia" w:ascii="宋体" w:hAnsi="宋体" w:eastAsia="宋体" w:cs="宋体"/>
          <w:b w:val="0"/>
          <w:bCs w:val="0"/>
          <w:sz w:val="24"/>
          <w:szCs w:val="24"/>
        </w:rPr>
        <w:t>（3）在特许经营期内，炉渣经检测属于一般固废后，由乙方自行处理；渗滤液处理按环评标准验收，渗滤液经处理达标后通过污水管道排入污水管网，按国家规定缴纳污水处理费。</w:t>
      </w:r>
    </w:p>
    <w:p>
      <w:pPr>
        <w:pStyle w:val="6"/>
        <w:spacing w:before="120" w:after="120" w:line="360" w:lineRule="auto"/>
        <w:ind w:firstLine="480" w:firstLineChars="200"/>
        <w:jc w:val="both"/>
        <w:rPr>
          <w:rFonts w:ascii="宋体" w:hAnsi="宋体" w:eastAsia="宋体" w:cs="宋体"/>
          <w:sz w:val="24"/>
          <w:szCs w:val="24"/>
        </w:rPr>
      </w:pPr>
      <w:r>
        <w:rPr>
          <w:rFonts w:hint="eastAsia" w:ascii="宋体" w:hAnsi="宋体" w:eastAsia="宋体" w:cs="宋体"/>
          <w:b w:val="0"/>
          <w:bCs w:val="0"/>
          <w:sz w:val="24"/>
          <w:szCs w:val="24"/>
        </w:rPr>
        <w:t>（4）飞灰经乙方螯合稳定化处理后，满足要求后，由乙方负责运输至甲方指定地点，交由甲方填埋，乙方承担螯合稳定及运输费用，甲方承担填埋费用。</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11.2.2垃圾处理质量的检测</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 xml:space="preserve">（1）检测的内容 </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对垃圾处理的运营质量进行检测，内容包括：</w:t>
      </w:r>
    </w:p>
    <w:p>
      <w:pPr>
        <w:pStyle w:val="7"/>
        <w:numPr>
          <w:ilvl w:val="0"/>
          <w:numId w:val="24"/>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焚烧炉性能（包括烟气温度和烟气停留时间、炉渣热灼减率等）；</w:t>
      </w:r>
    </w:p>
    <w:p>
      <w:pPr>
        <w:pStyle w:val="7"/>
        <w:numPr>
          <w:ilvl w:val="0"/>
          <w:numId w:val="24"/>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大气污染物；</w:t>
      </w:r>
    </w:p>
    <w:p>
      <w:pPr>
        <w:pStyle w:val="7"/>
        <w:numPr>
          <w:ilvl w:val="0"/>
          <w:numId w:val="24"/>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渗滤液和其它废水；</w:t>
      </w:r>
    </w:p>
    <w:p>
      <w:pPr>
        <w:pStyle w:val="7"/>
        <w:spacing w:before="120" w:after="120" w:line="360" w:lineRule="auto"/>
        <w:ind w:firstLine="720" w:firstLineChars="300"/>
        <w:jc w:val="both"/>
        <w:rPr>
          <w:rFonts w:ascii="宋体" w:hAnsi="宋体" w:eastAsia="宋体" w:cs="宋体"/>
          <w:sz w:val="24"/>
          <w:szCs w:val="24"/>
          <w:u w:val="single"/>
        </w:rPr>
      </w:pPr>
      <w:r>
        <w:rPr>
          <w:rFonts w:hint="eastAsia" w:ascii="宋体" w:hAnsi="宋体" w:eastAsia="宋体" w:cs="宋体"/>
          <w:b w:val="0"/>
          <w:bCs w:val="0"/>
          <w:sz w:val="24"/>
          <w:szCs w:val="24"/>
        </w:rPr>
        <w:t>（d）质量检测的指标、标准和检测频率，其监测内容、频次、方法应满足相关环保要求。</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（2）检测方法</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a.所有采样与分析方法、以及检测因子均应依照适用法律的要求执行。</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b.在检测时，采样期间的工况应与正常运营工况相同，任何人不得随意改变运营工况。</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（3）乙方的自检及结果报送</w:t>
      </w:r>
    </w:p>
    <w:p>
      <w:pPr>
        <w:pStyle w:val="7"/>
        <w:numPr>
          <w:ilvl w:val="0"/>
          <w:numId w:val="25"/>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乙方应由具有检测资质的人员自检，或委托具有计量认证或国家实验室认可资格的检测机构，按照适用法律的要求，自费对本条约定的项目进行日常检测，同时应将检测结果在报告出具后贰（2）个工作日内报送甲方，如发现检测结果不符合本合同约定的情况必须随时立即报送，因乙方未及时报送，由此产生不利后果由乙方承担。</w:t>
      </w:r>
    </w:p>
    <w:p>
      <w:pPr>
        <w:pStyle w:val="7"/>
        <w:numPr>
          <w:ilvl w:val="0"/>
          <w:numId w:val="25"/>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检测报告应包括所有有关检测结果以及就检测结果不符合本合同约定的情况所作的其它有关调查结果的详情。通知还应包括乙方对超标情况可能持续的期限所作的预测，以及引起此等状况的原因分析，包括乙方声称的任何有关不可抗力事件或其它事件和所采取补救措施的详细描述。</w:t>
      </w:r>
    </w:p>
    <w:p>
      <w:pPr>
        <w:pStyle w:val="7"/>
        <w:numPr>
          <w:ilvl w:val="0"/>
          <w:numId w:val="25"/>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乙方自检的报送结果中如炉渣热灼减率、烟气温度和停留时间、大气污染物排放指标和处理后的渗滤液排放指标等没有达到本合同约定的标准，则应根据本合同的相关约定和国家相关约定处理。</w:t>
      </w:r>
    </w:p>
    <w:p>
      <w:pPr>
        <w:pStyle w:val="7"/>
        <w:numPr>
          <w:ilvl w:val="0"/>
          <w:numId w:val="25"/>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乙方就本条约定而进行的检测，作为甲方对乙方的考核计费依据，且乙方须将检测结果通过合理途径向公众公示。</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（4）甲方的抽检及结果通知</w:t>
      </w:r>
    </w:p>
    <w:p>
      <w:pPr>
        <w:pStyle w:val="7"/>
        <w:numPr>
          <w:ilvl w:val="0"/>
          <w:numId w:val="26"/>
        </w:numPr>
        <w:spacing w:before="120" w:after="120" w:line="360" w:lineRule="auto"/>
        <w:ind w:left="1271"/>
        <w:jc w:val="both"/>
        <w:rPr>
          <w:rFonts w:ascii="宋体" w:hAnsi="宋体" w:eastAsia="宋体" w:cs="宋体"/>
          <w:b w:val="0"/>
          <w:bCs w:val="0"/>
          <w:sz w:val="24"/>
          <w:szCs w:val="24"/>
        </w:rPr>
      </w:pPr>
      <w:r>
        <w:rPr>
          <w:rFonts w:hint="eastAsia" w:ascii="宋体" w:hAnsi="宋体" w:eastAsia="宋体" w:cs="宋体"/>
          <w:b w:val="0"/>
          <w:bCs w:val="0"/>
          <w:sz w:val="24"/>
          <w:szCs w:val="24"/>
        </w:rPr>
        <w:t>甲方或甲方指定机构可对炉渣热灼减率、烟气温度和停留时间、大气污染物排放指标和处理后的渗滤液排放指标等除按附件五的约定定期检测外还可自行或委托有资质的检测机构进行抽检，每运营年度内前贰（2）次非定期抽检的费用，由乙方承担。此后发生的此类非定期抽检费用由甲方</w:t>
      </w:r>
      <w:r>
        <w:rPr>
          <w:rFonts w:hint="eastAsia" w:ascii="宋体" w:hAnsi="宋体" w:eastAsia="宋体" w:cs="宋体"/>
          <w:b w:val="0"/>
          <w:bCs w:val="0"/>
          <w:sz w:val="24"/>
          <w:szCs w:val="24"/>
          <w:lang w:val="en-NZ"/>
        </w:rPr>
        <w:t>承担</w:t>
      </w:r>
      <w:r>
        <w:rPr>
          <w:rFonts w:hint="eastAsia" w:ascii="宋体" w:hAnsi="宋体" w:eastAsia="宋体" w:cs="宋体"/>
          <w:b w:val="0"/>
          <w:bCs w:val="0"/>
          <w:sz w:val="24"/>
          <w:szCs w:val="24"/>
        </w:rPr>
        <w:t>。但如果抽检结果不合格时，则上述抽检的费用由乙方承担，且检测结果将作为判断已处理垃圾是否计费的依据。</w:t>
      </w:r>
    </w:p>
    <w:p>
      <w:pPr>
        <w:pStyle w:val="7"/>
        <w:numPr>
          <w:ilvl w:val="0"/>
          <w:numId w:val="26"/>
        </w:numPr>
        <w:spacing w:before="120" w:after="120" w:line="360" w:lineRule="auto"/>
        <w:ind w:left="1271"/>
        <w:jc w:val="both"/>
        <w:rPr>
          <w:rFonts w:ascii="宋体" w:hAnsi="宋体" w:eastAsia="宋体" w:cs="宋体"/>
          <w:b w:val="0"/>
          <w:bCs w:val="0"/>
          <w:sz w:val="24"/>
          <w:szCs w:val="24"/>
        </w:rPr>
      </w:pPr>
      <w:r>
        <w:rPr>
          <w:rFonts w:hint="eastAsia" w:ascii="宋体" w:hAnsi="宋体" w:eastAsia="宋体" w:cs="宋体"/>
          <w:b w:val="0"/>
          <w:bCs w:val="0"/>
          <w:sz w:val="24"/>
          <w:szCs w:val="24"/>
        </w:rPr>
        <w:t>甲方可委托有资质的检测机构对噪声、废气、废水、恶臭污染物进行不定期抽检，若抽检认定本次噪声、废气、废水和/或恶臭污染物排放超标，则甲方可将本次抽检结果报送相关环保部门处理。</w:t>
      </w:r>
    </w:p>
    <w:p>
      <w:pPr>
        <w:pStyle w:val="7"/>
        <w:numPr>
          <w:ilvl w:val="0"/>
          <w:numId w:val="26"/>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lang w:val="en-NZ"/>
        </w:rPr>
        <w:t>甲方指派专门监督员随时监督项目设施运行和维护工作。</w:t>
      </w:r>
      <w:r>
        <w:rPr>
          <w:rFonts w:hint="eastAsia" w:ascii="宋体" w:hAnsi="宋体" w:eastAsia="宋体" w:cs="宋体"/>
          <w:b w:val="0"/>
          <w:bCs w:val="0"/>
          <w:sz w:val="24"/>
          <w:szCs w:val="24"/>
        </w:rPr>
        <w:t>在现场取样前，应通知乙方及监督员陪同取样，并在采样记录单上签字。乙方签字人员（可为数人）应有书面授权，乙方应保证能随时有授权人员签字。甲方委托的检测机构将在样品的所有应测指标测试完成后及时将检测结果书面通知乙方。</w:t>
      </w:r>
    </w:p>
    <w:p>
      <w:pPr>
        <w:pStyle w:val="7"/>
        <w:numPr>
          <w:ilvl w:val="0"/>
          <w:numId w:val="26"/>
        </w:numPr>
        <w:spacing w:before="120" w:after="120" w:line="360" w:lineRule="auto"/>
        <w:jc w:val="both"/>
        <w:rPr>
          <w:rFonts w:ascii="宋体" w:hAnsi="宋体" w:eastAsia="宋体" w:cs="宋体"/>
          <w:b w:val="0"/>
          <w:bCs w:val="0"/>
          <w:sz w:val="24"/>
          <w:szCs w:val="24"/>
        </w:rPr>
      </w:pPr>
      <w:r>
        <w:rPr>
          <w:rFonts w:hint="eastAsia" w:ascii="宋体" w:hAnsi="宋体" w:eastAsia="宋体" w:cs="宋体"/>
          <w:b w:val="0"/>
          <w:bCs w:val="0"/>
          <w:sz w:val="24"/>
          <w:szCs w:val="24"/>
        </w:rPr>
        <w:t>监督员可视工艺运行状况，随时通知甲方对本条约定的污染物进行检测，其结果作为当日计费依据。甲方应在样品的所有应测指标测试完成后及时将检测结果书面通知乙方。</w:t>
      </w:r>
    </w:p>
    <w:p>
      <w:pPr>
        <w:pStyle w:val="7"/>
        <w:spacing w:before="120" w:after="120" w:line="360" w:lineRule="auto"/>
        <w:ind w:left="850"/>
        <w:jc w:val="both"/>
        <w:rPr>
          <w:rFonts w:ascii="宋体" w:hAnsi="宋体" w:eastAsia="宋体" w:cs="宋体"/>
          <w:sz w:val="24"/>
          <w:szCs w:val="24"/>
        </w:rPr>
      </w:pPr>
      <w:r>
        <w:rPr>
          <w:rFonts w:hint="eastAsia" w:ascii="宋体" w:hAnsi="宋体" w:eastAsia="宋体" w:cs="宋体"/>
          <w:b w:val="0"/>
          <w:bCs w:val="0"/>
          <w:sz w:val="24"/>
          <w:szCs w:val="24"/>
        </w:rPr>
        <w:t>(e)以上检测结果如存在不合格指标，甲方应书面通知乙方。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（5）检测结果的异议处理</w:t>
      </w:r>
    </w:p>
    <w:p>
      <w:pPr>
        <w:pStyle w:val="7"/>
        <w:spacing w:before="120" w:after="120" w:line="360" w:lineRule="auto"/>
        <w:ind w:left="1246" w:leftChars="404" w:hanging="398" w:hangingChars="166"/>
        <w:jc w:val="both"/>
        <w:rPr>
          <w:rFonts w:ascii="宋体" w:hAnsi="宋体" w:eastAsia="宋体" w:cs="宋体"/>
          <w:b w:val="0"/>
          <w:bCs w:val="0"/>
          <w:sz w:val="24"/>
          <w:szCs w:val="24"/>
        </w:rPr>
      </w:pPr>
      <w:r>
        <w:rPr>
          <w:rFonts w:hint="eastAsia" w:ascii="宋体" w:hAnsi="宋体" w:eastAsia="宋体" w:cs="宋体"/>
          <w:b w:val="0"/>
          <w:bCs w:val="0"/>
          <w:sz w:val="24"/>
          <w:szCs w:val="24"/>
        </w:rPr>
        <w:t>(a)乙方若对甲方的检测结果有异议，应在甲方通知送达后叁（3）个工作日内提出书面申诉，否则视为同意该检测结果。</w:t>
      </w:r>
    </w:p>
    <w:p>
      <w:pPr>
        <w:pStyle w:val="7"/>
        <w:spacing w:before="120" w:after="120" w:line="360" w:lineRule="auto"/>
        <w:ind w:left="1246" w:leftChars="404" w:hanging="398" w:hangingChars="166"/>
        <w:jc w:val="both"/>
        <w:rPr>
          <w:rFonts w:ascii="宋体" w:hAnsi="宋体" w:eastAsia="宋体" w:cs="宋体"/>
          <w:b w:val="0"/>
          <w:bCs w:val="0"/>
          <w:sz w:val="24"/>
          <w:szCs w:val="24"/>
        </w:rPr>
      </w:pPr>
      <w:r>
        <w:rPr>
          <w:rFonts w:hint="eastAsia" w:ascii="宋体" w:hAnsi="宋体" w:eastAsia="宋体" w:cs="宋体"/>
          <w:b w:val="0"/>
          <w:bCs w:val="0"/>
          <w:sz w:val="24"/>
          <w:szCs w:val="24"/>
        </w:rPr>
        <w:t>(b)甲方在接到乙方书面申诉后应委托更高一级的权威检测部门对检测流程进行复核，并在复核后叁（3）个工作日内给出书面答复。该复核结果为最终的检测结果。上述复核产生的费用由乙方承担。</w:t>
      </w:r>
    </w:p>
    <w:p>
      <w:pPr>
        <w:spacing w:before="80" w:after="80" w:line="360" w:lineRule="auto"/>
        <w:ind w:left="1246" w:leftChars="404" w:hanging="398" w:hangingChars="166"/>
        <w:rPr>
          <w:rFonts w:ascii="宋体" w:hAnsi="宋体" w:cs="宋体"/>
          <w:sz w:val="24"/>
          <w:szCs w:val="24"/>
        </w:rPr>
      </w:pPr>
      <w:r>
        <w:rPr>
          <w:rFonts w:hint="eastAsia" w:ascii="宋体" w:hAnsi="宋体" w:cs="宋体"/>
          <w:sz w:val="24"/>
          <w:szCs w:val="24"/>
        </w:rPr>
        <w:t>(c)乙方如在甲方取样时，也同时自行或委托其他检测机构取样平行进行检测，检测结果仍以甲方的结果为准。</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11.2.3其他</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乙方应当配备足够服务人员和服务设施，提供符合质量标准的维修维护和厂区物业管理服务（包括但不限于环境保洁、绿地养护、公共秩序维护和安全防护等），建立应急处理机制，规范的财务管理制度以及完善的档案管理等制度，实现垃圾处理厂的安全、稳定运营，确保提供可持续的垃圾处理服务。</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11.2.4</w:t>
      </w:r>
      <w:r>
        <w:rPr>
          <w:rFonts w:hint="eastAsia" w:ascii="宋体" w:hAnsi="宋体" w:cs="宋体"/>
          <w:sz w:val="24"/>
        </w:rPr>
        <w:t>本项目具体绩效评价标准及评价方法，按照</w:t>
      </w:r>
      <w:r>
        <w:rPr>
          <w:rFonts w:hint="eastAsia" w:ascii="宋体" w:hAnsi="宋体" w:cs="宋体"/>
          <w:sz w:val="24"/>
          <w:highlight w:val="yellow"/>
        </w:rPr>
        <w:t>本合同附件</w:t>
      </w:r>
      <w:r>
        <w:rPr>
          <w:rFonts w:hint="eastAsia" w:ascii="宋体" w:hAnsi="宋体" w:cs="宋体"/>
          <w:sz w:val="24"/>
          <w:highlight w:val="yellow"/>
          <w:lang w:eastAsia="zh-CN"/>
        </w:rPr>
        <w:t>二</w:t>
      </w:r>
      <w:r>
        <w:rPr>
          <w:rFonts w:hint="eastAsia" w:ascii="宋体" w:hAnsi="宋体" w:cs="宋体"/>
          <w:sz w:val="24"/>
          <w:highlight w:val="yellow"/>
        </w:rPr>
        <w:t>《</w:t>
      </w:r>
      <w:r>
        <w:rPr>
          <w:rFonts w:hint="eastAsia" w:ascii="宋体" w:hAnsi="宋体" w:cs="宋体"/>
          <w:sz w:val="24"/>
          <w:highlight w:val="yellow"/>
          <w:lang w:eastAsia="zh-CN"/>
        </w:rPr>
        <w:t>运营期</w:t>
      </w:r>
      <w:r>
        <w:rPr>
          <w:rFonts w:hint="eastAsia" w:ascii="宋体" w:hAnsi="宋体" w:cs="宋体"/>
          <w:sz w:val="24"/>
          <w:highlight w:val="yellow"/>
        </w:rPr>
        <w:t>绩效</w:t>
      </w:r>
      <w:r>
        <w:rPr>
          <w:rFonts w:hint="eastAsia" w:ascii="宋体" w:hAnsi="宋体" w:cs="宋体"/>
          <w:sz w:val="24"/>
          <w:highlight w:val="yellow"/>
          <w:lang w:eastAsia="zh-CN"/>
        </w:rPr>
        <w:t>考核评分细则表</w:t>
      </w:r>
      <w:r>
        <w:rPr>
          <w:rFonts w:hint="eastAsia" w:ascii="宋体" w:hAnsi="宋体" w:cs="宋体"/>
          <w:sz w:val="24"/>
          <w:highlight w:val="yellow"/>
        </w:rPr>
        <w:t>》</w:t>
      </w:r>
      <w:r>
        <w:rPr>
          <w:rFonts w:hint="eastAsia" w:ascii="宋体" w:hAnsi="宋体" w:cs="宋体"/>
          <w:sz w:val="24"/>
        </w:rPr>
        <w:t>执行。</w:t>
      </w:r>
      <w:r>
        <w:rPr>
          <w:rFonts w:hint="eastAsia" w:ascii="宋体" w:hAnsi="宋体" w:cs="宋体"/>
          <w:sz w:val="24"/>
          <w:szCs w:val="24"/>
        </w:rPr>
        <w:t>双方一致同意，项目实施过程中，若国家相关主管部门对于垃圾处理项目管理出台相关国家标准或者行业标准的，按届时新标准规定执行。</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11.3垃圾处理不达标的处理</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11.3.1如果是由于乙方的原因，造成本项目生活垃圾焚烧厂的废气、废水、炉渣、臭味考核指标中任意一项不达标，即表明垃圾处理不达标，根据对应的标准和超出的允许达标排放的污染物排放总量计算超标的追责金额，并在甲方向乙方支付垃圾处理服务费中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11.3.2乙方在处理垃圾的质量存在下述情形之一时，即表明垃圾处理的质量不达标：</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焚烧炉排放的二噁英超标，每一运营年度发生第一次超标情况，视为乙方在被发现违约日前伍（5）日加上被发现违约日至整改完毕日之和的天数，所处理的垃圾为无效处理量；每一运营年度发生第二次超标情况，视为乙方在被发现违约日前拾伍（15）日加上被发现违约日至整改完毕日之和的天数，所处理的垃圾为无效处理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（2）烟气黑度超标，视为乙方在被发现违约日前叁（3）日加上被发现违约日至整改完毕日之和的天数，所处理的垃圾为无效处理量；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（3）大气污染物除二噁英和烟气黑度外的任何一项超标，视为乙方在被发现违约日前伍（5）日加上被发现违约日至整改完毕日之和的天数，所处理的垃圾为无效处理量；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（4）飞灰固化浸出毒性中的任何一项指标超标，视为乙方在被发现违约日前叁（3）日加上被发现违约日至整改完毕日之和的天数，所处理的垃圾为无效处理量；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（5）恶臭、垃圾渗滤液、其它废水和厂界噪声中任何一项指标超标，视为乙方在被发现违约日前叁（3）日加上被发现违约日至整改完毕日之和的天数，所处理的垃圾为无效处理量。</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11.3.3垃圾处理不达标时无效处理量的计算原则</w:t>
      </w:r>
    </w:p>
    <w:p>
      <w:pPr>
        <w:adjustRightInd w:val="0"/>
        <w:snapToGrid w:val="0"/>
        <w:spacing w:line="360" w:lineRule="auto"/>
        <w:ind w:firstLine="424" w:firstLineChars="177"/>
        <w:rPr>
          <w:rFonts w:ascii="宋体" w:hAnsi="宋体" w:cs="宋体"/>
          <w:sz w:val="24"/>
          <w:szCs w:val="24"/>
        </w:rPr>
      </w:pPr>
      <w:r>
        <w:rPr>
          <w:rFonts w:hint="eastAsia" w:ascii="宋体" w:hAnsi="宋体" w:cs="宋体"/>
          <w:sz w:val="24"/>
          <w:szCs w:val="24"/>
        </w:rPr>
        <w:t>（1）本合同约定检测的内容，一项或多项指标每二十四（24）小时排放浓度平均值和每二十四（24）小时排放量的平均值超标，视为在每二十四（24）小时内，所处理的垃圾为无效处理量。</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（2）无效处理量，按全部生产线处理量计算。如发生本合同约定的各单项监（检）测内容超标情形，乙方能够提供证明是由某一条生产线造成的，则按该条生产线的垃圾处理量计算无效处理量。</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 xml:space="preserve">11.3.4垃圾处理不达标的通知 </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乙方在垃圾处理质量检测中发现下列任何情况，应立即书面通知监督员：</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（1）甲方指定机构提供的垃圾中出现不可接受垃圾；或</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（2）任何一种垃圾处理质量指标不达标。</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关于上述通知应包括所有有关测试结果以及就不达标情况所作的其他有关调查的结果的详情，还应包括乙方对超标情况可能持续的期限所作的最佳预测，以及引起此等状况的原因，包括乙方声称的任何有关不可抗力的详情和所采取的补救措施的详细描述。</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11.4第三方原因影响绩效评价</w:t>
      </w:r>
    </w:p>
    <w:p>
      <w:pPr>
        <w:spacing w:line="360" w:lineRule="auto"/>
        <w:ind w:firstLine="424" w:firstLineChars="177"/>
        <w:rPr>
          <w:rFonts w:ascii="宋体" w:hAnsi="宋体" w:cs="宋体"/>
          <w:sz w:val="24"/>
          <w:szCs w:val="24"/>
        </w:rPr>
      </w:pPr>
      <w:r>
        <w:rPr>
          <w:rFonts w:hint="eastAsia" w:ascii="宋体" w:hAnsi="宋体" w:cs="宋体"/>
          <w:sz w:val="24"/>
          <w:szCs w:val="24"/>
        </w:rPr>
        <w:t>因第三方原因影响绩效评价结果的，乙方有权向甲方和绩效评价主体就有关事宜提出书面报告，甲方和绩效评价主体应在收到书面报告后_7__日内做出处理。如确属第三方原因造成的，且乙方已为避免此种情形尽到合理努力的，则甲方和绩效评价主体应及时对绩效评价结果予以调整。</w:t>
      </w:r>
    </w:p>
    <w:p>
      <w:pPr>
        <w:spacing w:before="80" w:after="80" w:line="360" w:lineRule="auto"/>
        <w:ind w:firstLine="424" w:firstLineChars="176"/>
        <w:rPr>
          <w:rFonts w:ascii="宋体" w:hAnsi="宋体" w:cs="宋体"/>
          <w:b/>
          <w:color w:val="000000"/>
          <w:kern w:val="0"/>
          <w:sz w:val="24"/>
          <w:szCs w:val="24"/>
        </w:rPr>
      </w:pPr>
      <w:r>
        <w:rPr>
          <w:rFonts w:hint="eastAsia" w:ascii="宋体" w:hAnsi="宋体" w:cs="宋体"/>
          <w:b/>
          <w:color w:val="000000"/>
          <w:kern w:val="0"/>
          <w:sz w:val="24"/>
          <w:szCs w:val="24"/>
        </w:rPr>
        <w:t>11.5中期评估</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11.5.1中期评估是甲方为了全面了解项目设施状况、乙方的经营管理、服务和履约情况而组织的全面评估。</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11.5.2评估内容及程序</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（1）甲方在实施中期评估或年度评估时，将考察以下全部或部分内容：</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a．</w:t>
      </w:r>
      <w:r>
        <w:rPr>
          <w:rFonts w:hint="eastAsia" w:ascii="宋体" w:hAnsi="宋体" w:cs="宋体"/>
          <w:color w:val="000000"/>
          <w:kern w:val="0"/>
          <w:sz w:val="24"/>
          <w:szCs w:val="24"/>
        </w:rPr>
        <w:tab/>
      </w:r>
      <w:r>
        <w:rPr>
          <w:rFonts w:hint="eastAsia" w:ascii="宋体" w:hAnsi="宋体" w:cs="宋体"/>
          <w:color w:val="000000"/>
          <w:kern w:val="0"/>
          <w:sz w:val="24"/>
          <w:szCs w:val="24"/>
        </w:rPr>
        <w:t>实际服务质量及执行约定标准的情况；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b．项目设施运行、维修养护情况；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c．服务费的执行及调价申请情况；</w:t>
      </w:r>
    </w:p>
    <w:p>
      <w:pPr>
        <w:spacing w:before="80" w:after="80" w:line="360" w:lineRule="auto"/>
        <w:ind w:firstLine="422" w:firstLineChars="176"/>
        <w:rPr>
          <w:rFonts w:ascii="宋体" w:hAnsi="宋体" w:cs="宋体"/>
          <w:color w:val="000000"/>
          <w:sz w:val="24"/>
          <w:szCs w:val="24"/>
        </w:rPr>
      </w:pPr>
      <w:r>
        <w:rPr>
          <w:rFonts w:hint="eastAsia" w:ascii="宋体" w:hAnsi="宋体" w:cs="宋体"/>
          <w:color w:val="000000"/>
          <w:kern w:val="0"/>
          <w:sz w:val="24"/>
          <w:szCs w:val="24"/>
        </w:rPr>
        <w:t>d．关于项目设施的年度投资、运营计划是否满足合作范围内的垃圾处理及达标排放，以及对垃圾处理工程专项规划的响应情况；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e．</w:t>
      </w:r>
      <w:r>
        <w:rPr>
          <w:rFonts w:hint="eastAsia" w:ascii="宋体" w:hAnsi="宋体" w:cs="宋体"/>
          <w:color w:val="000000"/>
          <w:kern w:val="0"/>
          <w:sz w:val="24"/>
          <w:szCs w:val="24"/>
        </w:rPr>
        <w:tab/>
      </w:r>
      <w:r>
        <w:rPr>
          <w:rFonts w:hint="eastAsia" w:ascii="宋体" w:hAnsi="宋体" w:cs="宋体"/>
          <w:color w:val="000000"/>
          <w:kern w:val="0"/>
          <w:sz w:val="24"/>
          <w:szCs w:val="24"/>
        </w:rPr>
        <w:t>公益性义务的承担情况；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f．利益相关方的投诉情况及其处理效果；</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g．是否发生由于乙方原因导致的临时接管；</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h．评估期限内履约担保的提取和扣除情况；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i．质量保证和质量控制方案、运营维护方案、安全制度的执行情况，重大事故的发生情况；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j．</w:t>
      </w:r>
      <w:r>
        <w:rPr>
          <w:rFonts w:hint="eastAsia" w:ascii="宋体" w:hAnsi="宋体" w:cs="宋体"/>
          <w:color w:val="000000"/>
          <w:kern w:val="0"/>
          <w:sz w:val="24"/>
          <w:szCs w:val="24"/>
        </w:rPr>
        <w:tab/>
      </w:r>
      <w:r>
        <w:rPr>
          <w:rFonts w:hint="eastAsia" w:ascii="宋体" w:hAnsi="宋体" w:cs="宋体"/>
          <w:color w:val="000000"/>
          <w:kern w:val="0"/>
          <w:sz w:val="24"/>
          <w:szCs w:val="24"/>
        </w:rPr>
        <w:t>企业年度经营规划、年度经营计划的执行或完成情况；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k．乙方财务会计制度是否健全，提供财务报表、成本分析和经营情况报告的及时、准确、完整情况；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l．应急预案的日常演练情况；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m．报告制度、信息公开制度的执行情况；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n．甲方认为需要评估的其他事项。</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（2）评估委员会</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中期评估或特殊情形下的年度评估由甲方组织有关部门成员、利益相关方代表和专业人士组成评估委员会进行；评估委员会成员的专业知识结构应该包括财务、价格、行业技术、安全、规划与建设、法律等。</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（3）评估报告及其效力</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a．评估委员会将向甲方出具评估报告，该报告应包括各项评估内容的实际执行情况、乙方需要全面或单项整改的意见、甲方是否实施临时接管的意见、价格及项目绩效评价调整建议等内容。</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b．甲方应将评估报告送达乙方，乙方应在收到评估报告之日起</w:t>
      </w:r>
      <w:r>
        <w:rPr>
          <w:rFonts w:hint="eastAsia" w:ascii="宋体" w:hAnsi="宋体" w:cs="宋体"/>
          <w:sz w:val="24"/>
          <w:szCs w:val="24"/>
        </w:rPr>
        <w:t>叁（3）</w:t>
      </w:r>
      <w:r>
        <w:rPr>
          <w:rFonts w:hint="eastAsia" w:ascii="宋体" w:hAnsi="宋体" w:cs="宋体"/>
          <w:color w:val="000000"/>
          <w:kern w:val="0"/>
          <w:sz w:val="24"/>
          <w:szCs w:val="24"/>
        </w:rPr>
        <w:t>日内提出书面异议并附异议详细情况说明和证据，否则视同无异议。</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c．甲方根据评估报告的意见最终决定向乙方发出整改通知的，应在通知中 明确提出整改意见和整改期限以及是否开展价格、绩效评价等调整工作；实施临时接管的遵守本合同</w:t>
      </w:r>
      <w:r>
        <w:rPr>
          <w:rFonts w:hint="eastAsia" w:ascii="宋体" w:hAnsi="宋体" w:cs="宋体"/>
          <w:kern w:val="0"/>
          <w:sz w:val="24"/>
          <w:szCs w:val="24"/>
        </w:rPr>
        <w:t>第18.1款</w:t>
      </w:r>
      <w:r>
        <w:rPr>
          <w:rFonts w:hint="eastAsia" w:ascii="宋体" w:hAnsi="宋体" w:cs="宋体"/>
          <w:color w:val="000000"/>
          <w:kern w:val="0"/>
          <w:sz w:val="24"/>
          <w:szCs w:val="24"/>
        </w:rPr>
        <w:t>的约定。</w:t>
      </w:r>
    </w:p>
    <w:p>
      <w:pPr>
        <w:spacing w:before="80" w:after="80" w:line="360" w:lineRule="auto"/>
        <w:ind w:firstLine="480" w:firstLineChars="200"/>
        <w:rPr>
          <w:rFonts w:ascii="宋体" w:hAnsi="宋体" w:cs="宋体"/>
          <w:iCs/>
          <w:sz w:val="24"/>
          <w:szCs w:val="24"/>
        </w:rPr>
      </w:pPr>
      <w:r>
        <w:rPr>
          <w:rFonts w:hint="eastAsia" w:ascii="宋体" w:hAnsi="宋体" w:cs="宋体"/>
          <w:iCs/>
          <w:color w:val="000000"/>
          <w:kern w:val="0"/>
          <w:sz w:val="24"/>
          <w:szCs w:val="24"/>
        </w:rPr>
        <w:t>d</w:t>
      </w:r>
      <w:r>
        <w:rPr>
          <w:rFonts w:hint="eastAsia" w:ascii="宋体" w:hAnsi="宋体" w:cs="宋体"/>
          <w:color w:val="000000"/>
          <w:kern w:val="0"/>
          <w:sz w:val="24"/>
          <w:szCs w:val="24"/>
        </w:rPr>
        <w:t>．</w:t>
      </w:r>
      <w:r>
        <w:rPr>
          <w:rFonts w:hint="eastAsia" w:ascii="宋体" w:hAnsi="宋体" w:cs="宋体"/>
          <w:sz w:val="24"/>
          <w:szCs w:val="24"/>
        </w:rPr>
        <w:t>如果评估结果不达标，乙方应制定整改方案并按期整改，直至甲方检查验收合格。</w:t>
      </w:r>
      <w:r>
        <w:rPr>
          <w:rFonts w:hint="eastAsia" w:ascii="宋体" w:hAnsi="宋体" w:cs="宋体"/>
          <w:iCs/>
          <w:sz w:val="24"/>
          <w:szCs w:val="24"/>
        </w:rPr>
        <w:t>甲方就项目公司的运营服务评估不减轻或影响项目公司在本合同项下或按照法律的规定应承担的责任或义务以及甲方依据本合同或法律规定对项目公司所享有的权利。</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11.5.3评估周期及费用承担</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（1）项目合作期限内每年实施一次中期评估；甲方通过中期评估全面掌握评估期限内乙方履行本合同的情况。</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（2）当乙方在某一年度发生导致需要调整服务费的事项、不可抗力事件、项目设施新建等重大投资、临时接管等重大事件时，甲方有权决定在该等重大事件发生之前或之后对乙方实施综合的或专项的年度评估。</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（3）因中期评估或特定情形下的年度评估发生的费用由甲方承担，乙方应积极配合甲方的检查和评估。</w:t>
      </w:r>
    </w:p>
    <w:p>
      <w:pPr>
        <w:spacing w:before="80" w:after="80" w:line="360" w:lineRule="auto"/>
        <w:ind w:firstLine="422" w:firstLineChars="176"/>
        <w:rPr>
          <w:rFonts w:ascii="宋体" w:hAnsi="宋体" w:cs="宋体"/>
          <w:sz w:val="24"/>
          <w:szCs w:val="24"/>
        </w:rPr>
      </w:pPr>
      <w:r>
        <w:rPr>
          <w:rFonts w:hint="eastAsia" w:ascii="宋体" w:hAnsi="宋体" w:cs="宋体"/>
          <w:color w:val="000000"/>
          <w:sz w:val="24"/>
          <w:szCs w:val="24"/>
        </w:rPr>
        <w:t>（4）有关中期评估的其他约定：</w:t>
      </w:r>
      <w:r>
        <w:rPr>
          <w:rFonts w:hint="eastAsia" w:ascii="宋体" w:hAnsi="宋体" w:cs="宋体"/>
          <w:sz w:val="24"/>
          <w:szCs w:val="24"/>
        </w:rPr>
        <w:t>由甲方决定具体评估周期，甲方应在决定评估的三天前书面通知乙方。乙方应允许甲方代表进入设施内部，并积极配合甲方组织的评估和检查。</w:t>
      </w:r>
    </w:p>
    <w:p>
      <w:pPr>
        <w:pStyle w:val="418"/>
        <w:keepNext w:val="0"/>
        <w:spacing w:before="80" w:after="80" w:line="360" w:lineRule="auto"/>
        <w:ind w:firstLine="482" w:firstLineChars="200"/>
        <w:jc w:val="both"/>
        <w:outlineLvl w:val="9"/>
        <w:rPr>
          <w:rFonts w:ascii="宋体" w:hAnsi="宋体" w:eastAsia="宋体" w:cs="宋体"/>
          <w:color w:val="auto"/>
          <w:sz w:val="24"/>
          <w:szCs w:val="24"/>
        </w:rPr>
      </w:pPr>
      <w:r>
        <w:rPr>
          <w:rFonts w:hint="eastAsia" w:ascii="宋体" w:hAnsi="宋体" w:eastAsia="宋体" w:cs="宋体"/>
          <w:iCs/>
          <w:color w:val="auto"/>
          <w:sz w:val="24"/>
          <w:szCs w:val="24"/>
        </w:rPr>
        <w:t>11.6</w:t>
      </w:r>
      <w:r>
        <w:rPr>
          <w:rFonts w:hint="eastAsia" w:ascii="宋体" w:hAnsi="宋体" w:eastAsia="宋体" w:cs="宋体"/>
          <w:color w:val="auto"/>
          <w:sz w:val="24"/>
          <w:szCs w:val="24"/>
        </w:rPr>
        <w:t>监督及监督员</w:t>
      </w:r>
    </w:p>
    <w:p>
      <w:pPr>
        <w:pStyle w:val="253"/>
        <w:keepNext w:val="0"/>
        <w:spacing w:before="80" w:after="80" w:line="360" w:lineRule="auto"/>
        <w:ind w:firstLine="480" w:firstLineChars="200"/>
        <w:jc w:val="both"/>
        <w:outlineLvl w:val="9"/>
        <w:rPr>
          <w:rFonts w:ascii="宋体" w:hAnsi="宋体" w:eastAsia="宋体" w:cs="宋体"/>
          <w:color w:val="auto"/>
        </w:rPr>
      </w:pPr>
      <w:bookmarkStart w:id="70" w:name="_Toc24885722"/>
      <w:r>
        <w:rPr>
          <w:rFonts w:hint="eastAsia" w:ascii="宋体" w:hAnsi="宋体" w:eastAsia="宋体" w:cs="宋体"/>
          <w:color w:val="auto"/>
        </w:rPr>
        <w:t>11.6.1 监督</w:t>
      </w:r>
      <w:bookmarkEnd w:id="70"/>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11.6.1.1甲方或人民政府其他相关行业管理部门有权派员在任何时候进入乙方的项目设施，监督项目设施的运行和维护，了解乙方的生产经营信息，但不得干涉、延误或干扰乙方履行其在特许经营协议和本合同下的权利和义务。</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11.6.1.2甲方所派人员发现问题时有提问和要求乙方回答的权利，并有权检查包括但不限于乙方的生产记录、设备检修和检测记录在内的全部运营记录。</w:t>
      </w:r>
    </w:p>
    <w:p>
      <w:pPr>
        <w:pStyle w:val="405"/>
        <w:adjustRightInd/>
        <w:spacing w:before="80" w:after="80" w:line="360" w:lineRule="auto"/>
        <w:ind w:firstLine="480" w:firstLineChars="200"/>
        <w:jc w:val="both"/>
        <w:rPr>
          <w:rFonts w:ascii="宋体" w:hAnsi="宋体" w:cs="宋体"/>
          <w:kern w:val="2"/>
        </w:rPr>
      </w:pPr>
      <w:r>
        <w:rPr>
          <w:rFonts w:hint="eastAsia" w:ascii="宋体" w:hAnsi="宋体" w:cs="宋体"/>
          <w:kern w:val="2"/>
        </w:rPr>
        <w:t>11.6.1.3 甲方有权对乙方下述数据及参数进行监督及检查：</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（1）处理垃圾数量</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rPr>
        <w:t>a．</w:t>
      </w:r>
      <w:r>
        <w:rPr>
          <w:rFonts w:hint="eastAsia" w:ascii="宋体" w:hAnsi="宋体" w:cs="宋体"/>
          <w:color w:val="auto"/>
          <w:kern w:val="2"/>
        </w:rPr>
        <w:t>乙方应定期将原始计量记录书面提供给甲方。所有每日计量记录应由乙方保存至少2年；</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b</w:t>
      </w:r>
      <w:r>
        <w:rPr>
          <w:rFonts w:hint="eastAsia" w:ascii="宋体" w:hAnsi="宋体" w:cs="宋体"/>
          <w:color w:val="auto"/>
        </w:rPr>
        <w:t>．</w:t>
      </w:r>
      <w:r>
        <w:rPr>
          <w:rFonts w:hint="eastAsia" w:ascii="宋体" w:hAnsi="宋体" w:cs="宋体"/>
          <w:color w:val="auto"/>
          <w:kern w:val="2"/>
        </w:rPr>
        <w:t>正式付费日前，双方应在乙方牵头，甲方参加的情况下，由江苏省质量技术监督局或其委托的检测机构对地磅进行检查、检定/校准，费用由乙方承担；</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c</w:t>
      </w:r>
      <w:r>
        <w:rPr>
          <w:rFonts w:hint="eastAsia" w:ascii="宋体" w:hAnsi="宋体" w:cs="宋体"/>
          <w:color w:val="auto"/>
        </w:rPr>
        <w:t>．</w:t>
      </w:r>
      <w:r>
        <w:rPr>
          <w:rFonts w:hint="eastAsia" w:ascii="宋体" w:hAnsi="宋体" w:cs="宋体"/>
          <w:color w:val="auto"/>
          <w:kern w:val="2"/>
        </w:rPr>
        <w:t>乙方应至少每年一次，委托江苏省质量技术监督局或其他检测机构对地磅进行检查、检定/校准，并在检查、检定/校准后收到相关报告的三(3)日内将该等报告的复印件提供给甲方。该等定期检查、检定/校准的相关费用由乙方承担；</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d</w:t>
      </w:r>
      <w:r>
        <w:rPr>
          <w:rFonts w:hint="eastAsia" w:ascii="宋体" w:hAnsi="宋体" w:cs="宋体"/>
          <w:color w:val="auto"/>
        </w:rPr>
        <w:t>．</w:t>
      </w:r>
      <w:r>
        <w:rPr>
          <w:rFonts w:hint="eastAsia" w:ascii="宋体" w:hAnsi="宋体" w:cs="宋体"/>
          <w:color w:val="auto"/>
          <w:kern w:val="2"/>
        </w:rPr>
        <w:t>若经检查、检定/校准发现地磅不准确时，乙方应在更换方案经甲方批准后尽快自费将其修理或更换。更换时由双方人员现场监督、共同验收；</w:t>
      </w:r>
    </w:p>
    <w:p>
      <w:pPr>
        <w:pStyle w:val="307"/>
        <w:numPr>
          <w:ilvl w:val="1"/>
          <w:numId w:val="0"/>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e</w:t>
      </w:r>
      <w:r>
        <w:rPr>
          <w:rFonts w:hint="eastAsia" w:ascii="宋体" w:hAnsi="宋体" w:cs="宋体"/>
          <w:color w:val="auto"/>
        </w:rPr>
        <w:t>．</w:t>
      </w:r>
      <w:r>
        <w:rPr>
          <w:rFonts w:hint="eastAsia" w:ascii="宋体" w:hAnsi="宋体" w:cs="宋体"/>
          <w:color w:val="auto"/>
          <w:kern w:val="2"/>
        </w:rPr>
        <w:t>若地磅的检验显示该仪器已不符合相关法规的准确条件，或是磅秤正在受检或检修期间中，双方同意将甲方或其指定的专业机构的的其他计量系统作为本项目的临时计量设施，直到本项目的地磅已检修完成。乙方有权对该临时计量设施进行检查、检定/校准。</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（2）烟气中大气污染物浓度</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（3）渗沥液达标排放</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（4）运行工况（含热灼减率、沪渣处理、飞灰处理等情况）</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（5）安全生产</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（6）报告制度</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11.6.1.4 甲方为方便监督工作的开展，将要求乙方在项目设施范围指定地点安装必要的实时监控和监督设备，乙方应负责监督设备的安装、正常运行和线路修理并保证这些设备及传输线路不受人为损坏，同时承担相关建设及运营费用。</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11.6.1.5 甲方如在监督中发现乙方有违约行为，将向乙方发出书面整改通知，并负责监督验证。</w:t>
      </w:r>
    </w:p>
    <w:p>
      <w:pPr>
        <w:pStyle w:val="253"/>
        <w:keepNext w:val="0"/>
        <w:spacing w:before="80" w:after="80" w:line="360" w:lineRule="auto"/>
        <w:ind w:firstLine="480" w:firstLineChars="200"/>
        <w:jc w:val="both"/>
        <w:outlineLvl w:val="9"/>
        <w:rPr>
          <w:rFonts w:ascii="宋体" w:hAnsi="宋体" w:eastAsia="宋体" w:cs="宋体"/>
          <w:color w:val="auto"/>
        </w:rPr>
      </w:pPr>
      <w:bookmarkStart w:id="71" w:name="_Toc24885723"/>
      <w:r>
        <w:rPr>
          <w:rFonts w:hint="eastAsia" w:ascii="宋体" w:hAnsi="宋体" w:eastAsia="宋体" w:cs="宋体"/>
          <w:color w:val="auto"/>
        </w:rPr>
        <w:t>11.6.2 监督员</w:t>
      </w:r>
      <w:bookmarkEnd w:id="71"/>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甲方可以委派一名或数名监督员，依据本合同的约定进行上述的监督。监督员的名单（及其变更）应由甲方事先书面通知乙方。监督员有权随时进入垃圾焚烧发电厂，并遵守合理的安全保卫规定，且在不妨碍乙方正常生产运营的情况下进行监督检查，乙方不得干涉阻挠。</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如甲方提出要求，乙方应无条件同意甲方监督员驻厂办公，实施监督权，乙方应无偿提供相应办公地点、办公设施及生活设施供甲方监督员使用。</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监督员有(且不限于)下列监督检查权：</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对地磅进行读数及记录；</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查阅各类运营资料；</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对工艺流程、设备及其运行状况进行检查；</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对乙方的取样和检测进行检查；</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对炉渣进行检查或检测；</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与乙方相关人员一起，陪同甲方人员进行相关取样；</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向乙方人员核实检查中发现的问题；</w:t>
      </w:r>
    </w:p>
    <w:p>
      <w:pPr>
        <w:pStyle w:val="307"/>
        <w:numPr>
          <w:ilvl w:val="0"/>
          <w:numId w:val="27"/>
        </w:numPr>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对甲方所发出的整改意见的落实情况进行监督验证。</w:t>
      </w:r>
    </w:p>
    <w:p>
      <w:pPr>
        <w:keepNext w:val="0"/>
        <w:spacing w:before="80" w:after="80" w:line="360" w:lineRule="auto"/>
        <w:jc w:val="both"/>
        <w:outlineLvl w:val="0"/>
        <w:rPr>
          <w:rFonts w:ascii="宋体" w:hAnsi="宋体" w:cs="宋体"/>
          <w:sz w:val="28"/>
          <w:szCs w:val="28"/>
        </w:rPr>
      </w:pPr>
      <w:bookmarkStart w:id="72" w:name="_Toc46140700"/>
      <w:r>
        <w:rPr>
          <w:rFonts w:hint="eastAsia" w:ascii="宋体" w:hAnsi="宋体" w:cs="宋体"/>
          <w:b/>
          <w:sz w:val="28"/>
          <w:szCs w:val="28"/>
        </w:rPr>
        <w:t>第</w:t>
      </w:r>
      <w:r>
        <w:rPr>
          <w:rFonts w:ascii="宋体" w:hAnsi="宋体" w:cs="宋体"/>
          <w:b/>
          <w:sz w:val="28"/>
          <w:szCs w:val="28"/>
        </w:rPr>
        <w:t xml:space="preserve">12条  </w:t>
      </w:r>
      <w:r>
        <w:rPr>
          <w:rFonts w:hint="eastAsia" w:ascii="宋体" w:hAnsi="宋体" w:cs="宋体"/>
          <w:b/>
          <w:sz w:val="28"/>
          <w:szCs w:val="28"/>
        </w:rPr>
        <w:t>垃圾供应</w:t>
      </w:r>
      <w:bookmarkEnd w:id="72"/>
    </w:p>
    <w:p>
      <w:pPr>
        <w:spacing w:before="80" w:after="80" w:line="360" w:lineRule="auto"/>
        <w:ind w:firstLine="482" w:firstLineChars="200"/>
        <w:rPr>
          <w:rFonts w:ascii="宋体" w:hAnsi="宋体" w:cs="宋体"/>
          <w:b/>
          <w:kern w:val="0"/>
          <w:sz w:val="24"/>
          <w:szCs w:val="24"/>
        </w:rPr>
      </w:pPr>
      <w:r>
        <w:rPr>
          <w:rFonts w:hint="eastAsia" w:ascii="宋体" w:hAnsi="宋体" w:cs="宋体"/>
          <w:b/>
          <w:kern w:val="0"/>
          <w:sz w:val="24"/>
          <w:szCs w:val="24"/>
        </w:rPr>
        <w:t>12.1垃圾供应量</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12.1.1</w:t>
      </w:r>
      <w:r>
        <w:rPr>
          <w:rFonts w:hint="eastAsia" w:ascii="宋体" w:hAnsi="宋体" w:cs="宋体"/>
          <w:kern w:val="0"/>
          <w:sz w:val="24"/>
          <w:szCs w:val="24"/>
        </w:rPr>
        <w:tab/>
      </w:r>
      <w:r>
        <w:rPr>
          <w:rFonts w:hint="eastAsia" w:ascii="宋体" w:hAnsi="宋体" w:cs="宋体"/>
          <w:kern w:val="0"/>
          <w:sz w:val="24"/>
          <w:szCs w:val="24"/>
        </w:rPr>
        <w:t xml:space="preserve">垃圾基本供应量 </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经甲、乙双方商定，自开始运营日起，运营期内甲方或甲方指定机构应依本合同约定，按照不低于垃圾基本供应量，即甲方每个运营年度向乙方提供的垃圾数量不少于</w:t>
      </w:r>
      <w:r>
        <w:rPr>
          <w:rFonts w:hint="eastAsia" w:ascii="宋体" w:hAnsi="宋体" w:cs="宋体"/>
          <w:kern w:val="0"/>
          <w:sz w:val="24"/>
          <w:szCs w:val="24"/>
          <w:highlight w:val="yellow"/>
        </w:rPr>
        <w:t>513000吨（设计能力的70%）</w:t>
      </w:r>
      <w:r>
        <w:rPr>
          <w:rFonts w:hint="eastAsia" w:ascii="宋体" w:hAnsi="宋体" w:cs="宋体"/>
          <w:kern w:val="0"/>
          <w:sz w:val="24"/>
          <w:szCs w:val="24"/>
        </w:rPr>
        <w:t>,将垃圾自行运送或委托运送至本项目所约定的垃圾交付点交付给乙方,除非征得甲方同意，乙方不得接收非甲方送达的垃圾。甲方除保证按合同约定提供垃圾外，其对垃圾的调度及供应不受乙方任何形式的限制及约束。</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本项目如需提标改造或者在开始运营日前供应垃圾的，则双方另行约定</w:t>
      </w:r>
      <w:r>
        <w:rPr>
          <w:rFonts w:hint="eastAsia" w:ascii="宋体" w:hAnsi="宋体" w:cs="宋体"/>
          <w:kern w:val="0"/>
          <w:sz w:val="24"/>
          <w:szCs w:val="24"/>
        </w:rPr>
        <w:t>日垃圾基本供应量</w:t>
      </w:r>
      <w:r>
        <w:rPr>
          <w:rFonts w:hint="eastAsia" w:ascii="宋体" w:hAnsi="宋体" w:cs="宋体"/>
          <w:color w:val="000000"/>
          <w:sz w:val="24"/>
          <w:szCs w:val="24"/>
        </w:rPr>
        <w:t>。</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 xml:space="preserve">12.1.2垃圾基本供应量的调整 </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当实际日垃圾供应量少于当期适用的日垃圾基本供应量且预计此后的垃圾供应量都将少于当期适用的日垃圾基本供应量时，双方可通过协商调整日垃圾基本供应量，同时协商调整垃圾处理服务费单价。</w:t>
      </w:r>
    </w:p>
    <w:p>
      <w:pPr>
        <w:spacing w:before="80" w:after="80" w:line="360" w:lineRule="auto"/>
        <w:ind w:firstLine="542" w:firstLineChars="226"/>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12.1.3垃圾计量</w:t>
      </w:r>
    </w:p>
    <w:p>
      <w:pPr>
        <w:spacing w:before="80" w:after="80" w:line="360" w:lineRule="auto"/>
        <w:ind w:firstLine="422" w:firstLineChars="17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双方同意通过经质量检测部门（或）双方共同检查合格的、安装在地磅站的地磅与计量设备（下称“计量器具”）及相关的计算机设备，共同计量并签字确认运至接收点的垃圾吨数，以及运至生活垃圾焚烧发电厂的不可接受垃圾的吨数。乙方应按适用法律要求安装实时数据传输系统，能够实现双方同步接收计量数据。乙方应将全部计量记录以数据传输形式和书面形式提供给甲方，全部计量记录应由乙方保存至少伍（5）年。乙方应按适用法律要求建立计量过程远程监控系统，对现场计量情况进行全程录像，以备检查；</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 xml:space="preserve">（2）甲乙双方将按下列公式计算乙方处理垃圾的结算数量，然后据此签发相应的《垃圾处理量确认单》； </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Q（i）= Q1 (i) - Q2 (i) - Q3（i）</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其中：Q（i）——乙方第i 运营月度处理垃圾的结算数量</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Q1 (i) ——甲方第i 运营月度提供的并经甲乙双方共同在地磅站计量的进入本项目的垃圾数量</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Q2 (i) ——甲方第i 运营月度偶然运送且被乙方拒绝接收的不可接受垃圾的数量</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Q3 (i) ——指结算当月依据本合同第11.3条确定的无效处理量</w:t>
      </w:r>
    </w:p>
    <w:p>
      <w:pPr>
        <w:spacing w:before="80" w:after="80" w:line="360" w:lineRule="auto"/>
        <w:ind w:firstLine="422" w:firstLineChars="176"/>
        <w:rPr>
          <w:rFonts w:ascii="宋体" w:hAnsi="宋体" w:cs="宋体"/>
          <w:bCs/>
          <w:kern w:val="0"/>
          <w:sz w:val="24"/>
          <w:szCs w:val="24"/>
        </w:rPr>
      </w:pPr>
      <w:r>
        <w:rPr>
          <w:rFonts w:hint="eastAsia" w:ascii="宋体" w:hAnsi="宋体" w:cs="宋体"/>
          <w:bCs/>
          <w:kern w:val="0"/>
          <w:sz w:val="24"/>
          <w:szCs w:val="24"/>
        </w:rPr>
        <w:t>同一天检测多项指标不合格，按上述计算方法中的最高额扣计，不重复计取。</w:t>
      </w:r>
    </w:p>
    <w:p>
      <w:pPr>
        <w:spacing w:before="80" w:after="80" w:line="360" w:lineRule="auto"/>
        <w:ind w:firstLine="422" w:firstLineChars="176"/>
        <w:rPr>
          <w:rFonts w:ascii="宋体" w:hAnsi="宋体" w:cs="宋体"/>
          <w:b/>
          <w:kern w:val="0"/>
          <w:sz w:val="24"/>
          <w:szCs w:val="24"/>
        </w:rPr>
      </w:pPr>
      <w:r>
        <w:rPr>
          <w:rFonts w:hint="eastAsia" w:ascii="宋体" w:hAnsi="宋体" w:cs="宋体"/>
          <w:bCs/>
          <w:kern w:val="0"/>
          <w:sz w:val="24"/>
          <w:szCs w:val="24"/>
        </w:rPr>
        <w:t>单项抽检次数原则上一年不超过两次，特殊情况双方协商解决。</w:t>
      </w:r>
    </w:p>
    <w:p>
      <w:pPr>
        <w:spacing w:before="80" w:after="80" w:line="360" w:lineRule="auto"/>
        <w:ind w:firstLine="424" w:firstLineChars="176"/>
        <w:rPr>
          <w:rFonts w:ascii="宋体" w:hAnsi="宋体" w:cs="宋体"/>
          <w:b/>
          <w:kern w:val="0"/>
          <w:sz w:val="24"/>
          <w:szCs w:val="24"/>
        </w:rPr>
      </w:pPr>
      <w:r>
        <w:rPr>
          <w:rFonts w:hint="eastAsia" w:ascii="宋体" w:hAnsi="宋体" w:cs="宋体"/>
          <w:b/>
          <w:kern w:val="0"/>
          <w:sz w:val="24"/>
          <w:szCs w:val="24"/>
        </w:rPr>
        <w:t>12.2垃圾供应质量</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12.2.1可接受垃圾</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除本合同第12.2.2款约定情形外，甲方指定机构收集及运送的城市生活垃圾以及性质类似的其他有机固体废物符合本项目设计文件要求的，乙方均应接收、处理。</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 xml:space="preserve">12.2.2不可接受垃圾 </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下列废弃物为不可接受垃圾：</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（1）医疗废弃物;</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（2）有毒有害或危险废弃物;</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（3）电子废物及其处理处置残余物;</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（4）建筑垃圾；</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（5）不可焚烧处理的废弃物；</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（6）法律规定的其他不可接受垃圾。</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12.2.3垃圾的抽样与检测 </w:t>
      </w:r>
    </w:p>
    <w:p>
      <w:pPr>
        <w:spacing w:before="80" w:after="80"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在正常运营期间，甲乙双方需委托有资质的环境检验测定机构，按照《城市生活垃圾采样和物理分析方法》，每年在垃圾转运站、入厂垃圾进行垃圾的抽样，并对垃圾的低位热值（LHV 值）、含水率、灰份比率进行分析检测。若有必要，甲乙双方可增加抽样与检测次数。上述所有的检测费用由委托方自行承担。</w:t>
      </w:r>
    </w:p>
    <w:p>
      <w:pPr>
        <w:spacing w:before="80" w:after="80" w:line="360" w:lineRule="auto"/>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乙方应委托有资质的环境检验检测机构，按照适用法律规定、行业标准以及采购文件要求，每年在甲方指定的时间、地点进行垃圾的抽样，并进行分析检测。</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双方应在检测完成之后七（7）天之内向对方提交不少于三（3）份的检测报告。</w:t>
      </w:r>
    </w:p>
    <w:p>
      <w:pPr>
        <w:spacing w:before="80" w:after="80" w:line="360" w:lineRule="auto"/>
        <w:ind w:firstLine="482" w:firstLineChars="200"/>
        <w:rPr>
          <w:rFonts w:ascii="宋体" w:hAnsi="宋体" w:cs="宋体"/>
          <w:b/>
          <w:kern w:val="0"/>
          <w:sz w:val="24"/>
          <w:szCs w:val="24"/>
        </w:rPr>
      </w:pPr>
      <w:r>
        <w:rPr>
          <w:rFonts w:hint="eastAsia" w:ascii="宋体" w:hAnsi="宋体" w:cs="宋体"/>
          <w:b/>
          <w:kern w:val="0"/>
          <w:sz w:val="24"/>
          <w:szCs w:val="24"/>
        </w:rPr>
        <w:t>12.3垃圾供应管理</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12.3.1</w:t>
      </w:r>
      <w:r>
        <w:rPr>
          <w:rFonts w:hint="eastAsia" w:ascii="宋体" w:hAnsi="宋体" w:cs="宋体"/>
          <w:kern w:val="0"/>
          <w:sz w:val="24"/>
          <w:szCs w:val="24"/>
        </w:rPr>
        <w:tab/>
      </w:r>
      <w:r>
        <w:rPr>
          <w:rFonts w:hint="eastAsia" w:ascii="宋体" w:hAnsi="宋体" w:cs="宋体"/>
          <w:kern w:val="0"/>
          <w:sz w:val="24"/>
          <w:szCs w:val="24"/>
        </w:rPr>
        <w:t xml:space="preserve"> 垃圾接收点</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垃圾接收点位于本项目垃圾处理厂垃圾池。</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12.3.2</w:t>
      </w:r>
      <w:r>
        <w:rPr>
          <w:rFonts w:hint="eastAsia" w:ascii="宋体" w:hAnsi="宋体" w:cs="宋体"/>
          <w:kern w:val="0"/>
          <w:sz w:val="24"/>
          <w:szCs w:val="24"/>
        </w:rPr>
        <w:tab/>
      </w:r>
      <w:r>
        <w:rPr>
          <w:rFonts w:hint="eastAsia" w:ascii="宋体" w:hAnsi="宋体" w:cs="宋体"/>
          <w:kern w:val="0"/>
          <w:sz w:val="24"/>
          <w:szCs w:val="24"/>
        </w:rPr>
        <w:t xml:space="preserve">对运输车的调度 </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乙方负责对进出的垃圾运输车的车流量以及卸料次序进行调度。</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12.3.3</w:t>
      </w:r>
      <w:r>
        <w:rPr>
          <w:rFonts w:hint="eastAsia" w:ascii="宋体" w:hAnsi="宋体" w:cs="宋体"/>
          <w:kern w:val="0"/>
          <w:sz w:val="24"/>
          <w:szCs w:val="24"/>
        </w:rPr>
        <w:tab/>
      </w:r>
      <w:r>
        <w:rPr>
          <w:rFonts w:hint="eastAsia" w:ascii="宋体" w:hAnsi="宋体" w:cs="宋体"/>
          <w:kern w:val="0"/>
          <w:sz w:val="24"/>
          <w:szCs w:val="24"/>
        </w:rPr>
        <w:t xml:space="preserve">垃圾接收的调整 </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出现下列情形之一时，乙方可以与甲方进行协商，调整接收的垃圾量，并应以书面形式向甲方说明调整的理由和数量：</w:t>
      </w:r>
    </w:p>
    <w:p>
      <w:pPr>
        <w:numPr>
          <w:ilvl w:val="0"/>
          <w:numId w:val="28"/>
        </w:num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甲方指定机构每日运送的垃圾供应量连续__5_日超出垃圾处理厂设计处理能力的__10_%以上；</w:t>
      </w:r>
    </w:p>
    <w:p>
      <w:pPr>
        <w:numPr>
          <w:ilvl w:val="0"/>
          <w:numId w:val="28"/>
        </w:num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因甲方违约、不可抗力或法律变更，乙方无法全部接受甲方指定机构运送的垃圾。</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如果乙方调整的原因被证明是虚假或不成立的，乙方应承担违约责任。</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12.3.4</w:t>
      </w:r>
      <w:r>
        <w:rPr>
          <w:rFonts w:hint="eastAsia" w:ascii="宋体" w:hAnsi="宋体" w:cs="宋体"/>
          <w:kern w:val="0"/>
          <w:sz w:val="24"/>
          <w:szCs w:val="24"/>
        </w:rPr>
        <w:tab/>
      </w:r>
      <w:r>
        <w:rPr>
          <w:rFonts w:hint="eastAsia" w:ascii="宋体" w:hAnsi="宋体" w:cs="宋体"/>
          <w:kern w:val="0"/>
          <w:sz w:val="24"/>
          <w:szCs w:val="24"/>
        </w:rPr>
        <w:t>不可接受垃圾运送的防止</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（1）双方均认知并同意，本项目垃圾处理厂的处理对象并不包含不可接受垃圾。为了双方的共同利益，双方应避免任何不可接受垃圾运至本项目，并适当处置运至本项目的不可接受垃圾。</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（2）甲方应努力避免不可接受垃圾运至本项目，禁止垃圾运输公司或任何人将不可接受垃圾运至本项目垃圾处理厂。</w:t>
      </w:r>
    </w:p>
    <w:p>
      <w:pPr>
        <w:spacing w:before="80" w:after="80" w:line="360" w:lineRule="auto"/>
        <w:ind w:firstLine="422" w:firstLineChars="176"/>
        <w:rPr>
          <w:rFonts w:ascii="宋体" w:hAnsi="宋体" w:cs="宋体"/>
          <w:kern w:val="0"/>
          <w:sz w:val="24"/>
          <w:szCs w:val="24"/>
        </w:rPr>
      </w:pPr>
      <w:r>
        <w:rPr>
          <w:rFonts w:hint="eastAsia" w:ascii="宋体" w:hAnsi="宋体" w:cs="宋体"/>
          <w:kern w:val="0"/>
          <w:sz w:val="24"/>
          <w:szCs w:val="24"/>
        </w:rPr>
        <w:t>（3）</w:t>
      </w:r>
      <w:bookmarkStart w:id="73" w:name="_Hlk8839949"/>
      <w:r>
        <w:rPr>
          <w:rFonts w:hint="eastAsia" w:ascii="宋体" w:hAnsi="宋体" w:cs="宋体"/>
          <w:kern w:val="0"/>
          <w:sz w:val="24"/>
          <w:szCs w:val="24"/>
        </w:rPr>
        <w:t>乙方有权拒绝接收不可接受垃圾运至本项目垃圾处理厂</w:t>
      </w:r>
      <w:bookmarkEnd w:id="73"/>
      <w:r>
        <w:rPr>
          <w:rFonts w:hint="eastAsia" w:ascii="宋体" w:hAnsi="宋体" w:cs="宋体"/>
          <w:kern w:val="0"/>
          <w:sz w:val="24"/>
          <w:szCs w:val="24"/>
        </w:rPr>
        <w:t>。</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12.3.5</w:t>
      </w:r>
      <w:r>
        <w:rPr>
          <w:rFonts w:hint="eastAsia" w:ascii="宋体" w:hAnsi="宋体" w:cs="宋体"/>
          <w:kern w:val="0"/>
          <w:sz w:val="24"/>
          <w:szCs w:val="24"/>
        </w:rPr>
        <w:tab/>
      </w:r>
      <w:r>
        <w:rPr>
          <w:rFonts w:hint="eastAsia" w:ascii="宋体" w:hAnsi="宋体" w:cs="宋体"/>
          <w:kern w:val="0"/>
          <w:sz w:val="24"/>
          <w:szCs w:val="24"/>
        </w:rPr>
        <w:t>不可接受垃圾的处理</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（1）甲方指定机构应根据本合同第12.2.1款的约定只运送可接受垃圾。乙方应检验至接收点的垃圾，根据垃圾处理厂技术要求规范，只接受可接受垃圾。</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（2）由■甲方负责将运至本项目的不可接受垃圾移出至指定地点，由此产生的费用由■甲方承担。</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12.3.6</w:t>
      </w:r>
      <w:r>
        <w:rPr>
          <w:rFonts w:hint="eastAsia" w:ascii="宋体" w:hAnsi="宋体" w:cs="宋体"/>
          <w:kern w:val="0"/>
          <w:sz w:val="24"/>
          <w:szCs w:val="24"/>
        </w:rPr>
        <w:tab/>
      </w:r>
      <w:r>
        <w:rPr>
          <w:rFonts w:hint="eastAsia" w:ascii="宋体" w:hAnsi="宋体" w:cs="宋体"/>
          <w:kern w:val="0"/>
          <w:sz w:val="24"/>
          <w:szCs w:val="24"/>
        </w:rPr>
        <w:t>偶然的处置</w:t>
      </w:r>
    </w:p>
    <w:p>
      <w:pPr>
        <w:spacing w:before="80" w:after="80" w:line="360" w:lineRule="auto"/>
        <w:ind w:firstLine="480" w:firstLineChars="200"/>
        <w:rPr>
          <w:rFonts w:ascii="宋体" w:hAnsi="宋体" w:cs="宋体"/>
          <w:kern w:val="0"/>
          <w:sz w:val="24"/>
          <w:szCs w:val="24"/>
        </w:rPr>
      </w:pPr>
      <w:r>
        <w:rPr>
          <w:rFonts w:hint="eastAsia" w:ascii="宋体" w:hAnsi="宋体" w:cs="宋体"/>
          <w:kern w:val="0"/>
          <w:sz w:val="24"/>
          <w:szCs w:val="24"/>
        </w:rPr>
        <w:t>如果由于突发事件，造成可接受垃圾量突然大量增加，超过本项目垃圾处理厂的设计处理能力，乙方应尽最大努力协助甲方妥善处置。由此产生的费用，由双方协商解决。</w:t>
      </w:r>
    </w:p>
    <w:p>
      <w:pPr>
        <w:keepNext w:val="0"/>
        <w:spacing w:before="80" w:after="80" w:line="360" w:lineRule="auto"/>
        <w:jc w:val="both"/>
        <w:outlineLvl w:val="0"/>
        <w:rPr>
          <w:rFonts w:ascii="宋体" w:hAnsi="宋体" w:cs="宋体"/>
          <w:sz w:val="28"/>
          <w:szCs w:val="28"/>
        </w:rPr>
      </w:pPr>
      <w:bookmarkStart w:id="74" w:name="_Toc46140701"/>
      <w:r>
        <w:rPr>
          <w:rFonts w:hint="eastAsia" w:ascii="宋体" w:hAnsi="宋体" w:cs="宋体"/>
          <w:b/>
          <w:sz w:val="28"/>
          <w:szCs w:val="28"/>
        </w:rPr>
        <w:t>第</w:t>
      </w:r>
      <w:r>
        <w:rPr>
          <w:rFonts w:ascii="宋体" w:hAnsi="宋体" w:cs="宋体"/>
          <w:b/>
          <w:sz w:val="28"/>
          <w:szCs w:val="28"/>
        </w:rPr>
        <w:t xml:space="preserve">13条  </w:t>
      </w:r>
      <w:r>
        <w:rPr>
          <w:rFonts w:hint="eastAsia" w:ascii="宋体" w:hAnsi="宋体" w:cs="宋体"/>
          <w:b/>
          <w:sz w:val="28"/>
          <w:szCs w:val="28"/>
        </w:rPr>
        <w:t>垃圾处理服务费</w:t>
      </w:r>
      <w:bookmarkEnd w:id="74"/>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13.1垃圾处理数量</w:t>
      </w:r>
    </w:p>
    <w:p>
      <w:pPr>
        <w:pStyle w:val="282"/>
        <w:spacing w:before="80" w:after="80" w:line="360" w:lineRule="auto"/>
        <w:ind w:firstLine="240" w:firstLineChars="100"/>
        <w:rPr>
          <w:rFonts w:ascii="宋体" w:hAnsi="宋体" w:cs="宋体"/>
          <w:sz w:val="24"/>
          <w:szCs w:val="24"/>
        </w:rPr>
      </w:pPr>
      <w:r>
        <w:rPr>
          <w:rFonts w:hint="eastAsia" w:ascii="宋体" w:hAnsi="宋体" w:cs="宋体"/>
          <w:sz w:val="24"/>
          <w:szCs w:val="24"/>
        </w:rPr>
        <w:t>参见第</w:t>
      </w:r>
      <w:r>
        <w:rPr>
          <w:rFonts w:hint="eastAsia" w:ascii="宋体" w:hAnsi="宋体" w:cs="宋体"/>
          <w:color w:val="auto"/>
          <w:sz w:val="24"/>
          <w:szCs w:val="24"/>
        </w:rPr>
        <w:t>12.1.3款</w:t>
      </w:r>
      <w:r>
        <w:rPr>
          <w:rFonts w:hint="eastAsia" w:ascii="宋体" w:hAnsi="宋体" w:cs="宋体"/>
          <w:sz w:val="24"/>
          <w:szCs w:val="24"/>
        </w:rPr>
        <w:t>垃圾计量</w:t>
      </w:r>
    </w:p>
    <w:p>
      <w:pPr>
        <w:spacing w:before="80" w:after="80" w:line="360" w:lineRule="auto"/>
        <w:rPr>
          <w:rFonts w:ascii="宋体" w:hAnsi="宋体" w:cs="宋体"/>
          <w:b/>
          <w:sz w:val="24"/>
          <w:szCs w:val="24"/>
        </w:rPr>
      </w:pPr>
      <w:r>
        <w:rPr>
          <w:rFonts w:hint="eastAsia" w:ascii="宋体" w:hAnsi="宋体" w:cs="宋体"/>
          <w:sz w:val="24"/>
          <w:szCs w:val="24"/>
        </w:rPr>
        <w:tab/>
      </w:r>
      <w:r>
        <w:rPr>
          <w:rFonts w:hint="eastAsia" w:ascii="宋体" w:hAnsi="宋体" w:cs="宋体"/>
          <w:b/>
          <w:sz w:val="24"/>
          <w:szCs w:val="24"/>
        </w:rPr>
        <w:t>13.2垃圾处理价格和调整原则</w:t>
      </w:r>
    </w:p>
    <w:p>
      <w:pPr>
        <w:pStyle w:val="405"/>
        <w:numPr>
          <w:ilvl w:val="0"/>
          <w:numId w:val="29"/>
        </w:numPr>
        <w:adjustRightInd/>
        <w:spacing w:before="80" w:after="80" w:line="360" w:lineRule="auto"/>
        <w:ind w:firstLine="480"/>
        <w:rPr>
          <w:rFonts w:ascii="宋体" w:hAnsi="宋体" w:cs="宋体"/>
          <w:kern w:val="2"/>
        </w:rPr>
      </w:pPr>
      <w:r>
        <w:rPr>
          <w:rFonts w:hint="eastAsia" w:ascii="宋体" w:hAnsi="宋体" w:cs="宋体"/>
          <w:kern w:val="2"/>
        </w:rPr>
        <w:t xml:space="preserve">乙双方垃圾服务费单价在280度以内上网电价为【0.65】元/千瓦时的前提下，甲乙双方在生效日确认的垃圾处理服务费单价为人民币【 </w:t>
      </w:r>
      <w:r>
        <w:rPr>
          <w:rFonts w:ascii="宋体" w:hAnsi="宋体" w:cs="宋体"/>
          <w:kern w:val="2"/>
        </w:rPr>
        <w:t xml:space="preserve">   </w:t>
      </w:r>
      <w:r>
        <w:rPr>
          <w:rFonts w:hint="eastAsia" w:ascii="宋体" w:hAnsi="宋体" w:cs="宋体"/>
          <w:kern w:val="2"/>
        </w:rPr>
        <w:t>】元/吨。</w:t>
      </w:r>
    </w:p>
    <w:p>
      <w:pPr>
        <w:pStyle w:val="405"/>
        <w:adjustRightInd/>
        <w:spacing w:before="80" w:after="80" w:line="360" w:lineRule="auto"/>
        <w:ind w:firstLine="480" w:firstLineChars="200"/>
        <w:rPr>
          <w:rFonts w:ascii="宋体" w:hAnsi="宋体" w:cs="宋体"/>
        </w:rPr>
      </w:pPr>
      <w:r>
        <w:rPr>
          <w:rFonts w:hint="eastAsia" w:ascii="宋体" w:hAnsi="宋体" w:cs="宋体"/>
          <w:kern w:val="2"/>
        </w:rPr>
        <w:t>该价格已包含各种成本费用、利润和税费。除非出现本协议规定的情况，否则上述价格不得进行任何调整。</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13.3垃圾处理服务费</w:t>
      </w:r>
      <w:bookmarkStart w:id="75" w:name="_Ref480017388"/>
      <w:bookmarkStart w:id="76" w:name="_Toc51214010"/>
      <w:bookmarkStart w:id="77" w:name="_Toc51225688"/>
      <w:bookmarkStart w:id="78" w:name="_Toc87807973"/>
      <w:bookmarkStart w:id="79" w:name="_Toc9082"/>
      <w:bookmarkStart w:id="80" w:name="_Toc24885731"/>
    </w:p>
    <w:p>
      <w:pPr>
        <w:spacing w:before="80" w:after="80" w:line="360" w:lineRule="auto"/>
        <w:ind w:firstLine="482" w:firstLineChars="200"/>
        <w:rPr>
          <w:rFonts w:ascii="宋体" w:hAnsi="宋体" w:cs="宋体"/>
          <w:sz w:val="24"/>
          <w:szCs w:val="24"/>
        </w:rPr>
      </w:pPr>
      <w:r>
        <w:rPr>
          <w:rFonts w:hint="eastAsia" w:ascii="宋体" w:hAnsi="宋体" w:cs="宋体"/>
          <w:b/>
          <w:sz w:val="24"/>
          <w:szCs w:val="24"/>
        </w:rPr>
        <w:t>13.3.1(1)</w:t>
      </w:r>
      <w:r>
        <w:rPr>
          <w:rFonts w:hint="eastAsia" w:ascii="宋体" w:hAnsi="宋体" w:cs="宋体"/>
          <w:sz w:val="24"/>
          <w:szCs w:val="24"/>
        </w:rPr>
        <w:t>垃圾处理量按季度进行结算，乙方的季度垃圾处理结算量，是甲方向乙方提供的并经电子化垃圾计量系统计量进入本项目的垃圾进场量减去当季度的无效处理量。双方将按下列公式计算乙方处理垃圾的结算量，然后据此签发相应的《垃圾处理结算量确认单》：</w:t>
      </w:r>
    </w:p>
    <w:p>
      <w:pPr>
        <w:pStyle w:val="7"/>
        <w:numPr>
          <w:ilvl w:val="0"/>
          <w:numId w:val="30"/>
        </w:numPr>
        <w:tabs>
          <w:tab w:val="left" w:pos="1006"/>
          <w:tab w:val="left" w:pos="3420"/>
        </w:tabs>
        <w:spacing w:before="120" w:after="120" w:line="360" w:lineRule="auto"/>
        <w:ind w:left="819" w:leftChars="390" w:firstLine="14" w:firstLineChars="6"/>
        <w:jc w:val="both"/>
        <w:rPr>
          <w:rFonts w:ascii="宋体" w:hAnsi="宋体" w:eastAsia="宋体" w:cs="宋体"/>
          <w:b w:val="0"/>
          <w:bCs w:val="0"/>
          <w:sz w:val="24"/>
          <w:szCs w:val="24"/>
        </w:rPr>
      </w:pPr>
      <w:r>
        <w:rPr>
          <w:rFonts w:hint="eastAsia" w:ascii="宋体" w:hAnsi="宋体" w:eastAsia="宋体" w:cs="宋体"/>
          <w:b w:val="0"/>
          <w:bCs w:val="0"/>
          <w:sz w:val="24"/>
          <w:szCs w:val="24"/>
        </w:rPr>
        <w:t>季度生活垃圾处理结算量=季度生活垃圾进场量－季度生活垃圾无效处理量</w:t>
      </w:r>
    </w:p>
    <w:p>
      <w:pPr>
        <w:pStyle w:val="7"/>
        <w:spacing w:before="120" w:after="120" w:line="360" w:lineRule="auto"/>
        <w:ind w:left="661" w:leftChars="315"/>
        <w:jc w:val="both"/>
        <w:rPr>
          <w:rFonts w:ascii="宋体" w:hAnsi="宋体" w:eastAsia="宋体" w:cs="宋体"/>
          <w:b w:val="0"/>
          <w:bCs w:val="0"/>
          <w:sz w:val="24"/>
          <w:szCs w:val="24"/>
        </w:rPr>
      </w:pPr>
      <w:r>
        <w:rPr>
          <w:rFonts w:hint="eastAsia" w:ascii="宋体" w:hAnsi="宋体" w:eastAsia="宋体" w:cs="宋体"/>
          <w:b w:val="0"/>
          <w:bCs w:val="0"/>
          <w:sz w:val="24"/>
          <w:szCs w:val="24"/>
        </w:rPr>
        <w:t>（2）甲方应从垃圾入场日起每季度向乙方支付垃圾处理服务费。</w:t>
      </w:r>
    </w:p>
    <w:p>
      <w:pPr>
        <w:pStyle w:val="7"/>
        <w:numPr>
          <w:ilvl w:val="0"/>
          <w:numId w:val="31"/>
        </w:numPr>
        <w:tabs>
          <w:tab w:val="left" w:pos="1006"/>
          <w:tab w:val="left" w:pos="3420"/>
        </w:tabs>
        <w:spacing w:before="120" w:after="120" w:line="360" w:lineRule="auto"/>
        <w:ind w:left="830" w:firstLine="8"/>
        <w:jc w:val="both"/>
        <w:rPr>
          <w:rFonts w:ascii="宋体" w:hAnsi="宋体" w:eastAsia="宋体" w:cs="宋体"/>
          <w:b w:val="0"/>
          <w:bCs w:val="0"/>
          <w:sz w:val="24"/>
          <w:szCs w:val="24"/>
        </w:rPr>
      </w:pPr>
      <w:r>
        <w:rPr>
          <w:rFonts w:hint="eastAsia" w:ascii="宋体" w:hAnsi="宋体" w:eastAsia="宋体" w:cs="宋体"/>
          <w:b w:val="0"/>
          <w:bCs w:val="0"/>
          <w:sz w:val="24"/>
          <w:szCs w:val="24"/>
        </w:rPr>
        <w:t>季度生活垃圾处理服务费=季度生活垃圾处理结算量×当期生活垃圾处理服务费单价</w:t>
      </w:r>
    </w:p>
    <w:p>
      <w:pPr>
        <w:pStyle w:val="7"/>
        <w:tabs>
          <w:tab w:val="left" w:pos="1276"/>
        </w:tabs>
        <w:spacing w:before="120" w:after="120" w:line="360" w:lineRule="auto"/>
        <w:ind w:left="661" w:leftChars="315"/>
        <w:jc w:val="both"/>
        <w:rPr>
          <w:rFonts w:ascii="宋体" w:hAnsi="宋体" w:eastAsia="宋体" w:cs="宋体"/>
          <w:b w:val="0"/>
          <w:bCs w:val="0"/>
          <w:sz w:val="24"/>
          <w:szCs w:val="24"/>
        </w:rPr>
      </w:pPr>
      <w:r>
        <w:rPr>
          <w:rFonts w:hint="eastAsia" w:ascii="宋体" w:hAnsi="宋体" w:eastAsia="宋体" w:cs="宋体"/>
          <w:b w:val="0"/>
          <w:bCs w:val="0"/>
          <w:sz w:val="24"/>
          <w:szCs w:val="24"/>
        </w:rPr>
        <w:t>(3)不可抗力期间的垃圾处理服务费支付。不可抗力期间，甲方按乙方实际处理合格的生活垃圾数量支付垃圾处理服务费，并且免除乙方在此事件中垃圾处理量不足的违约金。</w:t>
      </w:r>
    </w:p>
    <w:bookmarkEnd w:id="75"/>
    <w:bookmarkEnd w:id="76"/>
    <w:bookmarkEnd w:id="77"/>
    <w:bookmarkEnd w:id="78"/>
    <w:bookmarkEnd w:id="79"/>
    <w:p>
      <w:pPr>
        <w:pStyle w:val="4"/>
        <w:spacing w:before="360" w:line="360" w:lineRule="auto"/>
        <w:ind w:left="10" w:firstLine="408" w:firstLineChars="170"/>
        <w:jc w:val="both"/>
        <w:rPr>
          <w:rFonts w:ascii="宋体" w:hAnsi="宋体" w:eastAsia="宋体" w:cs="宋体"/>
          <w:b w:val="0"/>
          <w:bCs w:val="0"/>
          <w:sz w:val="24"/>
          <w:szCs w:val="24"/>
        </w:rPr>
      </w:pPr>
      <w:bookmarkStart w:id="81" w:name="_Toc46139745"/>
      <w:bookmarkStart w:id="82" w:name="_Toc34053894"/>
      <w:bookmarkStart w:id="83" w:name="_Toc46140702"/>
      <w:bookmarkStart w:id="84" w:name="_Toc46139785"/>
      <w:r>
        <w:rPr>
          <w:rFonts w:hint="eastAsia" w:ascii="宋体" w:hAnsi="宋体" w:eastAsia="宋体" w:cs="宋体"/>
          <w:b w:val="0"/>
          <w:bCs w:val="0"/>
          <w:sz w:val="24"/>
          <w:szCs w:val="24"/>
        </w:rPr>
        <w:t>13.3.2垃圾供应不足时的垃圾处理服务费计算</w:t>
      </w:r>
      <w:bookmarkEnd w:id="81"/>
      <w:bookmarkEnd w:id="82"/>
      <w:bookmarkEnd w:id="83"/>
      <w:bookmarkEnd w:id="84"/>
    </w:p>
    <w:p>
      <w:pPr>
        <w:pStyle w:val="7"/>
        <w:tabs>
          <w:tab w:val="left" w:pos="1276"/>
        </w:tabs>
        <w:spacing w:before="120" w:after="120" w:line="360" w:lineRule="auto"/>
        <w:ind w:left="10" w:firstLine="756" w:firstLineChars="315"/>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非因乙方或不可抗力的原因，甲方在某一运营季度内向乙方提供的季度垃圾处理结算量低于季度垃圾基本供应量，甲方将按照季度垃圾基本供应量计算当季度垃圾处理服务费。</w:t>
      </w:r>
    </w:p>
    <w:p>
      <w:pPr>
        <w:pStyle w:val="7"/>
        <w:numPr>
          <w:ilvl w:val="0"/>
          <w:numId w:val="32"/>
        </w:numPr>
        <w:tabs>
          <w:tab w:val="left" w:pos="1006"/>
          <w:tab w:val="left" w:pos="3420"/>
        </w:tabs>
        <w:spacing w:before="120" w:after="120" w:line="360" w:lineRule="auto"/>
        <w:ind w:left="619" w:leftChars="295" w:firstLine="14" w:firstLineChars="6"/>
        <w:jc w:val="both"/>
        <w:rPr>
          <w:rFonts w:ascii="宋体" w:hAnsi="宋体" w:eastAsia="宋体" w:cs="宋体"/>
          <w:b w:val="0"/>
          <w:bCs w:val="0"/>
          <w:sz w:val="24"/>
          <w:szCs w:val="24"/>
          <w:u w:val="single"/>
        </w:rPr>
      </w:pPr>
      <w:r>
        <w:rPr>
          <w:rFonts w:hint="eastAsia" w:ascii="宋体" w:hAnsi="宋体" w:eastAsia="宋体" w:cs="宋体"/>
          <w:b w:val="0"/>
          <w:bCs w:val="0"/>
          <w:sz w:val="24"/>
          <w:szCs w:val="24"/>
        </w:rPr>
        <w:t>季度垃圾基本处理服务费=季度垃圾基本供应量×当期生活垃圾处理服务费单价，其中季度垃圾基本供应量=日垃圾基本供应量×季度公历日。</w:t>
      </w:r>
    </w:p>
    <w:p>
      <w:pPr>
        <w:pStyle w:val="4"/>
        <w:spacing w:before="156" w:beforeLines="50" w:after="156" w:afterLines="50" w:line="360" w:lineRule="auto"/>
        <w:ind w:left="10" w:firstLine="408" w:firstLineChars="170"/>
        <w:jc w:val="both"/>
        <w:rPr>
          <w:rFonts w:ascii="宋体" w:hAnsi="宋体" w:eastAsia="宋体" w:cs="宋体"/>
          <w:b w:val="0"/>
          <w:bCs w:val="0"/>
          <w:sz w:val="24"/>
          <w:szCs w:val="24"/>
        </w:rPr>
      </w:pPr>
      <w:bookmarkStart w:id="85" w:name="_Ref492198662"/>
      <w:bookmarkStart w:id="86" w:name="_Toc46140703"/>
      <w:bookmarkStart w:id="87" w:name="_Toc492452626"/>
      <w:bookmarkStart w:id="88" w:name="_Toc34053895"/>
      <w:bookmarkStart w:id="89" w:name="_Toc46139746"/>
      <w:bookmarkStart w:id="90" w:name="_Toc46139786"/>
      <w:r>
        <w:rPr>
          <w:rFonts w:hint="eastAsia" w:ascii="宋体" w:hAnsi="宋体" w:eastAsia="宋体" w:cs="宋体"/>
          <w:b w:val="0"/>
          <w:bCs w:val="0"/>
          <w:sz w:val="24"/>
          <w:szCs w:val="24"/>
        </w:rPr>
        <w:t>13.3.3年垃圾处理服务费的最终结算</w:t>
      </w:r>
      <w:bookmarkEnd w:id="85"/>
      <w:bookmarkEnd w:id="86"/>
      <w:bookmarkEnd w:id="87"/>
      <w:bookmarkEnd w:id="88"/>
      <w:bookmarkEnd w:id="89"/>
      <w:bookmarkEnd w:id="90"/>
    </w:p>
    <w:p>
      <w:pPr>
        <w:pStyle w:val="6"/>
        <w:tabs>
          <w:tab w:val="left" w:pos="822"/>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每一个运营年结束，在次年2月份之前对该运营年垃圾处理服务费进行最终结算。根据该运营年的年度垃圾处理结算量、年保底垃圾供应量、年度设计规模垃圾处理量，参照季度实际支付的垃圾处理服务费计算方式，结合绩效考核结果的实际支付比例，结算年垃圾处理服务费。并按照最终结算的年垃圾处理服务费，对该运营年已经按季度实际支付的垃圾处理服务费以“多退少补”的方式处理，于支付次年第一个季度的垃圾处理服务费时一同结算。</w:t>
      </w:r>
    </w:p>
    <w:p>
      <w:pPr>
        <w:pStyle w:val="4"/>
        <w:spacing w:before="156" w:beforeLines="50" w:after="156" w:afterLines="50" w:line="360" w:lineRule="auto"/>
        <w:ind w:left="10" w:firstLine="628" w:firstLineChars="262"/>
        <w:jc w:val="both"/>
        <w:rPr>
          <w:rFonts w:ascii="宋体" w:hAnsi="宋体" w:eastAsia="宋体" w:cs="宋体"/>
          <w:b w:val="0"/>
          <w:bCs w:val="0"/>
          <w:sz w:val="24"/>
          <w:szCs w:val="24"/>
        </w:rPr>
      </w:pPr>
      <w:bookmarkStart w:id="91" w:name="_Toc34053896"/>
      <w:bookmarkStart w:id="92" w:name="_Toc46140704"/>
      <w:bookmarkStart w:id="93" w:name="_Toc46139787"/>
      <w:bookmarkStart w:id="94" w:name="_Toc46139747"/>
      <w:r>
        <w:rPr>
          <w:rFonts w:hint="eastAsia" w:ascii="宋体" w:hAnsi="宋体" w:eastAsia="宋体" w:cs="宋体"/>
          <w:b w:val="0"/>
          <w:bCs w:val="0"/>
          <w:sz w:val="24"/>
          <w:szCs w:val="24"/>
        </w:rPr>
        <w:t>13.3.4垃圾处理价格的调整</w:t>
      </w:r>
      <w:bookmarkEnd w:id="91"/>
      <w:bookmarkEnd w:id="92"/>
      <w:bookmarkEnd w:id="93"/>
      <w:bookmarkEnd w:id="94"/>
    </w:p>
    <w:p>
      <w:pPr>
        <w:pStyle w:val="6"/>
        <w:tabs>
          <w:tab w:val="left" w:pos="822"/>
        </w:tabs>
        <w:spacing w:before="120" w:after="120" w:line="360" w:lineRule="auto"/>
        <w:ind w:firstLine="480" w:firstLineChars="200"/>
        <w:jc w:val="both"/>
        <w:rPr>
          <w:rFonts w:ascii="宋体" w:hAnsi="宋体" w:eastAsia="宋体" w:cs="宋体"/>
          <w:b w:val="0"/>
          <w:bCs w:val="0"/>
          <w:sz w:val="24"/>
          <w:szCs w:val="24"/>
          <w:highlight w:val="cyan"/>
        </w:rPr>
      </w:pPr>
      <w:r>
        <w:rPr>
          <w:rFonts w:hint="eastAsia" w:ascii="宋体" w:hAnsi="宋体" w:eastAsia="宋体" w:cs="宋体"/>
          <w:b w:val="0"/>
          <w:bCs w:val="0"/>
          <w:sz w:val="24"/>
          <w:szCs w:val="24"/>
        </w:rPr>
        <w:t>（1）本项目合作期初的垃圾处理服务费价格，将根据投标确定的资本金财务内部收益率，作为合作期内价格调整的基数。合作期内，由于化学药剂、居民价格消费指数、税率、社会劳动力平均价格等因素的变化引起成本费用累计增长超过一定幅度，垃圾处理服务费价格需要作出必要调整时，乙方可向甲方书面提出调价申请，甲方应在乙方提出书面调价申请后，提请相关部门审核。</w:t>
      </w:r>
    </w:p>
    <w:p>
      <w:pPr>
        <w:pStyle w:val="6"/>
        <w:tabs>
          <w:tab w:val="left" w:pos="822"/>
        </w:tabs>
        <w:spacing w:before="120" w:after="120" w:line="360" w:lineRule="auto"/>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在合作期内，垃圾处理服务费单价调整间隔至少为</w:t>
      </w:r>
      <w:r>
        <w:rPr>
          <w:rFonts w:hint="eastAsia" w:ascii="宋体" w:hAnsi="宋体" w:eastAsia="宋体" w:cs="宋体"/>
          <w:b w:val="0"/>
          <w:bCs w:val="0"/>
          <w:sz w:val="24"/>
          <w:szCs w:val="24"/>
          <w:u w:val="single"/>
        </w:rPr>
        <w:t>叁（3）</w:t>
      </w:r>
      <w:r>
        <w:rPr>
          <w:rFonts w:hint="eastAsia" w:ascii="宋体" w:hAnsi="宋体" w:eastAsia="宋体" w:cs="宋体"/>
          <w:b w:val="0"/>
          <w:bCs w:val="0"/>
          <w:sz w:val="24"/>
          <w:szCs w:val="24"/>
        </w:rPr>
        <w:t>年，并且需同时满足该条件，即：K</w:t>
      </w:r>
      <w:r>
        <w:rPr>
          <w:rFonts w:hint="eastAsia" w:ascii="宋体" w:hAnsi="宋体" w:eastAsia="宋体" w:cs="宋体"/>
          <w:b w:val="0"/>
          <w:bCs w:val="0"/>
          <w:sz w:val="24"/>
          <w:szCs w:val="24"/>
          <w:vertAlign w:val="subscript"/>
        </w:rPr>
        <w:t>1</w:t>
      </w:r>
      <w:r>
        <w:rPr>
          <w:rFonts w:hint="eastAsia" w:ascii="宋体" w:hAnsi="宋体" w:eastAsia="宋体" w:cs="宋体"/>
          <w:b w:val="0"/>
          <w:bCs w:val="0"/>
          <w:sz w:val="24"/>
          <w:szCs w:val="24"/>
        </w:rPr>
        <w:t>小于0.95（运营成本降低）或大于1.05（运营成本提高），可启动调价。每次调价工作自价格调整年前一年的11月1日开始，于该年12月31日之前确定调整后的垃圾处理服务费单价，调价方法如下：</w:t>
      </w:r>
    </w:p>
    <w:p>
      <w:pPr>
        <w:pStyle w:val="7"/>
        <w:tabs>
          <w:tab w:val="left" w:pos="1276"/>
        </w:tabs>
        <w:spacing w:before="120" w:after="120" w:line="360" w:lineRule="auto"/>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垃圾处理服务费单价调价公式为：P</w:t>
      </w:r>
      <w:r>
        <w:rPr>
          <w:rFonts w:hint="eastAsia" w:ascii="宋体" w:hAnsi="宋体" w:eastAsia="宋体" w:cs="宋体"/>
          <w:b w:val="0"/>
          <w:bCs w:val="0"/>
          <w:sz w:val="24"/>
          <w:szCs w:val="24"/>
          <w:vertAlign w:val="subscript"/>
        </w:rPr>
        <w:t>n</w:t>
      </w:r>
      <w:r>
        <w:rPr>
          <w:rFonts w:hint="eastAsia" w:ascii="宋体" w:hAnsi="宋体" w:eastAsia="宋体" w:cs="宋体"/>
          <w:b w:val="0"/>
          <w:bCs w:val="0"/>
          <w:sz w:val="24"/>
          <w:szCs w:val="24"/>
        </w:rPr>
        <w:t>=K</w:t>
      </w:r>
      <w:r>
        <w:rPr>
          <w:rFonts w:hint="eastAsia" w:ascii="宋体" w:hAnsi="宋体" w:eastAsia="宋体" w:cs="宋体"/>
          <w:b w:val="0"/>
          <w:bCs w:val="0"/>
          <w:sz w:val="24"/>
          <w:szCs w:val="24"/>
          <w:vertAlign w:val="subscript"/>
        </w:rPr>
        <w:t>1</w:t>
      </w:r>
      <w:r>
        <w:rPr>
          <w:rFonts w:hint="eastAsia" w:ascii="宋体" w:hAnsi="宋体" w:eastAsia="宋体" w:cs="宋体"/>
          <w:b w:val="0"/>
          <w:bCs w:val="0"/>
          <w:sz w:val="24"/>
          <w:szCs w:val="24"/>
        </w:rPr>
        <w:t>×(P</w:t>
      </w:r>
      <w:r>
        <w:rPr>
          <w:rFonts w:hint="eastAsia" w:ascii="宋体" w:hAnsi="宋体" w:eastAsia="宋体" w:cs="宋体"/>
          <w:b w:val="0"/>
          <w:bCs w:val="0"/>
          <w:sz w:val="24"/>
          <w:szCs w:val="24"/>
          <w:vertAlign w:val="subscript"/>
        </w:rPr>
        <w:t>n-i</w:t>
      </w:r>
      <w:r>
        <w:rPr>
          <w:rFonts w:hint="eastAsia" w:ascii="宋体" w:hAnsi="宋体" w:eastAsia="宋体" w:cs="宋体"/>
          <w:b w:val="0"/>
          <w:bCs w:val="0"/>
          <w:sz w:val="24"/>
          <w:szCs w:val="24"/>
        </w:rPr>
        <w:t>-G)+G</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其中：</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I：调价间隔年，i≥3，即调价间隔最少为3年。</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Pn为第n年调整后的垃圾处理服务费单价；</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Pn-i为第n-i年的垃圾处理服务费单价；</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K1为调价系数；</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G为固定价格成分（包括初始垃圾处理单价构成中的固定资产折旧、无形资产摊销）</w:t>
      </w:r>
    </w:p>
    <w:p>
      <w:pPr>
        <w:pStyle w:val="7"/>
        <w:tabs>
          <w:tab w:val="left" w:pos="1276"/>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K1=a×（Ln-1/Ln-i）+b×Chn-1×Chn-2×…×Chn-i+c×（Taxn/Taxn-i）+d×CPIn-1×CPIn-2×…×CPIn-i</w:t>
      </w:r>
    </w:p>
    <w:tbl>
      <w:tblPr>
        <w:tblStyle w:val="54"/>
        <w:tblW w:w="0" w:type="auto"/>
        <w:tblInd w:w="0" w:type="dxa"/>
        <w:tblLayout w:type="fixed"/>
        <w:tblCellMar>
          <w:top w:w="0" w:type="dxa"/>
          <w:left w:w="108" w:type="dxa"/>
          <w:bottom w:w="0" w:type="dxa"/>
          <w:right w:w="108" w:type="dxa"/>
        </w:tblCellMar>
      </w:tblPr>
      <w:tblGrid>
        <w:gridCol w:w="1608"/>
        <w:gridCol w:w="6920"/>
      </w:tblGrid>
      <w:tr>
        <w:tblPrEx>
          <w:tblCellMar>
            <w:top w:w="0" w:type="dxa"/>
            <w:left w:w="108" w:type="dxa"/>
            <w:bottom w:w="0" w:type="dxa"/>
            <w:right w:w="108" w:type="dxa"/>
          </w:tblCellMar>
        </w:tblPrEx>
        <w:tc>
          <w:tcPr>
            <w:tcW w:w="1608" w:type="dxa"/>
            <w:tcBorders>
              <w:top w:val="single" w:color="auto" w:sz="12"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a</w:t>
            </w:r>
          </w:p>
        </w:tc>
        <w:tc>
          <w:tcPr>
            <w:tcW w:w="6920" w:type="dxa"/>
            <w:tcBorders>
              <w:top w:val="single" w:color="auto" w:sz="12"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是人工费用在（Pn-i-G）构成中所占的比例</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b</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是外购燃料及材料费(含外购燃料及动力费、化学药剂及其他材料等)在（Pn-i-G）构成中所占的比例</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是企业所得税在（Pn-i-G）构成中所占的比例</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d</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是（Pn-i-G）构成中除人工费用及外购燃料及材料费、企业所得税以外的其他因素在价格构成中所占的比例</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n</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是第n年时调整垃圾处理服务费单价的当年（n≥4）</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i</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调价间隔年（i≥3）</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Ln-1</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是第n年时无锡市统计局编制的《年鉴》(或相当于统计年鉴的公开出版物)中公布的第n-1年城镇单位分行业从业人员平均工资“电力、热力、燃气及水生产和供应业”在岗职工平均工资。</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Ln-i</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是第n-i+1年时无锡市统计局编制的《年鉴》(或相当于统计年鉴的公开出版物)中公布的第n-i年“城镇单位分行业从业人员平均工资电力、热力、燃气及水生产和供应业”在岗职工平均工资。</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Chn-1</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是第n年时无锡市统计局编制的《年鉴》(或相当于统计年鉴的公开出版物)中公布的第n-1年“全市工业生产者购进价格环比指数电力、热力的生产和供应业”指数</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Chn-2</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是第n-1年时无锡市统计局编制的《年鉴》(或相当于统计年鉴的公开出版物)中公布的第n-2年“全市工业生产者购进价格环比指数电力、热力的生产和供应业”指数</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Chn-i</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是第n-i+1年时无锡市统计局编制的《年鉴》(或相当于统计年鉴的公开出版物)中公布的第n-i年“全市工业生产者购进价格环比指数电力、热力的生产和供应业”指数</w:t>
            </w:r>
          </w:p>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Chn-1×Chn-2×…×Chn-i大于110%时，按110%计。</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Taxn</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是第n年时生活垃圾焚烧发电厂适用的所得税税率。</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Taxn-i</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是第n-i年时生活垃圾焚烧发电厂适用的所得税税率。</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CPIn-1</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是第n年时无锡市统计局编制的《年鉴》(或相当于统计年鉴的公开出版物)中公布的第n-1年“居民消费价格总指数”</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CPIn-2</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是第n-1年时无锡市统计局编制的《年鉴》(或相当于统计年鉴的公开出版物)中公布的第n-2年“居民消费价格总指数”</w:t>
            </w:r>
          </w:p>
        </w:tc>
      </w:tr>
      <w:tr>
        <w:tblPrEx>
          <w:tblCellMar>
            <w:top w:w="0" w:type="dxa"/>
            <w:left w:w="108" w:type="dxa"/>
            <w:bottom w:w="0" w:type="dxa"/>
            <w:right w:w="108" w:type="dxa"/>
          </w:tblCellMar>
        </w:tblPrEx>
        <w:tc>
          <w:tcPr>
            <w:tcW w:w="1608" w:type="dxa"/>
            <w:tcBorders>
              <w:top w:val="single" w:color="auto" w:sz="4" w:space="0"/>
              <w:left w:val="single" w:color="auto" w:sz="12" w:space="0"/>
              <w:bottom w:val="single" w:color="auto" w:sz="4" w:space="0"/>
              <w:right w:val="single" w:color="auto" w:sz="4"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CPIn-i</w:t>
            </w:r>
          </w:p>
        </w:tc>
        <w:tc>
          <w:tcPr>
            <w:tcW w:w="6920" w:type="dxa"/>
            <w:tcBorders>
              <w:top w:val="single" w:color="auto" w:sz="4" w:space="0"/>
              <w:left w:val="nil"/>
              <w:bottom w:val="single" w:color="auto" w:sz="4" w:space="0"/>
              <w:right w:val="single" w:color="auto" w:sz="12" w:space="0"/>
            </w:tcBorders>
          </w:tcPr>
          <w:p>
            <w:pPr>
              <w:spacing w:line="360" w:lineRule="auto"/>
              <w:ind w:left="10" w:firstLine="756" w:firstLineChars="315"/>
              <w:rPr>
                <w:rFonts w:ascii="宋体" w:hAnsi="宋体" w:cs="宋体"/>
                <w:kern w:val="0"/>
                <w:sz w:val="24"/>
                <w:szCs w:val="24"/>
              </w:rPr>
            </w:pPr>
            <w:r>
              <w:rPr>
                <w:rFonts w:hint="eastAsia" w:ascii="宋体" w:hAnsi="宋体" w:cs="宋体"/>
                <w:kern w:val="0"/>
                <w:sz w:val="24"/>
                <w:szCs w:val="24"/>
              </w:rPr>
              <w:t>是第n-i+1年时无锡市统计局编制的《年鉴》(或相当于统计年鉴的公开出版物)中公布的第n-i年“居民消费价格总指数”CPIn-1×CPIn-2×…×CPIn-i大于110%时，按110%计。</w:t>
            </w:r>
          </w:p>
        </w:tc>
      </w:tr>
    </w:tbl>
    <w:p>
      <w:pPr>
        <w:pStyle w:val="7"/>
        <w:numPr>
          <w:ilvl w:val="0"/>
          <w:numId w:val="33"/>
        </w:numPr>
        <w:tabs>
          <w:tab w:val="left" w:pos="1006"/>
          <w:tab w:val="left" w:pos="3420"/>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其中，a + b + c + d = 1</w:t>
      </w:r>
    </w:p>
    <w:p>
      <w:pPr>
        <w:pStyle w:val="7"/>
        <w:numPr>
          <w:ilvl w:val="0"/>
          <w:numId w:val="33"/>
        </w:numPr>
        <w:tabs>
          <w:tab w:val="left" w:pos="1006"/>
          <w:tab w:val="left" w:pos="3420"/>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如果外部环境标准发生变化造成垃圾处理工艺改变或者进场垃圾质量发生变化，导致上述a～d的系数发生重大变化时，受影响的一方可以向另一方提出变更系数，双方应首先协商确定合理的变更系数；如果协商不成，则双方共同委托双方认可的会计师事务所对会计报表及成本项目进行审计，以审计值或依据审计值双方协商变更系数。</w:t>
      </w:r>
    </w:p>
    <w:p>
      <w:pPr>
        <w:pStyle w:val="7"/>
        <w:numPr>
          <w:ilvl w:val="0"/>
          <w:numId w:val="33"/>
        </w:numPr>
        <w:tabs>
          <w:tab w:val="left" w:pos="1006"/>
          <w:tab w:val="left" w:pos="3420"/>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如申请调价时相关统计数据尚未公布，则先执行原价格，待统计数据公布后核定调价申请并对申请调价的次年起至新价格执行日止已经支付的运营费实行多退少补机制。</w:t>
      </w:r>
    </w:p>
    <w:p>
      <w:pPr>
        <w:pStyle w:val="7"/>
        <w:numPr>
          <w:ilvl w:val="0"/>
          <w:numId w:val="33"/>
        </w:numPr>
        <w:tabs>
          <w:tab w:val="left" w:pos="1006"/>
          <w:tab w:val="left" w:pos="3420"/>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L、Ch和CPI于生效日的值应于《特许经营协议》签署后确认。</w:t>
      </w:r>
    </w:p>
    <w:p>
      <w:pPr>
        <w:pStyle w:val="7"/>
        <w:numPr>
          <w:ilvl w:val="0"/>
          <w:numId w:val="33"/>
        </w:numPr>
        <w:tabs>
          <w:tab w:val="left" w:pos="1006"/>
          <w:tab w:val="left" w:pos="3420"/>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如果在生效日和移交日之间，上述任何指数，无锡市统计部门公布的资料中修改或不再可以得到，则采用江苏省统计部门公布的该指数替代，若江苏省统计部分也无法获取上述资料，则甲方和乙方应商定替代指数，如果不能商定一致，则根据《特许经营协议》的争议解决程序确定。</w:t>
      </w:r>
    </w:p>
    <w:p>
      <w:pPr>
        <w:pStyle w:val="7"/>
        <w:numPr>
          <w:ilvl w:val="0"/>
          <w:numId w:val="33"/>
        </w:numPr>
        <w:tabs>
          <w:tab w:val="left" w:pos="1006"/>
          <w:tab w:val="left" w:pos="3420"/>
        </w:tabs>
        <w:spacing w:before="120" w:after="120" w:line="360" w:lineRule="auto"/>
        <w:ind w:left="10" w:firstLine="756" w:firstLineChars="315"/>
        <w:jc w:val="both"/>
        <w:rPr>
          <w:rFonts w:ascii="宋体" w:hAnsi="宋体" w:eastAsia="宋体" w:cs="宋体"/>
          <w:b w:val="0"/>
          <w:bCs w:val="0"/>
          <w:sz w:val="24"/>
          <w:szCs w:val="24"/>
        </w:rPr>
      </w:pPr>
      <w:r>
        <w:rPr>
          <w:rFonts w:hint="eastAsia" w:ascii="宋体" w:hAnsi="宋体" w:eastAsia="宋体" w:cs="宋体"/>
          <w:b w:val="0"/>
          <w:bCs w:val="0"/>
          <w:sz w:val="24"/>
          <w:szCs w:val="24"/>
        </w:rPr>
        <w:t>如果Ln、Chn和CPIn指数的基点在任何时候有变，所公布的Ln、Chn和CPIn值应相应调整，以提供相对于上一次公布的指数的数值。</w:t>
      </w:r>
    </w:p>
    <w:p>
      <w:pPr>
        <w:pStyle w:val="253"/>
        <w:keepNext w:val="0"/>
        <w:spacing w:before="80" w:after="80" w:line="360" w:lineRule="auto"/>
        <w:ind w:firstLine="480" w:firstLineChars="200"/>
        <w:jc w:val="both"/>
        <w:outlineLvl w:val="9"/>
        <w:rPr>
          <w:rFonts w:cs="宋体" w:asciiTheme="minorEastAsia" w:hAnsiTheme="minorEastAsia" w:eastAsiaTheme="minorEastAsia"/>
        </w:rPr>
      </w:pPr>
      <w:r>
        <w:rPr>
          <w:rFonts w:hint="eastAsia" w:cs="宋体" w:asciiTheme="minorEastAsia" w:hAnsiTheme="minorEastAsia" w:eastAsiaTheme="minorEastAsia"/>
        </w:rPr>
        <w:t>（2）上网电价</w:t>
      </w:r>
    </w:p>
    <w:p>
      <w:pPr>
        <w:pStyle w:val="253"/>
        <w:keepNext w:val="0"/>
        <w:spacing w:before="80" w:after="80" w:line="360" w:lineRule="auto"/>
        <w:ind w:firstLine="480" w:firstLineChars="200"/>
        <w:jc w:val="both"/>
        <w:outlineLvl w:val="9"/>
        <w:rPr>
          <w:rFonts w:cs="宋体" w:asciiTheme="minorEastAsia" w:hAnsiTheme="minorEastAsia" w:eastAsiaTheme="minorEastAsia"/>
        </w:rPr>
      </w:pPr>
      <w:r>
        <w:rPr>
          <w:rFonts w:hint="eastAsia" w:cs="宋体" w:asciiTheme="minorEastAsia" w:hAnsiTheme="minorEastAsia" w:eastAsiaTheme="minorEastAsia"/>
        </w:rPr>
        <w:t>电力企业购买上述剩余电量。根据《国家发展改革委关于完善垃圾焚烧发电价格政策的通知》（发改价格〔2012〕801 号），提出以生活垃圾为原料的垃圾焚烧发电项目，均先按其入厂垃圾处理量折算成上网电量进行结算，每吨生活垃圾折算上网电量暂定为 280 kW.h，并执行全国统一垃圾发电标杆电价 0.65 元/kW.h（含税，下同）；超出部分上网电量执行当地同类燃煤发电机组上网电价，本项目垃圾焚烧发电上网电价最终以报无锡市物价主管部门（若无锡市物价主管部门没有相关规范，则以江苏省物价主管部门）核定的为准。未来单价若有调整，按有关规定执行。因国家政策调整发电上网单价导致项目运营收入增加或减少，届时甲方与乙方应根据实际情况对垃圾处理服务费予以调整。</w:t>
      </w:r>
    </w:p>
    <w:p>
      <w:pPr>
        <w:pStyle w:val="253"/>
        <w:keepNext w:val="0"/>
        <w:spacing w:before="80" w:after="80" w:line="360" w:lineRule="auto"/>
        <w:ind w:firstLine="480" w:firstLineChars="200"/>
        <w:jc w:val="both"/>
        <w:outlineLvl w:val="9"/>
        <w:rPr>
          <w:rFonts w:ascii="宋体" w:hAnsi="宋体" w:eastAsia="宋体" w:cs="宋体"/>
          <w:color w:val="auto"/>
        </w:rPr>
      </w:pPr>
      <w:r>
        <w:rPr>
          <w:rFonts w:hint="eastAsia" w:ascii="宋体" w:hAnsi="宋体" w:eastAsia="宋体" w:cs="宋体"/>
          <w:color w:val="auto"/>
        </w:rPr>
        <w:t>13.3.5 支付方式</w:t>
      </w:r>
      <w:bookmarkEnd w:id="80"/>
    </w:p>
    <w:p>
      <w:pPr>
        <w:pStyle w:val="478"/>
        <w:adjustRightInd/>
        <w:spacing w:before="80" w:after="80" w:line="360" w:lineRule="auto"/>
        <w:ind w:right="119" w:firstLine="539"/>
        <w:rPr>
          <w:rFonts w:ascii="宋体" w:hAnsi="宋体" w:cs="宋体"/>
          <w:kern w:val="2"/>
        </w:rPr>
      </w:pPr>
      <w:r>
        <w:rPr>
          <w:rFonts w:hint="eastAsia" w:ascii="宋体" w:hAnsi="宋体" w:cs="宋体"/>
          <w:kern w:val="2"/>
        </w:rPr>
        <w:t>在条件具备时，由甲方、乙方与财政部门协商设立垃圾处理服务费专用账户，相关条款届时协商解决。</w:t>
      </w:r>
    </w:p>
    <w:p>
      <w:pPr>
        <w:pStyle w:val="478"/>
        <w:adjustRightInd/>
        <w:spacing w:before="80" w:after="80" w:line="360" w:lineRule="auto"/>
        <w:ind w:right="119" w:firstLine="539"/>
        <w:rPr>
          <w:rFonts w:ascii="宋体" w:hAnsi="宋体" w:cs="宋体"/>
          <w:kern w:val="2"/>
        </w:rPr>
      </w:pPr>
      <w:r>
        <w:rPr>
          <w:rFonts w:hint="eastAsia" w:ascii="宋体" w:hAnsi="宋体" w:cs="宋体"/>
          <w:kern w:val="2"/>
        </w:rPr>
        <w:t>所有此等费用均应按照双方约定的收款人、开户行、账户和付款方式，由甲方以人民币向乙方支付，银行手续费由每一方自行承担：</w:t>
      </w:r>
    </w:p>
    <w:p>
      <w:pPr>
        <w:pStyle w:val="253"/>
        <w:keepNext w:val="0"/>
        <w:spacing w:before="80" w:after="80" w:line="360" w:lineRule="auto"/>
        <w:ind w:firstLine="480" w:firstLineChars="200"/>
        <w:jc w:val="both"/>
        <w:outlineLvl w:val="9"/>
        <w:rPr>
          <w:rFonts w:ascii="宋体" w:hAnsi="宋体" w:eastAsia="宋体" w:cs="宋体"/>
          <w:color w:val="auto"/>
        </w:rPr>
      </w:pPr>
      <w:bookmarkStart w:id="95" w:name="_Toc24885732"/>
      <w:r>
        <w:rPr>
          <w:rFonts w:hint="eastAsia" w:ascii="宋体" w:hAnsi="宋体" w:eastAsia="宋体" w:cs="宋体"/>
          <w:color w:val="auto"/>
        </w:rPr>
        <w:t>13.3.6 支付程序</w:t>
      </w:r>
      <w:bookmarkEnd w:id="95"/>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在每年的1月、4月、7月及10月份的前十五（15）个工作日内，乙方提出上一运营季度的支付申请，并将下列资料提交甲方审核： A.经甲乙双方签发认可的上个运营季度的《垃圾处理量确认单》；B. 上一运营季度应支付的垃圾处理服务费申请金额。</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（1）甲方在收到上述资料后的十五（15）个工作日内完成对上述资料的审核；</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（2）乙方根据甲方的审核结果，开具相应的垃圾服务费收费凭证提交给甲方；</w:t>
      </w:r>
    </w:p>
    <w:p>
      <w:pPr>
        <w:pStyle w:val="307"/>
        <w:adjustRightInd/>
        <w:spacing w:before="80" w:after="80" w:line="360" w:lineRule="auto"/>
        <w:ind w:firstLine="480" w:firstLineChars="200"/>
        <w:rPr>
          <w:rFonts w:ascii="宋体" w:hAnsi="宋体" w:cs="宋体"/>
          <w:color w:val="auto"/>
          <w:kern w:val="2"/>
        </w:rPr>
      </w:pPr>
      <w:r>
        <w:rPr>
          <w:rFonts w:hint="eastAsia" w:ascii="宋体" w:hAnsi="宋体" w:cs="宋体"/>
          <w:color w:val="auto"/>
          <w:kern w:val="2"/>
        </w:rPr>
        <w:t>（3）甲方在收到上述收费凭证后的十（10）个工作日内由财政部门进行支付。</w:t>
      </w:r>
    </w:p>
    <w:p>
      <w:pPr>
        <w:pStyle w:val="253"/>
        <w:keepNext w:val="0"/>
        <w:spacing w:before="80" w:after="80" w:line="360" w:lineRule="auto"/>
        <w:ind w:firstLine="480" w:firstLineChars="200"/>
        <w:jc w:val="both"/>
        <w:outlineLvl w:val="9"/>
        <w:rPr>
          <w:rFonts w:ascii="宋体" w:hAnsi="宋体" w:eastAsia="宋体" w:cs="宋体"/>
          <w:color w:val="auto"/>
        </w:rPr>
      </w:pPr>
      <w:bookmarkStart w:id="96" w:name="_Toc24885733"/>
      <w:r>
        <w:rPr>
          <w:rFonts w:hint="eastAsia" w:ascii="宋体" w:hAnsi="宋体" w:eastAsia="宋体" w:cs="宋体"/>
          <w:color w:val="auto"/>
        </w:rPr>
        <w:t>13.3.7 支付保证</w:t>
      </w:r>
      <w:bookmarkEnd w:id="96"/>
    </w:p>
    <w:p>
      <w:pPr>
        <w:pStyle w:val="409"/>
        <w:adjustRightInd/>
        <w:spacing w:before="80" w:after="80" w:line="360" w:lineRule="auto"/>
        <w:ind w:right="119" w:firstLine="482"/>
        <w:rPr>
          <w:rFonts w:ascii="宋体" w:hAnsi="宋体" w:cs="宋体"/>
          <w:kern w:val="2"/>
        </w:rPr>
      </w:pPr>
      <w:bookmarkStart w:id="97" w:name="_Toc222563734"/>
      <w:bookmarkStart w:id="98" w:name="_Toc218311053"/>
      <w:r>
        <w:rPr>
          <w:rFonts w:hint="eastAsia" w:ascii="宋体" w:hAnsi="宋体" w:cs="宋体"/>
          <w:kern w:val="2"/>
        </w:rPr>
        <w:t>甲方应积极协调将垃圾服务费列入当年的财政预算中，由甲方负责与当地财政部门办理垃圾服务费支付手续，以确保垃圾服务费及时支付。</w:t>
      </w:r>
    </w:p>
    <w:p>
      <w:pPr>
        <w:pStyle w:val="418"/>
        <w:keepNext w:val="0"/>
        <w:spacing w:before="80" w:after="80" w:line="360" w:lineRule="auto"/>
        <w:ind w:firstLine="482" w:firstLineChars="200"/>
        <w:jc w:val="both"/>
        <w:outlineLvl w:val="9"/>
        <w:rPr>
          <w:rFonts w:ascii="宋体" w:hAnsi="宋体" w:eastAsia="宋体" w:cs="宋体"/>
          <w:color w:val="auto"/>
          <w:sz w:val="24"/>
          <w:szCs w:val="24"/>
        </w:rPr>
      </w:pPr>
      <w:bookmarkStart w:id="99" w:name="_Toc24885734"/>
      <w:r>
        <w:rPr>
          <w:rFonts w:hint="eastAsia" w:ascii="宋体" w:hAnsi="宋体" w:eastAsia="宋体" w:cs="宋体"/>
          <w:color w:val="auto"/>
          <w:sz w:val="24"/>
          <w:szCs w:val="24"/>
        </w:rPr>
        <w:t>13.3.8非正常支付</w:t>
      </w:r>
      <w:bookmarkEnd w:id="97"/>
      <w:bookmarkEnd w:id="98"/>
      <w:bookmarkEnd w:id="99"/>
    </w:p>
    <w:p>
      <w:pPr>
        <w:pStyle w:val="253"/>
        <w:keepNext w:val="0"/>
        <w:spacing w:before="80" w:after="80" w:line="360" w:lineRule="auto"/>
        <w:ind w:firstLine="480" w:firstLineChars="200"/>
        <w:jc w:val="both"/>
        <w:outlineLvl w:val="9"/>
        <w:rPr>
          <w:rFonts w:ascii="宋体" w:hAnsi="宋体" w:eastAsia="宋体" w:cs="宋体"/>
          <w:color w:val="auto"/>
        </w:rPr>
      </w:pPr>
      <w:bookmarkStart w:id="100" w:name="_Toc24885735"/>
      <w:r>
        <w:rPr>
          <w:rFonts w:hint="eastAsia" w:ascii="宋体" w:hAnsi="宋体" w:eastAsia="宋体" w:cs="宋体"/>
          <w:color w:val="auto"/>
        </w:rPr>
        <w:t>13.3.8.1有争议的金额</w:t>
      </w:r>
      <w:bookmarkEnd w:id="100"/>
    </w:p>
    <w:p>
      <w:pPr>
        <w:pStyle w:val="307"/>
        <w:adjustRightInd/>
        <w:spacing w:before="80" w:after="80" w:line="360" w:lineRule="auto"/>
        <w:ind w:right="120" w:firstLine="480" w:firstLineChars="200"/>
        <w:rPr>
          <w:rFonts w:ascii="宋体" w:hAnsi="宋体" w:cs="宋体"/>
          <w:color w:val="auto"/>
          <w:kern w:val="2"/>
        </w:rPr>
      </w:pPr>
      <w:r>
        <w:rPr>
          <w:rFonts w:hint="eastAsia" w:ascii="宋体" w:hAnsi="宋体" w:cs="宋体"/>
          <w:color w:val="auto"/>
          <w:kern w:val="2"/>
        </w:rPr>
        <w:t>如果甲方对乙方申请的运营季度支付金额持有异议，甲方应在收到支付申请之日后的五（5）天内通知乙方，并先支付无异议的金额部分，剩余的有争议金额部分则按本合同的有关规定解决。</w:t>
      </w:r>
    </w:p>
    <w:p>
      <w:pPr>
        <w:pStyle w:val="253"/>
        <w:keepNext w:val="0"/>
        <w:spacing w:before="80" w:after="80" w:line="360" w:lineRule="auto"/>
        <w:ind w:firstLine="480" w:firstLineChars="200"/>
        <w:jc w:val="both"/>
        <w:outlineLvl w:val="9"/>
        <w:rPr>
          <w:rFonts w:ascii="宋体" w:hAnsi="宋体" w:eastAsia="宋体" w:cs="宋体"/>
          <w:color w:val="auto"/>
        </w:rPr>
      </w:pPr>
      <w:bookmarkStart w:id="101" w:name="_Toc24885736"/>
      <w:r>
        <w:rPr>
          <w:rFonts w:hint="eastAsia" w:ascii="宋体" w:hAnsi="宋体" w:eastAsia="宋体" w:cs="宋体"/>
          <w:color w:val="auto"/>
        </w:rPr>
        <w:t>13.3.8.2 已支付的退还</w:t>
      </w:r>
      <w:bookmarkEnd w:id="101"/>
    </w:p>
    <w:p>
      <w:pPr>
        <w:pStyle w:val="307"/>
        <w:adjustRightInd/>
        <w:spacing w:before="80" w:after="80" w:line="360" w:lineRule="auto"/>
        <w:ind w:right="120" w:firstLine="480" w:firstLineChars="200"/>
        <w:rPr>
          <w:rFonts w:ascii="宋体" w:hAnsi="宋体" w:cs="宋体"/>
          <w:color w:val="auto"/>
          <w:kern w:val="2"/>
        </w:rPr>
      </w:pPr>
      <w:r>
        <w:rPr>
          <w:rFonts w:hint="eastAsia" w:ascii="宋体" w:hAnsi="宋体" w:cs="宋体"/>
          <w:color w:val="auto"/>
          <w:kern w:val="2"/>
        </w:rPr>
        <w:t>如果乙方申请支付的全部金额或部分金额已支付，但事后产生争议或异议，且后来双方确定为属于不当支付，则乙方应退还不当支付部分。</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13.3.9其他约定</w:t>
      </w:r>
    </w:p>
    <w:p>
      <w:pPr>
        <w:adjustRightInd w:val="0"/>
        <w:snapToGrid w:val="0"/>
        <w:spacing w:before="80" w:after="80" w:line="360" w:lineRule="auto"/>
        <w:ind w:firstLine="424" w:firstLineChars="177"/>
        <w:rPr>
          <w:rFonts w:ascii="宋体" w:hAnsi="宋体" w:cs="宋体"/>
          <w:sz w:val="24"/>
          <w:szCs w:val="24"/>
        </w:rPr>
      </w:pPr>
      <w:r>
        <w:rPr>
          <w:rFonts w:hint="eastAsia" w:ascii="宋体" w:hAnsi="宋体" w:cs="宋体"/>
          <w:sz w:val="24"/>
          <w:szCs w:val="24"/>
        </w:rPr>
        <w:t>双方一致同意，项目实施过程中，若国家相关主管部门对于垃圾处理项目管理出台相关国家标准或者行业标准的，按届时新标准规定执行，若是届时出台的新标准对于本合同相关约定包括但不限于垃圾服务费的计算方式等有实质性影响的，双方应本着友好协商的原则洽商具体变更调整方案，直至达成一致。</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针对厂区内部分，政府相关审计部门有审查权与监督权，一旦通过审计发现实际投资额减少，则应按减少的投资额重新计算垃圾处理服务费，审计后如发现实际投资额增加，则增加额由乙方自行承担（政府主动要求改变设计条件导致投资额增加的除外），不得调整垃圾处理服务费。</w:t>
      </w:r>
    </w:p>
    <w:p>
      <w:pPr>
        <w:pStyle w:val="282"/>
        <w:snapToGrid w:val="0"/>
        <w:spacing w:line="360" w:lineRule="auto"/>
        <w:ind w:firstLine="480"/>
        <w:rPr>
          <w:rFonts w:ascii="宋体" w:hAnsi="宋体" w:cs="宋体"/>
          <w:sz w:val="24"/>
          <w:szCs w:val="24"/>
        </w:rPr>
      </w:pPr>
      <w:r>
        <w:rPr>
          <w:rFonts w:hint="eastAsia" w:ascii="宋体" w:hAnsi="宋体" w:cs="宋体"/>
          <w:sz w:val="24"/>
          <w:szCs w:val="24"/>
        </w:rPr>
        <w:t>13.3.10 迟延付款的责任</w:t>
      </w:r>
    </w:p>
    <w:p>
      <w:pPr>
        <w:pStyle w:val="282"/>
        <w:snapToGrid w:val="0"/>
        <w:spacing w:line="360" w:lineRule="auto"/>
        <w:ind w:firstLine="480"/>
        <w:rPr>
          <w:rFonts w:ascii="宋体" w:hAnsi="宋体" w:cs="宋体"/>
          <w:sz w:val="24"/>
          <w:szCs w:val="24"/>
        </w:rPr>
      </w:pPr>
      <w:r>
        <w:rPr>
          <w:rFonts w:hint="eastAsia" w:ascii="宋体" w:hAnsi="宋体" w:cs="宋体"/>
          <w:sz w:val="24"/>
          <w:szCs w:val="24"/>
        </w:rPr>
        <w:t>若甲方未按照本合同第13.3.6款的约定按时足额向乙方支付服务费，则乙方可向甲方发出催付款通知；若甲方在收到该催付通知10日后仍未能支付，则甲方应在前述期限届满后10日内与乙方协商签订延期付款协议后延期支付，并支付延期期间的资金占用利息（</w:t>
      </w:r>
      <w:r>
        <w:rPr>
          <w:rFonts w:hint="eastAsia" w:ascii="宋体" w:hAnsi="宋体" w:cs="宋体"/>
          <w:color w:val="auto"/>
          <w:sz w:val="24"/>
          <w:szCs w:val="24"/>
          <w:lang w:eastAsia="zh-CN"/>
        </w:rPr>
        <w:t>利率按照全国银行间同业拆借中心公布的贷款市场报价利率（</w:t>
      </w:r>
      <w:r>
        <w:rPr>
          <w:rFonts w:hint="eastAsia" w:ascii="宋体" w:hAnsi="宋体" w:cs="宋体"/>
          <w:color w:val="auto"/>
          <w:sz w:val="24"/>
          <w:szCs w:val="24"/>
          <w:lang w:val="en-US" w:eastAsia="zh-CN"/>
        </w:rPr>
        <w:t>LRP</w:t>
      </w:r>
      <w:r>
        <w:rPr>
          <w:rFonts w:hint="eastAsia" w:ascii="宋体" w:hAnsi="宋体" w:cs="宋体"/>
          <w:color w:val="auto"/>
          <w:sz w:val="24"/>
          <w:szCs w:val="24"/>
          <w:lang w:eastAsia="zh-CN"/>
        </w:rPr>
        <w:t>）同期五年期贷款基准利率计</w:t>
      </w:r>
      <w:r>
        <w:rPr>
          <w:rFonts w:hint="eastAsia" w:ascii="宋体" w:hAnsi="宋体" w:cs="宋体"/>
          <w:color w:val="auto"/>
          <w:sz w:val="24"/>
          <w:szCs w:val="24"/>
        </w:rPr>
        <w:t>）</w:t>
      </w:r>
      <w:r>
        <w:rPr>
          <w:rFonts w:hint="eastAsia" w:ascii="宋体" w:hAnsi="宋体" w:cs="宋体"/>
          <w:sz w:val="24"/>
          <w:szCs w:val="24"/>
        </w:rPr>
        <w:t>。若甲方和乙方未能在上述期限内达成延期付款协议，由甲方每日按向乙方支付违约金。如甲方未按本合同第13.3.6款约定向乙方支付服务费，且已逾期（自应付款日起计算）超过_3__个月的，乙方有权向甲方发出终止意向通知。</w:t>
      </w:r>
    </w:p>
    <w:p>
      <w:pPr>
        <w:keepNext w:val="0"/>
        <w:spacing w:before="80" w:after="80" w:line="360" w:lineRule="auto"/>
        <w:jc w:val="both"/>
        <w:outlineLvl w:val="0"/>
        <w:rPr>
          <w:rFonts w:ascii="宋体" w:hAnsi="宋体" w:cs="宋体"/>
          <w:sz w:val="28"/>
          <w:szCs w:val="28"/>
        </w:rPr>
      </w:pPr>
      <w:bookmarkStart w:id="102" w:name="_Toc46140705"/>
      <w:r>
        <w:rPr>
          <w:rFonts w:hint="eastAsia" w:ascii="宋体" w:hAnsi="宋体" w:cs="宋体"/>
          <w:b/>
          <w:sz w:val="28"/>
          <w:szCs w:val="28"/>
        </w:rPr>
        <w:t>第</w:t>
      </w:r>
      <w:r>
        <w:rPr>
          <w:rFonts w:ascii="宋体" w:hAnsi="宋体" w:cs="宋体"/>
          <w:b/>
          <w:sz w:val="28"/>
          <w:szCs w:val="28"/>
        </w:rPr>
        <w:t xml:space="preserve">14条  </w:t>
      </w:r>
      <w:r>
        <w:rPr>
          <w:rFonts w:hint="eastAsia" w:ascii="宋体" w:hAnsi="宋体" w:cs="宋体"/>
          <w:b/>
          <w:sz w:val="28"/>
          <w:szCs w:val="28"/>
        </w:rPr>
        <w:t>其他经营性收入</w:t>
      </w:r>
      <w:bookmarkEnd w:id="102"/>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乙方通过处理垃圾及综合利用，产生包括但不限于■电力的产品，产品的所有权和由此获取的收入均归乙方所有。</w:t>
      </w:r>
    </w:p>
    <w:p>
      <w:pPr>
        <w:spacing w:before="80" w:after="80" w:line="360" w:lineRule="auto"/>
        <w:rPr>
          <w:rFonts w:ascii="宋体" w:hAnsi="宋体" w:cs="宋体"/>
          <w:b/>
          <w:sz w:val="24"/>
          <w:szCs w:val="24"/>
        </w:rPr>
      </w:pPr>
      <w:r>
        <w:rPr>
          <w:rFonts w:hint="eastAsia" w:ascii="宋体" w:hAnsi="宋体" w:cs="宋体"/>
          <w:sz w:val="24"/>
          <w:szCs w:val="24"/>
        </w:rPr>
        <w:tab/>
      </w:r>
      <w:r>
        <w:rPr>
          <w:rFonts w:hint="eastAsia" w:ascii="宋体" w:hAnsi="宋体" w:cs="宋体"/>
          <w:b/>
          <w:sz w:val="24"/>
          <w:szCs w:val="24"/>
        </w:rPr>
        <w:t>14.1基本原则</w:t>
      </w:r>
    </w:p>
    <w:p>
      <w:pPr>
        <w:spacing w:before="80" w:after="80" w:line="360" w:lineRule="auto"/>
        <w:ind w:firstLine="480"/>
        <w:rPr>
          <w:rFonts w:ascii="宋体" w:hAnsi="宋体" w:cs="宋体"/>
          <w:sz w:val="24"/>
          <w:szCs w:val="24"/>
        </w:rPr>
      </w:pPr>
      <w:r>
        <w:rPr>
          <w:rFonts w:hint="eastAsia" w:ascii="宋体" w:hAnsi="宋体" w:cs="宋体"/>
          <w:sz w:val="24"/>
          <w:szCs w:val="24"/>
        </w:rPr>
        <w:t>14.1.1 甲方应协助乙方与■电力公司在开始运营日前签订相关的供销协议。非因不可抗力事件或法律变更或甲方违约，乙方未按本合同的约定与【■电力公司签订相关■电力供销合同，则构成可导致本合同提前终止的乙方违约事件，甲方有权根据第25.1款的约定发出终止意向通知。</w:t>
      </w:r>
    </w:p>
    <w:p>
      <w:pPr>
        <w:spacing w:before="80" w:after="80" w:line="360" w:lineRule="auto"/>
        <w:ind w:firstLine="480"/>
        <w:rPr>
          <w:rFonts w:ascii="宋体" w:hAnsi="宋体" w:cs="宋体"/>
          <w:sz w:val="24"/>
          <w:szCs w:val="24"/>
        </w:rPr>
      </w:pPr>
      <w:r>
        <w:rPr>
          <w:rFonts w:hint="eastAsia" w:ascii="宋体" w:hAnsi="宋体" w:cs="宋体"/>
          <w:sz w:val="24"/>
          <w:szCs w:val="24"/>
        </w:rPr>
        <w:t>14.1.2 乙方负责对上述产品进行加工处理，达到可以出售的■电力产品所属行业标准。在此过程中，需要支出的管道连接、并网等费用由■乙方负责承担，费■列入项目特许经营权转让费。</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14.2产品供销价格</w:t>
      </w:r>
    </w:p>
    <w:p>
      <w:pPr>
        <w:spacing w:before="80" w:after="80" w:line="360" w:lineRule="auto"/>
        <w:ind w:firstLine="480"/>
        <w:rPr>
          <w:rFonts w:ascii="宋体" w:hAnsi="宋体" w:cs="宋体"/>
          <w:sz w:val="24"/>
          <w:szCs w:val="24"/>
        </w:rPr>
      </w:pPr>
      <w:r>
        <w:rPr>
          <w:rFonts w:hint="eastAsia" w:ascii="宋体" w:hAnsi="宋体" w:cs="宋体"/>
          <w:sz w:val="24"/>
          <w:szCs w:val="24"/>
        </w:rPr>
        <w:t>14.2.1 本项目产品价格按照物价等主管部门发布的标准计算或执行，具体以乙方与■电力公司签订的相关合同为准。</w:t>
      </w:r>
    </w:p>
    <w:p>
      <w:pPr>
        <w:spacing w:line="360" w:lineRule="auto"/>
        <w:ind w:firstLine="480"/>
        <w:rPr>
          <w:rFonts w:ascii="宋体" w:hAnsi="宋体" w:cs="宋体"/>
          <w:sz w:val="24"/>
          <w:szCs w:val="24"/>
        </w:rPr>
      </w:pPr>
      <w:r>
        <w:rPr>
          <w:rFonts w:hint="eastAsia" w:ascii="宋体" w:hAnsi="宋体" w:cs="宋体"/>
          <w:sz w:val="24"/>
          <w:szCs w:val="24"/>
        </w:rPr>
        <w:t>14.2.2产品供销价格结算</w:t>
      </w:r>
    </w:p>
    <w:p>
      <w:pPr>
        <w:spacing w:line="360" w:lineRule="auto"/>
        <w:ind w:firstLine="480"/>
        <w:rPr>
          <w:rFonts w:ascii="宋体" w:hAnsi="宋体" w:cs="宋体"/>
          <w:sz w:val="24"/>
          <w:szCs w:val="24"/>
        </w:rPr>
      </w:pPr>
      <w:r>
        <w:rPr>
          <w:rFonts w:hint="eastAsia" w:ascii="宋体" w:hAnsi="宋体" w:cs="宋体"/>
          <w:sz w:val="24"/>
          <w:szCs w:val="24"/>
        </w:rPr>
        <w:t>（1）根据《国家发展改革委关于完善垃圾焚烧发电价格政策的通知》（发改价格〔2012〕801 号），提出以生活垃圾为原料的垃圾焚烧发电项目，均先按其入厂垃圾处理量折算成上网电量进行结算，每吨生活垃圾折算上网电量暂定为 280 kW.h，并执行全国统一垃圾发电标杆电价 0.65 元/kW.h（含税）。</w:t>
      </w:r>
    </w:p>
    <w:p>
      <w:pPr>
        <w:spacing w:line="360" w:lineRule="auto"/>
        <w:ind w:firstLine="480"/>
        <w:rPr>
          <w:rFonts w:ascii="宋体" w:hAnsi="宋体" w:cs="宋体"/>
          <w:sz w:val="24"/>
          <w:szCs w:val="24"/>
        </w:rPr>
      </w:pPr>
      <w:r>
        <w:rPr>
          <w:rFonts w:hint="eastAsia" w:ascii="宋体" w:hAnsi="宋体" w:cs="宋体"/>
          <w:sz w:val="24"/>
          <w:szCs w:val="24"/>
        </w:rPr>
        <w:t>（2）超出部分上网电量执行当地同类燃煤发电机组上网电价，本项目垃圾焚烧发电上网电价最终以报无锡市物价主管部门（若无锡市物价主管部门没有相关规范，则以江苏省物价主管部门）核定的为准。未来单价若有调整，按有关规定执行。因国家政策调整发电上网单价导致项目运营收入增加或减少，届时甲方与乙方应根据实际情况对垃圾处理服务费予以调整。</w:t>
      </w:r>
    </w:p>
    <w:p>
      <w:pPr>
        <w:spacing w:line="360" w:lineRule="auto"/>
        <w:ind w:firstLine="480"/>
        <w:rPr>
          <w:rFonts w:ascii="宋体" w:hAnsi="宋体" w:cs="宋体"/>
          <w:sz w:val="24"/>
          <w:szCs w:val="24"/>
        </w:rPr>
      </w:pPr>
      <w:r>
        <w:rPr>
          <w:rFonts w:hint="eastAsia" w:ascii="宋体" w:hAnsi="宋体" w:cs="宋体"/>
          <w:sz w:val="24"/>
          <w:szCs w:val="24"/>
        </w:rPr>
        <w:t>14.2.3 为便于上述第14.2.2款的执行，乙方应在向甲方报送月垃圾处理结算量的同时向甲方报送当月的产品供销清单及与■电力公司的产品供销价款结算凭证复印件。</w:t>
      </w:r>
    </w:p>
    <w:p>
      <w:pPr>
        <w:keepNext w:val="0"/>
        <w:spacing w:before="80" w:after="80" w:line="360" w:lineRule="auto"/>
        <w:jc w:val="both"/>
        <w:outlineLvl w:val="0"/>
        <w:rPr>
          <w:rFonts w:ascii="宋体" w:hAnsi="宋体" w:cs="宋体"/>
          <w:sz w:val="28"/>
          <w:szCs w:val="28"/>
        </w:rPr>
      </w:pPr>
      <w:bookmarkStart w:id="103" w:name="_Toc46140706"/>
      <w:r>
        <w:rPr>
          <w:rFonts w:hint="eastAsia" w:ascii="宋体" w:hAnsi="宋体" w:cs="宋体"/>
          <w:b/>
          <w:sz w:val="28"/>
          <w:szCs w:val="28"/>
        </w:rPr>
        <w:t>第</w:t>
      </w:r>
      <w:r>
        <w:rPr>
          <w:rFonts w:ascii="宋体" w:hAnsi="宋体" w:cs="宋体"/>
          <w:b/>
          <w:sz w:val="28"/>
          <w:szCs w:val="28"/>
        </w:rPr>
        <w:t xml:space="preserve">15条  </w:t>
      </w:r>
      <w:r>
        <w:rPr>
          <w:rFonts w:hint="eastAsia" w:ascii="宋体" w:hAnsi="宋体" w:cs="宋体"/>
          <w:b/>
          <w:sz w:val="28"/>
          <w:szCs w:val="28"/>
        </w:rPr>
        <w:t>项目的移交</w:t>
      </w:r>
      <w:bookmarkEnd w:id="103"/>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15.1移交委员会及移交程序</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15.1.1移交委员会</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合作期限届满_12__个月前，甲方和乙方应成立移交委员会，移交委员会由甲方叁（3）名授权代表（至少包含1名接收人代表）和乙方叁（3）名授权代表组成。移交委员会应定期或不定期举行会议，商定具体移交方式、移交程序和移交要求。</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15.1.2移交程序</w:t>
      </w:r>
    </w:p>
    <w:p>
      <w:pPr>
        <w:numPr>
          <w:ilvl w:val="0"/>
          <w:numId w:val="34"/>
        </w:numPr>
        <w:spacing w:before="80" w:after="80" w:line="360" w:lineRule="auto"/>
        <w:ind w:firstLine="424" w:firstLineChars="177"/>
        <w:rPr>
          <w:rFonts w:ascii="宋体" w:hAnsi="宋体" w:cs="宋体"/>
          <w:sz w:val="24"/>
          <w:szCs w:val="24"/>
        </w:rPr>
      </w:pPr>
      <w:r>
        <w:rPr>
          <w:rFonts w:hint="eastAsia" w:ascii="宋体" w:hAnsi="宋体" w:cs="宋体"/>
          <w:sz w:val="24"/>
          <w:szCs w:val="24"/>
        </w:rPr>
        <w:t>移交委员会应在移交日_3__个月前会谈并商定移交项目设施清单（包括备品备件的详细清单）和移交程序。</w:t>
      </w:r>
    </w:p>
    <w:p>
      <w:pPr>
        <w:numPr>
          <w:ilvl w:val="0"/>
          <w:numId w:val="34"/>
        </w:numPr>
        <w:spacing w:before="80" w:after="80" w:line="360" w:lineRule="auto"/>
        <w:ind w:firstLine="424" w:firstLineChars="177"/>
        <w:rPr>
          <w:rFonts w:ascii="宋体" w:hAnsi="宋体" w:cs="宋体"/>
          <w:sz w:val="24"/>
          <w:szCs w:val="24"/>
        </w:rPr>
      </w:pPr>
      <w:r>
        <w:rPr>
          <w:rFonts w:hint="eastAsia" w:ascii="宋体" w:hAnsi="宋体" w:cs="宋体"/>
          <w:sz w:val="24"/>
          <w:szCs w:val="24"/>
        </w:rPr>
        <w:t>乙方应根据移交委员会要求提供移交所需必要的文件、记录、报告等数据，作为移交时双方的参考。</w:t>
      </w:r>
    </w:p>
    <w:p>
      <w:pPr>
        <w:spacing w:before="80" w:after="80" w:line="360" w:lineRule="auto"/>
        <w:ind w:firstLine="424" w:firstLineChars="177"/>
        <w:rPr>
          <w:rFonts w:ascii="宋体" w:hAnsi="宋体" w:cs="宋体"/>
          <w:sz w:val="24"/>
          <w:szCs w:val="24"/>
          <w:u w:val="single"/>
        </w:rPr>
      </w:pPr>
      <w:r>
        <w:rPr>
          <w:rFonts w:hint="eastAsia" w:ascii="宋体" w:hAnsi="宋体" w:cs="宋体"/>
          <w:sz w:val="24"/>
          <w:szCs w:val="24"/>
        </w:rPr>
        <w:t>（3）除本合同另有约定外，双方在完成项目资产移交程序前，均应继续履行其本合同项下的义务。</w:t>
      </w:r>
    </w:p>
    <w:p>
      <w:pPr>
        <w:spacing w:line="360" w:lineRule="auto"/>
        <w:ind w:firstLine="424" w:firstLineChars="176"/>
        <w:rPr>
          <w:rFonts w:ascii="宋体" w:hAnsi="宋体" w:cs="宋体"/>
          <w:sz w:val="24"/>
          <w:szCs w:val="24"/>
        </w:rPr>
      </w:pPr>
      <w:r>
        <w:rPr>
          <w:rFonts w:hint="eastAsia" w:ascii="宋体" w:hAnsi="宋体" w:cs="宋体"/>
          <w:b/>
          <w:sz w:val="24"/>
          <w:szCs w:val="24"/>
        </w:rPr>
        <w:t>15.2移交范围</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在移交日，乙方应向甲方或政府指定机构完好无偿地移交本项目资产和相关权益。移交的范围包括：</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15.2.1项目经营权及垃圾处理厂等项目设施；</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15.2.2本项目土地的占用、使用及收益权；</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15.2.3甲方可以合理要求的，且此前乙方未按照本合同约定交付的投资、融资、运营、维护、修理记录、移交记录和其他资料，以使其能够直接或通过其指定机构继续本项目的运营；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15.2.4与本项目设施使用相关的机器、装置、零部件、备品备件、化学品以及其他动产；</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15.2.5运营维护本项目设施所要求的所有技术和技术诀窍、知识产权等无形资产（包括以任何许可方式取得的，乙方不拥有相应知识产权的除外），其中就知识产权移交问题，双方另有约定的除外；</w:t>
      </w:r>
    </w:p>
    <w:p>
      <w:pPr>
        <w:pStyle w:val="282"/>
        <w:ind w:firstLine="240" w:firstLineChars="100"/>
        <w:rPr>
          <w:rFonts w:ascii="宋体" w:hAnsi="宋体" w:cs="宋体"/>
          <w:sz w:val="24"/>
          <w:szCs w:val="24"/>
        </w:rPr>
      </w:pPr>
      <w:r>
        <w:rPr>
          <w:rFonts w:hint="eastAsia" w:ascii="宋体" w:hAnsi="宋体" w:cs="宋体"/>
          <w:iCs/>
          <w:sz w:val="24"/>
          <w:szCs w:val="24"/>
        </w:rPr>
        <w:t>15.2.6</w:t>
      </w:r>
      <w:r>
        <w:rPr>
          <w:rFonts w:hint="eastAsia" w:ascii="宋体" w:hAnsi="宋体" w:cs="宋体"/>
          <w:sz w:val="24"/>
          <w:szCs w:val="24"/>
        </w:rPr>
        <w:t>运营维护本项目过程中形成的垃圾处理数据资料；</w:t>
      </w:r>
    </w:p>
    <w:p>
      <w:pPr>
        <w:pStyle w:val="282"/>
        <w:ind w:firstLine="240" w:firstLineChars="100"/>
        <w:rPr>
          <w:rFonts w:ascii="宋体" w:hAnsi="宋体" w:cs="宋体"/>
          <w:sz w:val="24"/>
          <w:szCs w:val="24"/>
        </w:rPr>
      </w:pPr>
      <w:r>
        <w:rPr>
          <w:rFonts w:hint="eastAsia" w:ascii="宋体" w:hAnsi="宋体" w:cs="宋体"/>
          <w:iCs/>
          <w:sz w:val="24"/>
          <w:szCs w:val="24"/>
        </w:rPr>
        <w:t>15.2.7</w:t>
      </w:r>
      <w:r>
        <w:rPr>
          <w:rFonts w:hint="eastAsia" w:ascii="宋体" w:hAnsi="宋体" w:cs="宋体"/>
          <w:sz w:val="24"/>
          <w:szCs w:val="24"/>
        </w:rPr>
        <w:t>项目运营期乙方购买或自行研发的系统平台和监测软件；</w:t>
      </w:r>
    </w:p>
    <w:p>
      <w:pPr>
        <w:spacing w:before="80" w:after="80" w:line="360" w:lineRule="auto"/>
        <w:ind w:firstLine="240" w:firstLineChars="100"/>
        <w:rPr>
          <w:rFonts w:ascii="宋体" w:hAnsi="宋体" w:cs="宋体"/>
          <w:sz w:val="24"/>
          <w:szCs w:val="24"/>
        </w:rPr>
      </w:pPr>
      <w:r>
        <w:rPr>
          <w:rFonts w:hint="eastAsia" w:ascii="宋体" w:hAnsi="宋体" w:cs="宋体"/>
          <w:sz w:val="24"/>
          <w:szCs w:val="24"/>
        </w:rPr>
        <w:t>15.2.8正在使用的各类管理章程和运营手册，包括专有技术、生产档案、技术档案、文秘档案、图书资料、设计图纸、文件和其他资料，以使本项目能平稳地正常地继续运营；</w:t>
      </w:r>
    </w:p>
    <w:p>
      <w:pPr>
        <w:pStyle w:val="282"/>
        <w:ind w:firstLine="480"/>
      </w:pPr>
      <w:r>
        <w:rPr>
          <w:rFonts w:hint="eastAsia"/>
          <w:sz w:val="24"/>
          <w:szCs w:val="24"/>
        </w:rPr>
        <w:t>12.5.9为移交项目设施的所有权所需的文件；</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15.2.10所有尚未到期的质量和安全保证、保险和其他合同利益；</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15.2.11甲方合理要求的其他物品与资料。向接收人移交前述权利时，应解除和清偿完毕乙方设置的所有债务、抵押、质押、留置等担保物权，以及源自本项目的建设、运营维护的由乙方引起的环境污染及其他性质的请求权；</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15.2.12上述移交不应附带任何负债或违约、侵权责任，且不应附带任何留置权、抵押权等担保物权或任何种类的其他请求权。所有与移交的设施、权益、文件等有关的负债或违约、侵权责任，应由乙方全部清偿或赔偿完毕。</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15.2.13移交开始之前，乙方应按照甲方的要求提交所有资产清册，资产清册应包括该项目所有资产应列名目。</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15.3移交验收</w:t>
      </w:r>
    </w:p>
    <w:p>
      <w:pPr>
        <w:spacing w:before="80" w:after="80" w:line="360" w:lineRule="auto"/>
        <w:ind w:firstLine="424" w:firstLineChars="177"/>
        <w:rPr>
          <w:rFonts w:ascii="宋体" w:hAnsi="宋体" w:cs="宋体"/>
          <w:sz w:val="24"/>
          <w:szCs w:val="24"/>
        </w:rPr>
      </w:pPr>
      <w:bookmarkStart w:id="104" w:name="_Ref438415000"/>
      <w:r>
        <w:rPr>
          <w:rFonts w:hint="eastAsia" w:ascii="宋体" w:hAnsi="宋体" w:cs="宋体"/>
          <w:sz w:val="24"/>
          <w:szCs w:val="24"/>
        </w:rPr>
        <w:t>15.3.1不早于移交日之前玖（9）个月，乙方应对项目设施进行一次大修，此大修应不迟于移交日之前陆（6）个月完成。移交委员会首先将对需移交的项目设施进行整体评估，乙方根据评估结果编制恢复性大修方案提交移交委员会审定，恢复性大修方案审定通过后，乙方根据方案规定的内容和时间对项目设施进行恢复性大修，以保证移交后整体项目的可持续运行。</w:t>
      </w:r>
      <w:bookmarkEnd w:id="104"/>
    </w:p>
    <w:p>
      <w:pPr>
        <w:spacing w:before="80" w:after="80" w:line="360" w:lineRule="auto"/>
        <w:ind w:firstLine="424" w:firstLineChars="177"/>
        <w:rPr>
          <w:rFonts w:ascii="宋体" w:hAnsi="宋体" w:cs="宋体"/>
          <w:sz w:val="24"/>
          <w:szCs w:val="24"/>
        </w:rPr>
      </w:pPr>
      <w:bookmarkStart w:id="105" w:name="_Ref514103261"/>
      <w:r>
        <w:rPr>
          <w:rFonts w:hint="eastAsia" w:ascii="宋体" w:hAnsi="宋体" w:cs="宋体"/>
          <w:sz w:val="24"/>
          <w:szCs w:val="24"/>
        </w:rPr>
        <w:t>15.3.2如果乙方不能或不愿根据第15.8.1条款进行项目设施的最后恢复性大修，甲方可以兑取移交维修保函自行进行大修。</w:t>
      </w:r>
      <w:bookmarkEnd w:id="105"/>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15.3.3在移交</w:t>
      </w:r>
      <w:r>
        <w:rPr>
          <w:rFonts w:hint="eastAsia" w:ascii="宋体" w:hAnsi="宋体" w:cs="宋体"/>
          <w:b/>
          <w:sz w:val="24"/>
          <w:szCs w:val="24"/>
        </w:rPr>
        <w:t>_30__日</w:t>
      </w:r>
      <w:r>
        <w:rPr>
          <w:rFonts w:hint="eastAsia" w:ascii="宋体" w:hAnsi="宋体" w:cs="宋体"/>
          <w:sz w:val="24"/>
          <w:szCs w:val="24"/>
        </w:rPr>
        <w:t>之前，甲方应在接收人和乙方代表在场时对本项目进行移交验收。移交验收标准为：在移交日，</w:t>
      </w:r>
      <w:bookmarkStart w:id="106" w:name="_Hlk14200936"/>
      <w:r>
        <w:rPr>
          <w:rFonts w:hint="eastAsia" w:ascii="宋体" w:hAnsi="宋体" w:cs="宋体"/>
          <w:sz w:val="24"/>
          <w:szCs w:val="24"/>
        </w:rPr>
        <w:t>乙方应保证本项目所有设施设备、监控平台和其他软硬件均处于良好的运营、维护、管理状况（正常损耗除外）、处于正常适用状态</w:t>
      </w:r>
      <w:bookmarkEnd w:id="106"/>
      <w:r>
        <w:rPr>
          <w:rFonts w:hint="eastAsia" w:ascii="宋体" w:hAnsi="宋体" w:cs="宋体"/>
          <w:sz w:val="24"/>
          <w:szCs w:val="24"/>
        </w:rPr>
        <w:t>、符合适用法律和本合同所规定的安全和环境等有关标准。</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15.3.2如发现存在缺陷的，则乙方应及时修复，以满足约定的移交验收标准要求。如任一方对是否达到移交标准有异议的，则由移交委员会聘请第三方机构进行评定，第三方机构的聘请费用由提出异议的一方预付，最后根据第三方机构的评定结果，由主张未被支持的一方来承担。</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15.3.3如果未能达到验收标准，且乙方不能自前次验收日起30_日或双方同意的更长时间内修正任何上述缺陷，则甲方可以自行修正，由乙方承担风险和费用。甲方应有权从移交履约担保中支取费用以补偿修正上述缺陷的支出，但是需将发生的支出详细记录提交给乙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15.3.4由于甲方原因，未能在移交日起叁拾（30）日内进行移交验收，则视为通过移交验收。</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15.3.5恢复性大修费用由乙方自行承担，甲方不再就该部分工作另行支付乙方任何费用。</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15.4零配件和备品备件</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在移交日，乙方应向接收人无偿移交3个月内正常需要的消耗性备品备件和事故修理备品备件。所有零配件、备品备件应至少具有与本合同生效日时取得的备件相同的质量和标准并符合相同的技术规格要求。</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15.5保证期</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15.5.1移交日本项目的状况</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在移交日，乙方应保证本项目：</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（1）处于良好的运营状况，无法律纠纷和瑕疵，得到良好维护，正常损耗除外；</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（2）移交的资产和权益未设置有任何抵押、质押等权利限制或产权限制，亦不存在任何种类的索赔；</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（3）符合本合同约定的安全和环境标准；和</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（4）符合本合同中约定的移交标准。</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15.5.2质量保证期</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15.5.2.1乙方保证在移交日后12个月内，承担由原材料、工艺、施工、运营或管理缺陷或合作期内乙方的任何违约行为造成的项目设施任何部分出现的任何缺陷或损坏（正常磨损除外）及/或环境污染的修复责任。</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15.5.2.2甲方发现任何上述缺陷或损坏及/或环境污染的发生后应及时通知乙方。在任何情况下，上述通知最迟应在上述_12个月的质量保证期届满前发出。收到该通知后，乙方应尽快自费修正缺陷。如果乙方在收到甲方通知后_60__日内不能或拒绝修正缺陷，甲方有权自行或聘请第三方修正上述缺陷。在这种情况下，乙方应为此向甲方支付合理且必要的修理费用，否则甲方有权从移交维修保函中兑取相应金额以补偿该等修正缺陷、损坏及/或污染的费用，不足部分应由乙方承担。</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15.5.3未能修复缺陷或损害的赔偿</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如果为符合本合同约定标准所需进行的对本项目设施缺陷或损害及/或环境污染责任的修复无法实施、不合理地增加负担或过于昂贵,则甲方有权因本项目的性能指标降低而获得补偿，并可选择扣除或提取移交履约担保的方式实现上述补偿。</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15.6相关担保、保证及保险凭证的转让</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15.6.1在移交时，乙方应将所有承包商和供应商提供的尚未期满的担保及保证无偿转让给甲方或政府指定的其他机构。</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15.6.2在移交时，乙方应将所有保险单、暂保单和保险单批单等与运营期届满移交资产有关的其他担保、保证及保险凭证，全部转让给甲方或政府指定的其他机构。甲方或政府指定的其他机构应承担上述移交日后保险期间的保险费，若乙方已提前支付的，甲方或政府指定的其他机构应予以相应退还。</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15.7技术转让</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15.7.1乙方应在移交日将届时使用的运营维护本项目所必须的，且乙方享有所有权的所有技术和技术诀窍，无偿移交给甲方或政府方指定的接收人，并确保甲方或政府指定的机构不会因使用这些知识产权而遭受侵权索赔。</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15.7.2如果该等技术和技术诀窍为第三方所有的，则乙方应当在第三方签署技术授权合同时即与第三方明确约定，同意在项目移交时将技术授权合同转让给甲方或者甲方指定的第三方。同时，乙方应当协助甲方或接收人按照实际使用费用取得这些技术和技术诀窍的使用权。双方另有约定的除外。</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15.7.3如果移交时项目运营所需的知识产权使用期限等已经届满或即将届满，乙方应当负责许可展期，或配合甲方办理完成相关知识产权的许可展期。</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15.8人员及培训</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乙方应在移交日1_个月前提交一份当时乙方员工名单，包括每位员工的资格、职位的细节。甲方有权选择在移交日后优先继续聘用全部或部分员工。</w:t>
      </w:r>
    </w:p>
    <w:p>
      <w:pPr>
        <w:spacing w:before="80" w:after="80" w:line="360" w:lineRule="auto"/>
        <w:ind w:firstLine="480" w:firstLineChars="200"/>
        <w:jc w:val="left"/>
        <w:rPr>
          <w:rFonts w:ascii="宋体" w:hAnsi="宋体" w:cs="宋体"/>
          <w:bCs/>
          <w:sz w:val="24"/>
          <w:szCs w:val="24"/>
        </w:rPr>
      </w:pPr>
      <w:r>
        <w:rPr>
          <w:rFonts w:hint="eastAsia" w:ascii="宋体" w:hAnsi="宋体" w:cs="宋体"/>
          <w:bCs/>
          <w:sz w:val="24"/>
          <w:szCs w:val="24"/>
        </w:rPr>
        <w:t>甲方或其指定机构需要在移交日前派驻人员到项目设施所在地进行培训或学习的，应在移交日2_个月前向乙方说明情况及拟派驻人员名单，乙方负责为上述人员提供培训，使之达到熟练操作和管理要求。作为移交的一部分，甲方和乙方应联合考试，以确定被指定人员经过培训合格，可以接管本项目的独立运营维护。对于前述派驻人员的培训费用承担方式，双方约定如下：</w:t>
      </w:r>
    </w:p>
    <w:p>
      <w:pPr>
        <w:spacing w:before="80" w:after="80" w:line="360" w:lineRule="auto"/>
        <w:ind w:firstLine="480" w:firstLineChars="200"/>
        <w:jc w:val="left"/>
        <w:rPr>
          <w:rFonts w:ascii="宋体" w:hAnsi="宋体" w:cs="宋体"/>
          <w:bCs/>
          <w:sz w:val="24"/>
          <w:szCs w:val="24"/>
        </w:rPr>
      </w:pPr>
      <w:r>
        <w:rPr>
          <w:rFonts w:hint="eastAsia" w:ascii="宋体" w:hAnsi="宋体" w:cs="宋体"/>
          <w:bCs/>
          <w:sz w:val="24"/>
          <w:szCs w:val="24"/>
        </w:rPr>
        <w:t>■乙方免费负责为上述人员提供培训；</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移交后，乙方有义务免费提供不低于__6_个月的技术支持。</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15.9相关合同期限及责任承担</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乙方在与第三方签订运营维护合同、设备合同及其他合同时，应使该等合同的有效期届满日不超过本项目合作期限届满日。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如在移交日前，乙方需签订运营维护合同、设备合同及其他合同且该等合同在本项目合作期届满后仍为有效的，则乙方应在该等合同签订前报经甲方同意。未经甲方同意的，由乙方承担相应责任。</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15.10移走乙方相关的物品</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除非双方另有约定，乙方应于移交日后_30__日内，自费从场地移走仅限于乙方员工的个人用品以及与本项目运营维护无关的物品，不包括移交清单所列的项目设备、备品备件、技术资料或者项目设施运营维护的必需物品。如果乙方在上述时间内没有移走这些物品，甲方在通知乙方之后，可以移走并将物品转运至适当的地点以便安全保管。乙方应承担搬移、运输和保管的合理费用和风险。</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15.11风险转移</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乙方应承担移交日前项目设施的全部或部分损失或损坏的风险，除非损失或损坏是不可抗力或由甲方的违约所致。自移交日起，项目设施损失的风险由接收人承担。</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15.12移交费用和批准</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甲方及乙方应负责各自的因移交和转让发生的费用和支出。甲方应自费获得所有的批准或使之生效，并采取其他可能为移交和转让所必需的行动。如果乙方未按本合同约定的范围和内容进行移交，甲方为此发生额外支出或遭受损失的，甲方有权从运维履约担保及移交履约担保中扣除相应的金额。与移交和转让有关的税收承担，双方约定如下：</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按照届时国家及地方税收征收规定，应当由移交或转让方承担的由乙方承担，应当由受让方承担的由接收人承担。</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15.13项目提前终止时的移交</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合作期届满前项目提前终止，乙方向接收人移交项目的，双方参照合作期届满时移交的相关约定确定项目移交方式、移交程序和移交要求。</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15.14本合同移交后的效力</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自移交日起，除本合同另有约定外，乙方在本合同项下的权利和义务即应终止，但双方于移交日前发生及未偿付的债务除外。</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15.15移交违约和处理</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15.15.1因甲方原因未完成移交的，构成甲方违约，由此增加的移交费用由甲方承担，如造成其他损失的甲方应当另行承担赔偿责任。</w:t>
      </w:r>
    </w:p>
    <w:p>
      <w:pPr>
        <w:pStyle w:val="4"/>
        <w:keepNext w:val="0"/>
        <w:spacing w:before="80" w:after="80" w:line="360" w:lineRule="auto"/>
        <w:ind w:firstLine="480" w:firstLineChars="200"/>
        <w:jc w:val="both"/>
        <w:rPr>
          <w:rFonts w:ascii="宋体" w:hAnsi="宋体" w:eastAsia="宋体" w:cs="宋体"/>
          <w:b w:val="0"/>
          <w:bCs w:val="0"/>
          <w:sz w:val="24"/>
          <w:szCs w:val="24"/>
        </w:rPr>
      </w:pPr>
      <w:bookmarkStart w:id="107" w:name="_Toc46140707"/>
      <w:bookmarkStart w:id="108" w:name="_Toc46139790"/>
      <w:bookmarkStart w:id="109" w:name="_Toc46139750"/>
      <w:r>
        <w:rPr>
          <w:rFonts w:hint="eastAsia" w:ascii="宋体" w:hAnsi="宋体" w:eastAsia="宋体" w:cs="宋体"/>
          <w:b w:val="0"/>
          <w:bCs w:val="0"/>
          <w:sz w:val="24"/>
          <w:szCs w:val="24"/>
        </w:rPr>
        <w:t>15.15.2因乙方原因未按照本合同约定的时间和要求完成移交的，构成乙方违约，由此增加的移交费用由乙方承担，如造成其他损失的乙方应当另行承担赔偿责任。</w:t>
      </w:r>
      <w:bookmarkEnd w:id="107"/>
      <w:bookmarkEnd w:id="108"/>
      <w:bookmarkEnd w:id="109"/>
    </w:p>
    <w:p>
      <w:pPr>
        <w:spacing w:before="80" w:after="80" w:line="360" w:lineRule="auto"/>
        <w:outlineLvl w:val="0"/>
        <w:rPr>
          <w:rFonts w:ascii="宋体" w:hAnsi="宋体" w:cs="宋体"/>
          <w:b/>
          <w:sz w:val="28"/>
          <w:szCs w:val="28"/>
        </w:rPr>
      </w:pPr>
      <w:bookmarkStart w:id="110" w:name="_Toc46140708"/>
      <w:r>
        <w:rPr>
          <w:rFonts w:hint="eastAsia" w:ascii="宋体" w:hAnsi="宋体" w:cs="宋体"/>
          <w:b/>
          <w:sz w:val="28"/>
          <w:szCs w:val="28"/>
        </w:rPr>
        <w:t>第16条  履约担保和保障</w:t>
      </w:r>
      <w:bookmarkEnd w:id="110"/>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根据本项目采购文件规定的要求，履约担保是指【■运维履约保证金/保函；■移交履约保证金/保函】，具体约定如下：</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16.1运维履约担保</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乙方应于本项目开始运营日前提交本项目的运维履约担保，担保形式为：■保函，运维履约担保的金额为</w:t>
      </w:r>
      <w:r>
        <w:rPr>
          <w:rFonts w:hint="eastAsia" w:ascii="宋体" w:hAnsi="宋体" w:cs="宋体"/>
          <w:bCs/>
          <w:sz w:val="24"/>
          <w:szCs w:val="24"/>
          <w:highlight w:val="yellow"/>
        </w:rPr>
        <w:t>_</w:t>
      </w:r>
      <w:r>
        <w:rPr>
          <w:highlight w:val="yellow"/>
          <w:u w:val="single"/>
        </w:rPr>
        <w:t>伍仟万圆整（¥50,000,000.00）</w:t>
      </w:r>
      <w:r>
        <w:rPr>
          <w:rFonts w:hint="eastAsia" w:ascii="宋体" w:hAnsi="宋体" w:cs="宋体"/>
          <w:bCs/>
          <w:sz w:val="24"/>
          <w:szCs w:val="24"/>
          <w:highlight w:val="yellow"/>
        </w:rPr>
        <w:t>，</w:t>
      </w:r>
      <w:r>
        <w:rPr>
          <w:rFonts w:hint="eastAsia" w:ascii="宋体" w:hAnsi="宋体" w:cs="宋体"/>
          <w:bCs/>
          <w:sz w:val="24"/>
          <w:szCs w:val="24"/>
        </w:rPr>
        <w:t>担保期自项目开始运营日至乙方提交移交履约担保之日。</w:t>
      </w:r>
    </w:p>
    <w:p>
      <w:pPr>
        <w:spacing w:before="80" w:after="80" w:line="360" w:lineRule="auto"/>
        <w:ind w:firstLine="498" w:firstLineChars="177"/>
        <w:rPr>
          <w:rFonts w:ascii="仿宋" w:hAnsi="仿宋" w:eastAsia="仿宋" w:cs="仿宋"/>
          <w:b/>
          <w:sz w:val="28"/>
          <w:szCs w:val="28"/>
        </w:rPr>
      </w:pPr>
      <w:r>
        <w:rPr>
          <w:rFonts w:hint="eastAsia" w:ascii="仿宋" w:hAnsi="仿宋" w:eastAsia="仿宋" w:cs="仿宋"/>
          <w:b/>
          <w:sz w:val="28"/>
          <w:szCs w:val="28"/>
        </w:rPr>
        <w:t>16.2移交履约担保</w:t>
      </w:r>
    </w:p>
    <w:p>
      <w:pPr>
        <w:spacing w:before="80" w:after="80" w:line="360" w:lineRule="auto"/>
        <w:ind w:firstLine="424" w:firstLineChars="177"/>
        <w:rPr>
          <w:rFonts w:cs="仿宋" w:asciiTheme="minorEastAsia" w:hAnsiTheme="minorEastAsia" w:eastAsiaTheme="minorEastAsia"/>
          <w:color w:val="000000"/>
          <w:sz w:val="24"/>
          <w:szCs w:val="28"/>
        </w:rPr>
      </w:pPr>
      <w:r>
        <w:rPr>
          <w:rFonts w:hint="eastAsia" w:cs="仿宋" w:asciiTheme="minorEastAsia" w:hAnsiTheme="minorEastAsia" w:eastAsiaTheme="minorEastAsia"/>
          <w:color w:val="000000"/>
          <w:sz w:val="24"/>
          <w:szCs w:val="28"/>
        </w:rPr>
        <w:t>乙方应于移交日前</w:t>
      </w:r>
      <w:r>
        <w:rPr>
          <w:rFonts w:hint="eastAsia" w:cs="仿宋" w:asciiTheme="minorEastAsia" w:hAnsiTheme="minorEastAsia" w:eastAsiaTheme="minorEastAsia"/>
          <w:sz w:val="24"/>
          <w:szCs w:val="28"/>
        </w:rPr>
        <w:t>12</w:t>
      </w:r>
      <w:r>
        <w:rPr>
          <w:rFonts w:hint="eastAsia" w:cs="仿宋" w:asciiTheme="minorEastAsia" w:hAnsiTheme="minorEastAsia" w:eastAsiaTheme="minorEastAsia"/>
          <w:color w:val="000000"/>
          <w:sz w:val="24"/>
          <w:szCs w:val="28"/>
        </w:rPr>
        <w:t>个月提交本项目的移交履约担保。担保形式为：保函，移交履约担保的金额为</w:t>
      </w:r>
      <w:r>
        <w:rPr>
          <w:rFonts w:hint="eastAsia" w:cs="仿宋" w:asciiTheme="minorEastAsia" w:hAnsiTheme="minorEastAsia" w:eastAsiaTheme="minorEastAsia"/>
          <w:sz w:val="24"/>
          <w:szCs w:val="28"/>
          <w:highlight w:val="yellow"/>
          <w:u w:val="single"/>
        </w:rPr>
        <w:t>壹亿元整（¥100,000,000.00）</w:t>
      </w:r>
      <w:r>
        <w:rPr>
          <w:rFonts w:hint="eastAsia" w:cs="仿宋" w:asciiTheme="minorEastAsia" w:hAnsiTheme="minorEastAsia" w:eastAsiaTheme="minorEastAsia"/>
          <w:color w:val="000000"/>
          <w:sz w:val="24"/>
          <w:szCs w:val="28"/>
        </w:rPr>
        <w:t>，担保期自项目移交日至项目移交日后</w:t>
      </w:r>
      <w:r>
        <w:rPr>
          <w:rFonts w:hint="eastAsia" w:cs="仿宋" w:asciiTheme="minorEastAsia" w:hAnsiTheme="minorEastAsia" w:eastAsiaTheme="minorEastAsia"/>
          <w:sz w:val="24"/>
          <w:szCs w:val="28"/>
        </w:rPr>
        <w:t>12_</w:t>
      </w:r>
      <w:r>
        <w:rPr>
          <w:rFonts w:hint="eastAsia" w:cs="仿宋" w:asciiTheme="minorEastAsia" w:hAnsiTheme="minorEastAsia" w:eastAsiaTheme="minorEastAsia"/>
          <w:color w:val="000000"/>
          <w:sz w:val="24"/>
          <w:szCs w:val="28"/>
        </w:rPr>
        <w:t>个月届满之日。</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16.3履约保函基本要求</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如采用履约保函形式的，履约保函的格式应为不可撤销、见索即付的保函；且提交的时点、保函金额等应符合本条所述相关约定，保函受益人应为甲方。履约保函应当为甲方认可的银行或其他金融机构开出的保函。</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16.4履约</w:t>
      </w:r>
      <w:r>
        <w:rPr>
          <w:rFonts w:hint="eastAsia" w:ascii="宋体" w:hAnsi="宋体" w:cs="宋体"/>
          <w:b/>
          <w:color w:val="000000"/>
          <w:sz w:val="24"/>
          <w:szCs w:val="24"/>
        </w:rPr>
        <w:t>保证金的扣除/履约保函提取</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如乙方发生本合同约定的可以扣除履约保证金或提取履约保函的情形的，甲方有权按照合同约定扣除履约保证金或提取履约保函项下相应金额的款项。</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16.5恢复履约担保能力</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 xml:space="preserve">如果甲方在项目合作期内根据本合同约定扣除履约保证金或提取履约保函项下的款项的，乙方应确保在甲方扣除或提取后_15工作日内，将履约保证金或履约保函数额恢复到本合同约定的数额，并于补充至约定金额后48小时内向甲方提供已足额恢复的相关证明。   </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 xml:space="preserve"> 乙方未在前述期限内补足或恢复履约保证金或履约保函项下相应金额的，甲方有权发出催告，乙方应在15个工作日 内予以补足；乙方在前述期限内仍未补足的，则甲方有权扣除履约保证金或提取履约保函项下的余额，并有权提前终止本合同。</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16.6不当扣除履约保证金/不当提取保函</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如果甲方扣除履约保证金或提取履约保函中的相应金额之后确定甲方属不当扣除或提取，甲方应及时向乙方退还扣除或提取的款项，并支付该款项自提取之日至退还之日的利息，利息按中国人民银行公布的同期同类金融机构人民币贷款基准利率计算。</w:t>
      </w:r>
    </w:p>
    <w:p>
      <w:pPr>
        <w:spacing w:before="80" w:after="80" w:line="360" w:lineRule="auto"/>
        <w:outlineLvl w:val="0"/>
        <w:rPr>
          <w:rFonts w:ascii="宋体" w:hAnsi="宋体" w:cs="宋体"/>
          <w:b/>
          <w:sz w:val="28"/>
          <w:szCs w:val="28"/>
        </w:rPr>
      </w:pPr>
      <w:bookmarkStart w:id="111" w:name="_Toc46140709"/>
      <w:r>
        <w:rPr>
          <w:rFonts w:hint="eastAsia" w:ascii="宋体" w:hAnsi="宋体" w:cs="宋体"/>
          <w:b/>
          <w:sz w:val="28"/>
          <w:szCs w:val="28"/>
        </w:rPr>
        <w:t>第17条  公众监督</w:t>
      </w:r>
      <w:bookmarkEnd w:id="111"/>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17.1甲方接受社会公众或有关监管部门对本项目的投诉，有权向乙方提出意见和建议。</w:t>
      </w:r>
      <w:r>
        <w:rPr>
          <w:rFonts w:hint="eastAsia" w:ascii="宋体" w:hAnsi="宋体" w:cs="宋体"/>
          <w:color w:val="000000"/>
          <w:sz w:val="24"/>
          <w:szCs w:val="24"/>
        </w:rPr>
        <w:t>乙方应保障公众的知情权，接受社会监督，依法依规公开披露本项目相关信息，涉及国家安全和利益的国家秘密、影响公共安全和公共秩序的信息、应该保守的商业秘密除外。</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17.2</w:t>
      </w:r>
      <w:r>
        <w:rPr>
          <w:rFonts w:hint="eastAsia" w:ascii="宋体" w:hAnsi="宋体" w:cs="宋体"/>
          <w:color w:val="000000"/>
          <w:sz w:val="24"/>
          <w:szCs w:val="24"/>
        </w:rPr>
        <w:t>公众监督的实现形式，包括但不限于聘请公众监督员、公众问卷调查以及举行环境影响听证会、邀请公众代表参加中期评估等。</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17.3</w:t>
      </w:r>
      <w:r>
        <w:rPr>
          <w:rFonts w:hint="eastAsia" w:ascii="宋体" w:hAnsi="宋体" w:cs="宋体"/>
          <w:color w:val="000000"/>
          <w:sz w:val="24"/>
          <w:szCs w:val="24"/>
        </w:rPr>
        <w:t>社会公众及项目利益相关人发现项目存在违法、违约情形或公共产品和服务不达标准的，可向政府职能部门提请监督检查或向乙方提出投诉及意见；乙方应接受并妥善处理利益相关人的投诉和意见，利益相关人包括但不限于受本项目影响的组织或个人，并将对公众投诉的处理情况等相关信息予以公开。</w:t>
      </w:r>
    </w:p>
    <w:p>
      <w:pPr>
        <w:spacing w:before="80" w:after="80" w:line="360" w:lineRule="auto"/>
        <w:outlineLvl w:val="0"/>
        <w:rPr>
          <w:rFonts w:ascii="宋体" w:hAnsi="宋体" w:cs="宋体"/>
          <w:b/>
          <w:sz w:val="28"/>
          <w:szCs w:val="28"/>
        </w:rPr>
      </w:pPr>
      <w:bookmarkStart w:id="112" w:name="_Toc46140710"/>
      <w:bookmarkStart w:id="113" w:name="_Toc519103596"/>
      <w:r>
        <w:rPr>
          <w:rFonts w:hint="eastAsia" w:ascii="宋体" w:hAnsi="宋体" w:cs="宋体"/>
          <w:b/>
          <w:sz w:val="28"/>
          <w:szCs w:val="28"/>
        </w:rPr>
        <w:t>第18条  政府方介入权</w:t>
      </w:r>
      <w:bookmarkEnd w:id="112"/>
      <w:bookmarkEnd w:id="113"/>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 xml:space="preserve">18.1介入权的行使  </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18.1.1甲方介入的条件</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出现下列情况之一的，则甲方有权行使第18.1.2款所述介入权：</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（1）项目前期交接期内乙方书面表示放弃项目或被视为放弃项目；</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（2）乙方违反本合同约定</w:t>
      </w:r>
      <w:r>
        <w:rPr>
          <w:rFonts w:hint="eastAsia" w:ascii="宋体" w:hAnsi="宋体" w:cs="宋体"/>
          <w:strike/>
          <w:color w:val="000000"/>
          <w:kern w:val="0"/>
          <w:sz w:val="24"/>
          <w:szCs w:val="24"/>
        </w:rPr>
        <w:t>建设、</w:t>
      </w:r>
      <w:r>
        <w:rPr>
          <w:rFonts w:hint="eastAsia" w:ascii="宋体" w:hAnsi="宋体" w:cs="宋体"/>
          <w:color w:val="000000"/>
          <w:kern w:val="0"/>
          <w:sz w:val="24"/>
          <w:szCs w:val="24"/>
        </w:rPr>
        <w:t>运营维护项目，且在本合同约定期限内，或收到甲方通知后的__30_日内未能或无法纠正和改正，包括：</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a. 因经营管理不善等原因，造成财务状况严重恶化，影响本项目正常运营的；</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b. 因可归责于乙方的原因导致垃圾处理厂项目设计、施工等存在重大缺陷，影响本项目正常运营的；</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c. 擅自转让、出租项目经营权的；</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d. 擅自将所经营的项目设施或收益权进行处置或者设置抵押或质押的；</w:t>
      </w:r>
    </w:p>
    <w:p>
      <w:pPr>
        <w:spacing w:before="80" w:after="80" w:line="360" w:lineRule="auto"/>
        <w:ind w:firstLine="422" w:firstLineChars="176"/>
        <w:rPr>
          <w:rFonts w:ascii="宋体" w:hAnsi="宋体" w:cs="宋体"/>
          <w:color w:val="000000"/>
          <w:kern w:val="0"/>
          <w:sz w:val="24"/>
          <w:szCs w:val="24"/>
        </w:rPr>
      </w:pPr>
      <w:r>
        <w:rPr>
          <w:rFonts w:hint="eastAsia" w:ascii="宋体" w:hAnsi="宋体" w:cs="宋体"/>
          <w:color w:val="000000"/>
          <w:kern w:val="0"/>
          <w:sz w:val="24"/>
          <w:szCs w:val="24"/>
        </w:rPr>
        <w:t>e. 因管理不善，发生较大或重特大质量事故、安全事故的；</w:t>
      </w:r>
    </w:p>
    <w:p>
      <w:pPr>
        <w:widowControl/>
        <w:spacing w:before="80" w:after="8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f. 擅自停业、歇业；</w:t>
      </w:r>
    </w:p>
    <w:p>
      <w:pPr>
        <w:widowControl/>
        <w:spacing w:before="80" w:after="80" w:line="360" w:lineRule="auto"/>
        <w:ind w:firstLine="424" w:firstLineChars="177"/>
        <w:jc w:val="left"/>
        <w:rPr>
          <w:rFonts w:ascii="宋体" w:hAnsi="宋体" w:cs="宋体"/>
          <w:color w:val="000000"/>
          <w:kern w:val="0"/>
          <w:sz w:val="24"/>
          <w:szCs w:val="24"/>
        </w:rPr>
      </w:pPr>
      <w:r>
        <w:rPr>
          <w:rFonts w:hint="eastAsia" w:ascii="宋体" w:hAnsi="宋体" w:cs="宋体"/>
          <w:color w:val="000000"/>
          <w:kern w:val="0"/>
          <w:sz w:val="24"/>
          <w:szCs w:val="24"/>
        </w:rPr>
        <w:t>g. 连续或者持续合计</w:t>
      </w:r>
      <w:r>
        <w:rPr>
          <w:rFonts w:hint="eastAsia" w:ascii="宋体" w:hAnsi="宋体" w:cs="宋体"/>
          <w:sz w:val="24"/>
          <w:szCs w:val="24"/>
        </w:rPr>
        <w:t>__10_</w:t>
      </w:r>
      <w:r>
        <w:rPr>
          <w:rFonts w:hint="eastAsia" w:ascii="宋体" w:hAnsi="宋体" w:cs="宋体"/>
          <w:color w:val="000000"/>
          <w:kern w:val="0"/>
          <w:sz w:val="24"/>
          <w:szCs w:val="24"/>
        </w:rPr>
        <w:t>日垃圾处理不达标的；</w:t>
      </w:r>
    </w:p>
    <w:p>
      <w:pPr>
        <w:widowControl/>
        <w:spacing w:before="80" w:after="80"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h. 被司法机关判定为垃圾处理不达标危害环境构成犯罪的;</w:t>
      </w:r>
    </w:p>
    <w:p>
      <w:pPr>
        <w:widowControl/>
        <w:spacing w:before="80" w:after="80" w:line="360" w:lineRule="auto"/>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i. 乙方的其他违约行为影响本项目正常运营的。</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（3）存在危及社会公众人身健康或安全、财产安全或环境安全的情形，且乙方不具备应对能力的；</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（4）发生紧急情况或危机，且甲方有理由认为该紧急情况或危机将导致人员伤亡、严重财产损失或造成环境污染且乙方不具备应对能力的。</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18.1.2甲方介入的方式</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甲方行使介入权的，有权采用增加监管方式、监管频次、替代部分履行、整顿或临时接管等方式，以保证项目顺利运行。甲方行使介入权，不应被视为根据本合同受让项目资产或承担乙方的义务。甲方行使介入权后，乙方应配合甲方及其指定第三方，并向其提供所有合理的协助。</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18.1.3介入权的限制</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甲方无正当理由行使介入权，影响本合同正常履行且损害乙方利益的，乙方有权要求甲方赔偿相应损失。</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18.2介入权的行使程序</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18.2.1通知</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甲方根据本合同约定行使介入权之前，应提前</w:t>
      </w:r>
      <w:r>
        <w:rPr>
          <w:rFonts w:hint="eastAsia" w:ascii="宋体" w:hAnsi="宋体" w:cs="宋体"/>
          <w:sz w:val="24"/>
          <w:szCs w:val="24"/>
        </w:rPr>
        <w:t>_10__</w:t>
      </w:r>
      <w:r>
        <w:rPr>
          <w:rFonts w:hint="eastAsia" w:ascii="宋体" w:hAnsi="宋体" w:cs="宋体"/>
          <w:color w:val="000000"/>
          <w:sz w:val="24"/>
          <w:szCs w:val="24"/>
        </w:rPr>
        <w:t>日以书面形式通知乙方，通知内容包括：</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介入原因；</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介入方式；</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介入的范围和程度；</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介入权行使主体；</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介入起始日期；</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介入持续期限；</w:t>
      </w:r>
    </w:p>
    <w:p>
      <w:pPr>
        <w:numPr>
          <w:ilvl w:val="0"/>
          <w:numId w:val="35"/>
        </w:numPr>
        <w:spacing w:before="80" w:after="80" w:line="360" w:lineRule="auto"/>
        <w:rPr>
          <w:rFonts w:ascii="宋体" w:hAnsi="宋体" w:cs="宋体"/>
          <w:color w:val="000000"/>
          <w:sz w:val="24"/>
          <w:szCs w:val="24"/>
        </w:rPr>
      </w:pPr>
      <w:r>
        <w:rPr>
          <w:rFonts w:hint="eastAsia" w:ascii="宋体" w:hAnsi="宋体" w:cs="宋体"/>
          <w:color w:val="000000"/>
          <w:sz w:val="24"/>
          <w:szCs w:val="24"/>
        </w:rPr>
        <w:t>介入对乙方的影响和处理等。</w:t>
      </w:r>
    </w:p>
    <w:p>
      <w:pPr>
        <w:spacing w:before="80" w:after="80" w:line="360" w:lineRule="auto"/>
        <w:ind w:left="425"/>
        <w:rPr>
          <w:rFonts w:ascii="宋体" w:hAnsi="宋体" w:cs="宋体"/>
          <w:color w:val="000000"/>
          <w:sz w:val="24"/>
          <w:szCs w:val="24"/>
        </w:rPr>
      </w:pPr>
      <w:r>
        <w:rPr>
          <w:rFonts w:hint="eastAsia" w:ascii="宋体" w:hAnsi="宋体" w:cs="宋体"/>
          <w:color w:val="000000"/>
          <w:sz w:val="24"/>
          <w:szCs w:val="24"/>
        </w:rPr>
        <w:t>18.2.2乙方的异议</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乙方对甲方行使介入权有异议的，应自收到甲方发出的前述通知后__10_日内提出异议，甲方收到异议后，应在_10__日内给予回复。双方无法达成一致意见的，按照本合同第27条的约定执行，但争议解决期间内不影响甲方行使介入权。</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18.3介入持续时间和范围</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甲方介入的时间和范围不应超过足以使乙方改正或可以合理地被期望有能力改正导致介入的违约事件，或缓解紧急事件，或使乙方具备应对能力解除紧急事件所必需的范围和程度。甲方根据</w:t>
      </w:r>
      <w:r>
        <w:rPr>
          <w:rFonts w:hint="eastAsia" w:ascii="宋体" w:hAnsi="宋体" w:cs="宋体"/>
          <w:sz w:val="24"/>
          <w:szCs w:val="24"/>
        </w:rPr>
        <w:t>第18.1.1款</w:t>
      </w:r>
      <w:r>
        <w:rPr>
          <w:rFonts w:hint="eastAsia" w:ascii="宋体" w:hAnsi="宋体" w:cs="宋体"/>
          <w:color w:val="000000"/>
          <w:sz w:val="24"/>
          <w:szCs w:val="24"/>
        </w:rPr>
        <w:t>第（1）、（2）项约定进行的介入仍然无法补救乙方的违约，甲方有权根据</w:t>
      </w:r>
      <w:r>
        <w:rPr>
          <w:rFonts w:hint="eastAsia" w:ascii="宋体" w:hAnsi="宋体" w:cs="宋体"/>
          <w:sz w:val="24"/>
          <w:szCs w:val="24"/>
        </w:rPr>
        <w:t>第25.1款约定</w:t>
      </w:r>
      <w:r>
        <w:rPr>
          <w:rFonts w:hint="eastAsia" w:ascii="宋体" w:hAnsi="宋体" w:cs="宋体"/>
          <w:color w:val="000000"/>
          <w:sz w:val="24"/>
          <w:szCs w:val="24"/>
        </w:rPr>
        <w:t>终止本合同。</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18.4介入期间的费用和收入</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18.4.1 甲方根据第</w:t>
      </w:r>
      <w:r>
        <w:rPr>
          <w:rFonts w:hint="eastAsia" w:ascii="宋体" w:hAnsi="宋体" w:cs="宋体"/>
          <w:sz w:val="24"/>
          <w:szCs w:val="24"/>
        </w:rPr>
        <w:t>18.1.1款</w:t>
      </w:r>
      <w:r>
        <w:rPr>
          <w:rFonts w:hint="eastAsia" w:ascii="宋体" w:hAnsi="宋体" w:cs="宋体"/>
          <w:color w:val="000000"/>
          <w:sz w:val="24"/>
          <w:szCs w:val="24"/>
        </w:rPr>
        <w:t>第（3）、（4）项约定进行的介入，甲方应承担由此引发的所有费用，介入期间的运营收入应归乙方所有。</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18.4.2 甲方根据第</w:t>
      </w:r>
      <w:r>
        <w:rPr>
          <w:rFonts w:hint="eastAsia" w:ascii="宋体" w:hAnsi="宋体" w:cs="宋体"/>
          <w:sz w:val="24"/>
          <w:szCs w:val="24"/>
        </w:rPr>
        <w:t>18.1.1款</w:t>
      </w:r>
      <w:r>
        <w:rPr>
          <w:rFonts w:hint="eastAsia" w:ascii="宋体" w:hAnsi="宋体" w:cs="宋体"/>
          <w:color w:val="000000"/>
          <w:sz w:val="24"/>
          <w:szCs w:val="24"/>
        </w:rPr>
        <w:t>第（1）、（2）项约定进行的介入，乙方应承担因甲方介入所引发的所有费用，该费用甲方有权从服务费中扣减或者要求乙方另行支付。介入期间的运营收入应归乙方所有，但是甲方按照合同约定仅就不受乙方违约影响部分支付服务费。</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18.4.3甲方应在停止介入后30日内将介入过程中发生的费用明细交予乙方。</w:t>
      </w:r>
    </w:p>
    <w:p>
      <w:pPr>
        <w:spacing w:before="80" w:after="80" w:line="360" w:lineRule="auto"/>
        <w:outlineLvl w:val="0"/>
        <w:rPr>
          <w:rFonts w:ascii="宋体" w:hAnsi="宋体" w:cs="宋体"/>
          <w:b/>
          <w:sz w:val="28"/>
          <w:szCs w:val="28"/>
        </w:rPr>
      </w:pPr>
      <w:bookmarkStart w:id="114" w:name="_Toc46140711"/>
      <w:r>
        <w:rPr>
          <w:rFonts w:hint="eastAsia" w:ascii="宋体" w:hAnsi="宋体" w:cs="宋体"/>
          <w:b/>
          <w:sz w:val="28"/>
          <w:szCs w:val="28"/>
        </w:rPr>
        <w:t>第19条  保险</w:t>
      </w:r>
      <w:bookmarkEnd w:id="114"/>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19.1 应投保险种</w:t>
      </w:r>
    </w:p>
    <w:p>
      <w:pPr>
        <w:spacing w:before="80" w:after="80" w:line="360" w:lineRule="auto"/>
        <w:ind w:firstLine="424" w:firstLineChars="177"/>
        <w:rPr>
          <w:rFonts w:ascii="宋体" w:hAnsi="宋体" w:cs="宋体"/>
          <w:bCs/>
          <w:color w:val="000000"/>
          <w:sz w:val="24"/>
          <w:szCs w:val="24"/>
        </w:rPr>
      </w:pPr>
      <w:r>
        <w:rPr>
          <w:rFonts w:hint="eastAsia" w:ascii="宋体" w:hAnsi="宋体" w:cs="宋体"/>
          <w:color w:val="000000"/>
          <w:sz w:val="24"/>
          <w:szCs w:val="24"/>
        </w:rPr>
        <w:t>乙方在充分评估项目投资和运营风险后，应根据中国的保险法等相关法律和行政法规的规定，并结合项目的实际情况，购买项目合作期限内的保险险种。在合理的商业条件下，乙方应遵照可保风险均应投保的原则进行投保，并应将保险合同复印件交甲方备案。</w:t>
      </w:r>
    </w:p>
    <w:p>
      <w:pPr>
        <w:spacing w:before="80" w:after="80" w:line="360" w:lineRule="auto"/>
        <w:ind w:firstLine="424" w:firstLineChars="177"/>
        <w:rPr>
          <w:rFonts w:ascii="宋体" w:hAnsi="宋体" w:cs="宋体"/>
          <w:bCs/>
          <w:color w:val="000000"/>
          <w:sz w:val="24"/>
          <w:szCs w:val="24"/>
        </w:rPr>
      </w:pPr>
      <w:r>
        <w:rPr>
          <w:rFonts w:hint="eastAsia" w:ascii="宋体" w:hAnsi="宋体" w:cs="宋体"/>
          <w:bCs/>
          <w:color w:val="000000"/>
          <w:sz w:val="24"/>
          <w:szCs w:val="24"/>
        </w:rPr>
        <w:t>■财产险（设备、设施及附属建筑物）；</w:t>
      </w:r>
    </w:p>
    <w:p>
      <w:pPr>
        <w:spacing w:before="80" w:after="80" w:line="360" w:lineRule="auto"/>
        <w:ind w:firstLine="424" w:firstLineChars="177"/>
        <w:rPr>
          <w:rFonts w:ascii="宋体" w:hAnsi="宋体" w:cs="宋体"/>
          <w:bCs/>
          <w:color w:val="000000"/>
          <w:sz w:val="24"/>
          <w:szCs w:val="24"/>
        </w:rPr>
      </w:pPr>
      <w:r>
        <w:rPr>
          <w:rFonts w:hint="eastAsia" w:ascii="宋体" w:hAnsi="宋体" w:cs="宋体"/>
          <w:bCs/>
          <w:color w:val="000000"/>
          <w:sz w:val="24"/>
          <w:szCs w:val="24"/>
        </w:rPr>
        <w:t>■第三者责任险；</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19.2 乙方的投保义务</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19.2.1 乙方应按照第</w:t>
      </w:r>
      <w:r>
        <w:rPr>
          <w:rFonts w:hint="eastAsia" w:ascii="宋体" w:hAnsi="宋体" w:cs="宋体"/>
          <w:sz w:val="24"/>
          <w:szCs w:val="24"/>
        </w:rPr>
        <w:t>19.1</w:t>
      </w:r>
      <w:r>
        <w:rPr>
          <w:rFonts w:hint="eastAsia" w:ascii="宋体" w:hAnsi="宋体" w:cs="宋体"/>
          <w:color w:val="000000"/>
          <w:sz w:val="24"/>
          <w:szCs w:val="24"/>
        </w:rPr>
        <w:t>款约定的各项险种足额投保，保险金额不应少于项目设施的全部重置价值。</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19.2.2 在合作期内，乙方应自费购买上述约定的保险，并始终使保险单保持有效。未经甲方书面同意，乙方投保的险种和数额不得随意变更。如果并非乙方的疏忽或故意行为，而无法投保某种特别险种，不视为乙方违约。</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19.2.3 在法律许可和承保人能提供的服务范围内，乙方有权在和保险公司之间签署的保险合同中，将融资方列为第一受益人，同时将甲方列为本项目保险合同的受益人。</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19.2.4 保险单的附加条款中必须规定：未提前_30__日书面通知甲方，保险人不得取消、延展或对保险单作重大变更。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19.2.5 乙方应责成保险人向甲方提供保险证明书以证实其已获得上述所列保险单及附加条款。如果乙方未购买或维持上述保险始终有效，则甲方有权根据本合同约定从对乙方应付服务费中扣除其应付的保险金，或者直接扣除/提取履约担保相应金额。</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19.2.6 乙方应向甲方及时通报保险人的报告通知（如危险整改通知）并提交相应的副本，如果乙方未及时提供通知而造成保险单失效应承担违约责任。</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19.2.7乙方应根据本项目工程、运营与维护的实际需要以及按谨慎工程和运营惯例，购买各种保险，并将相应的保险单据复印件提交甲方。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19.2.8乙方因购买保险而得到的保险赔款应首先用于垃圾焚烧发电厂的恢复生产之用。</w:t>
      </w:r>
      <w:bookmarkStart w:id="115" w:name="_Toc519103598"/>
    </w:p>
    <w:p>
      <w:pPr>
        <w:spacing w:before="80" w:after="80" w:line="360" w:lineRule="auto"/>
        <w:outlineLvl w:val="0"/>
        <w:rPr>
          <w:rFonts w:ascii="宋体" w:hAnsi="宋体" w:cs="宋体"/>
          <w:b/>
          <w:sz w:val="28"/>
          <w:szCs w:val="28"/>
        </w:rPr>
      </w:pPr>
      <w:bookmarkStart w:id="116" w:name="_Toc46140712"/>
      <w:r>
        <w:rPr>
          <w:rFonts w:hint="eastAsia" w:ascii="宋体" w:hAnsi="宋体" w:cs="宋体"/>
          <w:b/>
          <w:sz w:val="28"/>
          <w:szCs w:val="28"/>
        </w:rPr>
        <w:t>第20条  再融资</w:t>
      </w:r>
      <w:bookmarkEnd w:id="115"/>
      <w:bookmarkEnd w:id="116"/>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20.1再融资</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经甲方书面同意，乙方可通过股权、债权、项目收益证券化等方式进行再融资。</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20.2再融资的条件</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乙方进行再融资，应当同时满足以下条件：</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20.2.1为本项目融资之目的，且所融资资金用于本项目；</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20.2.2应增加项目收益或者降低项目成本且不影响项目的实施及甲方的权益；</w:t>
      </w:r>
    </w:p>
    <w:p>
      <w:pPr>
        <w:spacing w:before="80" w:after="80" w:line="360" w:lineRule="auto"/>
        <w:ind w:firstLine="424" w:firstLineChars="177"/>
        <w:rPr>
          <w:rFonts w:ascii="宋体" w:hAnsi="宋体" w:cs="宋体"/>
          <w:sz w:val="24"/>
          <w:szCs w:val="24"/>
          <w:u w:val="single"/>
        </w:rPr>
      </w:pPr>
      <w:r>
        <w:rPr>
          <w:rFonts w:hint="eastAsia" w:ascii="宋体" w:hAnsi="宋体" w:cs="宋体"/>
          <w:color w:val="000000"/>
          <w:sz w:val="24"/>
          <w:szCs w:val="24"/>
        </w:rPr>
        <w:t>20.2.3签署再融资协议前须取得甲方书面同意。</w:t>
      </w:r>
    </w:p>
    <w:p>
      <w:pPr>
        <w:spacing w:before="80" w:after="80" w:line="360" w:lineRule="auto"/>
        <w:outlineLvl w:val="0"/>
        <w:rPr>
          <w:rFonts w:ascii="宋体" w:hAnsi="宋体" w:cs="宋体"/>
          <w:b/>
          <w:sz w:val="28"/>
          <w:szCs w:val="28"/>
        </w:rPr>
      </w:pPr>
      <w:bookmarkStart w:id="117" w:name="_Toc46140713"/>
      <w:r>
        <w:rPr>
          <w:rFonts w:hint="eastAsia" w:ascii="宋体" w:hAnsi="宋体" w:cs="宋体"/>
          <w:b/>
          <w:sz w:val="28"/>
          <w:szCs w:val="28"/>
        </w:rPr>
        <w:t>第21条  不可抗力</w:t>
      </w:r>
      <w:bookmarkEnd w:id="117"/>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21.1不可抗力事件</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不可抗力事件任何一方由于出现不可抗力事件使该方无法全部或部分履行其本合同项下的义务时，该方应有权中止履行本合同项下的义务。不可抗力应包括但不限于下列事件：</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（1）雷电、干旱、火灾、地震、火山爆发、山崩、滑坡、水灾、暴风雨、海啸、台风或龙卷风；</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（2）流行病、饥荒或疫情；</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（3）战争行为（无论是否宣战）、入侵、武装冲突或外敌行为、封锁或军事力量的使用、禁运、暴乱或民众骚乱、恐怖行为、军事演习或政变；</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（4）化学或放射性污染或核辐射；</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21.2通知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声称受到不可抗力影响的一方应在知道不可抗力后__10_日内书面通知另一方，详细描述不可抗力的发生情况和可能导致的后果，并根据对方要求提供证明。</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21.3损失承担原则</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发生不可抗力时，双方应各自承担由于不可抗力对其造成的费用损失。如果不可抗力发生在运营期，则乙方有权根据该不可抗力的影响期间申请延长相应期间的运营期。</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21.4减少损失的责任与补救义务</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受到不可抗力影响的一方应努力减少不可抗力的影响。双方应协商采取合理的补救措施尽量减少不可抗力给各方造成的损失。声称受到不可抗力影响的一方在不可抗力消除后应尽快恢复履行本合同项下的义务。</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21.5不可抗力情形下项目设施的运维义务</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发生不可抗力时，乙方仍应尽最大努力保证垃圾处理服务和项目设施运营维护服务的持续。</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21.6 不可抗力结束后的继续履行</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不可抗力事件结束后，合同尚具备继续履行条件的，双方应继续履行合同并就风险责任分担进行协商，协商不成或已不具备继续履行条件的，双方可依约终止本合同。</w:t>
      </w:r>
    </w:p>
    <w:p>
      <w:pPr>
        <w:spacing w:before="80" w:after="80" w:line="360" w:lineRule="auto"/>
        <w:outlineLvl w:val="0"/>
        <w:rPr>
          <w:rFonts w:ascii="宋体" w:hAnsi="宋体" w:cs="宋体"/>
          <w:b/>
          <w:sz w:val="28"/>
          <w:szCs w:val="28"/>
        </w:rPr>
      </w:pPr>
      <w:bookmarkStart w:id="118" w:name="_Toc46140714"/>
      <w:r>
        <w:rPr>
          <w:rFonts w:hint="eastAsia" w:ascii="宋体" w:hAnsi="宋体" w:cs="宋体"/>
          <w:b/>
          <w:sz w:val="28"/>
          <w:szCs w:val="28"/>
        </w:rPr>
        <w:t>第22条  政府行为</w:t>
      </w:r>
      <w:bookmarkEnd w:id="118"/>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22.1为了公共利益的需要，甲方可以依法对本项目实行国有化、征收或者征用并给予补偿，乙方予以全力配合。</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22.2乙方应接受甲方或政府方指定机构依据适用法律规定和本合同约定，在紧急情况下接受政府征收或征用的义务，但是征收或征用的范围不应超过法律规定的范围。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22.3在紧急情况下，甲方有权按照适用法律征收或征用项目设施暂代乙方运营维护项目设施。</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22.4甲方因征收或征用所发生的费用由甲方自行负担，由于征收或征用而导致的乙方损失，甲方应当按照本合同第24.5款约定给予公平、合理的补偿；导致合同终止的，按照本合同第25.9款约定的终止补偿确定。</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22.5本合同生效日后，发生政府行为导致乙方不能按照本合同约定履行合同义务的，按照本合同</w:t>
      </w:r>
      <w:r>
        <w:rPr>
          <w:rFonts w:hint="eastAsia" w:ascii="宋体" w:hAnsi="宋体" w:cs="宋体"/>
          <w:sz w:val="24"/>
          <w:szCs w:val="24"/>
        </w:rPr>
        <w:t>第25.3款的</w:t>
      </w:r>
      <w:r>
        <w:rPr>
          <w:rFonts w:hint="eastAsia" w:ascii="宋体" w:hAnsi="宋体" w:cs="宋体"/>
          <w:color w:val="000000"/>
          <w:sz w:val="24"/>
          <w:szCs w:val="24"/>
        </w:rPr>
        <w:t>约定处理。</w:t>
      </w:r>
    </w:p>
    <w:p>
      <w:pPr>
        <w:spacing w:before="80" w:after="80" w:line="360" w:lineRule="auto"/>
        <w:outlineLvl w:val="0"/>
        <w:rPr>
          <w:rFonts w:ascii="宋体" w:hAnsi="宋体" w:cs="宋体"/>
          <w:b/>
          <w:sz w:val="28"/>
          <w:szCs w:val="28"/>
        </w:rPr>
      </w:pPr>
      <w:bookmarkStart w:id="119" w:name="_Toc46140715"/>
      <w:r>
        <w:rPr>
          <w:rFonts w:hint="eastAsia" w:ascii="宋体" w:hAnsi="宋体" w:cs="宋体"/>
          <w:b/>
          <w:sz w:val="28"/>
          <w:szCs w:val="28"/>
        </w:rPr>
        <w:t>第23条  法律变更</w:t>
      </w:r>
      <w:bookmarkEnd w:id="119"/>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23.1法律变更导致的补偿</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23.1.1法律变更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除本合同另有明确约定外，在项目合作期内的任何连续年期间，由于一项或多项法律变更使乙方对项目的资本投资累计增加数额等于或超过，或在项目合作期内的任何一年期间，一项或多项法律变更造成乙方经常性支出（包括但不限于运营成本、税负等）的累计增加数额等于或超过，并且上述增加未因对乙方有利的其他法律变更而得到补偿，则本合同第</w:t>
      </w:r>
      <w:r>
        <w:rPr>
          <w:rFonts w:hint="eastAsia" w:ascii="宋体" w:hAnsi="宋体" w:cs="宋体"/>
          <w:sz w:val="24"/>
          <w:szCs w:val="24"/>
        </w:rPr>
        <w:t>23.1.3款取</w:t>
      </w:r>
      <w:r>
        <w:rPr>
          <w:rFonts w:hint="eastAsia" w:ascii="宋体" w:hAnsi="宋体" w:cs="宋体"/>
          <w:color w:val="000000"/>
          <w:sz w:val="24"/>
          <w:szCs w:val="24"/>
        </w:rPr>
        <w:t>得补偿的权利规定可适用。</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23.1.2通知和减少影响</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如果乙方希望获得本合同第</w:t>
      </w:r>
      <w:r>
        <w:rPr>
          <w:rFonts w:hint="eastAsia" w:ascii="宋体" w:hAnsi="宋体" w:cs="宋体"/>
          <w:sz w:val="24"/>
          <w:szCs w:val="24"/>
        </w:rPr>
        <w:t>23.1.3</w:t>
      </w:r>
      <w:r>
        <w:rPr>
          <w:rFonts w:hint="eastAsia" w:ascii="宋体" w:hAnsi="宋体" w:cs="宋体"/>
          <w:color w:val="000000"/>
          <w:sz w:val="24"/>
          <w:szCs w:val="24"/>
        </w:rPr>
        <w:t>款约定的补偿，乙方应在知道第</w:t>
      </w:r>
      <w:r>
        <w:rPr>
          <w:rFonts w:hint="eastAsia" w:ascii="宋体" w:hAnsi="宋体" w:cs="宋体"/>
          <w:sz w:val="24"/>
          <w:szCs w:val="24"/>
        </w:rPr>
        <w:t>23.1.1</w:t>
      </w:r>
      <w:r>
        <w:rPr>
          <w:rFonts w:hint="eastAsia" w:ascii="宋体" w:hAnsi="宋体" w:cs="宋体"/>
          <w:color w:val="000000"/>
          <w:sz w:val="24"/>
          <w:szCs w:val="24"/>
        </w:rPr>
        <w:t>款约定的法律变更后书面通知甲方。</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乙方应在进行资产投资或发生支出前给予甲方合理机会减少法律变更对其造成的影响。</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23.1.3取得补偿的权利</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在发生第</w:t>
      </w:r>
      <w:r>
        <w:rPr>
          <w:rFonts w:hint="eastAsia" w:ascii="宋体" w:hAnsi="宋体" w:cs="宋体"/>
          <w:sz w:val="24"/>
          <w:szCs w:val="24"/>
        </w:rPr>
        <w:t>23.1.1款</w:t>
      </w:r>
      <w:r>
        <w:rPr>
          <w:rFonts w:hint="eastAsia" w:ascii="宋体" w:hAnsi="宋体" w:cs="宋体"/>
          <w:color w:val="000000"/>
          <w:sz w:val="24"/>
          <w:szCs w:val="24"/>
        </w:rPr>
        <w:t>描述的情形时，乙方有权要求甲方给予补偿，具体补偿金额由双方根据实际情况另行协商确定。</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23.1.4法律变更影响履约</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如果因法律变更使乙方无法履行其本合同项下的义务，包括因法律变更使乙方履行其在本合同项下的重要义务按照适用法律被认定为不合规，乙方应有权按照法律变更规定的程序终止履行其在本合同项下的义务。</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23.2法律变更导致的调减</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23.2.1法律变更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除本合同另有明确约定外，在项目合作期内的任何连续年期间，由于一项或多项法律变更，使乙方对项目的资本投资累计减少数额等于或超过，或在项目合作期内的任何一年期间，一项或多项法律变更造成乙方经常性支出（包括但不限于运营成本、税负等）的累计减少数额等于或超过，并且上述减少未因其他法律变更而相应抵消，则第</w:t>
      </w:r>
      <w:r>
        <w:rPr>
          <w:rFonts w:hint="eastAsia" w:ascii="宋体" w:hAnsi="宋体" w:cs="宋体"/>
          <w:sz w:val="24"/>
          <w:szCs w:val="24"/>
        </w:rPr>
        <w:t>23.2.2</w:t>
      </w:r>
      <w:r>
        <w:rPr>
          <w:rFonts w:hint="eastAsia" w:ascii="宋体" w:hAnsi="宋体" w:cs="宋体"/>
          <w:color w:val="000000"/>
          <w:sz w:val="24"/>
          <w:szCs w:val="24"/>
        </w:rPr>
        <w:t>款法律变更的调整将适用。</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23.2.2法律变更的调减</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在发生第</w:t>
      </w:r>
      <w:r>
        <w:rPr>
          <w:rFonts w:hint="eastAsia" w:ascii="宋体" w:hAnsi="宋体" w:cs="宋体"/>
          <w:sz w:val="24"/>
          <w:szCs w:val="24"/>
        </w:rPr>
        <w:t>23.2.1</w:t>
      </w:r>
      <w:r>
        <w:rPr>
          <w:rFonts w:hint="eastAsia" w:ascii="宋体" w:hAnsi="宋体" w:cs="宋体"/>
          <w:color w:val="000000"/>
          <w:sz w:val="24"/>
          <w:szCs w:val="24"/>
        </w:rPr>
        <w:t>款描述的情形时，甲方有权采用调减服务费的形式抵消法律变更所带来的影响，具体调减数额由双方根据实际情况另行协商确定。</w:t>
      </w:r>
    </w:p>
    <w:p>
      <w:pPr>
        <w:adjustRightInd/>
        <w:snapToGrid/>
        <w:spacing w:before="80" w:beforeLines="0" w:after="80" w:afterLines="0" w:line="360" w:lineRule="auto"/>
        <w:jc w:val="both"/>
        <w:outlineLvl w:val="0"/>
        <w:rPr>
          <w:rFonts w:ascii="宋体" w:hAnsi="宋体" w:cs="宋体"/>
          <w:sz w:val="28"/>
          <w:szCs w:val="28"/>
        </w:rPr>
      </w:pPr>
      <w:bookmarkStart w:id="120" w:name="_Toc46140716"/>
      <w:r>
        <w:rPr>
          <w:rFonts w:hint="eastAsia" w:ascii="宋体" w:hAnsi="宋体" w:cs="宋体"/>
          <w:b/>
          <w:sz w:val="28"/>
          <w:szCs w:val="28"/>
        </w:rPr>
        <w:t xml:space="preserve">第24条  </w:t>
      </w:r>
      <w:bookmarkStart w:id="121" w:name="_Toc218311005"/>
      <w:bookmarkStart w:id="122" w:name="_Toc24885640"/>
      <w:r>
        <w:rPr>
          <w:rFonts w:hint="eastAsia" w:ascii="宋体" w:hAnsi="宋体" w:cs="宋体"/>
          <w:b/>
          <w:sz w:val="28"/>
          <w:szCs w:val="28"/>
        </w:rPr>
        <w:t>违约及违约赔偿</w:t>
      </w:r>
      <w:bookmarkEnd w:id="120"/>
      <w:bookmarkEnd w:id="121"/>
      <w:bookmarkEnd w:id="122"/>
    </w:p>
    <w:p>
      <w:pPr>
        <w:pStyle w:val="253"/>
        <w:keepNext w:val="0"/>
        <w:adjustRightInd w:val="0"/>
        <w:snapToGrid w:val="0"/>
        <w:spacing w:line="360" w:lineRule="auto"/>
        <w:ind w:firstLine="482" w:firstLineChars="200"/>
        <w:jc w:val="left"/>
        <w:outlineLvl w:val="9"/>
        <w:rPr>
          <w:rFonts w:ascii="宋体" w:hAnsi="宋体" w:eastAsia="宋体" w:cs="宋体"/>
          <w:bCs/>
          <w:color w:val="auto"/>
        </w:rPr>
      </w:pPr>
      <w:bookmarkStart w:id="123" w:name="_Toc24885642"/>
      <w:r>
        <w:rPr>
          <w:rFonts w:hint="eastAsia" w:ascii="宋体" w:hAnsi="宋体" w:eastAsia="宋体" w:cs="宋体"/>
          <w:b/>
          <w:color w:val="auto"/>
        </w:rPr>
        <w:t>24.1</w:t>
      </w:r>
      <w:r>
        <w:rPr>
          <w:rFonts w:hint="eastAsia" w:ascii="宋体" w:hAnsi="宋体" w:eastAsia="宋体" w:cs="宋体"/>
          <w:bCs/>
          <w:color w:val="auto"/>
        </w:rPr>
        <w:t>乙方确认其签署本合同的基础是已经充分研究和了解了：①本项目附件及补充通知；②甲方就本项目运营与维护所提供的有关资料；③通过考察获得的资料；④其它在乙方提出征询、置疑时得到的信息、数据和其他资料。因此，乙方因上述内容未充分研究和了解而导致的损失，由乙方自行承担，与甲方无关。</w:t>
      </w:r>
      <w:bookmarkEnd w:id="123"/>
    </w:p>
    <w:p>
      <w:pPr>
        <w:pStyle w:val="253"/>
        <w:keepNext w:val="0"/>
        <w:adjustRightInd w:val="0"/>
        <w:snapToGrid w:val="0"/>
        <w:spacing w:before="80" w:after="80" w:line="360" w:lineRule="auto"/>
        <w:ind w:firstLine="482" w:firstLineChars="200"/>
        <w:jc w:val="both"/>
        <w:outlineLvl w:val="9"/>
        <w:rPr>
          <w:rFonts w:ascii="宋体" w:hAnsi="宋体" w:eastAsia="宋体" w:cs="宋体"/>
          <w:color w:val="auto"/>
        </w:rPr>
      </w:pPr>
      <w:bookmarkStart w:id="124" w:name="_Toc24885643"/>
      <w:r>
        <w:rPr>
          <w:rFonts w:hint="eastAsia" w:ascii="宋体" w:hAnsi="宋体" w:eastAsia="宋体" w:cs="宋体"/>
          <w:b/>
          <w:color w:val="auto"/>
        </w:rPr>
        <w:t>24.2</w:t>
      </w:r>
      <w:r>
        <w:rPr>
          <w:rFonts w:hint="eastAsia" w:ascii="宋体" w:hAnsi="宋体" w:eastAsia="宋体" w:cs="宋体"/>
          <w:bCs/>
          <w:color w:val="auto"/>
        </w:rPr>
        <w:t>无</w:t>
      </w:r>
      <w:r>
        <w:rPr>
          <w:rFonts w:hint="eastAsia" w:ascii="宋体" w:hAnsi="宋体" w:eastAsia="宋体" w:cs="宋体"/>
          <w:color w:val="auto"/>
        </w:rPr>
        <w:t>论本合同有无约定，任何一方违约，守约方均有权向违约方要求支付违约赔偿金，本合同对赔偿金数额有约定的从其约定，无约定的由守约方根据违约造成的损失，合理地向违约方主张违约赔偿金的数额。违约赔偿金的支付并不表示对违约方履行本合同规定的其他义务及责任的任何减免。</w:t>
      </w:r>
      <w:bookmarkEnd w:id="124"/>
    </w:p>
    <w:p>
      <w:pPr>
        <w:pStyle w:val="253"/>
        <w:keepNext w:val="0"/>
        <w:adjustRightInd w:val="0"/>
        <w:snapToGrid w:val="0"/>
        <w:spacing w:before="80" w:after="80" w:line="360" w:lineRule="auto"/>
        <w:ind w:firstLine="482" w:firstLineChars="200"/>
        <w:jc w:val="both"/>
        <w:outlineLvl w:val="9"/>
        <w:rPr>
          <w:rFonts w:ascii="宋体" w:hAnsi="宋体" w:eastAsia="宋体" w:cs="宋体"/>
          <w:color w:val="auto"/>
        </w:rPr>
      </w:pPr>
      <w:bookmarkStart w:id="125" w:name="_Toc24885644"/>
      <w:r>
        <w:rPr>
          <w:rFonts w:hint="eastAsia" w:ascii="宋体" w:hAnsi="宋体" w:eastAsia="宋体" w:cs="宋体"/>
          <w:b/>
          <w:color w:val="auto"/>
        </w:rPr>
        <w:t>24.3</w:t>
      </w:r>
      <w:r>
        <w:rPr>
          <w:rFonts w:hint="eastAsia" w:ascii="宋体" w:hAnsi="宋体" w:eastAsia="宋体" w:cs="宋体"/>
          <w:color w:val="auto"/>
        </w:rPr>
        <w:t>无论是乙方违约还是甲方违约，守约方有权根据本合同的规定计取违约赔偿金并予扣收，但是守约方应通知违约方，并说明其扣收此项违约赔偿金的依据。</w:t>
      </w:r>
      <w:bookmarkEnd w:id="125"/>
    </w:p>
    <w:p>
      <w:pPr>
        <w:pStyle w:val="418"/>
        <w:keepNext w:val="0"/>
        <w:adjustRightInd w:val="0"/>
        <w:snapToGrid w:val="0"/>
        <w:spacing w:before="80" w:after="80" w:line="360" w:lineRule="auto"/>
        <w:ind w:firstLine="482" w:firstLineChars="200"/>
        <w:jc w:val="both"/>
        <w:outlineLvl w:val="9"/>
        <w:rPr>
          <w:rFonts w:ascii="宋体" w:hAnsi="宋体" w:eastAsia="宋体" w:cs="宋体"/>
          <w:color w:val="auto"/>
          <w:kern w:val="0"/>
          <w:sz w:val="24"/>
          <w:szCs w:val="24"/>
        </w:rPr>
      </w:pPr>
      <w:bookmarkStart w:id="126" w:name="_Toc222563702"/>
      <w:bookmarkStart w:id="127" w:name="_Toc218311007"/>
      <w:r>
        <w:rPr>
          <w:rFonts w:hint="eastAsia" w:ascii="宋体" w:hAnsi="宋体" w:eastAsia="宋体" w:cs="宋体"/>
          <w:color w:val="auto"/>
          <w:kern w:val="0"/>
          <w:sz w:val="24"/>
          <w:szCs w:val="24"/>
        </w:rPr>
        <w:t xml:space="preserve">24.4 </w:t>
      </w:r>
      <w:bookmarkStart w:id="128" w:name="_Toc24885645"/>
      <w:r>
        <w:rPr>
          <w:rFonts w:hint="eastAsia" w:ascii="宋体" w:hAnsi="宋体" w:eastAsia="宋体" w:cs="宋体"/>
          <w:color w:val="auto"/>
          <w:kern w:val="0"/>
          <w:sz w:val="24"/>
          <w:szCs w:val="24"/>
        </w:rPr>
        <w:t>违约及责任</w:t>
      </w:r>
      <w:bookmarkEnd w:id="126"/>
      <w:bookmarkEnd w:id="127"/>
      <w:bookmarkEnd w:id="128"/>
    </w:p>
    <w:p>
      <w:pPr>
        <w:pStyle w:val="253"/>
        <w:keepNext w:val="0"/>
        <w:adjustRightInd w:val="0"/>
        <w:snapToGrid w:val="0"/>
        <w:spacing w:before="80" w:after="80" w:line="360" w:lineRule="auto"/>
        <w:ind w:firstLine="480" w:firstLineChars="200"/>
        <w:jc w:val="both"/>
        <w:outlineLvl w:val="9"/>
        <w:rPr>
          <w:rFonts w:ascii="宋体" w:hAnsi="宋体" w:eastAsia="宋体" w:cs="宋体"/>
          <w:color w:val="auto"/>
        </w:rPr>
      </w:pPr>
      <w:bookmarkStart w:id="129" w:name="_Toc24885646"/>
      <w:r>
        <w:rPr>
          <w:rFonts w:hint="eastAsia" w:ascii="宋体" w:hAnsi="宋体" w:eastAsia="宋体" w:cs="宋体"/>
          <w:color w:val="auto"/>
        </w:rPr>
        <w:t>24.4.1一般违约</w:t>
      </w:r>
      <w:bookmarkEnd w:id="129"/>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除本</w:t>
      </w:r>
      <w:r>
        <w:rPr>
          <w:rFonts w:hint="eastAsia" w:ascii="宋体" w:hAnsi="宋体" w:cs="宋体"/>
          <w:bCs/>
          <w:sz w:val="24"/>
          <w:szCs w:val="24"/>
        </w:rPr>
        <w:t>合同</w:t>
      </w:r>
      <w:r>
        <w:rPr>
          <w:rFonts w:hint="eastAsia" w:ascii="宋体" w:hAnsi="宋体" w:cs="宋体"/>
          <w:sz w:val="24"/>
          <w:szCs w:val="24"/>
        </w:rPr>
        <w:t>第24.4.3款规定的“乙方违约”事项和第24.4.5款规定的“甲方违约”事项之外，甲乙各方违反本</w:t>
      </w:r>
      <w:r>
        <w:rPr>
          <w:rFonts w:hint="eastAsia" w:ascii="宋体" w:hAnsi="宋体" w:cs="宋体"/>
          <w:bCs/>
          <w:sz w:val="24"/>
          <w:szCs w:val="24"/>
        </w:rPr>
        <w:t>合同</w:t>
      </w:r>
      <w:r>
        <w:rPr>
          <w:rFonts w:hint="eastAsia" w:ascii="宋体" w:hAnsi="宋体" w:cs="宋体"/>
          <w:sz w:val="24"/>
          <w:szCs w:val="24"/>
        </w:rPr>
        <w:t>规定的各自应当承担的义务的，均属一般违约。</w:t>
      </w:r>
    </w:p>
    <w:p>
      <w:pPr>
        <w:pStyle w:val="253"/>
        <w:keepNext w:val="0"/>
        <w:adjustRightInd w:val="0"/>
        <w:snapToGrid w:val="0"/>
        <w:spacing w:before="80" w:after="80" w:line="360" w:lineRule="auto"/>
        <w:ind w:firstLine="480" w:firstLineChars="200"/>
        <w:jc w:val="both"/>
        <w:outlineLvl w:val="9"/>
        <w:rPr>
          <w:rFonts w:ascii="宋体" w:hAnsi="宋体" w:eastAsia="宋体" w:cs="宋体"/>
          <w:color w:val="auto"/>
        </w:rPr>
      </w:pPr>
      <w:bookmarkStart w:id="130" w:name="_Toc24885647"/>
      <w:r>
        <w:rPr>
          <w:rFonts w:hint="eastAsia" w:ascii="宋体" w:hAnsi="宋体" w:eastAsia="宋体" w:cs="宋体"/>
          <w:color w:val="auto"/>
        </w:rPr>
        <w:t>24.4.2一般违约的处理</w:t>
      </w:r>
      <w:bookmarkEnd w:id="130"/>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24.4.2.1如有一般违约时，主张一般违约的一方应当以书面通知的形式要求违约方限期改正，书面通知应记载如下事项：</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（1）一般违约的具体事实；</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（2）改正一般违约的期限；</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（3）改正后应达到的标准；</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（4）届时未完成改正的处理。</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24.4.2.2违约方应于期限内改正一般违约，如届时未完成改正，守约方可对违约方处以人民币一万（10,000）元以上，五万（50,000）元以下的惩罚性违约金，并要求违约方限期改正；但违约金具体数额的确定应充分考虑违约行为的性质、程度以及违约所产生的后果等因素。</w:t>
      </w:r>
    </w:p>
    <w:p>
      <w:pPr>
        <w:pStyle w:val="253"/>
        <w:keepNext w:val="0"/>
        <w:adjustRightInd w:val="0"/>
        <w:snapToGrid w:val="0"/>
        <w:spacing w:before="80" w:after="80" w:line="360" w:lineRule="auto"/>
        <w:ind w:firstLine="480" w:firstLineChars="200"/>
        <w:jc w:val="both"/>
        <w:outlineLvl w:val="9"/>
        <w:rPr>
          <w:rFonts w:ascii="宋体" w:hAnsi="宋体" w:eastAsia="宋体" w:cs="宋体"/>
          <w:color w:val="auto"/>
        </w:rPr>
      </w:pPr>
      <w:bookmarkStart w:id="131" w:name="_Ref24883513"/>
      <w:bookmarkStart w:id="132" w:name="_Toc24885648"/>
      <w:bookmarkStart w:id="133" w:name="_Ref24883523"/>
      <w:r>
        <w:rPr>
          <w:rFonts w:hint="eastAsia" w:ascii="宋体" w:hAnsi="宋体" w:eastAsia="宋体" w:cs="宋体"/>
          <w:color w:val="auto"/>
        </w:rPr>
        <w:t>24.4.3乙方违约</w:t>
      </w:r>
      <w:bookmarkEnd w:id="131"/>
      <w:bookmarkEnd w:id="132"/>
      <w:bookmarkEnd w:id="133"/>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因可归责于乙方而有下列情形之一者，构成违约：</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（1）乙方擅自更换关键工艺技术；</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（2）乙方擅自将特许经营权进行处分，包括但不限于转让、抵押、出租特许经营权的；</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（3）乙方擅自将所经营的财产进行处置并影响本合同履行的；</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（4）乙方被吊销营业执照的；</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（5）乙方因管理不善，发生重大质量、生产安全事故、环境保护事故；</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（6）乙方因经营管理不善，财务状况严重恶化而导致破产，或逾期债务总额超过乙方资产总额的70%，无力正常经营，无法提供正常服务的；</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（7）乙方擅自停业、歇业或放弃本项目的；</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（8）乙方一般违约逾期未改正并造成重大影响的，甲方有权以违约处理。</w:t>
      </w:r>
    </w:p>
    <w:p>
      <w:pPr>
        <w:pStyle w:val="253"/>
        <w:keepNext w:val="0"/>
        <w:adjustRightInd w:val="0"/>
        <w:snapToGrid w:val="0"/>
        <w:spacing w:before="80" w:after="80" w:line="360" w:lineRule="auto"/>
        <w:ind w:firstLine="480" w:firstLineChars="200"/>
        <w:jc w:val="both"/>
        <w:outlineLvl w:val="9"/>
        <w:rPr>
          <w:rFonts w:ascii="宋体" w:hAnsi="宋体" w:eastAsia="宋体" w:cs="宋体"/>
          <w:color w:val="auto"/>
        </w:rPr>
      </w:pPr>
      <w:bookmarkStart w:id="134" w:name="_Toc24885649"/>
      <w:bookmarkStart w:id="135" w:name="_Ref24883612"/>
      <w:r>
        <w:rPr>
          <w:rFonts w:hint="eastAsia" w:ascii="宋体" w:hAnsi="宋体" w:eastAsia="宋体" w:cs="宋体"/>
          <w:color w:val="auto"/>
        </w:rPr>
        <w:t>24.4.4乙方违约的处理</w:t>
      </w:r>
      <w:bookmarkEnd w:id="134"/>
      <w:bookmarkEnd w:id="135"/>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24.4.4.1当乙方出现</w:t>
      </w:r>
      <w:r>
        <w:rPr>
          <w:rFonts w:hint="eastAsia" w:ascii="宋体" w:hAnsi="宋体" w:cs="宋体"/>
          <w:sz w:val="24"/>
          <w:szCs w:val="24"/>
        </w:rPr>
        <w:fldChar w:fldCharType="begin"/>
      </w:r>
      <w:r>
        <w:rPr>
          <w:rFonts w:hint="eastAsia" w:ascii="宋体" w:hAnsi="宋体" w:cs="宋体"/>
          <w:sz w:val="24"/>
          <w:szCs w:val="24"/>
        </w:rPr>
        <w:instrText xml:space="preserve"> REF _Ref24883513 \r \h </w:instrText>
      </w:r>
      <w:r>
        <w:rPr>
          <w:rFonts w:hint="eastAsia" w:ascii="宋体" w:hAnsi="宋体" w:cs="宋体"/>
          <w:sz w:val="24"/>
          <w:szCs w:val="24"/>
        </w:rPr>
        <w:fldChar w:fldCharType="separate"/>
      </w:r>
      <w:r>
        <w:rPr>
          <w:rFonts w:hint="eastAsia" w:ascii="宋体" w:hAnsi="宋体" w:cs="宋体"/>
          <w:sz w:val="24"/>
          <w:szCs w:val="24"/>
        </w:rPr>
        <w:t>24.4.3</w:t>
      </w:r>
      <w:r>
        <w:rPr>
          <w:rFonts w:hint="eastAsia" w:ascii="宋体" w:hAnsi="宋体" w:cs="宋体"/>
          <w:sz w:val="24"/>
          <w:szCs w:val="24"/>
        </w:rPr>
        <w:fldChar w:fldCharType="end"/>
      </w:r>
      <w:r>
        <w:rPr>
          <w:rFonts w:hint="eastAsia" w:ascii="宋体" w:hAnsi="宋体" w:cs="宋体"/>
          <w:sz w:val="24"/>
          <w:szCs w:val="24"/>
        </w:rPr>
        <w:t>款（1）、（8）款的违约事项时，甲方可首先“要求乙方限期改正”，乙方未改正或改正无效，则由甲方“临时接管”或直接启动“终止本合同”。</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24.4.4.2当乙方出现</w:t>
      </w:r>
      <w:r>
        <w:rPr>
          <w:rFonts w:hint="eastAsia" w:ascii="宋体" w:hAnsi="宋体" w:cs="宋体"/>
          <w:sz w:val="24"/>
          <w:szCs w:val="24"/>
        </w:rPr>
        <w:fldChar w:fldCharType="begin"/>
      </w:r>
      <w:r>
        <w:rPr>
          <w:rFonts w:hint="eastAsia" w:ascii="宋体" w:hAnsi="宋体" w:cs="宋体"/>
          <w:sz w:val="24"/>
          <w:szCs w:val="24"/>
        </w:rPr>
        <w:instrText xml:space="preserve"> REF _Ref24883513 \r \h </w:instrText>
      </w:r>
      <w:r>
        <w:rPr>
          <w:rFonts w:hint="eastAsia" w:ascii="宋体" w:hAnsi="宋体" w:cs="宋体"/>
          <w:sz w:val="24"/>
          <w:szCs w:val="24"/>
        </w:rPr>
        <w:fldChar w:fldCharType="separate"/>
      </w:r>
      <w:r>
        <w:rPr>
          <w:rFonts w:hint="eastAsia" w:ascii="宋体" w:hAnsi="宋体" w:cs="宋体"/>
          <w:sz w:val="24"/>
          <w:szCs w:val="24"/>
        </w:rPr>
        <w:t>24.4.3</w:t>
      </w:r>
      <w:r>
        <w:rPr>
          <w:rFonts w:hint="eastAsia" w:ascii="宋体" w:hAnsi="宋体" w:cs="宋体"/>
          <w:sz w:val="24"/>
          <w:szCs w:val="24"/>
        </w:rPr>
        <w:fldChar w:fldCharType="end"/>
      </w:r>
      <w:r>
        <w:rPr>
          <w:rFonts w:hint="eastAsia" w:ascii="宋体" w:hAnsi="宋体" w:cs="宋体"/>
          <w:sz w:val="24"/>
          <w:szCs w:val="24"/>
        </w:rPr>
        <w:t>款其它违约事项时，甲方可视乙方违约情节严重程度，采取“要求乙方限期改正”或直接“启动临时接管”或直接“终止本合同”。</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24.4.4.3在乙方违约事项存续期间，在项目运营期，甲方可停止支付垃圾处理服务费。</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24.4.4.4“要求乙方限期改正”的相关要求</w:t>
      </w:r>
    </w:p>
    <w:p>
      <w:p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甲方应以书面通知的形式要求乙方限期改正时，书面通知应记载如下事项：</w:t>
      </w:r>
    </w:p>
    <w:p>
      <w:pPr>
        <w:numPr>
          <w:ilvl w:val="0"/>
          <w:numId w:val="36"/>
        </w:num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违约的具体事实；</w:t>
      </w:r>
    </w:p>
    <w:p>
      <w:pPr>
        <w:numPr>
          <w:ilvl w:val="0"/>
          <w:numId w:val="36"/>
        </w:num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改正违约的期限；</w:t>
      </w:r>
    </w:p>
    <w:p>
      <w:pPr>
        <w:numPr>
          <w:ilvl w:val="0"/>
          <w:numId w:val="36"/>
        </w:num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改正后应达到的标准；及</w:t>
      </w:r>
    </w:p>
    <w:p>
      <w:pPr>
        <w:numPr>
          <w:ilvl w:val="0"/>
          <w:numId w:val="36"/>
        </w:numPr>
        <w:adjustRightInd w:val="0"/>
        <w:snapToGrid w:val="0"/>
        <w:spacing w:before="80" w:after="80" w:line="360" w:lineRule="auto"/>
        <w:ind w:firstLine="360" w:firstLineChars="150"/>
        <w:rPr>
          <w:rFonts w:ascii="宋体" w:hAnsi="宋体" w:cs="宋体"/>
          <w:sz w:val="24"/>
          <w:szCs w:val="24"/>
        </w:rPr>
      </w:pPr>
      <w:r>
        <w:rPr>
          <w:rFonts w:hint="eastAsia" w:ascii="宋体" w:hAnsi="宋体" w:cs="宋体"/>
          <w:sz w:val="24"/>
          <w:szCs w:val="24"/>
        </w:rPr>
        <w:t>届时未完成改正的处理。</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24.4.4.5“启动临时接管”的相关要求</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甲方应秉承科学、谨慎的原则行使临时接管权。</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甲方临时接管的目的是为了确保项目能够尽快恢复正常运行状态，纠正乙方的违约行为的一种措施。</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甲方决定临时接管的，向乙方发出书面通知，通知发出时立即执行临时接管；乙方应对甲方的临时接管进行配合。</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乙方应自收到甲方临时接管的通知时立即向甲方移交特许经营有关的工程资料、技术资料、财务文件、人员资料和其它一切必要文件、资料、档案，并对交接期间的安全、服务和乙方人员的临时安置承担全部责任。</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为了确保乙方违约事项能够得到最快的纠正及项目尽快正常运行，甲方可直接指挥乙方人员进行工作。</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甲方临时接管期间在保护公共利益的前提下尽力维护乙方财产的安全，临时接管期间焚烧垃圾所得垃圾处理服务费用及售电收入归乙方财务所有。</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甲方临时接管期间为了纠正乙方违约事项所发生的一切费用由乙方负责，甲方可直接从乙方所得收入中扣除或从乙方在违约行为发生届时有效的保函中提取。</w:t>
      </w:r>
    </w:p>
    <w:p>
      <w:pPr>
        <w:numPr>
          <w:ilvl w:val="0"/>
          <w:numId w:val="37"/>
        </w:num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经过整改，乙方违约事项得以消除之日起30 天内，甲方取消临时接管，移交乙方继续经营。如经过甲方临时接管及整改，乙方违约事项无法消除，则甲方有权终止本合同。</w:t>
      </w:r>
    </w:p>
    <w:p>
      <w:pPr>
        <w:pStyle w:val="253"/>
        <w:keepNext w:val="0"/>
        <w:adjustRightInd w:val="0"/>
        <w:snapToGrid w:val="0"/>
        <w:spacing w:before="80" w:after="80" w:line="360" w:lineRule="auto"/>
        <w:ind w:firstLine="480" w:firstLineChars="200"/>
        <w:jc w:val="both"/>
        <w:outlineLvl w:val="9"/>
        <w:rPr>
          <w:rFonts w:ascii="宋体" w:hAnsi="宋体" w:eastAsia="宋体" w:cs="宋体"/>
          <w:color w:val="auto"/>
          <w:highlight w:val="none"/>
        </w:rPr>
      </w:pPr>
      <w:bookmarkStart w:id="136" w:name="_Ref24883602"/>
      <w:bookmarkStart w:id="137" w:name="_Toc24885650"/>
      <w:r>
        <w:rPr>
          <w:rFonts w:hint="eastAsia" w:ascii="宋体" w:hAnsi="宋体" w:eastAsia="宋体" w:cs="宋体"/>
          <w:color w:val="auto"/>
          <w:highlight w:val="none"/>
        </w:rPr>
        <w:t>24.4.5甲方违约</w:t>
      </w:r>
      <w:bookmarkEnd w:id="136"/>
      <w:bookmarkEnd w:id="137"/>
      <w:r>
        <w:rPr>
          <w:rFonts w:hint="eastAsia" w:ascii="宋体" w:hAnsi="宋体" w:eastAsia="宋体" w:cs="宋体"/>
          <w:color w:val="auto"/>
          <w:highlight w:val="none"/>
        </w:rPr>
        <w:t>（保留）</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如甲方违反下述条款，经乙方限期要求改正而未改正且持续超过六十（60）日时，乙方有权在十五（15）日前以书面通知甲方终止合同。</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24.4.5.1在合同执行过程中，如甲方就本项目的场地条件、处理规模、技术标准等重要因素，向乙方提出不合理的调整与变更，致使乙方需要重新采购设备，乙方则有权要求甲方相应顺延合作期，延误时间不计入特许经营期，乙方实际发生的损失及具体补偿事宜由双方另行协商。</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24.4.5.2因可归责于甲方的原因，造成乙方停业、倒运、人员和机械设备无效调迁，且某一种情形持续时间超过二十（20）天或累计时间超过四十（40）天时，乙方有权要求甲方相应顺延合作期，延误时间不计入特许经营期，乙方实际发生的损失及具体补偿事宜由双方另行协商。</w:t>
      </w:r>
    </w:p>
    <w:p>
      <w:pPr>
        <w:adjustRightInd w:val="0"/>
        <w:snapToGrid w:val="0"/>
        <w:spacing w:before="80" w:after="80" w:line="360" w:lineRule="auto"/>
        <w:ind w:firstLine="480" w:firstLineChars="200"/>
        <w:rPr>
          <w:rFonts w:ascii="宋体" w:hAnsi="宋体" w:cs="宋体"/>
          <w:sz w:val="24"/>
          <w:szCs w:val="24"/>
        </w:rPr>
      </w:pPr>
      <w:r>
        <w:rPr>
          <w:rFonts w:hint="eastAsia" w:ascii="宋体" w:hAnsi="宋体" w:cs="宋体"/>
          <w:sz w:val="24"/>
          <w:szCs w:val="24"/>
        </w:rPr>
        <w:t>24.4.5.3在工程调试与测试期间，如果甲方未按照本合同的规定与要求，向乙方提供所需的垃圾，致使乙方不能如期进行调试与测试，则甲、乙双方约定的运营起始日相应推迟，同时乙方有权要求甲方相应顺延合作期，延误时间不计入特许经营期，乙方实际发生的损失及具体补偿事宜由双方另行协商。</w:t>
      </w:r>
    </w:p>
    <w:p>
      <w:pPr>
        <w:pStyle w:val="282"/>
        <w:snapToGrid w:val="0"/>
        <w:spacing w:line="360" w:lineRule="auto"/>
        <w:ind w:firstLine="480"/>
        <w:rPr>
          <w:rFonts w:ascii="宋体" w:hAnsi="宋体" w:cs="宋体"/>
          <w:sz w:val="24"/>
          <w:szCs w:val="24"/>
        </w:rPr>
      </w:pPr>
      <w:r>
        <w:rPr>
          <w:rFonts w:hint="eastAsia" w:ascii="宋体" w:hAnsi="宋体" w:cs="宋体"/>
          <w:sz w:val="24"/>
          <w:szCs w:val="24"/>
        </w:rPr>
        <w:t>24.4.5.4如甲方未按本合同第13.3.6款约定向乙方支付服务费，且已逾期（自应付款日起计算）超过_3__个月的，乙方有权向甲方发出终止意向通知。</w:t>
      </w:r>
    </w:p>
    <w:p>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24.5补偿</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24.5.1获得补偿的情形</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在项目合作期限内，如发生下列事件（下称“补偿事件”），则乙方有权依照本条相关约定从甲方获得补偿：</w:t>
      </w:r>
    </w:p>
    <w:p>
      <w:pPr>
        <w:numPr>
          <w:ilvl w:val="0"/>
          <w:numId w:val="38"/>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由于法律变更，导致乙方对项目的资本投资或经常性支出增加； </w:t>
      </w:r>
    </w:p>
    <w:p>
      <w:pPr>
        <w:numPr>
          <w:ilvl w:val="0"/>
          <w:numId w:val="38"/>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应甲方要求进行的工程调整和设备改造，导致乙方对项目的资本投资或经常性支出增加；</w:t>
      </w:r>
    </w:p>
    <w:p>
      <w:pPr>
        <w:numPr>
          <w:ilvl w:val="0"/>
          <w:numId w:val="38"/>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根据规定或甲方要求导致垃圾处理项目设施运营标准提高，造成乙方对项目的资本投资或经常性支出增加；</w:t>
      </w:r>
    </w:p>
    <w:p>
      <w:pPr>
        <w:numPr>
          <w:ilvl w:val="0"/>
          <w:numId w:val="38"/>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为了维护公共利益的安全，甲方的介入造成乙方的损失、支出或费用增加；</w:t>
      </w:r>
    </w:p>
    <w:p>
      <w:pPr>
        <w:numPr>
          <w:ilvl w:val="0"/>
          <w:numId w:val="38"/>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双方协商一致的其他事项。</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24.5.2以其他方式已补偿的损失</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就乙方因上述补偿事件而发生的损失、损害或责任（包括对项目的资本投资或经常性支出增加）的金额，应在扣除从以下途径另行获取的补偿或抵销的损失后，确定是否需要补偿以及需补偿的金额：</w:t>
      </w:r>
    </w:p>
    <w:p>
      <w:pPr>
        <w:numPr>
          <w:ilvl w:val="0"/>
          <w:numId w:val="39"/>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乙方有权获得的保险赔款（包括认定保险赔款）；</w:t>
      </w:r>
    </w:p>
    <w:p>
      <w:pPr>
        <w:numPr>
          <w:ilvl w:val="0"/>
          <w:numId w:val="39"/>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甲方按照本合同其他约定或以其他方式提供补偿；</w:t>
      </w:r>
    </w:p>
    <w:p>
      <w:pPr>
        <w:numPr>
          <w:ilvl w:val="0"/>
          <w:numId w:val="39"/>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法律变更使乙方的投资或运营费用减少或以其他方式补偿了乙方；</w:t>
      </w:r>
    </w:p>
    <w:p>
      <w:pPr>
        <w:numPr>
          <w:ilvl w:val="0"/>
          <w:numId w:val="39"/>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乙方已从其他途径获得补偿。</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24.5.3补偿的形式</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一般情况下，甲、乙双方可以协商采取以下一种或多种方式进行补偿：</w:t>
      </w:r>
    </w:p>
    <w:p>
      <w:pPr>
        <w:numPr>
          <w:ilvl w:val="0"/>
          <w:numId w:val="40"/>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一次性现金补偿；</w:t>
      </w:r>
    </w:p>
    <w:p>
      <w:pPr>
        <w:numPr>
          <w:ilvl w:val="0"/>
          <w:numId w:val="40"/>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调整服务费；</w:t>
      </w:r>
    </w:p>
    <w:p>
      <w:pPr>
        <w:numPr>
          <w:ilvl w:val="0"/>
          <w:numId w:val="40"/>
        </w:num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在符合适用法律规定的前提下延长运营期限。</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24.5.4补偿事件的通知</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发生第24.5款约定的补偿事件时，乙方应书面通知甲方所发生的补偿事件及其产生的不利影响，包括有关损失的性质和估计数额（下称“补偿通知”）。</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24.5.5补偿的决定</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（1）补偿事件的协商处理</w:t>
      </w:r>
    </w:p>
    <w:p>
      <w:pPr>
        <w:adjustRightInd w:val="0"/>
        <w:snapToGrid w:val="0"/>
        <w:spacing w:line="360" w:lineRule="auto"/>
        <w:rPr>
          <w:rFonts w:ascii="宋体" w:hAnsi="宋体" w:cs="宋体"/>
          <w:bCs/>
          <w:sz w:val="24"/>
          <w:szCs w:val="24"/>
        </w:rPr>
      </w:pPr>
      <w:r>
        <w:rPr>
          <w:rFonts w:hint="eastAsia" w:ascii="宋体" w:hAnsi="宋体" w:cs="宋体"/>
          <w:bCs/>
          <w:sz w:val="24"/>
          <w:szCs w:val="24"/>
        </w:rPr>
        <w:t>甲方在收到乙方补偿通知后10日内，应书面通知乙方建议采取的补偿方式、金额、时间等。若甲方不同意进行补偿或双方对补偿形式或金额有异议的，双方应及时进行友好协商，尽最大努力达成一致，协商期为自乙方发出补偿通知之日起__3_个月。</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（2）协商不能达成一致意见的处理</w:t>
      </w:r>
    </w:p>
    <w:p>
      <w:pPr>
        <w:adjustRightInd w:val="0"/>
        <w:snapToGrid w:val="0"/>
        <w:spacing w:line="360" w:lineRule="auto"/>
        <w:rPr>
          <w:rFonts w:ascii="宋体" w:hAnsi="宋体" w:cs="宋体"/>
          <w:bCs/>
          <w:sz w:val="24"/>
          <w:szCs w:val="24"/>
        </w:rPr>
      </w:pPr>
      <w:r>
        <w:rPr>
          <w:rFonts w:hint="eastAsia" w:ascii="宋体" w:hAnsi="宋体" w:cs="宋体"/>
          <w:bCs/>
          <w:sz w:val="24"/>
          <w:szCs w:val="24"/>
        </w:rPr>
        <w:t>若在协商期限内，双方仍不能就补偿达成一致的，则按本合同争议条款约定解决；协商期间及争议解决期间，乙方不应中止项目设施的正常运营维护。</w:t>
      </w:r>
    </w:p>
    <w:p>
      <w:pPr>
        <w:spacing w:before="80" w:after="80" w:line="360" w:lineRule="auto"/>
        <w:outlineLvl w:val="0"/>
        <w:rPr>
          <w:rFonts w:ascii="宋体" w:hAnsi="宋体" w:cs="宋体"/>
          <w:b/>
          <w:sz w:val="28"/>
          <w:szCs w:val="28"/>
        </w:rPr>
      </w:pPr>
      <w:bookmarkStart w:id="138" w:name="_Toc46140717"/>
      <w:r>
        <w:rPr>
          <w:rFonts w:hint="eastAsia" w:ascii="宋体" w:hAnsi="宋体" w:cs="宋体"/>
          <w:b/>
          <w:sz w:val="28"/>
          <w:szCs w:val="28"/>
        </w:rPr>
        <w:t>第25条  合同终止与补偿</w:t>
      </w:r>
      <w:bookmarkEnd w:id="138"/>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25.1甲方发出的终止</w:t>
      </w:r>
    </w:p>
    <w:p>
      <w:pPr>
        <w:spacing w:before="80" w:after="80" w:line="360" w:lineRule="auto"/>
        <w:ind w:firstLine="424" w:firstLineChars="177"/>
        <w:rPr>
          <w:rFonts w:hint="eastAsia" w:ascii="宋体" w:hAnsi="宋体" w:cs="宋体"/>
          <w:sz w:val="24"/>
          <w:szCs w:val="24"/>
        </w:rPr>
      </w:pPr>
      <w:r>
        <w:rPr>
          <w:rFonts w:hint="eastAsia" w:ascii="宋体" w:hAnsi="宋体" w:cs="宋体"/>
          <w:sz w:val="24"/>
          <w:szCs w:val="24"/>
        </w:rPr>
        <w:t>下列任一事件发生时，甲方有权立即发出终止意向通知：</w:t>
      </w:r>
    </w:p>
    <w:p>
      <w:pPr>
        <w:spacing w:before="80" w:after="80"/>
        <w:ind w:firstLine="900" w:firstLineChars="375"/>
        <w:rPr>
          <w:rFonts w:ascii="宋体" w:hAnsi="宋体" w:eastAsia="宋体" w:cs="宋体"/>
          <w:b w:val="0"/>
          <w:bCs w:val="0"/>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a</w:t>
      </w:r>
      <w:r>
        <w:rPr>
          <w:rFonts w:hint="eastAsia" w:ascii="宋体" w:hAnsi="宋体" w:cs="宋体"/>
          <w:sz w:val="24"/>
          <w:szCs w:val="24"/>
          <w:lang w:eastAsia="zh-CN"/>
        </w:rPr>
        <w:t>）</w:t>
      </w:r>
      <w:r>
        <w:rPr>
          <w:rFonts w:hint="eastAsia" w:ascii="宋体" w:hAnsi="宋体" w:eastAsia="宋体" w:cs="宋体"/>
          <w:b w:val="0"/>
          <w:bCs w:val="0"/>
          <w:sz w:val="24"/>
          <w:szCs w:val="24"/>
        </w:rPr>
        <w:t>乙方在</w:t>
      </w:r>
      <w:bookmarkStart w:id="139" w:name="_Ref426018112"/>
      <w:r>
        <w:rPr>
          <w:rFonts w:hint="eastAsia" w:ascii="宋体" w:hAnsi="宋体" w:eastAsia="宋体" w:cs="宋体"/>
          <w:b w:val="0"/>
          <w:bCs w:val="0"/>
          <w:sz w:val="24"/>
          <w:szCs w:val="24"/>
        </w:rPr>
        <w:t>第2条款中的任何声明被证明在做出时在实质方面不属实，使乙方履行本合同的能力受到严重的不利影响；</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(b)</w:t>
      </w:r>
      <w:r>
        <w:rPr>
          <w:rFonts w:hint="eastAsia" w:ascii="宋体" w:hAnsi="宋体" w:eastAsia="宋体" w:cs="宋体"/>
          <w:b w:val="0"/>
          <w:bCs w:val="0"/>
          <w:sz w:val="24"/>
          <w:szCs w:val="24"/>
        </w:rPr>
        <w:t>乙方未能根据本合同约定提交、替换和恢复履约保函；</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rPr>
        <w:t>未经甲方事先书面同意，乙方无故或因其自身原因连续叁（3）日或任意一个运营年累计拾（10）日中止对项目的运营。上述时间不包括计划内暂停服务的时间；</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(d)</w:t>
      </w:r>
      <w:r>
        <w:rPr>
          <w:rFonts w:hint="eastAsia" w:ascii="宋体" w:hAnsi="宋体" w:eastAsia="宋体" w:cs="宋体"/>
          <w:b w:val="0"/>
          <w:bCs w:val="0"/>
          <w:sz w:val="24"/>
          <w:szCs w:val="24"/>
        </w:rPr>
        <w:t>乙方擅自停业、歇业或未对项目设施进行定期维护、更新改造，而造成重大安全责任事故，严重影响社会公众利益；</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(e)</w:t>
      </w:r>
      <w:r>
        <w:rPr>
          <w:rFonts w:hint="eastAsia" w:ascii="宋体" w:hAnsi="宋体" w:eastAsia="宋体" w:cs="宋体"/>
          <w:b w:val="0"/>
          <w:bCs w:val="0"/>
          <w:sz w:val="24"/>
          <w:szCs w:val="24"/>
        </w:rPr>
        <w:t>乙方因经营管理不善，发生重大质量、生产、环境安全事故的；</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(f)</w:t>
      </w:r>
      <w:r>
        <w:rPr>
          <w:rFonts w:hint="eastAsia" w:ascii="宋体" w:hAnsi="宋体" w:eastAsia="宋体" w:cs="宋体"/>
          <w:b w:val="0"/>
          <w:bCs w:val="0"/>
          <w:sz w:val="24"/>
          <w:szCs w:val="24"/>
        </w:rPr>
        <w:t>乙方被国家级行业主管部门通报批评壹（1）次以上的，或五年内贰（2）次以上被省级行业主管部门通报并处罚的；</w:t>
      </w:r>
    </w:p>
    <w:p>
      <w:pPr>
        <w:pStyle w:val="7"/>
        <w:numPr>
          <w:ilvl w:val="-1"/>
          <w:numId w:val="0"/>
        </w:numPr>
        <w:tabs>
          <w:tab w:val="left" w:pos="1276"/>
        </w:tabs>
        <w:spacing w:before="120" w:after="120" w:line="360" w:lineRule="auto"/>
        <w:ind w:left="0" w:firstLine="960" w:firstLineChars="40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(g)</w:t>
      </w:r>
      <w:r>
        <w:rPr>
          <w:rFonts w:hint="eastAsia" w:ascii="宋体" w:hAnsi="宋体" w:eastAsia="宋体" w:cs="宋体"/>
          <w:b w:val="0"/>
          <w:bCs w:val="0"/>
          <w:sz w:val="24"/>
          <w:szCs w:val="24"/>
        </w:rPr>
        <w:t>乙方未履行运营管理义务，且在甲方规定的时间内未完成整改；</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(h)</w:t>
      </w:r>
      <w:r>
        <w:rPr>
          <w:rFonts w:hint="eastAsia" w:ascii="宋体" w:hAnsi="宋体" w:eastAsia="宋体" w:cs="宋体"/>
          <w:b w:val="0"/>
          <w:bCs w:val="0"/>
          <w:sz w:val="24"/>
          <w:szCs w:val="24"/>
        </w:rPr>
        <w:t>乙方在任一运营年内根据本合同提供的报表或报告超过叁（3）次被证明含有实质上不属实的信息或故意的虚假陈述；</w:t>
      </w:r>
    </w:p>
    <w:bookmarkEnd w:id="139"/>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(i)</w:t>
      </w:r>
      <w:r>
        <w:rPr>
          <w:rFonts w:hint="eastAsia" w:ascii="宋体" w:hAnsi="宋体" w:eastAsia="宋体" w:cs="宋体"/>
          <w:b w:val="0"/>
          <w:bCs w:val="0"/>
          <w:sz w:val="24"/>
          <w:szCs w:val="24"/>
        </w:rPr>
        <w:t>乙方根据中国法律进行清算或不能清偿到期债务；</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(j)</w:t>
      </w:r>
      <w:r>
        <w:rPr>
          <w:rFonts w:hint="eastAsia" w:ascii="宋体" w:hAnsi="宋体" w:eastAsia="宋体" w:cs="宋体"/>
          <w:b w:val="0"/>
          <w:bCs w:val="0"/>
          <w:sz w:val="24"/>
          <w:szCs w:val="24"/>
        </w:rPr>
        <w:t>乙方被吊销企业法人营业执照；</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(k)</w:t>
      </w:r>
      <w:r>
        <w:rPr>
          <w:rFonts w:hint="eastAsia" w:ascii="宋体" w:hAnsi="宋体" w:eastAsia="宋体" w:cs="宋体"/>
          <w:b w:val="0"/>
          <w:bCs w:val="0"/>
          <w:sz w:val="24"/>
          <w:szCs w:val="24"/>
        </w:rPr>
        <w:t>乙方未经甲方批准，擅自出租、转让、抵押或质押特许经营权或项目软硬件设备设施或其任何部分；</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bookmarkStart w:id="140" w:name="_Ref514069453"/>
      <w:r>
        <w:rPr>
          <w:rFonts w:hint="eastAsia" w:ascii="宋体" w:hAnsi="宋体" w:eastAsia="宋体" w:cs="宋体"/>
          <w:b w:val="0"/>
          <w:bCs w:val="0"/>
          <w:sz w:val="24"/>
          <w:szCs w:val="24"/>
          <w:lang w:val="en-US" w:eastAsia="zh-CN"/>
        </w:rPr>
        <w:t>(l)</w:t>
      </w:r>
      <w:r>
        <w:rPr>
          <w:rFonts w:hint="eastAsia" w:ascii="宋体" w:hAnsi="宋体" w:eastAsia="宋体" w:cs="宋体"/>
          <w:b w:val="0"/>
          <w:bCs w:val="0"/>
          <w:sz w:val="24"/>
          <w:szCs w:val="24"/>
        </w:rPr>
        <w:t>未经甲方书面同意，擅自转让其在乙方的股权；</w:t>
      </w:r>
      <w:bookmarkEnd w:id="140"/>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bookmarkStart w:id="141" w:name="_Hlk33809130"/>
      <w:r>
        <w:rPr>
          <w:rFonts w:hint="eastAsia" w:ascii="宋体" w:hAnsi="宋体" w:eastAsia="宋体" w:cs="宋体"/>
          <w:b w:val="0"/>
          <w:bCs w:val="0"/>
          <w:sz w:val="24"/>
          <w:szCs w:val="24"/>
          <w:lang w:val="en-US" w:eastAsia="zh-CN"/>
        </w:rPr>
        <w:t>(m)</w:t>
      </w:r>
      <w:r>
        <w:rPr>
          <w:rFonts w:hint="eastAsia" w:ascii="宋体" w:hAnsi="宋体" w:eastAsia="宋体" w:cs="宋体"/>
          <w:b w:val="0"/>
          <w:bCs w:val="0"/>
          <w:sz w:val="24"/>
          <w:szCs w:val="24"/>
        </w:rPr>
        <w:t>项目公司被依法强制执行等导致项目公司股权发生被动变更；</w:t>
      </w:r>
    </w:p>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(n)</w:t>
      </w:r>
      <w:r>
        <w:rPr>
          <w:rFonts w:hint="eastAsia" w:ascii="宋体" w:hAnsi="宋体" w:eastAsia="宋体" w:cs="宋体"/>
          <w:b w:val="0"/>
          <w:bCs w:val="0"/>
          <w:sz w:val="24"/>
          <w:szCs w:val="24"/>
        </w:rPr>
        <w:t>项目公司股东母公司因发生重大股权变更而导致项目公司实际控制人发生变化；</w:t>
      </w:r>
    </w:p>
    <w:bookmarkEnd w:id="141"/>
    <w:p>
      <w:pPr>
        <w:pStyle w:val="7"/>
        <w:numPr>
          <w:ilvl w:val="-1"/>
          <w:numId w:val="0"/>
        </w:numPr>
        <w:tabs>
          <w:tab w:val="left" w:pos="1276"/>
        </w:tabs>
        <w:spacing w:before="120" w:after="120" w:line="360" w:lineRule="auto"/>
        <w:ind w:left="850" w:firstLine="0"/>
        <w:jc w:val="both"/>
        <w:rPr>
          <w:rFonts w:ascii="宋体" w:hAnsi="宋体" w:eastAsia="宋体" w:cs="宋体"/>
          <w:b w:val="0"/>
          <w:bCs w:val="0"/>
          <w:sz w:val="24"/>
          <w:szCs w:val="24"/>
        </w:rPr>
      </w:pPr>
      <w:bookmarkStart w:id="142" w:name="_Ref426018126"/>
      <w:r>
        <w:rPr>
          <w:rFonts w:hint="eastAsia" w:ascii="宋体" w:hAnsi="宋体" w:eastAsia="宋体" w:cs="宋体"/>
          <w:b w:val="0"/>
          <w:bCs w:val="0"/>
          <w:sz w:val="24"/>
          <w:szCs w:val="24"/>
          <w:lang w:val="en-US" w:eastAsia="zh-CN"/>
        </w:rPr>
        <w:t>(o)</w:t>
      </w:r>
      <w:r>
        <w:rPr>
          <w:rFonts w:hint="eastAsia" w:ascii="宋体" w:hAnsi="宋体" w:eastAsia="宋体" w:cs="宋体"/>
          <w:b w:val="0"/>
          <w:bCs w:val="0"/>
          <w:sz w:val="24"/>
          <w:szCs w:val="24"/>
        </w:rPr>
        <w:t>乙方</w:t>
      </w:r>
      <w:bookmarkEnd w:id="142"/>
      <w:r>
        <w:rPr>
          <w:rFonts w:hint="eastAsia" w:ascii="宋体" w:hAnsi="宋体" w:eastAsia="宋体" w:cs="宋体"/>
          <w:b w:val="0"/>
          <w:bCs w:val="0"/>
          <w:sz w:val="24"/>
          <w:szCs w:val="24"/>
        </w:rPr>
        <w:t>未履行本合同项下的义务构成对本合同的重大违约（上述第</w:t>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REF _Ref426018112 \r \h \* MERGEFORMAT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(a)</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t>至(</w:t>
      </w:r>
      <w:r>
        <w:rPr>
          <w:rFonts w:hint="eastAsia" w:ascii="宋体" w:hAnsi="宋体" w:eastAsia="宋体" w:cs="宋体"/>
          <w:b w:val="0"/>
          <w:bCs w:val="0"/>
          <w:sz w:val="24"/>
          <w:szCs w:val="24"/>
          <w:lang w:val="en-US" w:eastAsia="zh-CN"/>
        </w:rPr>
        <w:t>n</w:t>
      </w:r>
      <w:r>
        <w:rPr>
          <w:rFonts w:hint="eastAsia" w:ascii="宋体" w:hAnsi="宋体" w:eastAsia="宋体" w:cs="宋体"/>
          <w:b w:val="0"/>
          <w:bCs w:val="0"/>
          <w:sz w:val="24"/>
          <w:szCs w:val="24"/>
        </w:rPr>
        <w:t>)条款所述情形除外），并且在收到甲方说明其违约并要求补救的书面通知后陆拾（60）日内仍未能补救该重大违约。</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25.2乙方发出的终止</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下列任一事件发生时，乙方有权立即发出终止意向通知：</w:t>
      </w:r>
    </w:p>
    <w:p>
      <w:pPr>
        <w:spacing w:before="80" w:after="80" w:line="360" w:lineRule="auto"/>
        <w:ind w:left="1260" w:leftChars="400" w:hanging="420" w:hangingChars="175"/>
        <w:rPr>
          <w:rFonts w:ascii="宋体" w:hAnsi="宋体" w:cs="宋体"/>
          <w:sz w:val="24"/>
          <w:szCs w:val="24"/>
        </w:rPr>
      </w:pPr>
      <w:r>
        <w:rPr>
          <w:rFonts w:hint="eastAsia" w:ascii="宋体" w:hAnsi="宋体" w:cs="宋体"/>
          <w:sz w:val="24"/>
          <w:szCs w:val="24"/>
        </w:rPr>
        <w:t>(a)甲方在本合同第2条的承诺及其他任何声明和保证被证明是虚假的或未兑现，使乙方履行本合同的能力受到严重不利影响；</w:t>
      </w:r>
    </w:p>
    <w:p>
      <w:pPr>
        <w:spacing w:before="80" w:after="80" w:line="360" w:lineRule="auto"/>
        <w:ind w:left="1260" w:leftChars="400" w:hanging="420" w:hangingChars="175"/>
        <w:rPr>
          <w:rFonts w:ascii="宋体" w:hAnsi="宋体" w:cs="宋体"/>
          <w:sz w:val="24"/>
          <w:szCs w:val="24"/>
        </w:rPr>
      </w:pPr>
      <w:r>
        <w:rPr>
          <w:rFonts w:hint="eastAsia" w:ascii="宋体" w:hAnsi="宋体" w:cs="宋体"/>
          <w:sz w:val="24"/>
          <w:szCs w:val="24"/>
        </w:rPr>
        <w:t xml:space="preserve">(b)甲方违反本合同的约定，在本项目合作期限和合作范围内，就本项目设施引入其他第三方负责实施的； </w:t>
      </w:r>
    </w:p>
    <w:p>
      <w:pPr>
        <w:spacing w:before="80" w:after="80" w:line="360" w:lineRule="auto"/>
        <w:ind w:left="1260" w:leftChars="400" w:hanging="420" w:hangingChars="175"/>
        <w:rPr>
          <w:rFonts w:ascii="宋体" w:hAnsi="宋体" w:cs="宋体"/>
          <w:sz w:val="24"/>
          <w:szCs w:val="24"/>
        </w:rPr>
      </w:pPr>
      <w:r>
        <w:rPr>
          <w:rFonts w:hint="eastAsia" w:ascii="宋体" w:hAnsi="宋体" w:cs="宋体"/>
          <w:sz w:val="24"/>
          <w:szCs w:val="24"/>
        </w:rPr>
        <w:t>(c) 甲方未按本合同第13.3.6款约定向乙方支付服务费，且已逾期（自应付款日起计算）超过_3__个月的；</w:t>
      </w:r>
    </w:p>
    <w:p>
      <w:pPr>
        <w:spacing w:before="80" w:after="80" w:line="360" w:lineRule="auto"/>
        <w:ind w:left="1260" w:leftChars="400" w:hanging="420" w:hangingChars="175"/>
        <w:rPr>
          <w:rFonts w:ascii="宋体" w:hAnsi="宋体" w:cs="宋体"/>
          <w:sz w:val="24"/>
          <w:szCs w:val="24"/>
        </w:rPr>
      </w:pPr>
      <w:r>
        <w:rPr>
          <w:rFonts w:hint="eastAsia" w:ascii="宋体" w:hAnsi="宋体" w:cs="宋体"/>
          <w:sz w:val="24"/>
          <w:szCs w:val="24"/>
        </w:rPr>
        <w:t>（d）甲方出现的其他严重违约事项导致合同目的无法实现的。</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25.3法律变更或政府行为导致的终止</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果在本合同生效日后，因法律变更及上级政府行为导致乙方部分或全部不能履行本合同项下主要义务，而此种变化和影响又不以甲方的意志为转移，甲、乙双方应尽力就继续履行本合同进行协商。若不能达成一致，则一方可向另一方发出终止意向通知。</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25.4不可抗力造成的终止</w:t>
      </w:r>
    </w:p>
    <w:p>
      <w:pPr>
        <w:spacing w:before="80" w:after="80" w:line="360" w:lineRule="auto"/>
        <w:ind w:firstLine="424" w:firstLineChars="177"/>
        <w:rPr>
          <w:rFonts w:ascii="宋体" w:hAnsi="宋体" w:cs="宋体"/>
          <w:b/>
          <w:color w:val="000000"/>
          <w:sz w:val="24"/>
          <w:szCs w:val="24"/>
        </w:rPr>
      </w:pPr>
      <w:r>
        <w:rPr>
          <w:rFonts w:hint="eastAsia" w:ascii="宋体" w:hAnsi="宋体" w:cs="宋体"/>
          <w:color w:val="000000"/>
          <w:sz w:val="24"/>
          <w:szCs w:val="24"/>
        </w:rPr>
        <w:t>当不可抗力事件阻止一方履行其义务的时间持续_60__日以上时，双方应协商决定继续履行本合同的条件或者终止本合同。如果自不可抗力发生后__90_日内双方不能就继续履行的条件或终止本合同达成一致意见，任何一方有权给予另一方书面通知后立即终止本合同。</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25.5协商一致终止</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在合作期内，经各方协商一致可提前终止本合同。</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25.6终止意向通知和终止通知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25.6.1终止意向通知</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按照第25.1款甲方发出的终止或第25.2款乙方发出的终止或第25.3款法律变更或政府行为发出的任何终止意向通知均应同时向融资方发出一份复印件。在终止意向通知发出之后，双方应在__30_日内协商避免本合同终止的措施。</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如果甲方和乙方就将要采取的措施达成一致意见，或者甲方或乙方在相应的协商期或双方可能同意的更长时间内纠正了违约事件，终止意向通知即自动失效。</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25.6.2终止通知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在协商期届满之时，如果</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（1）双方未达成一致；或</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（2）导致发出终止意向通知的违约事件未得到纠正，则发出终止意向通知的一方可以向另一方和融资方就此发出终止通知，本合同在终止通知送达对方之日终止。</w:t>
      </w:r>
    </w:p>
    <w:p>
      <w:pPr>
        <w:spacing w:before="80" w:after="80" w:line="360" w:lineRule="auto"/>
        <w:ind w:firstLine="482" w:firstLineChars="200"/>
        <w:rPr>
          <w:rFonts w:ascii="宋体" w:hAnsi="宋体" w:cs="宋体"/>
          <w:b/>
          <w:sz w:val="24"/>
          <w:szCs w:val="24"/>
        </w:rPr>
      </w:pPr>
      <w:r>
        <w:rPr>
          <w:rFonts w:hint="eastAsia" w:ascii="宋体" w:hAnsi="宋体" w:cs="宋体"/>
          <w:b/>
          <w:sz w:val="24"/>
          <w:szCs w:val="24"/>
        </w:rPr>
        <w:t>25.7甲方的权利</w:t>
      </w:r>
    </w:p>
    <w:p>
      <w:pPr>
        <w:spacing w:before="80" w:after="80" w:line="360" w:lineRule="auto"/>
        <w:ind w:firstLine="480" w:firstLineChars="200"/>
        <w:rPr>
          <w:rFonts w:ascii="宋体" w:hAnsi="宋体" w:cs="宋体"/>
          <w:sz w:val="24"/>
          <w:szCs w:val="24"/>
        </w:rPr>
      </w:pPr>
      <w:r>
        <w:rPr>
          <w:rFonts w:hint="eastAsia" w:ascii="宋体" w:hAnsi="宋体" w:cs="宋体"/>
          <w:sz w:val="24"/>
          <w:szCs w:val="24"/>
        </w:rPr>
        <w:t>25.7.1经营项目设施的权利</w:t>
      </w:r>
    </w:p>
    <w:p>
      <w:pPr>
        <w:spacing w:before="80" w:after="80" w:line="360" w:lineRule="auto"/>
        <w:ind w:firstLine="480" w:firstLineChars="200"/>
        <w:rPr>
          <w:rFonts w:ascii="宋体" w:hAnsi="宋体" w:cs="宋体"/>
          <w:sz w:val="24"/>
          <w:szCs w:val="24"/>
          <w:highlight w:val="yellow"/>
        </w:rPr>
      </w:pPr>
      <w:r>
        <w:rPr>
          <w:rFonts w:hint="eastAsia" w:ascii="宋体" w:hAnsi="宋体" w:cs="宋体"/>
          <w:sz w:val="24"/>
          <w:szCs w:val="24"/>
        </w:rPr>
        <w:t>（1）</w:t>
      </w:r>
      <w:r>
        <w:rPr>
          <w:rFonts w:hint="eastAsia" w:ascii="宋体" w:hAnsi="宋体" w:cs="宋体"/>
          <w:color w:val="000000"/>
          <w:sz w:val="24"/>
          <w:szCs w:val="24"/>
        </w:rPr>
        <w:t>在项目合作期内，如果乙方发</w:t>
      </w:r>
      <w:r>
        <w:rPr>
          <w:rFonts w:hint="eastAsia" w:ascii="宋体" w:hAnsi="宋体" w:cs="宋体"/>
          <w:sz w:val="24"/>
          <w:szCs w:val="24"/>
        </w:rPr>
        <w:t>生第25.1款</w:t>
      </w:r>
      <w:r>
        <w:rPr>
          <w:rFonts w:hint="eastAsia" w:ascii="宋体" w:hAnsi="宋体" w:cs="宋体"/>
          <w:color w:val="000000"/>
          <w:sz w:val="24"/>
          <w:szCs w:val="24"/>
        </w:rPr>
        <w:t>甲方发出的终止所述事件，甲方发出终止意向通知后，甲方或其指定机构有权但无义务替代乙方接管项目设施的运营，以使项目设施继续运营或完成任何必要的修理以保证项目设施继续运营。乙方保证配合甲方或其指定机构，并应让融资方在融资文件中做出具有同样内容的承诺</w:t>
      </w:r>
      <w:r>
        <w:rPr>
          <w:rFonts w:hint="eastAsia" w:ascii="宋体" w:hAnsi="宋体" w:cs="宋体"/>
          <w:sz w:val="24"/>
          <w:szCs w:val="24"/>
        </w:rPr>
        <w:t>。由甲方或其指定的第三人购买归属于乙方的项目资产及一切权利，购买金额为根据双方认可的具有相应资质的审计机构审计后的项目净资产（所有负债应已清除），扣除甲方为此发生的费用后，剩余部分返还乙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w:t>
      </w:r>
      <w:r>
        <w:rPr>
          <w:rFonts w:hint="eastAsia" w:ascii="宋体" w:hAnsi="宋体" w:cs="宋体"/>
          <w:color w:val="000000"/>
          <w:sz w:val="24"/>
          <w:szCs w:val="24"/>
        </w:rPr>
        <w:t>在甲方或其指定机构运营项目设施期间，乙方无义务支付甲方及其指定机构接管项目设施后发生的运营费用。甲方无义务向乙方支付任何服务费，直至乙方按照本合同接替或承担项目设施的运营</w:t>
      </w:r>
      <w:r>
        <w:rPr>
          <w:rFonts w:hint="eastAsia" w:ascii="宋体" w:hAnsi="宋体" w:cs="宋体"/>
          <w:sz w:val="24"/>
          <w:szCs w:val="24"/>
        </w:rPr>
        <w:t>。</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（3）甲方应有权在任何时候退出项目设施的运营，在此情况下乙方应全面负责项目设施运营，直到任何一方发出终止通知。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25.7.2终止本合同的权利</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如果在第25.1款甲方发出的终止所述事件发生之后，甲方已发出终止意向通知，并且乙方违约事件在协商期限届满_10__日前未得以补救，则甲方应有权在上述日期之后的任何时间发出终止通知终止本合同。甲方有权从应付乙方垃圾处理服务费中扣抵乙方应给付的违约金、损害赔偿及其它基于本合同甲方有权向乙方请求支付的费用。</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25.8终止的后果</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本合同终止后，双方在本合同项下不再有进一步的义务，但到期应付的款项除外；本合同的终止不影响本合同中争议解决条款和任何在本合同终止后仍然有效的其他条款的效力。</w:t>
      </w:r>
    </w:p>
    <w:p>
      <w:pPr>
        <w:spacing w:before="80" w:after="80" w:line="360" w:lineRule="auto"/>
        <w:ind w:firstLine="426" w:firstLineChars="177"/>
        <w:rPr>
          <w:rFonts w:ascii="宋体" w:hAnsi="宋体" w:cs="宋体"/>
          <w:b/>
          <w:sz w:val="24"/>
          <w:szCs w:val="24"/>
          <w:highlight w:val="red"/>
        </w:rPr>
      </w:pPr>
      <w:r>
        <w:rPr>
          <w:rFonts w:hint="eastAsia" w:ascii="宋体" w:hAnsi="宋体" w:cs="宋体"/>
          <w:b/>
          <w:sz w:val="24"/>
          <w:szCs w:val="24"/>
        </w:rPr>
        <w:t>25.9终止后的补偿</w:t>
      </w:r>
    </w:p>
    <w:p>
      <w:pPr>
        <w:pStyle w:val="6"/>
        <w:tabs>
          <w:tab w:val="left" w:pos="822"/>
        </w:tabs>
        <w:spacing w:before="120" w:after="120" w:line="360" w:lineRule="auto"/>
        <w:ind w:firstLine="480" w:firstLineChars="200"/>
        <w:jc w:val="both"/>
        <w:rPr>
          <w:rFonts w:ascii="宋体" w:hAnsi="宋体" w:eastAsia="宋体" w:cs="宋体"/>
          <w:b w:val="0"/>
          <w:bCs w:val="0"/>
          <w:sz w:val="24"/>
          <w:szCs w:val="24"/>
        </w:rPr>
      </w:pPr>
      <w:r>
        <w:rPr>
          <w:rFonts w:hint="eastAsia" w:ascii="宋体" w:hAnsi="宋体" w:eastAsia="宋体" w:cs="宋体"/>
          <w:b w:val="0"/>
          <w:bCs w:val="0"/>
          <w:sz w:val="24"/>
          <w:szCs w:val="24"/>
        </w:rPr>
        <w:t>25.9.1除非本合同另有约定，项目提前终止时甲方将按照如下标准向乙方支付补偿金，乙方须还清其届时之所有负债。</w:t>
      </w:r>
    </w:p>
    <w:p>
      <w:pPr>
        <w:spacing w:after="156" w:afterLines="50" w:line="360" w:lineRule="auto"/>
        <w:ind w:firstLine="482"/>
        <w:jc w:val="center"/>
        <w:rPr>
          <w:rFonts w:ascii="宋体" w:hAnsi="宋体" w:cs="宋体"/>
          <w:b/>
          <w:bCs/>
          <w:color w:val="000000"/>
          <w:sz w:val="24"/>
          <w:szCs w:val="24"/>
        </w:rPr>
      </w:pPr>
      <w:r>
        <w:rPr>
          <w:rFonts w:hint="eastAsia" w:ascii="宋体" w:hAnsi="宋体" w:cs="宋体"/>
          <w:b/>
          <w:sz w:val="24"/>
          <w:szCs w:val="24"/>
        </w:rPr>
        <w:t>项目提前终止补偿表</w:t>
      </w:r>
    </w:p>
    <w:tbl>
      <w:tblPr>
        <w:tblStyle w:val="54"/>
        <w:tblW w:w="0" w:type="auto"/>
        <w:tblInd w:w="5" w:type="dxa"/>
        <w:tblLayout w:type="fixed"/>
        <w:tblCellMar>
          <w:top w:w="0" w:type="dxa"/>
          <w:left w:w="0" w:type="dxa"/>
          <w:bottom w:w="0" w:type="dxa"/>
          <w:right w:w="0" w:type="dxa"/>
        </w:tblCellMar>
      </w:tblPr>
      <w:tblGrid>
        <w:gridCol w:w="774"/>
        <w:gridCol w:w="2700"/>
        <w:gridCol w:w="4888"/>
      </w:tblGrid>
      <w:tr>
        <w:tblPrEx>
          <w:tblCellMar>
            <w:top w:w="0" w:type="dxa"/>
            <w:left w:w="0" w:type="dxa"/>
            <w:bottom w:w="0" w:type="dxa"/>
            <w:right w:w="0" w:type="dxa"/>
          </w:tblCellMar>
        </w:tblPrEx>
        <w:trPr>
          <w:trHeight w:val="454" w:hRule="exact"/>
        </w:trPr>
        <w:tc>
          <w:tcPr>
            <w:tcW w:w="774" w:type="dxa"/>
            <w:tcBorders>
              <w:top w:val="single" w:color="000000" w:sz="4" w:space="0"/>
              <w:left w:val="single" w:color="000000" w:sz="4" w:space="0"/>
              <w:bottom w:val="single" w:color="000000" w:sz="4" w:space="0"/>
              <w:right w:val="single" w:color="000000" w:sz="4" w:space="0"/>
            </w:tcBorders>
            <w:shd w:val="clear" w:color="auto" w:fill="D8D8D8"/>
            <w:vAlign w:val="center"/>
          </w:tcPr>
          <w:p>
            <w:pPr>
              <w:pStyle w:val="485"/>
              <w:spacing w:beforeLines="0" w:afterLines="0" w:line="360" w:lineRule="auto"/>
              <w:ind w:firstLine="0" w:firstLineChars="0"/>
              <w:jc w:val="center"/>
              <w:rPr>
                <w:rFonts w:ascii="宋体" w:hAnsi="宋体" w:cs="宋体"/>
                <w:b/>
                <w:sz w:val="24"/>
                <w:szCs w:val="24"/>
              </w:rPr>
            </w:pPr>
            <w:r>
              <w:rPr>
                <w:rFonts w:hint="eastAsia" w:ascii="宋体" w:hAnsi="宋体" w:cs="宋体"/>
                <w:b/>
                <w:sz w:val="24"/>
                <w:szCs w:val="24"/>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D8D8D8"/>
            <w:vAlign w:val="center"/>
          </w:tcPr>
          <w:p>
            <w:pPr>
              <w:pStyle w:val="485"/>
              <w:spacing w:beforeLines="0" w:afterLines="0" w:line="360" w:lineRule="auto"/>
              <w:ind w:firstLine="0" w:firstLineChars="0"/>
              <w:jc w:val="center"/>
              <w:rPr>
                <w:rFonts w:ascii="宋体" w:hAnsi="宋体" w:cs="宋体"/>
                <w:b/>
                <w:sz w:val="24"/>
                <w:szCs w:val="24"/>
              </w:rPr>
            </w:pPr>
            <w:r>
              <w:rPr>
                <w:rFonts w:hint="eastAsia" w:ascii="宋体" w:hAnsi="宋体" w:cs="宋体"/>
                <w:b/>
                <w:sz w:val="24"/>
                <w:szCs w:val="24"/>
              </w:rPr>
              <w:t>本项目提前终止之情形</w:t>
            </w:r>
          </w:p>
        </w:tc>
        <w:tc>
          <w:tcPr>
            <w:tcW w:w="4888" w:type="dxa"/>
            <w:tcBorders>
              <w:top w:val="single" w:color="000000" w:sz="4" w:space="0"/>
              <w:left w:val="single" w:color="000000" w:sz="4" w:space="0"/>
              <w:bottom w:val="single" w:color="000000" w:sz="4" w:space="0"/>
              <w:right w:val="single" w:color="000000" w:sz="4" w:space="0"/>
            </w:tcBorders>
            <w:shd w:val="clear" w:color="auto" w:fill="D8D8D8"/>
            <w:vAlign w:val="center"/>
          </w:tcPr>
          <w:p>
            <w:pPr>
              <w:pStyle w:val="485"/>
              <w:spacing w:beforeLines="0" w:afterLines="0" w:line="360" w:lineRule="auto"/>
              <w:ind w:firstLine="0" w:firstLineChars="0"/>
              <w:jc w:val="center"/>
              <w:rPr>
                <w:rFonts w:ascii="宋体" w:hAnsi="宋体" w:cs="宋体"/>
                <w:b/>
                <w:sz w:val="24"/>
                <w:szCs w:val="24"/>
              </w:rPr>
            </w:pPr>
            <w:r>
              <w:rPr>
                <w:rFonts w:hint="eastAsia" w:ascii="宋体" w:hAnsi="宋体" w:cs="宋体"/>
                <w:b/>
                <w:sz w:val="24"/>
                <w:szCs w:val="24"/>
              </w:rPr>
              <w:t>终止补偿金</w:t>
            </w:r>
          </w:p>
        </w:tc>
      </w:tr>
      <w:tr>
        <w:tblPrEx>
          <w:tblCellMar>
            <w:top w:w="0" w:type="dxa"/>
            <w:left w:w="0" w:type="dxa"/>
            <w:bottom w:w="0" w:type="dxa"/>
            <w:right w:w="0" w:type="dxa"/>
          </w:tblCellMar>
        </w:tblPrEx>
        <w:trPr>
          <w:trHeight w:val="898" w:hRule="exact"/>
        </w:trPr>
        <w:tc>
          <w:tcPr>
            <w:tcW w:w="774"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1</w:t>
            </w:r>
          </w:p>
        </w:tc>
        <w:tc>
          <w:tcPr>
            <w:tcW w:w="2700"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乙方违约</w:t>
            </w:r>
          </w:p>
        </w:tc>
        <w:tc>
          <w:tcPr>
            <w:tcW w:w="4888"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运营期终止时，为0.6*A</w:t>
            </w:r>
          </w:p>
        </w:tc>
      </w:tr>
      <w:tr>
        <w:tblPrEx>
          <w:tblCellMar>
            <w:top w:w="0" w:type="dxa"/>
            <w:left w:w="0" w:type="dxa"/>
            <w:bottom w:w="0" w:type="dxa"/>
            <w:right w:w="0" w:type="dxa"/>
          </w:tblCellMar>
        </w:tblPrEx>
        <w:trPr>
          <w:trHeight w:val="888" w:hRule="exact"/>
        </w:trPr>
        <w:tc>
          <w:tcPr>
            <w:tcW w:w="774"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2</w:t>
            </w:r>
          </w:p>
        </w:tc>
        <w:tc>
          <w:tcPr>
            <w:tcW w:w="2700"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trike w:val="0"/>
                <w:sz w:val="24"/>
                <w:szCs w:val="24"/>
                <w:lang w:val="en-US" w:eastAsia="zh-CN"/>
              </w:rPr>
              <w:t>甲</w:t>
            </w:r>
            <w:r>
              <w:rPr>
                <w:rFonts w:hint="eastAsia" w:ascii="宋体" w:hAnsi="宋体" w:cs="宋体"/>
                <w:sz w:val="24"/>
                <w:szCs w:val="24"/>
              </w:rPr>
              <w:t>方违约</w:t>
            </w:r>
          </w:p>
        </w:tc>
        <w:tc>
          <w:tcPr>
            <w:tcW w:w="4888" w:type="dxa"/>
            <w:tcBorders>
              <w:top w:val="single" w:color="000000" w:sz="4" w:space="0"/>
              <w:left w:val="single" w:color="000000" w:sz="4" w:space="0"/>
              <w:bottom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运营期终止时，为A+</w:t>
            </w:r>
            <w:r>
              <w:rPr>
                <w:rFonts w:ascii="宋体" w:hAnsi="宋体" w:cs="宋体"/>
                <w:sz w:val="24"/>
                <w:szCs w:val="24"/>
              </w:rPr>
              <w:t>D</w:t>
            </w:r>
          </w:p>
        </w:tc>
      </w:tr>
      <w:tr>
        <w:tblPrEx>
          <w:tblCellMar>
            <w:top w:w="0" w:type="dxa"/>
            <w:left w:w="0" w:type="dxa"/>
            <w:bottom w:w="0" w:type="dxa"/>
            <w:right w:w="0" w:type="dxa"/>
          </w:tblCellMar>
        </w:tblPrEx>
        <w:trPr>
          <w:trHeight w:val="888" w:hRule="exact"/>
        </w:trPr>
        <w:tc>
          <w:tcPr>
            <w:tcW w:w="774"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3</w:t>
            </w:r>
          </w:p>
        </w:tc>
        <w:tc>
          <w:tcPr>
            <w:tcW w:w="2700"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法律变更或政府行为</w:t>
            </w:r>
          </w:p>
        </w:tc>
        <w:tc>
          <w:tcPr>
            <w:tcW w:w="4888" w:type="dxa"/>
            <w:tcBorders>
              <w:top w:val="single" w:color="000000" w:sz="4" w:space="0"/>
              <w:left w:val="single" w:color="000000" w:sz="4" w:space="0"/>
              <w:bottom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运营期终止时，为A+</w:t>
            </w:r>
            <w:r>
              <w:rPr>
                <w:rFonts w:ascii="宋体" w:hAnsi="宋体" w:cs="宋体"/>
                <w:sz w:val="24"/>
                <w:szCs w:val="24"/>
              </w:rPr>
              <w:t>D</w:t>
            </w:r>
          </w:p>
        </w:tc>
      </w:tr>
      <w:tr>
        <w:tblPrEx>
          <w:tblCellMar>
            <w:top w:w="0" w:type="dxa"/>
            <w:left w:w="0" w:type="dxa"/>
            <w:bottom w:w="0" w:type="dxa"/>
            <w:right w:w="0" w:type="dxa"/>
          </w:tblCellMar>
        </w:tblPrEx>
        <w:trPr>
          <w:trHeight w:val="823" w:hRule="exact"/>
        </w:trPr>
        <w:tc>
          <w:tcPr>
            <w:tcW w:w="774"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4</w:t>
            </w:r>
          </w:p>
        </w:tc>
        <w:tc>
          <w:tcPr>
            <w:tcW w:w="2700" w:type="dxa"/>
            <w:tcBorders>
              <w:top w:val="single" w:color="000000" w:sz="4" w:space="0"/>
              <w:left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不可抗力</w:t>
            </w:r>
          </w:p>
        </w:tc>
        <w:tc>
          <w:tcPr>
            <w:tcW w:w="4888" w:type="dxa"/>
            <w:tcBorders>
              <w:top w:val="single" w:color="000000" w:sz="4" w:space="0"/>
              <w:left w:val="single" w:color="000000" w:sz="4" w:space="0"/>
              <w:bottom w:val="single" w:color="000000" w:sz="4" w:space="0"/>
              <w:right w:val="single" w:color="000000" w:sz="4" w:space="0"/>
            </w:tcBorders>
            <w:vAlign w:val="center"/>
          </w:tcPr>
          <w:p>
            <w:pPr>
              <w:pStyle w:val="485"/>
              <w:spacing w:beforeLines="0" w:afterLines="0" w:line="360" w:lineRule="auto"/>
              <w:ind w:firstLine="0" w:firstLineChars="0"/>
              <w:jc w:val="center"/>
              <w:rPr>
                <w:rFonts w:ascii="宋体" w:hAnsi="宋体" w:cs="宋体"/>
                <w:sz w:val="24"/>
                <w:szCs w:val="24"/>
              </w:rPr>
            </w:pPr>
            <w:r>
              <w:rPr>
                <w:rFonts w:hint="eastAsia" w:ascii="宋体" w:hAnsi="宋体" w:cs="宋体"/>
                <w:sz w:val="24"/>
                <w:szCs w:val="24"/>
              </w:rPr>
              <w:t>运营期内，为（A-</w:t>
            </w:r>
            <w:r>
              <w:rPr>
                <w:rFonts w:ascii="宋体" w:hAnsi="宋体" w:cs="宋体"/>
                <w:sz w:val="24"/>
                <w:szCs w:val="24"/>
              </w:rPr>
              <w:t>B</w:t>
            </w:r>
            <w:r>
              <w:rPr>
                <w:rFonts w:hint="eastAsia" w:ascii="宋体" w:hAnsi="宋体" w:cs="宋体"/>
                <w:sz w:val="24"/>
                <w:szCs w:val="24"/>
              </w:rPr>
              <w:t>）/2-</w:t>
            </w:r>
            <w:r>
              <w:rPr>
                <w:rFonts w:ascii="宋体" w:hAnsi="宋体" w:cs="宋体"/>
                <w:sz w:val="24"/>
                <w:szCs w:val="24"/>
              </w:rPr>
              <w:t>C</w:t>
            </w:r>
          </w:p>
        </w:tc>
      </w:tr>
    </w:tbl>
    <w:p>
      <w:pPr>
        <w:pStyle w:val="464"/>
        <w:spacing w:before="156" w:beforeLines="50" w:afterLines="50" w:line="360" w:lineRule="auto"/>
        <w:ind w:left="848" w:leftChars="404"/>
        <w:rPr>
          <w:rFonts w:ascii="宋体" w:hAnsi="宋体"/>
          <w:kern w:val="0"/>
          <w:szCs w:val="24"/>
        </w:rPr>
      </w:pPr>
      <w:r>
        <w:rPr>
          <w:rFonts w:hint="eastAsia" w:ascii="宋体" w:hAnsi="宋体"/>
          <w:szCs w:val="24"/>
        </w:rPr>
        <w:t>其中</w:t>
      </w:r>
      <w:r>
        <w:rPr>
          <w:rFonts w:hint="eastAsia" w:ascii="宋体" w:hAnsi="宋体"/>
          <w:kern w:val="0"/>
          <w:szCs w:val="24"/>
        </w:rPr>
        <w:t>：</w:t>
      </w:r>
    </w:p>
    <w:p>
      <w:pPr>
        <w:pStyle w:val="464"/>
        <w:spacing w:before="156" w:beforeLines="50" w:afterLines="50" w:line="360" w:lineRule="auto"/>
        <w:ind w:left="848" w:leftChars="404"/>
        <w:rPr>
          <w:rFonts w:ascii="宋体" w:hAnsi="宋体"/>
          <w:kern w:val="0"/>
          <w:szCs w:val="24"/>
        </w:rPr>
      </w:pPr>
      <w:r>
        <w:rPr>
          <w:rFonts w:hint="eastAsia" w:ascii="宋体" w:hAnsi="宋体"/>
          <w:kern w:val="0"/>
          <w:szCs w:val="24"/>
        </w:rPr>
        <w:t>A为在运营期提前终止时点，乙方尚未收回的政府可行性缺口补助额的现值（折现率暂定按照7%计算）；</w:t>
      </w:r>
    </w:p>
    <w:p>
      <w:pPr>
        <w:pStyle w:val="464"/>
        <w:spacing w:before="156" w:beforeLines="50" w:afterLines="50" w:line="360" w:lineRule="auto"/>
        <w:ind w:left="848" w:leftChars="404"/>
        <w:rPr>
          <w:rFonts w:ascii="宋体" w:hAnsi="宋体"/>
          <w:kern w:val="0"/>
          <w:szCs w:val="24"/>
        </w:rPr>
      </w:pPr>
      <w:r>
        <w:rPr>
          <w:rFonts w:hint="eastAsia" w:ascii="宋体" w:hAnsi="宋体"/>
          <w:kern w:val="0"/>
          <w:szCs w:val="24"/>
          <w:lang w:val="en-US" w:eastAsia="zh-CN"/>
        </w:rPr>
        <w:t>B</w:t>
      </w:r>
      <w:r>
        <w:rPr>
          <w:rFonts w:hint="eastAsia" w:ascii="宋体" w:hAnsi="宋体"/>
          <w:kern w:val="0"/>
          <w:szCs w:val="24"/>
        </w:rPr>
        <w:t>为发生不可抗力情形时，根据本合同及相关保险合同约定，乙方（含贷款方）实际获得的保险赔款；</w:t>
      </w:r>
    </w:p>
    <w:p>
      <w:pPr>
        <w:pStyle w:val="464"/>
        <w:spacing w:before="156" w:beforeLines="50" w:afterLines="50" w:line="360" w:lineRule="auto"/>
        <w:ind w:left="848" w:leftChars="404"/>
        <w:rPr>
          <w:rFonts w:ascii="宋体" w:hAnsi="宋体"/>
          <w:kern w:val="0"/>
          <w:szCs w:val="24"/>
        </w:rPr>
      </w:pPr>
      <w:r>
        <w:rPr>
          <w:rFonts w:ascii="宋体" w:hAnsi="宋体"/>
          <w:kern w:val="0"/>
          <w:szCs w:val="24"/>
        </w:rPr>
        <w:t>C</w:t>
      </w:r>
      <w:r>
        <w:rPr>
          <w:rFonts w:hint="eastAsia" w:ascii="宋体" w:hAnsi="宋体"/>
          <w:kern w:val="0"/>
          <w:szCs w:val="24"/>
        </w:rPr>
        <w:t>为发生不可抗力情形时，因乙方投保不足，导致所获保险赔款无法使项目设施恢复到出险前的正常状态和价值的恢复性建设费用缺额部分（如有）；</w:t>
      </w:r>
    </w:p>
    <w:p>
      <w:pPr>
        <w:pStyle w:val="464"/>
        <w:spacing w:before="156" w:beforeLines="50" w:afterLines="50" w:line="360" w:lineRule="auto"/>
        <w:ind w:left="848" w:leftChars="404"/>
        <w:rPr>
          <w:rFonts w:ascii="宋体" w:hAnsi="宋体"/>
          <w:kern w:val="0"/>
          <w:szCs w:val="24"/>
        </w:rPr>
      </w:pPr>
      <w:r>
        <w:rPr>
          <w:rFonts w:ascii="宋体" w:hAnsi="宋体"/>
          <w:kern w:val="0"/>
          <w:szCs w:val="24"/>
        </w:rPr>
        <w:t>D</w:t>
      </w:r>
      <w:r>
        <w:rPr>
          <w:rFonts w:hint="eastAsia" w:ascii="宋体" w:hAnsi="宋体"/>
          <w:kern w:val="0"/>
          <w:szCs w:val="24"/>
        </w:rPr>
        <w:t>为终止后根据本合同的约定，乙方应向政府方移交运营所需的零部件、备品备件等的合理评估值。</w:t>
      </w:r>
    </w:p>
    <w:p>
      <w:pPr>
        <w:spacing w:before="80" w:after="80" w:line="360" w:lineRule="auto"/>
        <w:ind w:firstLine="480" w:firstLineChars="200"/>
        <w:rPr>
          <w:rFonts w:ascii="宋体" w:hAnsi="宋体" w:cs="宋体"/>
          <w:sz w:val="24"/>
          <w:szCs w:val="24"/>
          <w:u w:val="single"/>
        </w:rPr>
      </w:pPr>
      <w:r>
        <w:rPr>
          <w:rFonts w:hint="eastAsia" w:ascii="宋体" w:hAnsi="宋体" w:cs="宋体"/>
          <w:sz w:val="24"/>
          <w:szCs w:val="24"/>
        </w:rPr>
        <w:t>双方应依本合同第15条项目移交的规定办理资产的移交。</w:t>
      </w:r>
    </w:p>
    <w:p>
      <w:pPr>
        <w:tabs>
          <w:tab w:val="left" w:pos="426"/>
        </w:tabs>
        <w:spacing w:before="80" w:after="80" w:line="360" w:lineRule="auto"/>
        <w:ind w:firstLine="426" w:firstLineChars="177"/>
        <w:rPr>
          <w:rFonts w:ascii="宋体" w:hAnsi="宋体" w:cs="宋体"/>
          <w:b/>
          <w:sz w:val="24"/>
          <w:szCs w:val="24"/>
        </w:rPr>
      </w:pPr>
      <w:r>
        <w:rPr>
          <w:rFonts w:hint="eastAsia" w:ascii="宋体" w:hAnsi="宋体" w:cs="宋体"/>
          <w:b/>
          <w:sz w:val="24"/>
          <w:szCs w:val="24"/>
        </w:rPr>
        <w:t>25.10继续有效</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第25条终止和终止补偿的约定在合同终止后应仍然有效。</w:t>
      </w:r>
    </w:p>
    <w:p>
      <w:pPr>
        <w:spacing w:before="80" w:after="80" w:line="360" w:lineRule="auto"/>
        <w:outlineLvl w:val="0"/>
        <w:rPr>
          <w:rFonts w:ascii="宋体" w:hAnsi="宋体" w:cs="宋体"/>
          <w:b/>
          <w:sz w:val="28"/>
          <w:szCs w:val="28"/>
        </w:rPr>
      </w:pPr>
      <w:bookmarkStart w:id="143" w:name="_Toc46140718"/>
      <w:r>
        <w:rPr>
          <w:rFonts w:hint="eastAsia" w:ascii="宋体" w:hAnsi="宋体" w:cs="宋体"/>
          <w:b/>
          <w:sz w:val="28"/>
          <w:szCs w:val="28"/>
        </w:rPr>
        <w:t>第26条  合同变更和转让</w:t>
      </w:r>
      <w:bookmarkEnd w:id="143"/>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26.1合同的变更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26.1.1未经双方书面同意，任何一方不得对本合同进行单方修改或变更。</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26.1.2本合同任何修改、补充或变更必须经双方协商一致并签字盖章后方具有法律约束力。如果根据届时有效的适用法律的规定而需要政府有关部门审查批准的，则自政府有关部门审查批准之日起相应变更对甲、乙双方产生约束力。</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26.1.3本合同未尽事宜，由双方另行签署补充协议。</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26.1.4合作期内，如果本合同的任何条款不合法、无效或不能执行，则</w:t>
      </w:r>
    </w:p>
    <w:p>
      <w:pPr>
        <w:numPr>
          <w:ilvl w:val="0"/>
          <w:numId w:val="41"/>
        </w:num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并不影响其他条款的效力和执行；</w:t>
      </w:r>
    </w:p>
    <w:p>
      <w:pPr>
        <w:numPr>
          <w:ilvl w:val="0"/>
          <w:numId w:val="41"/>
        </w:numPr>
        <w:spacing w:before="80" w:after="80" w:line="360" w:lineRule="auto"/>
        <w:ind w:firstLine="480" w:firstLineChars="200"/>
        <w:rPr>
          <w:rFonts w:ascii="宋体" w:hAnsi="宋体" w:cs="宋体"/>
          <w:sz w:val="24"/>
          <w:szCs w:val="24"/>
        </w:rPr>
      </w:pPr>
      <w:r>
        <w:rPr>
          <w:rFonts w:hint="eastAsia" w:ascii="宋体" w:hAnsi="宋体" w:cs="宋体"/>
          <w:sz w:val="24"/>
          <w:szCs w:val="24"/>
        </w:rPr>
        <w:t>双方应商定对不合法、无效或不能执行的条款进行修改，使之合法、有效、合理并可执行。</w:t>
      </w:r>
    </w:p>
    <w:p>
      <w:pPr>
        <w:numPr>
          <w:ilvl w:val="0"/>
          <w:numId w:val="41"/>
        </w:numPr>
        <w:spacing w:before="80" w:after="80" w:line="360" w:lineRule="auto"/>
        <w:ind w:firstLine="480" w:firstLineChars="200"/>
        <w:rPr>
          <w:rFonts w:ascii="宋体" w:hAnsi="宋体" w:cs="宋体"/>
          <w:sz w:val="24"/>
          <w:szCs w:val="24"/>
        </w:rPr>
      </w:pPr>
      <w:r>
        <w:rPr>
          <w:rFonts w:hint="eastAsia" w:ascii="宋体" w:hAnsi="宋体" w:cs="宋体"/>
          <w:sz w:val="24"/>
          <w:szCs w:val="24"/>
        </w:rPr>
        <w:t>双方根据前述条款对本合同某一部分所作的修正或者补充，如果根据届时的相关法律或者法规的规定而涉及到需要政府有关部门审查批准的，则自政府有关部门审查批准之日开始对合同双方产生约束力。</w:t>
      </w:r>
    </w:p>
    <w:p>
      <w:pPr>
        <w:spacing w:before="80" w:after="80"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26.2合同的转让</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26.2.1甲方的转让</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（1）甲方可将本合同或与本项目有关的其他协议项下的全部或部分权利或义务转让给本级人民政府指定的政府机构或部门，但受让合同的政府机构或部门应当具备：</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a．</w:t>
      </w:r>
      <w:r>
        <w:rPr>
          <w:rFonts w:hint="eastAsia" w:ascii="宋体" w:hAnsi="宋体" w:cs="宋体"/>
          <w:color w:val="000000"/>
          <w:sz w:val="24"/>
          <w:szCs w:val="24"/>
        </w:rPr>
        <w:tab/>
      </w:r>
      <w:r>
        <w:rPr>
          <w:rFonts w:hint="eastAsia" w:ascii="宋体" w:hAnsi="宋体" w:cs="宋体"/>
          <w:color w:val="000000"/>
          <w:sz w:val="24"/>
          <w:szCs w:val="24"/>
        </w:rPr>
        <w:t>具有承担甲方在本合同及其他相关协议项下所承担的所有权利、义务和责任的能力和授权；以及</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b．</w:t>
      </w:r>
      <w:r>
        <w:rPr>
          <w:rFonts w:hint="eastAsia" w:ascii="宋体" w:hAnsi="宋体" w:cs="宋体"/>
          <w:color w:val="000000"/>
          <w:sz w:val="24"/>
          <w:szCs w:val="24"/>
        </w:rPr>
        <w:tab/>
      </w:r>
      <w:r>
        <w:rPr>
          <w:rFonts w:hint="eastAsia" w:ascii="宋体" w:hAnsi="宋体" w:cs="宋体"/>
          <w:color w:val="000000"/>
          <w:sz w:val="24"/>
          <w:szCs w:val="24"/>
        </w:rPr>
        <w:t>承继并继续履行甲方在本合同及其他相关协议项下的义务。</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除第26.2</w:t>
      </w:r>
      <w:bookmarkStart w:id="144" w:name="_Hlk5270203"/>
      <w:r>
        <w:rPr>
          <w:rFonts w:hint="eastAsia" w:ascii="宋体" w:hAnsi="宋体" w:cs="宋体"/>
          <w:sz w:val="24"/>
          <w:szCs w:val="24"/>
        </w:rPr>
        <w:t>.1款第</w:t>
      </w:r>
      <w:r>
        <w:rPr>
          <w:rFonts w:hint="eastAsia" w:ascii="宋体" w:hAnsi="宋体" w:cs="宋体"/>
          <w:color w:val="000000"/>
          <w:sz w:val="24"/>
          <w:szCs w:val="24"/>
        </w:rPr>
        <w:t>（1）</w:t>
      </w:r>
      <w:bookmarkEnd w:id="144"/>
      <w:r>
        <w:rPr>
          <w:rFonts w:hint="eastAsia" w:ascii="宋体" w:hAnsi="宋体" w:cs="宋体"/>
          <w:color w:val="000000"/>
          <w:sz w:val="24"/>
          <w:szCs w:val="24"/>
        </w:rPr>
        <w:t>项甲方的转让外，未经乙方事先书面同意，甲方不得转让其在本合同或与本项目有关的其他协议项下全部或部分的权利或义务。</w:t>
      </w:r>
    </w:p>
    <w:p>
      <w:pPr>
        <w:spacing w:before="80" w:after="80" w:line="360" w:lineRule="auto"/>
        <w:ind w:firstLine="480" w:firstLineChars="200"/>
        <w:rPr>
          <w:rFonts w:ascii="宋体" w:hAnsi="宋体" w:cs="宋体"/>
          <w:color w:val="000000"/>
          <w:sz w:val="24"/>
          <w:szCs w:val="24"/>
        </w:rPr>
      </w:pPr>
      <w:r>
        <w:rPr>
          <w:rFonts w:hint="eastAsia" w:ascii="宋体" w:hAnsi="宋体" w:cs="宋体"/>
          <w:color w:val="000000"/>
          <w:sz w:val="24"/>
          <w:szCs w:val="24"/>
        </w:rPr>
        <w:t>26.2.2乙方的转让</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未经甲方事先书面同意，乙方不得就其在本合同或与本项目有关的其他协议项下的全部或部分权利或义务进行转让。经甲方书面同意情形下，受让方应当具备：</w:t>
      </w:r>
    </w:p>
    <w:p>
      <w:pPr>
        <w:numPr>
          <w:ilvl w:val="0"/>
          <w:numId w:val="42"/>
        </w:num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具有承担乙方在本合同及其他相关协议项下所承担的所有权利、义务和责任的能力和授权；</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b．</w:t>
      </w:r>
      <w:r>
        <w:rPr>
          <w:rFonts w:hint="eastAsia" w:ascii="宋体" w:hAnsi="宋体" w:cs="宋体"/>
          <w:color w:val="000000"/>
          <w:sz w:val="24"/>
          <w:szCs w:val="24"/>
        </w:rPr>
        <w:tab/>
      </w:r>
      <w:r>
        <w:rPr>
          <w:rFonts w:hint="eastAsia" w:ascii="宋体" w:hAnsi="宋体" w:cs="宋体"/>
          <w:color w:val="000000"/>
          <w:sz w:val="24"/>
          <w:szCs w:val="24"/>
        </w:rPr>
        <w:t>承继并继续履行乙方在本合同及其他相关协议项下的义务。</w:t>
      </w:r>
    </w:p>
    <w:p>
      <w:pPr>
        <w:spacing w:before="80" w:after="80" w:line="360" w:lineRule="auto"/>
        <w:outlineLvl w:val="0"/>
        <w:rPr>
          <w:rFonts w:ascii="宋体" w:hAnsi="宋体" w:cs="宋体"/>
          <w:b/>
          <w:sz w:val="28"/>
          <w:szCs w:val="28"/>
        </w:rPr>
      </w:pPr>
      <w:bookmarkStart w:id="145" w:name="_Toc46140719"/>
      <w:r>
        <w:rPr>
          <w:rFonts w:hint="eastAsia" w:ascii="宋体" w:hAnsi="宋体" w:cs="宋体"/>
          <w:b/>
          <w:sz w:val="28"/>
          <w:szCs w:val="28"/>
        </w:rPr>
        <w:t>第27条  争议解决</w:t>
      </w:r>
      <w:bookmarkEnd w:id="145"/>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27.1项目协调委员会</w:t>
      </w:r>
    </w:p>
    <w:p>
      <w:pPr>
        <w:spacing w:before="80" w:after="80" w:line="360" w:lineRule="auto"/>
        <w:ind w:firstLine="424" w:firstLineChars="177"/>
        <w:jc w:val="left"/>
        <w:rPr>
          <w:rFonts w:ascii="宋体" w:hAnsi="宋体" w:cs="宋体"/>
          <w:sz w:val="24"/>
          <w:szCs w:val="24"/>
        </w:rPr>
      </w:pPr>
      <w:r>
        <w:rPr>
          <w:rFonts w:hint="eastAsia" w:ascii="宋体" w:hAnsi="宋体" w:cs="宋体"/>
          <w:sz w:val="24"/>
          <w:szCs w:val="24"/>
        </w:rPr>
        <w:t>27.1.1自本合同生效日后__30_日内，双方应成立由__2_名乙方代表、__2_名甲方代表、双方共同推荐的其他代表_1__名（若有）组成的项目协调委员会。任何一方均可在通知另一方后更换其指派的项目协调委员会成员代表。该委员会的所有决定均应得到委员会全体成员的一致通过。</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27.1.2协调事项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项目协调委员会应负责按照第27.1.3款约定解决本合同或与本合同有关的争议。协调事项包括但不限于：</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a．协调双方在项目设施的运营方面的计划和程序；</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b．在发生不可抗力影响项目运营时讨论应采取的步骤；</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c．影响项目设施安全的事项；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d．为解决本合同项下的争议任命相关专家和专家小组；</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e．其他双方同意的事项。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27.1.3协商</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因解释或履行本合同过程中产生的任何争议由项目协调委员会进行协商解决。项目协调委员会的一致决议对双方均有约束力。项目协调委员会在争议发生之日起__30_日内无法协商解决，则应适用第27.2款的约定。</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27.2诉讼</w:t>
      </w:r>
    </w:p>
    <w:p>
      <w:pPr>
        <w:spacing w:before="80" w:after="80" w:line="360" w:lineRule="auto"/>
        <w:ind w:firstLine="424" w:firstLineChars="177"/>
        <w:rPr>
          <w:rFonts w:ascii="宋体" w:hAnsi="宋体" w:cs="宋体"/>
          <w:bCs/>
          <w:sz w:val="24"/>
          <w:szCs w:val="24"/>
        </w:rPr>
      </w:pPr>
      <w:r>
        <w:rPr>
          <w:rFonts w:hint="eastAsia" w:ascii="宋体" w:hAnsi="宋体" w:cs="宋体"/>
          <w:bCs/>
          <w:sz w:val="24"/>
          <w:szCs w:val="24"/>
        </w:rPr>
        <w:t>若双方未能根据第27.1条款解决争议、分歧或索赔，如协商不成的，则任何一方可向项目所在地有管辖权的人民法院提起诉讼。</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27.3争议解决期间的继续履行</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在争议提交项目协调委员会或者诉讼期间，各方应继续履行其在本合同项下的各项义务并继续享有其在本合同项下的所有权利，且不影响以后根据项目协调委员会做出的决定或法院做出的生效判决进行最终调整。</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27.4继续有效</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本合同第27条的约定，在本合同终止后继续有效。</w:t>
      </w:r>
    </w:p>
    <w:p>
      <w:pPr>
        <w:spacing w:before="80" w:after="80" w:line="360" w:lineRule="auto"/>
        <w:outlineLvl w:val="0"/>
        <w:rPr>
          <w:rFonts w:ascii="宋体" w:hAnsi="宋体" w:cs="宋体"/>
          <w:b/>
          <w:sz w:val="28"/>
          <w:szCs w:val="28"/>
        </w:rPr>
      </w:pPr>
      <w:bookmarkStart w:id="146" w:name="_Toc46140720"/>
      <w:r>
        <w:rPr>
          <w:rFonts w:hint="eastAsia" w:ascii="宋体" w:hAnsi="宋体" w:cs="宋体"/>
          <w:b/>
          <w:sz w:val="28"/>
          <w:szCs w:val="28"/>
        </w:rPr>
        <w:t>第28条  其他约定</w:t>
      </w:r>
      <w:bookmarkEnd w:id="146"/>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28.1文件权利及保密</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28.1.1对文件的权利</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（1）甲方的文件</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由甲方向乙方提供的文件和计算机程序及其他一切文件，或者主要在这些文件和计算机程序的基础上制作的文件和程序，应属于甲方的财产。这一规定适用于上述文件和计算机的程序的所有复制件。这些文件、计算机程序或其复制件只 能由乙方用于本项目之目的。除非甲方和乙方另有约定，否则这类文件、计算机程序或其复制件应在项目合作期结束之际移交给甲方。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（2）乙方的文件</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由乙方向甲方提供的文件和计算机程序及其他文件，应属于乙方的财产。这些文件、计算机程序或其复制件只能由甲方用于本项目之目的。除非甲方和乙方另有约定，否则这类文件、计算机程序或其复制件应在项目合作期结束之际移交给乙方。</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（3）遵守规定</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双方应确保各自接触到这些文件、计算机程序及其复制件的有关人员遵守本条对文件的权利和保密的约定。</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28.1.2保密</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任何一方或其员工、承包商、供应商、顾问获得的所有项目相关的材料和文件（不论是财务、技术或其他方面），未经另一方书面同意，在项目合作期内及合作期结束后的__5_年内不得向第三方透露或公开，但下列情形除外：</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（1）在签署本合同同时或之前，一方已经通过合法渠道获取的有关信息；</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（2）在一方披露之前，已经公开或能够从公开领域获取的有关信息；</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（3）一方事先取得另一方同意或经另一方授权而公开的信息；</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（4）为本项目实施需要，甲方向相关政府部门或监管主体或顾问机构等提供的相关文件和信息；</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（5）为本项目实施需要，乙方向金融机构进行融资时提供的相关文件和信息；</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（6）根据适用法律及相关监管要求必须披露的文件或信息。</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28.2日常事务代表</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28.2.1</w:t>
      </w:r>
      <w:r>
        <w:rPr>
          <w:rFonts w:hint="eastAsia" w:ascii="宋体" w:hAnsi="宋体" w:cs="宋体"/>
          <w:color w:val="000000"/>
          <w:sz w:val="24"/>
          <w:szCs w:val="24"/>
        </w:rPr>
        <w:t>在合作期内，双方应各自指派一名日常事务代表，代表各方与对方进行日常事务的联系和沟通。</w:t>
      </w:r>
    </w:p>
    <w:p>
      <w:pPr>
        <w:spacing w:before="80" w:after="80" w:line="360" w:lineRule="auto"/>
        <w:ind w:firstLine="424" w:firstLineChars="177"/>
        <w:jc w:val="left"/>
        <w:rPr>
          <w:rFonts w:ascii="宋体" w:hAnsi="宋体" w:cs="宋体"/>
          <w:sz w:val="24"/>
          <w:szCs w:val="24"/>
        </w:rPr>
      </w:pPr>
      <w:r>
        <w:rPr>
          <w:rFonts w:hint="eastAsia" w:ascii="宋体" w:hAnsi="宋体" w:cs="宋体"/>
          <w:sz w:val="24"/>
          <w:szCs w:val="24"/>
        </w:rPr>
        <w:t>28.2.2各方应将自己的日常事务代表书面通知对方，若需变更，则应提前</w:t>
      </w:r>
    </w:p>
    <w:p>
      <w:pPr>
        <w:spacing w:before="80" w:after="80" w:line="360" w:lineRule="auto"/>
        <w:jc w:val="left"/>
        <w:rPr>
          <w:rFonts w:ascii="宋体" w:hAnsi="宋体" w:cs="宋体"/>
          <w:sz w:val="24"/>
          <w:szCs w:val="24"/>
        </w:rPr>
      </w:pPr>
      <w:r>
        <w:rPr>
          <w:rFonts w:hint="eastAsia" w:ascii="宋体" w:hAnsi="宋体" w:cs="宋体"/>
          <w:kern w:val="0"/>
          <w:sz w:val="24"/>
          <w:szCs w:val="24"/>
        </w:rPr>
        <w:t>日</w:t>
      </w:r>
      <w:r>
        <w:rPr>
          <w:rFonts w:hint="eastAsia" w:ascii="宋体" w:hAnsi="宋体" w:cs="宋体"/>
          <w:sz w:val="24"/>
          <w:szCs w:val="24"/>
        </w:rPr>
        <w:t>将继任人书面通知对方，否则视为未变更。</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28.3通知</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28.3.1</w:t>
      </w:r>
      <w:r>
        <w:rPr>
          <w:rFonts w:hint="eastAsia" w:ascii="宋体" w:hAnsi="宋体" w:cs="宋体"/>
          <w:color w:val="000000"/>
          <w:sz w:val="24"/>
          <w:szCs w:val="24"/>
        </w:rPr>
        <w:t>本合同项下的通知应以中文书写，并通过特快专递、邮寄或电子邮件等方式按</w:t>
      </w:r>
      <w:r>
        <w:rPr>
          <w:rFonts w:hint="eastAsia" w:ascii="宋体" w:hAnsi="宋体" w:cs="宋体"/>
          <w:sz w:val="24"/>
          <w:szCs w:val="24"/>
        </w:rPr>
        <w:t>下列</w:t>
      </w:r>
      <w:r>
        <w:rPr>
          <w:rFonts w:hint="eastAsia" w:ascii="宋体" w:hAnsi="宋体" w:cs="宋体"/>
          <w:color w:val="000000"/>
          <w:sz w:val="24"/>
          <w:szCs w:val="24"/>
        </w:rPr>
        <w:t>地址送至或发至各方：</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甲方：</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地址：</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 xml:space="preserve">邮编： </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 xml:space="preserve">收件人： </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电子邮箱：</w:t>
      </w:r>
    </w:p>
    <w:p>
      <w:pPr>
        <w:spacing w:before="80" w:after="80" w:line="360" w:lineRule="auto"/>
        <w:ind w:firstLine="426" w:firstLineChars="177"/>
        <w:rPr>
          <w:rFonts w:ascii="宋体" w:hAnsi="宋体" w:cs="宋体"/>
          <w:b/>
          <w:color w:val="000000"/>
          <w:sz w:val="24"/>
          <w:szCs w:val="24"/>
        </w:rPr>
      </w:pPr>
      <w:r>
        <w:rPr>
          <w:rFonts w:hint="eastAsia" w:ascii="宋体" w:hAnsi="宋体" w:cs="宋体"/>
          <w:b/>
          <w:color w:val="000000"/>
          <w:sz w:val="24"/>
          <w:szCs w:val="24"/>
        </w:rPr>
        <w:t>乙方：</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地址：</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 xml:space="preserve">邮编： </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 xml:space="preserve">收件人： </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电子邮箱：</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28.3.2下列情况应视为已送达：</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（1）若采用专人提交或邮寄方式（挂号、要求回执），在寄送至上述地址时；</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（2）如采用电子邮件形式，在准确发送至上述电子邮箱即为送达；</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28.3.3如果一方的地址或收件人或电子邮箱更改时，应在新地址或新收件人或新电子邮箱启用10日前以上述通知方式通知另一方，否则应仍以原地址、原收件人和原电子邮箱为准。</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28.4适用法律</w:t>
      </w:r>
    </w:p>
    <w:p>
      <w:pPr>
        <w:spacing w:before="80" w:after="80" w:line="360" w:lineRule="auto"/>
        <w:ind w:firstLine="424" w:firstLineChars="177"/>
        <w:rPr>
          <w:rFonts w:ascii="宋体" w:hAnsi="宋体" w:cs="宋体"/>
          <w:sz w:val="24"/>
          <w:szCs w:val="24"/>
        </w:rPr>
      </w:pPr>
      <w:r>
        <w:rPr>
          <w:rFonts w:hint="eastAsia" w:ascii="宋体" w:hAnsi="宋体" w:cs="宋体"/>
          <w:sz w:val="24"/>
          <w:szCs w:val="24"/>
        </w:rPr>
        <w:t>本合同适用中国法律。</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28.5协议文字</w:t>
      </w:r>
    </w:p>
    <w:p>
      <w:pPr>
        <w:spacing w:before="80" w:after="80" w:line="360" w:lineRule="auto"/>
        <w:ind w:firstLine="424" w:firstLineChars="177"/>
        <w:rPr>
          <w:rFonts w:ascii="宋体" w:hAnsi="宋体" w:cs="宋体"/>
          <w:color w:val="000000"/>
          <w:sz w:val="24"/>
          <w:szCs w:val="24"/>
        </w:rPr>
      </w:pPr>
      <w:r>
        <w:rPr>
          <w:rFonts w:hint="eastAsia" w:ascii="宋体" w:hAnsi="宋体" w:cs="宋体"/>
          <w:color w:val="000000"/>
          <w:sz w:val="24"/>
          <w:szCs w:val="24"/>
        </w:rPr>
        <w:t>本合同一式</w:t>
      </w:r>
      <w:r>
        <w:rPr>
          <w:rFonts w:hint="eastAsia" w:ascii="宋体" w:hAnsi="宋体" w:cs="宋体"/>
          <w:sz w:val="24"/>
          <w:szCs w:val="24"/>
        </w:rPr>
        <w:t>___</w:t>
      </w:r>
      <w:r>
        <w:rPr>
          <w:rFonts w:hint="eastAsia" w:ascii="宋体" w:hAnsi="宋体" w:cs="宋体"/>
          <w:color w:val="000000"/>
          <w:sz w:val="24"/>
          <w:szCs w:val="24"/>
        </w:rPr>
        <w:t>份，各执</w:t>
      </w:r>
      <w:r>
        <w:rPr>
          <w:rFonts w:hint="eastAsia" w:ascii="宋体" w:hAnsi="宋体" w:cs="宋体"/>
          <w:sz w:val="24"/>
          <w:szCs w:val="24"/>
        </w:rPr>
        <w:t>___</w:t>
      </w:r>
      <w:r>
        <w:rPr>
          <w:rFonts w:hint="eastAsia" w:ascii="宋体" w:hAnsi="宋体" w:cs="宋体"/>
          <w:color w:val="000000"/>
          <w:sz w:val="24"/>
          <w:szCs w:val="24"/>
        </w:rPr>
        <w:t>份，各份合同具有同等法律效力。</w:t>
      </w:r>
    </w:p>
    <w:p>
      <w:pPr>
        <w:spacing w:before="80" w:after="80" w:line="360" w:lineRule="auto"/>
        <w:ind w:firstLine="426" w:firstLineChars="177"/>
        <w:rPr>
          <w:rFonts w:ascii="宋体" w:hAnsi="宋体" w:cs="宋体"/>
          <w:b/>
          <w:sz w:val="24"/>
          <w:szCs w:val="24"/>
        </w:rPr>
      </w:pPr>
      <w:r>
        <w:rPr>
          <w:rFonts w:hint="eastAsia" w:ascii="宋体" w:hAnsi="宋体" w:cs="宋体"/>
          <w:b/>
          <w:sz w:val="24"/>
          <w:szCs w:val="24"/>
        </w:rPr>
        <w:t>28.6合同生效</w:t>
      </w:r>
    </w:p>
    <w:p>
      <w:pPr>
        <w:spacing w:before="80" w:after="80" w:line="360" w:lineRule="auto"/>
        <w:ind w:firstLine="424" w:firstLineChars="177"/>
        <w:rPr>
          <w:rFonts w:ascii="宋体" w:hAnsi="宋体" w:cs="宋体"/>
          <w:kern w:val="0"/>
          <w:sz w:val="24"/>
          <w:szCs w:val="24"/>
        </w:rPr>
      </w:pPr>
      <w:r>
        <w:rPr>
          <w:rFonts w:hint="eastAsia" w:ascii="宋体" w:hAnsi="宋体" w:cs="宋体"/>
          <w:kern w:val="0"/>
          <w:sz w:val="24"/>
          <w:szCs w:val="24"/>
        </w:rPr>
        <w:t>本合同自甲、乙双方法定代表人或授权代表签字，并加盖公章之日起正式生效。</w:t>
      </w:r>
    </w:p>
    <w:p>
      <w:pPr>
        <w:spacing w:before="80" w:after="80" w:line="360" w:lineRule="auto"/>
        <w:ind w:firstLine="424" w:firstLineChars="177"/>
        <w:rPr>
          <w:rFonts w:ascii="宋体" w:hAnsi="宋体" w:cs="宋体"/>
          <w:kern w:val="0"/>
          <w:sz w:val="24"/>
          <w:szCs w:val="24"/>
        </w:rPr>
      </w:pPr>
      <w:r>
        <w:rPr>
          <w:rFonts w:hint="eastAsia" w:ascii="宋体" w:hAnsi="宋体" w:cs="宋体"/>
          <w:kern w:val="0"/>
          <w:sz w:val="24"/>
          <w:szCs w:val="24"/>
        </w:rPr>
        <w:t>甲方和乙方正式签署本合同之日期，如果双方签署日期不一致则以较晚日期为生效日。</w:t>
      </w:r>
    </w:p>
    <w:p>
      <w:pPr>
        <w:spacing w:before="80" w:after="80" w:line="360" w:lineRule="auto"/>
        <w:ind w:firstLine="424" w:firstLineChars="177"/>
        <w:rPr>
          <w:rFonts w:ascii="宋体" w:hAnsi="宋体" w:cs="宋体"/>
          <w:kern w:val="0"/>
          <w:sz w:val="24"/>
          <w:szCs w:val="24"/>
        </w:rPr>
      </w:pPr>
      <w:r>
        <w:rPr>
          <w:rFonts w:hint="eastAsia" w:ascii="宋体" w:hAnsi="宋体" w:cs="宋体"/>
          <w:kern w:val="0"/>
          <w:sz w:val="24"/>
          <w:szCs w:val="24"/>
        </w:rPr>
        <w:t>（以下无正文）</w:t>
      </w:r>
    </w:p>
    <w:p>
      <w:pPr>
        <w:tabs>
          <w:tab w:val="left" w:pos="5850"/>
        </w:tabs>
        <w:spacing w:before="80" w:after="80" w:line="360" w:lineRule="auto"/>
        <w:ind w:firstLine="426" w:firstLineChars="177"/>
        <w:rPr>
          <w:rFonts w:hint="default" w:ascii="宋体" w:hAnsi="宋体" w:eastAsia="宋体" w:cs="宋体"/>
          <w:b/>
          <w:kern w:val="0"/>
          <w:sz w:val="24"/>
          <w:szCs w:val="24"/>
          <w:lang w:val="en-US" w:eastAsia="zh-CN"/>
        </w:rPr>
      </w:pPr>
      <w:r>
        <w:rPr>
          <w:rFonts w:hint="eastAsia" w:ascii="宋体" w:hAnsi="宋体" w:cs="宋体"/>
          <w:b/>
          <w:kern w:val="0"/>
          <w:sz w:val="24"/>
          <w:szCs w:val="24"/>
        </w:rPr>
        <w:t>甲方：</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乙方：</w:t>
      </w:r>
      <w:r>
        <w:rPr>
          <w:rFonts w:hint="eastAsia" w:ascii="宋体" w:hAnsi="宋体" w:cs="宋体"/>
          <w:b/>
          <w:kern w:val="0"/>
          <w:sz w:val="24"/>
          <w:szCs w:val="24"/>
          <w:lang w:val="en-US" w:eastAsia="zh-CN"/>
        </w:rPr>
        <w:t xml:space="preserve">                     </w:t>
      </w:r>
    </w:p>
    <w:p>
      <w:pPr>
        <w:spacing w:before="80" w:after="80" w:line="360" w:lineRule="auto"/>
        <w:ind w:firstLine="424" w:firstLineChars="177"/>
        <w:rPr>
          <w:rFonts w:hint="default" w:ascii="宋体" w:hAnsi="宋体" w:eastAsia="宋体" w:cs="宋体"/>
          <w:kern w:val="0"/>
          <w:sz w:val="24"/>
          <w:szCs w:val="24"/>
          <w:lang w:val="en-US" w:eastAsia="zh-CN"/>
        </w:rPr>
      </w:pPr>
      <w:r>
        <w:rPr>
          <w:rFonts w:hint="eastAsia" w:ascii="宋体" w:hAnsi="宋体" w:cs="宋体"/>
          <w:kern w:val="0"/>
          <w:sz w:val="24"/>
          <w:szCs w:val="24"/>
        </w:rPr>
        <w:t>法定代表人：</w:t>
      </w:r>
      <w:r>
        <w:rPr>
          <w:rFonts w:hint="eastAsia" w:ascii="宋体" w:hAnsi="宋体" w:cs="宋体"/>
          <w:kern w:val="0"/>
          <w:sz w:val="24"/>
          <w:szCs w:val="24"/>
          <w:lang w:val="en-US" w:eastAsia="zh-CN"/>
        </w:rPr>
        <w:t xml:space="preserve">                         </w:t>
      </w:r>
      <w:r>
        <w:rPr>
          <w:rFonts w:hint="eastAsia" w:ascii="宋体" w:hAnsi="宋体" w:cs="宋体"/>
          <w:kern w:val="0"/>
          <w:sz w:val="24"/>
          <w:szCs w:val="24"/>
        </w:rPr>
        <w:t>法定代表人：</w:t>
      </w:r>
      <w:r>
        <w:rPr>
          <w:rFonts w:hint="eastAsia" w:ascii="宋体" w:hAnsi="宋体" w:cs="宋体"/>
          <w:kern w:val="0"/>
          <w:sz w:val="24"/>
          <w:szCs w:val="24"/>
          <w:lang w:val="en-US" w:eastAsia="zh-CN"/>
        </w:rPr>
        <w:t xml:space="preserve">              </w:t>
      </w:r>
    </w:p>
    <w:p>
      <w:pPr>
        <w:spacing w:before="80" w:after="80" w:line="360" w:lineRule="auto"/>
        <w:ind w:firstLine="424" w:firstLineChars="177"/>
        <w:rPr>
          <w:rFonts w:hint="default" w:ascii="宋体" w:hAnsi="宋体" w:eastAsia="宋体" w:cs="宋体"/>
          <w:kern w:val="0"/>
          <w:sz w:val="24"/>
          <w:szCs w:val="24"/>
          <w:lang w:val="en-US" w:eastAsia="zh-CN"/>
        </w:rPr>
      </w:pPr>
      <w:r>
        <w:rPr>
          <w:rFonts w:hint="eastAsia" w:ascii="宋体" w:hAnsi="宋体" w:cs="宋体"/>
          <w:kern w:val="0"/>
          <w:sz w:val="24"/>
          <w:szCs w:val="24"/>
        </w:rPr>
        <w:t>授权签字代表：</w:t>
      </w:r>
      <w:r>
        <w:rPr>
          <w:rFonts w:hint="eastAsia" w:ascii="宋体" w:hAnsi="宋体" w:cs="宋体"/>
          <w:kern w:val="0"/>
          <w:sz w:val="24"/>
          <w:szCs w:val="24"/>
          <w:lang w:val="en-US" w:eastAsia="zh-CN"/>
        </w:rPr>
        <w:t xml:space="preserve">                       </w:t>
      </w:r>
      <w:r>
        <w:rPr>
          <w:rFonts w:hint="eastAsia" w:ascii="宋体" w:hAnsi="宋体" w:cs="宋体"/>
          <w:kern w:val="0"/>
          <w:sz w:val="24"/>
          <w:szCs w:val="24"/>
        </w:rPr>
        <w:t>授权签字代表：</w:t>
      </w:r>
      <w:r>
        <w:rPr>
          <w:rFonts w:hint="eastAsia" w:ascii="宋体" w:hAnsi="宋体" w:cs="宋体"/>
          <w:kern w:val="0"/>
          <w:sz w:val="24"/>
          <w:szCs w:val="24"/>
          <w:lang w:val="en-US" w:eastAsia="zh-CN"/>
        </w:rPr>
        <w:t xml:space="preserve">            </w:t>
      </w:r>
    </w:p>
    <w:p>
      <w:pPr>
        <w:widowControl/>
        <w:spacing w:before="80" w:after="80" w:line="360" w:lineRule="auto"/>
        <w:ind w:firstLine="424" w:firstLineChars="177"/>
        <w:jc w:val="left"/>
        <w:rPr>
          <w:rFonts w:hint="eastAsia"/>
          <w:lang w:val="en-US" w:eastAsia="zh-CN"/>
        </w:rPr>
      </w:pPr>
      <w:r>
        <w:rPr>
          <w:rFonts w:hint="eastAsia" w:ascii="宋体" w:hAnsi="宋体" w:cs="宋体"/>
          <w:kern w:val="0"/>
          <w:sz w:val="24"/>
          <w:szCs w:val="24"/>
          <w:lang w:val="en-US" w:eastAsia="zh-CN"/>
        </w:rPr>
        <w:t xml:space="preserve">签订日期：                           签订日期：      </w:t>
      </w:r>
    </w:p>
    <w:p>
      <w:pPr>
        <w:pStyle w:val="3"/>
        <w:pageBreakBefore/>
        <w:numPr>
          <w:ilvl w:val="0"/>
          <w:numId w:val="43"/>
        </w:numPr>
        <w:tabs>
          <w:tab w:val="left" w:pos="3420"/>
        </w:tabs>
        <w:spacing w:beforeLines="0" w:after="480" w:line="360" w:lineRule="auto"/>
        <w:ind w:right="0"/>
        <w:rPr>
          <w:rFonts w:ascii="Times New Roman" w:hAnsi="Times New Roman"/>
          <w:szCs w:val="24"/>
        </w:rPr>
      </w:pPr>
      <w:bookmarkStart w:id="147" w:name="_Toc35602277"/>
      <w:r>
        <w:rPr>
          <w:rFonts w:ascii="Times New Roman" w:hAnsi="Times New Roman"/>
          <w:szCs w:val="24"/>
        </w:rPr>
        <w:t>生活垃圾焚烧发电厂技术规范和技术要求</w:t>
      </w:r>
      <w:bookmarkEnd w:id="147"/>
    </w:p>
    <w:p>
      <w:pPr>
        <w:spacing w:before="120"/>
        <w:rPr>
          <w:sz w:val="28"/>
        </w:rPr>
      </w:pPr>
      <w:bookmarkStart w:id="148" w:name="_Toc11048356"/>
      <w:bookmarkStart w:id="149" w:name="_Toc13881374"/>
      <w:r>
        <w:t>1、单位和标准</w:t>
      </w:r>
      <w:bookmarkEnd w:id="148"/>
      <w:bookmarkEnd w:id="149"/>
    </w:p>
    <w:p>
      <w:pPr>
        <w:snapToGrid w:val="0"/>
        <w:spacing w:before="120"/>
        <w:jc w:val="left"/>
      </w:pPr>
      <w:r>
        <w:t>1.1单位：</w:t>
      </w:r>
    </w:p>
    <w:p>
      <w:pPr>
        <w:snapToGrid w:val="0"/>
        <w:spacing w:before="120"/>
        <w:jc w:val="left"/>
      </w:pPr>
      <w:r>
        <w:tab/>
      </w:r>
      <w:r>
        <w:t>所有设备和相关文件的计量单位应使用国际单位制。</w:t>
      </w:r>
    </w:p>
    <w:p>
      <w:pPr>
        <w:snapToGrid w:val="0"/>
        <w:spacing w:before="120"/>
        <w:jc w:val="left"/>
      </w:pPr>
      <w:r>
        <w:t>1.2 参考标准：</w:t>
      </w:r>
    </w:p>
    <w:p>
      <w:pPr>
        <w:snapToGrid w:val="0"/>
        <w:spacing w:before="120"/>
        <w:jc w:val="left"/>
      </w:pPr>
      <w:r>
        <w:t>设备和附件应按照相关的参考标准及相关的质量标准、试验程序、操作规范安装和验收规范来完成。</w:t>
      </w:r>
    </w:p>
    <w:p>
      <w:pPr>
        <w:snapToGrid w:val="0"/>
        <w:spacing w:before="120"/>
        <w:jc w:val="left"/>
      </w:pPr>
      <w:r>
        <w:t>承包商在执行本合同的过程中，可选择采用国际标准、中国标准或国际公认的其它国家标准。如果是最后一种情况，须提供证明来证实其选用的标准至少等同于本技术规范指定的标准并征得甲方的同意。</w:t>
      </w:r>
    </w:p>
    <w:p>
      <w:pPr>
        <w:snapToGrid w:val="0"/>
        <w:spacing w:before="120"/>
        <w:jc w:val="left"/>
      </w:pPr>
      <w:r>
        <w:t>如果标准规范与本合同及其附件有明显冲突时，应以本合同为准。如果标准规范之间有矛盾，应以标准高的为准。</w:t>
      </w:r>
    </w:p>
    <w:p>
      <w:pPr>
        <w:snapToGrid w:val="0"/>
        <w:spacing w:before="120"/>
        <w:jc w:val="left"/>
      </w:pPr>
      <w:r>
        <w:t>除特殊规定外，可采用投标截止时间前所颁布的相关标准和规范。</w:t>
      </w:r>
    </w:p>
    <w:p>
      <w:pPr>
        <w:snapToGrid w:val="0"/>
        <w:spacing w:before="120"/>
        <w:jc w:val="left"/>
      </w:pPr>
      <w:r>
        <w:t>技术规范中所使用的参考标准、操作规则、出版社及相关组织的缩写如下：</w:t>
      </w:r>
    </w:p>
    <w:p>
      <w:pPr>
        <w:snapToGrid w:val="0"/>
        <w:spacing w:before="120"/>
        <w:ind w:firstLine="1575" w:firstLineChars="750"/>
      </w:pPr>
      <w:r>
        <w:t xml:space="preserve">ISO </w:t>
      </w:r>
      <w:r>
        <w:tab/>
      </w:r>
      <w:r>
        <w:tab/>
      </w:r>
      <w:r>
        <w:t>国际标准化组织</w:t>
      </w:r>
    </w:p>
    <w:p>
      <w:pPr>
        <w:snapToGrid w:val="0"/>
        <w:spacing w:before="120"/>
        <w:ind w:firstLine="1575" w:firstLineChars="750"/>
      </w:pPr>
      <w:r>
        <w:t xml:space="preserve">ASTM </w:t>
      </w:r>
      <w:r>
        <w:tab/>
      </w:r>
      <w:bookmarkStart w:id="150" w:name="_Hlt51277690"/>
      <w:bookmarkEnd w:id="150"/>
      <w:r>
        <w:t>美国材料试验学会</w:t>
      </w:r>
    </w:p>
    <w:p>
      <w:pPr>
        <w:snapToGrid w:val="0"/>
        <w:spacing w:before="120"/>
        <w:ind w:firstLine="1575" w:firstLineChars="750"/>
      </w:pPr>
      <w:r>
        <w:t xml:space="preserve">AISI </w:t>
      </w:r>
      <w:r>
        <w:tab/>
      </w:r>
      <w:r>
        <w:tab/>
      </w:r>
      <w:r>
        <w:t>美国钢铁协会</w:t>
      </w:r>
    </w:p>
    <w:p>
      <w:pPr>
        <w:snapToGrid w:val="0"/>
        <w:spacing w:before="120"/>
        <w:ind w:firstLine="1575" w:firstLineChars="750"/>
      </w:pPr>
      <w:r>
        <w:t xml:space="preserve">AWWA </w:t>
      </w:r>
      <w:r>
        <w:tab/>
      </w:r>
      <w:r>
        <w:t>美国水道协会</w:t>
      </w:r>
    </w:p>
    <w:p>
      <w:pPr>
        <w:snapToGrid w:val="0"/>
        <w:spacing w:before="120"/>
        <w:ind w:firstLine="1575" w:firstLineChars="750"/>
      </w:pPr>
      <w:r>
        <w:t xml:space="preserve">BS </w:t>
      </w:r>
      <w:r>
        <w:tab/>
      </w:r>
      <w:r>
        <w:tab/>
      </w:r>
      <w:r>
        <w:t>英国标准协会</w:t>
      </w:r>
    </w:p>
    <w:p>
      <w:pPr>
        <w:snapToGrid w:val="0"/>
        <w:spacing w:before="120"/>
        <w:ind w:firstLine="1575" w:firstLineChars="750"/>
      </w:pPr>
      <w:r>
        <w:t>DIN</w:t>
      </w:r>
      <w:r>
        <w:tab/>
      </w:r>
      <w:r>
        <w:tab/>
      </w:r>
      <w:r>
        <w:t>德国工业标准</w:t>
      </w:r>
    </w:p>
    <w:p>
      <w:pPr>
        <w:snapToGrid w:val="0"/>
        <w:spacing w:before="120"/>
        <w:ind w:firstLine="1575" w:firstLineChars="750"/>
      </w:pPr>
      <w:r>
        <w:t xml:space="preserve">JIS </w:t>
      </w:r>
      <w:r>
        <w:tab/>
      </w:r>
      <w:r>
        <w:tab/>
      </w:r>
      <w:r>
        <w:t>日本工业标准</w:t>
      </w:r>
    </w:p>
    <w:p>
      <w:pPr>
        <w:snapToGrid w:val="0"/>
        <w:spacing w:before="120"/>
        <w:ind w:firstLine="1575" w:firstLineChars="750"/>
      </w:pPr>
      <w:r>
        <w:t xml:space="preserve">JEM </w:t>
      </w:r>
      <w:r>
        <w:tab/>
      </w:r>
      <w:r>
        <w:tab/>
      </w:r>
      <w:r>
        <w:t>日本电机工业协会</w:t>
      </w:r>
    </w:p>
    <w:p>
      <w:pPr>
        <w:snapToGrid w:val="0"/>
        <w:spacing w:before="120"/>
        <w:ind w:firstLine="1575" w:firstLineChars="750"/>
      </w:pPr>
      <w:r>
        <w:t xml:space="preserve">IEC </w:t>
      </w:r>
      <w:r>
        <w:tab/>
      </w:r>
      <w:r>
        <w:tab/>
      </w:r>
      <w:r>
        <w:t>国际电工协会</w:t>
      </w:r>
    </w:p>
    <w:p>
      <w:pPr>
        <w:snapToGrid w:val="0"/>
        <w:spacing w:before="120"/>
        <w:ind w:firstLine="1575" w:firstLineChars="750"/>
      </w:pPr>
      <w:r>
        <w:t>ISA</w:t>
      </w:r>
      <w:r>
        <w:tab/>
      </w:r>
      <w:r>
        <w:tab/>
      </w:r>
      <w:r>
        <w:t>美国仪器仪表协会</w:t>
      </w:r>
    </w:p>
    <w:p>
      <w:pPr>
        <w:snapToGrid w:val="0"/>
        <w:spacing w:before="120"/>
        <w:ind w:firstLine="1575" w:firstLineChars="750"/>
      </w:pPr>
      <w:r>
        <w:t xml:space="preserve">SI </w:t>
      </w:r>
      <w:r>
        <w:tab/>
      </w:r>
      <w:r>
        <w:tab/>
      </w:r>
      <w:r>
        <w:t>国际单位制</w:t>
      </w:r>
    </w:p>
    <w:p>
      <w:pPr>
        <w:snapToGrid w:val="0"/>
        <w:spacing w:before="120"/>
        <w:ind w:firstLine="1575" w:firstLineChars="750"/>
      </w:pPr>
      <w:r>
        <w:t xml:space="preserve">GB </w:t>
      </w:r>
      <w:r>
        <w:tab/>
      </w:r>
      <w:r>
        <w:tab/>
      </w:r>
      <w:r>
        <w:t>中国国家标准</w:t>
      </w:r>
    </w:p>
    <w:p>
      <w:pPr>
        <w:snapToGrid w:val="0"/>
        <w:spacing w:before="120"/>
        <w:ind w:firstLine="1575" w:firstLineChars="750"/>
      </w:pPr>
      <w:r>
        <w:t xml:space="preserve">GBJ </w:t>
      </w:r>
      <w:r>
        <w:tab/>
      </w:r>
      <w:r>
        <w:tab/>
      </w:r>
      <w:r>
        <w:t>中国建设部标准</w:t>
      </w:r>
    </w:p>
    <w:p>
      <w:pPr>
        <w:snapToGrid w:val="0"/>
        <w:spacing w:before="120"/>
        <w:ind w:firstLine="1575" w:firstLineChars="750"/>
      </w:pPr>
      <w:r>
        <w:t xml:space="preserve">JB </w:t>
      </w:r>
      <w:r>
        <w:tab/>
      </w:r>
      <w:r>
        <w:tab/>
      </w:r>
      <w:r>
        <w:t>中国机械部部颁标准</w:t>
      </w:r>
    </w:p>
    <w:p>
      <w:pPr>
        <w:snapToGrid w:val="0"/>
        <w:spacing w:before="120"/>
        <w:ind w:firstLine="1575" w:firstLineChars="750"/>
      </w:pPr>
      <w:r>
        <w:t xml:space="preserve">CJ </w:t>
      </w:r>
      <w:r>
        <w:tab/>
      </w:r>
      <w:r>
        <w:tab/>
      </w:r>
      <w:r>
        <w:t>中国建设部城镇建设标准</w:t>
      </w:r>
    </w:p>
    <w:p>
      <w:pPr>
        <w:keepNext w:val="0"/>
        <w:keepLines w:val="0"/>
        <w:pageBreakBefore w:val="0"/>
        <w:widowControl w:val="0"/>
        <w:numPr>
          <w:ilvl w:val="0"/>
          <w:numId w:val="44"/>
        </w:numPr>
        <w:tabs>
          <w:tab w:val="left" w:pos="1036"/>
        </w:tabs>
        <w:kinsoku/>
        <w:wordWrap/>
        <w:overflowPunct/>
        <w:topLinePunct w:val="0"/>
        <w:autoSpaceDE/>
        <w:autoSpaceDN/>
        <w:bidi w:val="0"/>
        <w:adjustRightInd/>
        <w:snapToGrid/>
        <w:spacing w:beforeLines="50" w:line="560" w:lineRule="exact"/>
        <w:ind w:left="1036" w:hanging="588"/>
        <w:textAlignment w:val="auto"/>
      </w:pPr>
      <w:r>
        <w:t>参考标准列表</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《建筑设计防火规范》GBJ50016-2006</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《恶臭污染排放标准》GB14554-1993</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《危险废物鉴别标准》GB5085.1-2007</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《锅炉大气污染物排放标准》（GB13271-2014）</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《污水综合排放标准》（GB8978-1996）</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《建筑施工场界环境噪声排放标准》（GB12523-2011）</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《工业企业厂界环境噪声排放标准》（GB12348-2008）</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《江苏省公共建筑节能设计标准》（DGJ32J96-2010</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《江苏省绿色建筑标准》（</w:t>
      </w:r>
      <w:r>
        <w:rPr>
          <w:bCs/>
        </w:rPr>
        <w:t>DGJ32/J 173-2014</w:t>
      </w:r>
      <w:r>
        <w:t>）</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《爆炸和火灾危险环境电力装置设计规范》（GB50058-1992）</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《无锡市城市绿化条例》</w:t>
      </w:r>
    </w:p>
    <w:p>
      <w:pPr>
        <w:pStyle w:val="511"/>
        <w:keepNext w:val="0"/>
        <w:keepLines w:val="0"/>
        <w:pageBreakBefore w:val="0"/>
        <w:widowControl w:val="0"/>
        <w:numPr>
          <w:ilvl w:val="0"/>
          <w:numId w:val="45"/>
        </w:numPr>
        <w:kinsoku/>
        <w:wordWrap/>
        <w:overflowPunct/>
        <w:topLinePunct w:val="0"/>
        <w:autoSpaceDE/>
        <w:autoSpaceDN/>
        <w:bidi w:val="0"/>
        <w:adjustRightInd/>
        <w:snapToGrid/>
        <w:spacing w:beforeLines="50" w:line="560" w:lineRule="exact"/>
        <w:ind w:firstLineChars="0"/>
        <w:textAlignment w:val="auto"/>
      </w:pPr>
      <w:r>
        <w:t>其他的适用的相关专业设计规范、标准</w:t>
      </w:r>
    </w:p>
    <w:p>
      <w:pPr>
        <w:keepNext w:val="0"/>
        <w:keepLines w:val="0"/>
        <w:pageBreakBefore w:val="0"/>
        <w:widowControl w:val="0"/>
        <w:kinsoku/>
        <w:wordWrap/>
        <w:overflowPunct/>
        <w:topLinePunct w:val="0"/>
        <w:autoSpaceDE/>
        <w:autoSpaceDN/>
        <w:bidi w:val="0"/>
        <w:adjustRightInd/>
        <w:snapToGrid/>
        <w:spacing w:before="120"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r>
        <w:br w:type="page"/>
      </w:r>
    </w:p>
    <w:p>
      <w:pPr>
        <w:pStyle w:val="3"/>
        <w:pageBreakBefore/>
        <w:numPr>
          <w:ilvl w:val="0"/>
          <w:numId w:val="0"/>
        </w:numPr>
        <w:tabs>
          <w:tab w:val="left" w:pos="3420"/>
        </w:tabs>
        <w:spacing w:beforeLines="0" w:after="360" w:line="360" w:lineRule="auto"/>
        <w:ind w:left="560" w:leftChars="0" w:right="0" w:rightChars="0"/>
        <w:jc w:val="center"/>
        <w:rPr>
          <w:rFonts w:ascii="Times New Roman" w:hAnsi="Times New Roman"/>
          <w:sz w:val="30"/>
          <w:szCs w:val="30"/>
        </w:rPr>
      </w:pPr>
      <w:bookmarkStart w:id="151" w:name="_Toc35602279"/>
      <w:r>
        <w:rPr>
          <w:rFonts w:hint="eastAsia" w:ascii="Times New Roman" w:hAnsi="Times New Roman"/>
          <w:sz w:val="30"/>
          <w:szCs w:val="30"/>
          <w:lang w:eastAsia="zh-CN"/>
        </w:rPr>
        <w:t>附件二：</w:t>
      </w:r>
      <w:r>
        <w:rPr>
          <w:rFonts w:ascii="Times New Roman" w:hAnsi="Times New Roman"/>
          <w:sz w:val="30"/>
          <w:szCs w:val="30"/>
        </w:rPr>
        <w:t>运营期绩效考核评分细则表</w:t>
      </w:r>
      <w:bookmarkEnd w:id="151"/>
    </w:p>
    <w:p>
      <w:pPr>
        <w:ind w:firstLine="539"/>
        <w:rPr>
          <w:color w:val="000000"/>
          <w:sz w:val="24"/>
        </w:rPr>
      </w:pPr>
      <w:r>
        <w:rPr>
          <w:color w:val="000000"/>
          <w:sz w:val="24"/>
        </w:rPr>
        <w:t>生活垃圾焚烧发电项目绩效评价主要参考《生活垃圾焚烧厂评价标准》（CJJ/T137-2019）与欧盟2010/75/EC制定，对焚烧厂进行运营绩效评价时，除了应执行此标准的规定外，还应符合国家现行有关标准的规定。在项目执行过程中，政府可根据使用法律及项目实际情况等对生活垃圾焚烧发电项目绩效评价标准进行调整。</w:t>
      </w:r>
    </w:p>
    <w:p>
      <w:pPr>
        <w:ind w:firstLine="539"/>
        <w:rPr>
          <w:color w:val="000000"/>
          <w:sz w:val="24"/>
        </w:rPr>
      </w:pPr>
      <w:bookmarkStart w:id="152" w:name="_Toc17225089"/>
      <w:r>
        <w:rPr>
          <w:color w:val="000000"/>
          <w:sz w:val="24"/>
        </w:rPr>
        <w:t>（一）乙方应提供下列（包括但不限于）文件和资料：</w:t>
      </w:r>
      <w:bookmarkEnd w:id="152"/>
    </w:p>
    <w:p>
      <w:pPr>
        <w:ind w:firstLine="539"/>
        <w:rPr>
          <w:color w:val="000000"/>
          <w:sz w:val="24"/>
        </w:rPr>
      </w:pPr>
      <w:r>
        <w:rPr>
          <w:color w:val="000000"/>
          <w:sz w:val="24"/>
        </w:rPr>
        <w:t>1.全年垃圾进场计量资料；</w:t>
      </w:r>
    </w:p>
    <w:p>
      <w:pPr>
        <w:ind w:firstLine="539"/>
        <w:rPr>
          <w:color w:val="000000"/>
          <w:sz w:val="24"/>
        </w:rPr>
      </w:pPr>
      <w:r>
        <w:rPr>
          <w:color w:val="000000"/>
          <w:sz w:val="24"/>
        </w:rPr>
        <w:t>2.全年炉温记录资料；</w:t>
      </w:r>
    </w:p>
    <w:p>
      <w:pPr>
        <w:ind w:firstLine="539"/>
        <w:rPr>
          <w:color w:val="000000"/>
          <w:sz w:val="24"/>
        </w:rPr>
      </w:pPr>
      <w:r>
        <w:rPr>
          <w:color w:val="000000"/>
          <w:sz w:val="24"/>
        </w:rPr>
        <w:t>3.全年辅助燃料消耗量和单位辅助燃料消耗量（处理每吨垃圾的辅助燃料消耗量）；</w:t>
      </w:r>
    </w:p>
    <w:p>
      <w:pPr>
        <w:ind w:firstLine="539"/>
        <w:rPr>
          <w:color w:val="000000"/>
          <w:sz w:val="24"/>
        </w:rPr>
      </w:pPr>
      <w:r>
        <w:rPr>
          <w:color w:val="000000"/>
          <w:sz w:val="24"/>
        </w:rPr>
        <w:t>4.全年分月炉渣热灼减率的检测资料；</w:t>
      </w:r>
    </w:p>
    <w:p>
      <w:pPr>
        <w:ind w:firstLine="539"/>
        <w:rPr>
          <w:color w:val="000000"/>
          <w:sz w:val="24"/>
        </w:rPr>
      </w:pPr>
      <w:r>
        <w:rPr>
          <w:color w:val="000000"/>
          <w:sz w:val="24"/>
        </w:rPr>
        <w:t>5.全年余热锅炉出力和蒸汽参数记录资料；</w:t>
      </w:r>
    </w:p>
    <w:p>
      <w:pPr>
        <w:ind w:firstLine="539"/>
        <w:rPr>
          <w:color w:val="000000"/>
          <w:sz w:val="24"/>
        </w:rPr>
      </w:pPr>
      <w:r>
        <w:rPr>
          <w:color w:val="000000"/>
          <w:sz w:val="24"/>
        </w:rPr>
        <w:t>6.全年烟气排放指标在线监测记录资料；</w:t>
      </w:r>
    </w:p>
    <w:p>
      <w:pPr>
        <w:ind w:firstLine="539"/>
        <w:rPr>
          <w:color w:val="000000"/>
          <w:sz w:val="24"/>
        </w:rPr>
      </w:pPr>
      <w:r>
        <w:rPr>
          <w:color w:val="000000"/>
          <w:sz w:val="24"/>
        </w:rPr>
        <w:t>7. 生态环境局对焚烧厂排放指标的监测资料，包括烟气、炉渣、飞灰、污水、厂界大气、臭气浓度、噪音等监测资料；</w:t>
      </w:r>
    </w:p>
    <w:p>
      <w:pPr>
        <w:ind w:firstLine="539"/>
        <w:rPr>
          <w:color w:val="000000"/>
          <w:sz w:val="24"/>
        </w:rPr>
      </w:pPr>
      <w:r>
        <w:rPr>
          <w:color w:val="000000"/>
          <w:sz w:val="24"/>
        </w:rPr>
        <w:t>8.全年分日中和剂、吸附剂和飞灰稳定剂（包括固化剂和螯合剂等）消耗量；</w:t>
      </w:r>
    </w:p>
    <w:p>
      <w:pPr>
        <w:ind w:firstLine="539"/>
        <w:rPr>
          <w:color w:val="000000"/>
          <w:sz w:val="24"/>
        </w:rPr>
      </w:pPr>
      <w:r>
        <w:rPr>
          <w:color w:val="000000"/>
          <w:sz w:val="24"/>
        </w:rPr>
        <w:t>9.全年渗沥液排放在线监测资料；</w:t>
      </w:r>
    </w:p>
    <w:p>
      <w:pPr>
        <w:ind w:firstLine="539"/>
        <w:rPr>
          <w:color w:val="000000"/>
          <w:sz w:val="24"/>
        </w:rPr>
      </w:pPr>
      <w:r>
        <w:rPr>
          <w:color w:val="000000"/>
          <w:sz w:val="24"/>
        </w:rPr>
        <w:t>10.年运行时间记录资料；</w:t>
      </w:r>
    </w:p>
    <w:p>
      <w:pPr>
        <w:ind w:firstLine="539"/>
        <w:rPr>
          <w:color w:val="000000"/>
          <w:sz w:val="24"/>
        </w:rPr>
      </w:pPr>
      <w:r>
        <w:rPr>
          <w:color w:val="000000"/>
          <w:sz w:val="24"/>
        </w:rPr>
        <w:t>11.全年停炉检修及启炉、停炉记录资料；</w:t>
      </w:r>
    </w:p>
    <w:p>
      <w:pPr>
        <w:ind w:firstLine="539"/>
        <w:rPr>
          <w:color w:val="000000"/>
          <w:sz w:val="24"/>
        </w:rPr>
      </w:pPr>
      <w:r>
        <w:rPr>
          <w:color w:val="000000"/>
          <w:sz w:val="24"/>
        </w:rPr>
        <w:t>12.焚烧厂管理制度；</w:t>
      </w:r>
    </w:p>
    <w:p>
      <w:pPr>
        <w:ind w:firstLine="539"/>
        <w:rPr>
          <w:color w:val="000000"/>
        </w:rPr>
        <w:sectPr>
          <w:pgSz w:w="11906" w:h="16838"/>
          <w:pgMar w:top="1440" w:right="1797" w:bottom="1440" w:left="1797" w:header="851" w:footer="992" w:gutter="0"/>
          <w:cols w:space="720" w:num="1"/>
          <w:docGrid w:type="lines" w:linePitch="435" w:charSpace="0"/>
        </w:sectPr>
      </w:pPr>
      <w:r>
        <w:rPr>
          <w:color w:val="000000"/>
          <w:sz w:val="24"/>
        </w:rPr>
        <w:t>13.其他能反映焚烧厂运行管理水平的资料。</w:t>
      </w:r>
    </w:p>
    <w:p>
      <w:pPr>
        <w:spacing w:afterLines="50"/>
        <w:ind w:firstLine="539"/>
        <w:jc w:val="center"/>
        <w:rPr>
          <w:b/>
          <w:bCs/>
          <w:sz w:val="24"/>
        </w:rPr>
        <w:sectPr>
          <w:headerReference r:id="rId6" w:type="default"/>
          <w:footerReference r:id="rId7" w:type="default"/>
          <w:pgSz w:w="11906" w:h="16838"/>
          <w:pgMar w:top="1440" w:right="1797" w:bottom="1440" w:left="1797" w:header="851" w:footer="992" w:gutter="0"/>
          <w:cols w:space="720" w:num="1"/>
          <w:docGrid w:linePitch="312" w:charSpace="0"/>
        </w:sectPr>
      </w:pPr>
    </w:p>
    <w:p>
      <w:pPr>
        <w:spacing w:afterLines="50"/>
        <w:ind w:firstLine="539"/>
        <w:jc w:val="center"/>
        <w:rPr>
          <w:b/>
          <w:bCs/>
          <w:sz w:val="24"/>
        </w:rPr>
      </w:pPr>
      <w:r>
        <w:rPr>
          <w:b/>
          <w:bCs/>
          <w:sz w:val="24"/>
        </w:rPr>
        <w:t>生活垃圾焚烧发电项目运行管理绩效评价表</w:t>
      </w:r>
    </w:p>
    <w:tbl>
      <w:tblPr>
        <w:tblStyle w:val="54"/>
        <w:tblW w:w="512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39"/>
        <w:gridCol w:w="796"/>
        <w:gridCol w:w="2124"/>
        <w:gridCol w:w="853"/>
        <w:gridCol w:w="5386"/>
        <w:gridCol w:w="108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282" w:type="pct"/>
            <w:shd w:val="clear" w:color="auto" w:fill="D9D9D9"/>
            <w:noWrap w:val="0"/>
            <w:vAlign w:val="center"/>
          </w:tcPr>
          <w:p>
            <w:pPr>
              <w:spacing w:line="276" w:lineRule="auto"/>
              <w:jc w:val="center"/>
              <w:rPr>
                <w:b/>
                <w:szCs w:val="21"/>
              </w:rPr>
            </w:pPr>
          </w:p>
        </w:tc>
        <w:tc>
          <w:tcPr>
            <w:tcW w:w="701" w:type="pct"/>
            <w:shd w:val="clear" w:color="auto" w:fill="D9D9D9"/>
            <w:noWrap w:val="0"/>
            <w:vAlign w:val="center"/>
          </w:tcPr>
          <w:p>
            <w:pPr>
              <w:spacing w:line="276" w:lineRule="auto"/>
              <w:jc w:val="center"/>
              <w:rPr>
                <w:b/>
                <w:szCs w:val="21"/>
              </w:rPr>
            </w:pPr>
            <w:r>
              <w:rPr>
                <w:b/>
                <w:szCs w:val="21"/>
              </w:rPr>
              <w:t>分项名称</w:t>
            </w:r>
          </w:p>
        </w:tc>
        <w:tc>
          <w:tcPr>
            <w:tcW w:w="274" w:type="pct"/>
            <w:shd w:val="clear" w:color="auto" w:fill="D9D9D9"/>
            <w:noWrap w:val="0"/>
            <w:vAlign w:val="center"/>
          </w:tcPr>
          <w:p>
            <w:pPr>
              <w:spacing w:line="276" w:lineRule="auto"/>
              <w:jc w:val="center"/>
              <w:rPr>
                <w:b/>
                <w:szCs w:val="21"/>
              </w:rPr>
            </w:pPr>
            <w:r>
              <w:rPr>
                <w:b/>
                <w:szCs w:val="21"/>
              </w:rPr>
              <w:t>子项</w:t>
            </w:r>
          </w:p>
        </w:tc>
        <w:tc>
          <w:tcPr>
            <w:tcW w:w="730" w:type="pct"/>
            <w:shd w:val="clear" w:color="auto" w:fill="D9D9D9"/>
            <w:noWrap w:val="0"/>
            <w:vAlign w:val="center"/>
          </w:tcPr>
          <w:p>
            <w:pPr>
              <w:spacing w:line="276" w:lineRule="auto"/>
              <w:jc w:val="center"/>
              <w:rPr>
                <w:b/>
                <w:szCs w:val="21"/>
              </w:rPr>
            </w:pPr>
            <w:r>
              <w:rPr>
                <w:b/>
                <w:szCs w:val="21"/>
              </w:rPr>
              <w:t>子项名称</w:t>
            </w:r>
          </w:p>
        </w:tc>
        <w:tc>
          <w:tcPr>
            <w:tcW w:w="293" w:type="pct"/>
            <w:shd w:val="clear" w:color="auto" w:fill="D9D9D9"/>
            <w:noWrap w:val="0"/>
            <w:vAlign w:val="center"/>
          </w:tcPr>
          <w:p>
            <w:pPr>
              <w:spacing w:line="276" w:lineRule="auto"/>
              <w:jc w:val="center"/>
              <w:rPr>
                <w:b/>
                <w:szCs w:val="21"/>
              </w:rPr>
            </w:pPr>
            <w:r>
              <w:rPr>
                <w:b/>
                <w:szCs w:val="21"/>
              </w:rPr>
              <w:t>分值</w:t>
            </w:r>
          </w:p>
        </w:tc>
        <w:tc>
          <w:tcPr>
            <w:tcW w:w="1853" w:type="pct"/>
            <w:shd w:val="clear" w:color="auto" w:fill="D9D9D9"/>
            <w:noWrap w:val="0"/>
            <w:vAlign w:val="center"/>
          </w:tcPr>
          <w:p>
            <w:pPr>
              <w:spacing w:line="276" w:lineRule="auto"/>
              <w:jc w:val="center"/>
              <w:rPr>
                <w:b/>
                <w:szCs w:val="21"/>
              </w:rPr>
            </w:pPr>
            <w:r>
              <w:rPr>
                <w:b/>
                <w:szCs w:val="21"/>
              </w:rPr>
              <w:t>子项水平描述</w:t>
            </w:r>
          </w:p>
        </w:tc>
        <w:tc>
          <w:tcPr>
            <w:tcW w:w="374" w:type="pct"/>
            <w:shd w:val="clear" w:color="auto" w:fill="D9D9D9"/>
            <w:noWrap w:val="0"/>
            <w:vAlign w:val="center"/>
          </w:tcPr>
          <w:p>
            <w:pPr>
              <w:spacing w:line="276" w:lineRule="auto"/>
              <w:jc w:val="center"/>
              <w:rPr>
                <w:b/>
                <w:szCs w:val="21"/>
              </w:rPr>
            </w:pPr>
            <w:r>
              <w:rPr>
                <w:b/>
                <w:szCs w:val="21"/>
              </w:rPr>
              <w:t>分值</w:t>
            </w:r>
          </w:p>
        </w:tc>
        <w:tc>
          <w:tcPr>
            <w:tcW w:w="488" w:type="pct"/>
            <w:shd w:val="clear" w:color="auto" w:fill="D9D9D9"/>
            <w:noWrap w:val="0"/>
            <w:vAlign w:val="center"/>
          </w:tcPr>
          <w:p>
            <w:pPr>
              <w:spacing w:line="276" w:lineRule="auto"/>
              <w:jc w:val="center"/>
              <w:rPr>
                <w:b/>
                <w:szCs w:val="21"/>
              </w:rPr>
            </w:pPr>
            <w:r>
              <w:rPr>
                <w:b/>
                <w:szCs w:val="21"/>
              </w:rPr>
              <w:t>实际给分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restart"/>
            <w:noWrap w:val="0"/>
            <w:vAlign w:val="center"/>
          </w:tcPr>
          <w:p>
            <w:pPr>
              <w:spacing w:line="276" w:lineRule="auto"/>
              <w:rPr>
                <w:rFonts w:hint="eastAsia" w:eastAsia="宋体"/>
                <w:szCs w:val="21"/>
                <w:lang w:val="en-US" w:eastAsia="zh-CN"/>
              </w:rPr>
            </w:pPr>
            <w:r>
              <w:rPr>
                <w:rFonts w:hint="eastAsia"/>
                <w:szCs w:val="21"/>
                <w:lang w:val="en-US" w:eastAsia="zh-CN"/>
              </w:rPr>
              <w:t>1</w:t>
            </w:r>
          </w:p>
        </w:tc>
        <w:tc>
          <w:tcPr>
            <w:tcW w:w="701" w:type="pct"/>
            <w:vMerge w:val="restart"/>
            <w:noWrap w:val="0"/>
            <w:vAlign w:val="center"/>
          </w:tcPr>
          <w:p>
            <w:pPr>
              <w:spacing w:line="276" w:lineRule="auto"/>
              <w:rPr>
                <w:szCs w:val="21"/>
              </w:rPr>
            </w:pPr>
            <w:r>
              <w:rPr>
                <w:szCs w:val="21"/>
              </w:rPr>
              <w:t>运行时间、垃圾收运、垃圾接收和处理总量</w:t>
            </w:r>
          </w:p>
          <w:p>
            <w:pPr>
              <w:spacing w:line="276" w:lineRule="auto"/>
              <w:rPr>
                <w:szCs w:val="21"/>
              </w:rPr>
            </w:pPr>
            <w:r>
              <w:rPr>
                <w:szCs w:val="21"/>
              </w:rPr>
              <w:t>（满分25分）</w:t>
            </w:r>
          </w:p>
        </w:tc>
        <w:tc>
          <w:tcPr>
            <w:tcW w:w="274" w:type="pct"/>
            <w:vMerge w:val="restart"/>
            <w:noWrap w:val="0"/>
            <w:vAlign w:val="center"/>
          </w:tcPr>
          <w:p>
            <w:pPr>
              <w:spacing w:line="276" w:lineRule="auto"/>
              <w:rPr>
                <w:szCs w:val="21"/>
              </w:rPr>
            </w:pPr>
            <w:r>
              <w:rPr>
                <w:szCs w:val="21"/>
              </w:rPr>
              <w:t>1-1</w:t>
            </w:r>
          </w:p>
        </w:tc>
        <w:tc>
          <w:tcPr>
            <w:tcW w:w="730" w:type="pct"/>
            <w:vMerge w:val="restart"/>
            <w:noWrap w:val="0"/>
            <w:vAlign w:val="center"/>
          </w:tcPr>
          <w:p>
            <w:pPr>
              <w:spacing w:line="276" w:lineRule="auto"/>
              <w:rPr>
                <w:szCs w:val="21"/>
              </w:rPr>
            </w:pPr>
            <w:r>
              <w:rPr>
                <w:szCs w:val="21"/>
              </w:rPr>
              <w:t>垃圾收运</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垃圾收运路线合理，分布均匀，垃圾收运车辆整洁，收运过程无二次污染产生，收运量达到要求</w:t>
            </w:r>
          </w:p>
        </w:tc>
        <w:tc>
          <w:tcPr>
            <w:tcW w:w="374" w:type="pct"/>
            <w:noWrap w:val="0"/>
            <w:vAlign w:val="center"/>
          </w:tcPr>
          <w:p>
            <w:pPr>
              <w:spacing w:line="276" w:lineRule="auto"/>
              <w:jc w:val="center"/>
              <w:rPr>
                <w:szCs w:val="21"/>
              </w:rPr>
            </w:pPr>
            <w:r>
              <w:rPr>
                <w:szCs w:val="21"/>
              </w:rPr>
              <w:t>5</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垃圾收运路线较为合理，垃圾收运车辆存在安全或卫生隐患，收运过程产生少量污染，收运量基本达到要求</w:t>
            </w:r>
          </w:p>
        </w:tc>
        <w:tc>
          <w:tcPr>
            <w:tcW w:w="374" w:type="pct"/>
            <w:noWrap w:val="0"/>
            <w:vAlign w:val="center"/>
          </w:tcPr>
          <w:p>
            <w:pPr>
              <w:spacing w:line="276" w:lineRule="auto"/>
              <w:jc w:val="center"/>
              <w:rPr>
                <w:szCs w:val="21"/>
              </w:rPr>
            </w:pPr>
            <w:r>
              <w:rPr>
                <w:szCs w:val="21"/>
              </w:rPr>
              <w:t>2-4</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垃圾收运路线不合理，分布不均匀，垃圾收运车辆存在较大安全和卫生隐患，收运过程产生污染产生，收运量未达到要求</w:t>
            </w:r>
          </w:p>
        </w:tc>
        <w:tc>
          <w:tcPr>
            <w:tcW w:w="374" w:type="pct"/>
            <w:noWrap w:val="0"/>
            <w:vAlign w:val="center"/>
          </w:tcPr>
          <w:p>
            <w:pPr>
              <w:spacing w:line="276" w:lineRule="auto"/>
              <w:jc w:val="center"/>
              <w:rPr>
                <w:szCs w:val="21"/>
              </w:rPr>
            </w:pPr>
            <w:r>
              <w:rPr>
                <w:szCs w:val="21"/>
              </w:rPr>
              <w:t>0-1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1.2</w:t>
            </w:r>
          </w:p>
        </w:tc>
        <w:tc>
          <w:tcPr>
            <w:tcW w:w="730" w:type="pct"/>
            <w:vMerge w:val="restart"/>
            <w:noWrap w:val="0"/>
            <w:vAlign w:val="center"/>
          </w:tcPr>
          <w:p>
            <w:pPr>
              <w:spacing w:line="276" w:lineRule="auto"/>
              <w:rPr>
                <w:szCs w:val="21"/>
              </w:rPr>
            </w:pPr>
            <w:r>
              <w:rPr>
                <w:szCs w:val="21"/>
              </w:rPr>
              <w:t>垃圾接纳</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有进厂垃圾检验制度、控制措施、入场要求的，得3分。每缺少一项扣1分。</w:t>
            </w:r>
          </w:p>
        </w:tc>
        <w:tc>
          <w:tcPr>
            <w:tcW w:w="374" w:type="pct"/>
            <w:noWrap w:val="0"/>
            <w:vAlign w:val="center"/>
          </w:tcPr>
          <w:p>
            <w:pPr>
              <w:spacing w:line="276" w:lineRule="auto"/>
              <w:jc w:val="center"/>
              <w:rPr>
                <w:szCs w:val="21"/>
              </w:rPr>
            </w:pPr>
            <w:r>
              <w:rPr>
                <w:szCs w:val="21"/>
              </w:rPr>
              <w:t>3</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 xml:space="preserve">未发生违规接纳非服务范围垃圾的，得1分。每发生一次扣0.1分； </w:t>
            </w:r>
          </w:p>
        </w:tc>
        <w:tc>
          <w:tcPr>
            <w:tcW w:w="374" w:type="pct"/>
            <w:noWrap w:val="0"/>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未发生违规接纳危险废物的，得1分。否则0分。</w:t>
            </w:r>
          </w:p>
        </w:tc>
        <w:tc>
          <w:tcPr>
            <w:tcW w:w="374" w:type="pct"/>
            <w:noWrap w:val="0"/>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1.2</w:t>
            </w:r>
          </w:p>
        </w:tc>
        <w:tc>
          <w:tcPr>
            <w:tcW w:w="730" w:type="pct"/>
            <w:vMerge w:val="restart"/>
            <w:noWrap w:val="0"/>
            <w:vAlign w:val="center"/>
          </w:tcPr>
          <w:p>
            <w:pPr>
              <w:spacing w:line="276" w:lineRule="auto"/>
              <w:rPr>
                <w:szCs w:val="21"/>
              </w:rPr>
            </w:pPr>
            <w:r>
              <w:rPr>
                <w:szCs w:val="21"/>
              </w:rPr>
              <w:t>垃圾接收系统</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生活垃圾卸料大厅等设计满足车辆进出、掉头要求；全部厂区标识清晰，每一项为0.5分，满分1分。</w:t>
            </w:r>
          </w:p>
        </w:tc>
        <w:tc>
          <w:tcPr>
            <w:tcW w:w="374" w:type="pct"/>
            <w:noWrap w:val="0"/>
            <w:vAlign w:val="center"/>
          </w:tcPr>
          <w:p>
            <w:pPr>
              <w:spacing w:line="276" w:lineRule="auto"/>
              <w:jc w:val="center"/>
              <w:rPr>
                <w:szCs w:val="21"/>
              </w:rPr>
            </w:pPr>
            <w:r>
              <w:rPr>
                <w:szCs w:val="21"/>
              </w:rPr>
              <w:t>1</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生活垃圾卸料大厅风幕完整，干净整洁，地面无渗滤液腐蚀，采光照明情况良好，每一项0.5分，满分2分。</w:t>
            </w:r>
          </w:p>
        </w:tc>
        <w:tc>
          <w:tcPr>
            <w:tcW w:w="374" w:type="pct"/>
            <w:noWrap w:val="0"/>
            <w:vAlign w:val="center"/>
          </w:tcPr>
          <w:p>
            <w:pPr>
              <w:spacing w:line="276" w:lineRule="auto"/>
              <w:jc w:val="center"/>
              <w:rPr>
                <w:szCs w:val="21"/>
              </w:rPr>
            </w:pPr>
            <w:r>
              <w:rPr>
                <w:szCs w:val="21"/>
              </w:rPr>
              <w:t>2</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垃圾抓斗，传送设备维护和保养制度健全且有效落实，计量系统每年至少校核一次并提出校核证明，每项1分，满分2分。</w:t>
            </w:r>
          </w:p>
        </w:tc>
        <w:tc>
          <w:tcPr>
            <w:tcW w:w="374" w:type="pct"/>
            <w:noWrap w:val="0"/>
            <w:vAlign w:val="center"/>
          </w:tcPr>
          <w:p>
            <w:pPr>
              <w:spacing w:line="276" w:lineRule="auto"/>
              <w:jc w:val="center"/>
              <w:rPr>
                <w:szCs w:val="21"/>
              </w:rPr>
            </w:pPr>
            <w:r>
              <w:rPr>
                <w:szCs w:val="21"/>
              </w:rPr>
              <w:t>2</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1-2</w:t>
            </w:r>
          </w:p>
        </w:tc>
        <w:tc>
          <w:tcPr>
            <w:tcW w:w="730" w:type="pct"/>
            <w:vMerge w:val="restart"/>
            <w:noWrap w:val="0"/>
            <w:vAlign w:val="center"/>
          </w:tcPr>
          <w:p>
            <w:pPr>
              <w:spacing w:line="276" w:lineRule="auto"/>
              <w:rPr>
                <w:szCs w:val="21"/>
              </w:rPr>
            </w:pPr>
            <w:r>
              <w:rPr>
                <w:szCs w:val="21"/>
              </w:rPr>
              <w:t>每条焚烧线年运行小时数</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达到</w:t>
            </w:r>
            <w:r>
              <w:rPr>
                <w:color w:val="auto"/>
                <w:szCs w:val="21"/>
                <w:highlight w:val="none"/>
              </w:rPr>
              <w:t>《</w:t>
            </w:r>
            <w:r>
              <w:rPr>
                <w:rFonts w:hint="eastAsia"/>
                <w:color w:val="auto"/>
                <w:szCs w:val="21"/>
                <w:highlight w:val="none"/>
                <w:u w:val="none"/>
                <w:lang w:eastAsia="zh-CN"/>
              </w:rPr>
              <w:t>特许经营项目</w:t>
            </w:r>
            <w:r>
              <w:rPr>
                <w:color w:val="auto"/>
                <w:szCs w:val="21"/>
                <w:highlight w:val="none"/>
              </w:rPr>
              <w:t>合同中》</w:t>
            </w:r>
            <w:r>
              <w:rPr>
                <w:szCs w:val="21"/>
              </w:rPr>
              <w:t>承诺的安全运营时间</w:t>
            </w:r>
          </w:p>
        </w:tc>
        <w:tc>
          <w:tcPr>
            <w:tcW w:w="374" w:type="pct"/>
            <w:noWrap w:val="0"/>
            <w:vAlign w:val="center"/>
          </w:tcPr>
          <w:p>
            <w:pPr>
              <w:spacing w:line="276" w:lineRule="auto"/>
              <w:jc w:val="center"/>
              <w:rPr>
                <w:szCs w:val="21"/>
              </w:rPr>
            </w:pPr>
            <w:r>
              <w:rPr>
                <w:szCs w:val="21"/>
              </w:rPr>
              <w:t>5</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95%*承诺安全运营时间≤实际安全运营时间＜承诺安全运营时间</w:t>
            </w:r>
          </w:p>
        </w:tc>
        <w:tc>
          <w:tcPr>
            <w:tcW w:w="374" w:type="pct"/>
            <w:noWrap w:val="0"/>
            <w:vAlign w:val="center"/>
          </w:tcPr>
          <w:p>
            <w:pPr>
              <w:spacing w:line="276" w:lineRule="auto"/>
              <w:jc w:val="center"/>
              <w:rPr>
                <w:szCs w:val="21"/>
              </w:rPr>
            </w:pPr>
            <w:r>
              <w:rPr>
                <w:szCs w:val="21"/>
              </w:rPr>
              <w:t>3-4</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90%*承诺安全运营时间≤实际安全运营时间＜95%*承诺安全运营时间</w:t>
            </w:r>
          </w:p>
        </w:tc>
        <w:tc>
          <w:tcPr>
            <w:tcW w:w="374" w:type="pct"/>
            <w:noWrap w:val="0"/>
            <w:vAlign w:val="center"/>
          </w:tcPr>
          <w:p>
            <w:pPr>
              <w:spacing w:line="276" w:lineRule="auto"/>
              <w:jc w:val="center"/>
              <w:rPr>
                <w:szCs w:val="21"/>
              </w:rPr>
            </w:pPr>
            <w:r>
              <w:rPr>
                <w:szCs w:val="21"/>
              </w:rPr>
              <w:t>1-3</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实际安全运营时间＜90%*承诺安全运营时间</w:t>
            </w:r>
          </w:p>
        </w:tc>
        <w:tc>
          <w:tcPr>
            <w:tcW w:w="374" w:type="pct"/>
            <w:noWrap w:val="0"/>
            <w:vAlign w:val="center"/>
          </w:tcPr>
          <w:p>
            <w:pPr>
              <w:spacing w:line="276" w:lineRule="auto"/>
              <w:jc w:val="center"/>
              <w:rPr>
                <w:szCs w:val="21"/>
              </w:rPr>
            </w:pPr>
            <w:r>
              <w:rPr>
                <w:szCs w:val="21"/>
              </w:rPr>
              <w:t>0</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1.3</w:t>
            </w:r>
          </w:p>
        </w:tc>
        <w:tc>
          <w:tcPr>
            <w:tcW w:w="730" w:type="pct"/>
            <w:vMerge w:val="restart"/>
            <w:noWrap w:val="0"/>
            <w:vAlign w:val="center"/>
          </w:tcPr>
          <w:p>
            <w:pPr>
              <w:spacing w:line="276" w:lineRule="auto"/>
              <w:rPr>
                <w:szCs w:val="21"/>
              </w:rPr>
            </w:pPr>
            <w:r>
              <w:rPr>
                <w:szCs w:val="21"/>
              </w:rPr>
              <w:t>年垃圾处理量</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达到设计或承诺垃圾处理量</w:t>
            </w:r>
          </w:p>
        </w:tc>
        <w:tc>
          <w:tcPr>
            <w:tcW w:w="374" w:type="pct"/>
            <w:noWrap w:val="0"/>
            <w:vAlign w:val="center"/>
          </w:tcPr>
          <w:p>
            <w:pPr>
              <w:spacing w:line="276" w:lineRule="auto"/>
              <w:jc w:val="center"/>
              <w:rPr>
                <w:szCs w:val="21"/>
              </w:rPr>
            </w:pPr>
            <w:r>
              <w:rPr>
                <w:szCs w:val="21"/>
              </w:rPr>
              <w:t>5</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达到设计（额定）处理量的90%及以上</w:t>
            </w:r>
          </w:p>
        </w:tc>
        <w:tc>
          <w:tcPr>
            <w:tcW w:w="374" w:type="pct"/>
            <w:noWrap w:val="0"/>
            <w:vAlign w:val="center"/>
          </w:tcPr>
          <w:p>
            <w:pPr>
              <w:spacing w:line="276" w:lineRule="auto"/>
              <w:jc w:val="center"/>
              <w:rPr>
                <w:szCs w:val="21"/>
              </w:rPr>
            </w:pPr>
            <w:r>
              <w:rPr>
                <w:szCs w:val="21"/>
              </w:rPr>
              <w:t>3</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未达到设计（额定）处理量的80%</w:t>
            </w:r>
          </w:p>
        </w:tc>
        <w:tc>
          <w:tcPr>
            <w:tcW w:w="374" w:type="pct"/>
            <w:noWrap w:val="0"/>
            <w:vAlign w:val="center"/>
          </w:tcPr>
          <w:p>
            <w:pPr>
              <w:spacing w:line="276" w:lineRule="auto"/>
              <w:jc w:val="center"/>
              <w:rPr>
                <w:szCs w:val="21"/>
              </w:rPr>
            </w:pPr>
            <w:r>
              <w:rPr>
                <w:szCs w:val="21"/>
              </w:rPr>
              <w:t>0</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282" w:type="pct"/>
            <w:vMerge w:val="restart"/>
            <w:noWrap w:val="0"/>
            <w:vAlign w:val="center"/>
          </w:tcPr>
          <w:p>
            <w:pPr>
              <w:spacing w:line="276" w:lineRule="auto"/>
              <w:rPr>
                <w:szCs w:val="21"/>
              </w:rPr>
            </w:pPr>
            <w:r>
              <w:rPr>
                <w:szCs w:val="21"/>
              </w:rPr>
              <w:t>2</w:t>
            </w:r>
          </w:p>
        </w:tc>
        <w:tc>
          <w:tcPr>
            <w:tcW w:w="701" w:type="pct"/>
            <w:vMerge w:val="restart"/>
            <w:noWrap w:val="0"/>
            <w:vAlign w:val="center"/>
          </w:tcPr>
          <w:p>
            <w:pPr>
              <w:spacing w:line="276" w:lineRule="auto"/>
              <w:rPr>
                <w:szCs w:val="21"/>
              </w:rPr>
            </w:pPr>
            <w:r>
              <w:rPr>
                <w:szCs w:val="21"/>
              </w:rPr>
              <w:t>运营管理（满分30分）</w:t>
            </w:r>
          </w:p>
        </w:tc>
        <w:tc>
          <w:tcPr>
            <w:tcW w:w="274" w:type="pct"/>
            <w:noWrap w:val="0"/>
            <w:vAlign w:val="center"/>
          </w:tcPr>
          <w:p>
            <w:pPr>
              <w:spacing w:line="276" w:lineRule="auto"/>
              <w:rPr>
                <w:szCs w:val="21"/>
              </w:rPr>
            </w:pPr>
            <w:r>
              <w:rPr>
                <w:szCs w:val="21"/>
              </w:rPr>
              <w:t>2-1</w:t>
            </w:r>
          </w:p>
        </w:tc>
        <w:tc>
          <w:tcPr>
            <w:tcW w:w="730" w:type="pct"/>
            <w:noWrap w:val="0"/>
            <w:vAlign w:val="center"/>
          </w:tcPr>
          <w:p>
            <w:pPr>
              <w:spacing w:line="276" w:lineRule="auto"/>
              <w:rPr>
                <w:szCs w:val="21"/>
              </w:rPr>
            </w:pPr>
            <w:r>
              <w:rPr>
                <w:szCs w:val="21"/>
              </w:rPr>
              <w:t>运营管理制度</w:t>
            </w:r>
          </w:p>
        </w:tc>
        <w:tc>
          <w:tcPr>
            <w:tcW w:w="293" w:type="pct"/>
            <w:noWrap w:val="0"/>
            <w:vAlign w:val="center"/>
          </w:tcPr>
          <w:p>
            <w:pPr>
              <w:spacing w:line="276" w:lineRule="auto"/>
              <w:rPr>
                <w:szCs w:val="21"/>
              </w:rPr>
            </w:pPr>
            <w:r>
              <w:rPr>
                <w:szCs w:val="21"/>
              </w:rPr>
              <w:t>10</w:t>
            </w:r>
          </w:p>
        </w:tc>
        <w:tc>
          <w:tcPr>
            <w:tcW w:w="1853" w:type="pct"/>
            <w:noWrap w:val="0"/>
            <w:vAlign w:val="center"/>
          </w:tcPr>
          <w:p>
            <w:pPr>
              <w:spacing w:line="276" w:lineRule="auto"/>
              <w:rPr>
                <w:szCs w:val="21"/>
              </w:rPr>
            </w:pPr>
            <w:r>
              <w:rPr>
                <w:szCs w:val="21"/>
              </w:rPr>
              <w:t>有全面、详细、可操作性强的工艺运行管理制度、调控方案，应急预案，并定期出具工艺、运营分析报告，得满分10分，上述每缺少一项扣2分，有一项不健全扣1分。</w:t>
            </w:r>
          </w:p>
        </w:tc>
        <w:tc>
          <w:tcPr>
            <w:tcW w:w="374" w:type="pct"/>
            <w:noWrap w:val="0"/>
            <w:vAlign w:val="center"/>
          </w:tcPr>
          <w:p>
            <w:pPr>
              <w:spacing w:line="276" w:lineRule="auto"/>
              <w:jc w:val="center"/>
              <w:rPr>
                <w:szCs w:val="21"/>
              </w:rPr>
            </w:pPr>
            <w:r>
              <w:rPr>
                <w:szCs w:val="21"/>
              </w:rPr>
              <w:t>10</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2-2</w:t>
            </w:r>
          </w:p>
        </w:tc>
        <w:tc>
          <w:tcPr>
            <w:tcW w:w="730" w:type="pct"/>
            <w:vMerge w:val="restart"/>
            <w:noWrap w:val="0"/>
            <w:vAlign w:val="center"/>
          </w:tcPr>
          <w:p>
            <w:pPr>
              <w:spacing w:line="276" w:lineRule="auto"/>
              <w:rPr>
                <w:szCs w:val="21"/>
              </w:rPr>
            </w:pPr>
            <w:r>
              <w:rPr>
                <w:szCs w:val="21"/>
              </w:rPr>
              <w:t>焚烧炉管理</w:t>
            </w:r>
          </w:p>
        </w:tc>
        <w:tc>
          <w:tcPr>
            <w:tcW w:w="293" w:type="pct"/>
            <w:vMerge w:val="restart"/>
            <w:noWrap w:val="0"/>
            <w:vAlign w:val="center"/>
          </w:tcPr>
          <w:p>
            <w:pPr>
              <w:spacing w:line="276" w:lineRule="auto"/>
              <w:rPr>
                <w:szCs w:val="21"/>
              </w:rPr>
            </w:pPr>
            <w:r>
              <w:rPr>
                <w:szCs w:val="21"/>
              </w:rPr>
              <w:t>10</w:t>
            </w:r>
          </w:p>
        </w:tc>
        <w:tc>
          <w:tcPr>
            <w:tcW w:w="1853" w:type="pct"/>
            <w:noWrap w:val="0"/>
            <w:vAlign w:val="center"/>
          </w:tcPr>
          <w:p>
            <w:pPr>
              <w:spacing w:line="276" w:lineRule="auto"/>
              <w:rPr>
                <w:szCs w:val="21"/>
              </w:rPr>
            </w:pPr>
            <w:r>
              <w:rPr>
                <w:szCs w:val="21"/>
              </w:rPr>
              <w:t>温度测点满足《生活垃圾焚烧厂评价标准（CJJ/T137-2010）》布点标准，满分3分。数量不足扣1分，无测点得0分，满分3分</w:t>
            </w:r>
          </w:p>
        </w:tc>
        <w:tc>
          <w:tcPr>
            <w:tcW w:w="374" w:type="pct"/>
            <w:noWrap w:val="0"/>
            <w:vAlign w:val="center"/>
          </w:tcPr>
          <w:p>
            <w:pPr>
              <w:spacing w:line="276" w:lineRule="auto"/>
              <w:jc w:val="center"/>
              <w:rPr>
                <w:szCs w:val="21"/>
              </w:rPr>
            </w:pPr>
            <w:r>
              <w:rPr>
                <w:szCs w:val="21"/>
              </w:rPr>
              <w:t>3</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正常运行日炉膛850℃/2S区一直保持温度在850℃以上且停留时间不少于2S的，得3分。存在温度不达标的每次扣0.5分，提供记录资料不全或不真实的扣2分，系统设置存在重大缺陷或无法提供评定年度温度记录资料的扣3分。满分3分。</w:t>
            </w:r>
          </w:p>
        </w:tc>
        <w:tc>
          <w:tcPr>
            <w:tcW w:w="374" w:type="pct"/>
            <w:noWrap w:val="0"/>
            <w:vAlign w:val="center"/>
          </w:tcPr>
          <w:p>
            <w:pPr>
              <w:spacing w:line="276" w:lineRule="auto"/>
              <w:jc w:val="center"/>
              <w:rPr>
                <w:szCs w:val="21"/>
              </w:rPr>
            </w:pPr>
            <w:r>
              <w:rPr>
                <w:szCs w:val="21"/>
              </w:rPr>
              <w:t>3</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安装具有送风、给料量、炉膛温度等自动控制功能的自动燃烧控制系统（ACC）并保持正常运行的，得3分。上述每缺少一项扣1分，满分3分</w:t>
            </w:r>
          </w:p>
        </w:tc>
        <w:tc>
          <w:tcPr>
            <w:tcW w:w="374" w:type="pct"/>
            <w:noWrap w:val="0"/>
            <w:vAlign w:val="center"/>
          </w:tcPr>
          <w:p>
            <w:pPr>
              <w:spacing w:line="276" w:lineRule="auto"/>
              <w:jc w:val="center"/>
              <w:rPr>
                <w:szCs w:val="21"/>
              </w:rPr>
            </w:pPr>
            <w:r>
              <w:rPr>
                <w:szCs w:val="21"/>
              </w:rPr>
              <w:t>3</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按计划进行停炉检修，检修时启动检修预案，控制停炉检修次数不多于合同中约定数量的，得1分，超过得0分，满分1分。</w:t>
            </w:r>
          </w:p>
        </w:tc>
        <w:tc>
          <w:tcPr>
            <w:tcW w:w="374" w:type="pct"/>
            <w:noWrap w:val="0"/>
            <w:vAlign w:val="center"/>
          </w:tcPr>
          <w:p>
            <w:pPr>
              <w:spacing w:line="276" w:lineRule="auto"/>
              <w:jc w:val="center"/>
              <w:rPr>
                <w:szCs w:val="21"/>
              </w:rPr>
            </w:pPr>
            <w:r>
              <w:rPr>
                <w:szCs w:val="21"/>
              </w:rPr>
              <w:t>1</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2.3</w:t>
            </w:r>
          </w:p>
        </w:tc>
        <w:tc>
          <w:tcPr>
            <w:tcW w:w="730" w:type="pct"/>
            <w:vMerge w:val="restart"/>
            <w:noWrap w:val="0"/>
            <w:vAlign w:val="center"/>
          </w:tcPr>
          <w:p>
            <w:pPr>
              <w:spacing w:line="276" w:lineRule="auto"/>
              <w:rPr>
                <w:szCs w:val="21"/>
              </w:rPr>
            </w:pPr>
            <w:r>
              <w:rPr>
                <w:szCs w:val="21"/>
              </w:rPr>
              <w:t>仪器仪表设备</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各类仪表设备定期检查、保养、校验并保证正常使用，表面清洁，标识齐全清晰，得3分，每存在一处问题扣0.1分。</w:t>
            </w:r>
          </w:p>
        </w:tc>
        <w:tc>
          <w:tcPr>
            <w:tcW w:w="374" w:type="pct"/>
            <w:noWrap w:val="0"/>
            <w:vAlign w:val="center"/>
          </w:tcPr>
          <w:p>
            <w:pPr>
              <w:spacing w:line="276" w:lineRule="auto"/>
              <w:jc w:val="center"/>
              <w:rPr>
                <w:szCs w:val="21"/>
              </w:rPr>
            </w:pPr>
            <w:r>
              <w:rPr>
                <w:szCs w:val="21"/>
              </w:rPr>
              <w:t>3</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焚烧炉、烟气处理及自控等系统关键设备和易损件有备件，得2分，备件不齐全得1分，无备件得0分，满分2分</w:t>
            </w:r>
          </w:p>
        </w:tc>
        <w:tc>
          <w:tcPr>
            <w:tcW w:w="374" w:type="pct"/>
            <w:noWrap w:val="0"/>
            <w:vAlign w:val="center"/>
          </w:tcPr>
          <w:p>
            <w:pPr>
              <w:spacing w:line="276" w:lineRule="auto"/>
              <w:jc w:val="center"/>
              <w:rPr>
                <w:szCs w:val="21"/>
              </w:rPr>
            </w:pPr>
            <w:r>
              <w:rPr>
                <w:szCs w:val="21"/>
              </w:rPr>
              <w:t>2</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82" w:type="pct"/>
            <w:vMerge w:val="restart"/>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szCs w:val="21"/>
              </w:rPr>
              <w:t>2.4</w:t>
            </w:r>
          </w:p>
        </w:tc>
        <w:tc>
          <w:tcPr>
            <w:tcW w:w="730" w:type="pct"/>
            <w:vMerge w:val="restart"/>
            <w:noWrap w:val="0"/>
            <w:vAlign w:val="center"/>
          </w:tcPr>
          <w:p>
            <w:pPr>
              <w:spacing w:line="276" w:lineRule="auto"/>
              <w:rPr>
                <w:szCs w:val="21"/>
              </w:rPr>
            </w:pPr>
            <w:r>
              <w:rPr>
                <w:szCs w:val="21"/>
              </w:rPr>
              <w:t>焚烧效果</w:t>
            </w:r>
          </w:p>
        </w:tc>
        <w:tc>
          <w:tcPr>
            <w:tcW w:w="293" w:type="pct"/>
            <w:vMerge w:val="restart"/>
            <w:noWrap w:val="0"/>
            <w:vAlign w:val="center"/>
          </w:tcPr>
          <w:p>
            <w:pPr>
              <w:spacing w:line="276" w:lineRule="auto"/>
              <w:rPr>
                <w:szCs w:val="21"/>
              </w:rPr>
            </w:pPr>
            <w:r>
              <w:rPr>
                <w:szCs w:val="21"/>
              </w:rPr>
              <w:t>5</w:t>
            </w:r>
          </w:p>
        </w:tc>
        <w:tc>
          <w:tcPr>
            <w:tcW w:w="1853" w:type="pct"/>
            <w:noWrap w:val="0"/>
            <w:vAlign w:val="center"/>
          </w:tcPr>
          <w:p>
            <w:pPr>
              <w:spacing w:line="276" w:lineRule="auto"/>
              <w:rPr>
                <w:szCs w:val="21"/>
              </w:rPr>
            </w:pPr>
            <w:r>
              <w:rPr>
                <w:szCs w:val="21"/>
              </w:rPr>
              <w:t>每月委托第三方资质单位监测滤渣热酌减率，每季度灼减率不大于3%，每年不大于8%，得3分，没高出2%扣1分，直至扣完，满分3分</w:t>
            </w:r>
          </w:p>
        </w:tc>
        <w:tc>
          <w:tcPr>
            <w:tcW w:w="374" w:type="pct"/>
            <w:noWrap w:val="0"/>
            <w:vAlign w:val="center"/>
          </w:tcPr>
          <w:p>
            <w:pPr>
              <w:spacing w:line="276" w:lineRule="auto"/>
              <w:jc w:val="center"/>
              <w:rPr>
                <w:szCs w:val="21"/>
              </w:rPr>
            </w:pPr>
            <w:r>
              <w:rPr>
                <w:szCs w:val="21"/>
              </w:rPr>
              <w:t>3</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炉渣产生量＜20%进厂垃圾量，得2分，每增加1%扣0.1分，直至扣完，满分2分。</w:t>
            </w:r>
          </w:p>
        </w:tc>
        <w:tc>
          <w:tcPr>
            <w:tcW w:w="374" w:type="pct"/>
            <w:noWrap w:val="0"/>
            <w:vAlign w:val="center"/>
          </w:tcPr>
          <w:p>
            <w:pPr>
              <w:spacing w:line="276" w:lineRule="auto"/>
              <w:jc w:val="center"/>
              <w:rPr>
                <w:szCs w:val="21"/>
              </w:rPr>
            </w:pPr>
            <w:r>
              <w:rPr>
                <w:szCs w:val="21"/>
              </w:rPr>
              <w:t>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restart"/>
            <w:noWrap w:val="0"/>
            <w:vAlign w:val="center"/>
          </w:tcPr>
          <w:p>
            <w:pPr>
              <w:spacing w:line="276" w:lineRule="auto"/>
              <w:rPr>
                <w:rFonts w:hint="eastAsia" w:eastAsia="宋体"/>
                <w:szCs w:val="21"/>
                <w:lang w:val="en-US" w:eastAsia="zh-CN"/>
              </w:rPr>
            </w:pPr>
            <w:r>
              <w:rPr>
                <w:rFonts w:hint="eastAsia"/>
                <w:szCs w:val="21"/>
                <w:lang w:val="en-US" w:eastAsia="zh-CN"/>
              </w:rPr>
              <w:t>3</w:t>
            </w:r>
          </w:p>
        </w:tc>
        <w:tc>
          <w:tcPr>
            <w:tcW w:w="701" w:type="pct"/>
            <w:vMerge w:val="restart"/>
            <w:noWrap w:val="0"/>
            <w:vAlign w:val="center"/>
          </w:tcPr>
          <w:p>
            <w:pPr>
              <w:spacing w:line="276" w:lineRule="auto"/>
              <w:rPr>
                <w:szCs w:val="21"/>
              </w:rPr>
            </w:pPr>
            <w:r>
              <w:rPr>
                <w:szCs w:val="21"/>
              </w:rPr>
              <w:t>污染控制（满分</w:t>
            </w:r>
            <w:r>
              <w:rPr>
                <w:rFonts w:hint="eastAsia"/>
                <w:szCs w:val="21"/>
                <w:lang w:val="en-US" w:eastAsia="zh-CN"/>
              </w:rPr>
              <w:t>32</w:t>
            </w:r>
            <w:r>
              <w:rPr>
                <w:szCs w:val="21"/>
              </w:rPr>
              <w:t>分）</w:t>
            </w:r>
          </w:p>
        </w:tc>
        <w:tc>
          <w:tcPr>
            <w:tcW w:w="274" w:type="pct"/>
            <w:noWrap w:val="0"/>
            <w:vAlign w:val="center"/>
          </w:tcPr>
          <w:p>
            <w:pPr>
              <w:spacing w:line="276" w:lineRule="auto"/>
              <w:rPr>
                <w:szCs w:val="21"/>
              </w:rPr>
            </w:pPr>
            <w:r>
              <w:rPr>
                <w:rFonts w:hint="eastAsia"/>
                <w:szCs w:val="21"/>
                <w:lang w:val="en-US" w:eastAsia="zh-CN"/>
              </w:rPr>
              <w:t>3</w:t>
            </w:r>
            <w:r>
              <w:rPr>
                <w:szCs w:val="21"/>
              </w:rPr>
              <w:t>.1</w:t>
            </w:r>
          </w:p>
        </w:tc>
        <w:tc>
          <w:tcPr>
            <w:tcW w:w="730" w:type="pct"/>
            <w:noWrap w:val="0"/>
            <w:vAlign w:val="center"/>
          </w:tcPr>
          <w:p>
            <w:pPr>
              <w:spacing w:line="276" w:lineRule="auto"/>
              <w:rPr>
                <w:szCs w:val="21"/>
              </w:rPr>
            </w:pPr>
            <w:r>
              <w:rPr>
                <w:szCs w:val="21"/>
              </w:rPr>
              <w:t>环境监测</w:t>
            </w:r>
          </w:p>
        </w:tc>
        <w:tc>
          <w:tcPr>
            <w:tcW w:w="293" w:type="pct"/>
            <w:noWrap w:val="0"/>
            <w:vAlign w:val="center"/>
          </w:tcPr>
          <w:p>
            <w:pPr>
              <w:spacing w:line="276" w:lineRule="auto"/>
              <w:rPr>
                <w:szCs w:val="21"/>
              </w:rPr>
            </w:pPr>
            <w:r>
              <w:rPr>
                <w:szCs w:val="21"/>
              </w:rPr>
              <w:t>3</w:t>
            </w:r>
          </w:p>
        </w:tc>
        <w:tc>
          <w:tcPr>
            <w:tcW w:w="1853" w:type="pct"/>
            <w:noWrap w:val="0"/>
            <w:vAlign w:val="center"/>
          </w:tcPr>
          <w:p>
            <w:pPr>
              <w:spacing w:line="276" w:lineRule="auto"/>
              <w:rPr>
                <w:szCs w:val="21"/>
              </w:rPr>
            </w:pPr>
            <w:r>
              <w:rPr>
                <w:szCs w:val="21"/>
              </w:rPr>
              <w:t>按规定制定各项污染排放指标监测计划，并按时委托第三方进行监测，监测仪器配置到位、化验人员齐全且持证上岗，得3分，每缺一项扣1分，满分3分。</w:t>
            </w:r>
          </w:p>
        </w:tc>
        <w:tc>
          <w:tcPr>
            <w:tcW w:w="374" w:type="pct"/>
            <w:noWrap w:val="0"/>
            <w:vAlign w:val="center"/>
          </w:tcPr>
          <w:p>
            <w:pPr>
              <w:spacing w:line="276" w:lineRule="auto"/>
              <w:jc w:val="center"/>
              <w:rPr>
                <w:szCs w:val="21"/>
              </w:rPr>
            </w:pPr>
            <w:r>
              <w:rPr>
                <w:szCs w:val="21"/>
              </w:rPr>
              <w:t>3</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rFonts w:hint="eastAsia"/>
                <w:szCs w:val="21"/>
                <w:lang w:val="en-US" w:eastAsia="zh-CN"/>
              </w:rPr>
              <w:t>3</w:t>
            </w:r>
            <w:r>
              <w:rPr>
                <w:szCs w:val="21"/>
              </w:rPr>
              <w:t>-1</w:t>
            </w:r>
          </w:p>
        </w:tc>
        <w:tc>
          <w:tcPr>
            <w:tcW w:w="730" w:type="pct"/>
            <w:vMerge w:val="restart"/>
            <w:noWrap w:val="0"/>
            <w:vAlign w:val="center"/>
          </w:tcPr>
          <w:p>
            <w:pPr>
              <w:spacing w:line="276" w:lineRule="auto"/>
              <w:rPr>
                <w:szCs w:val="21"/>
              </w:rPr>
            </w:pPr>
            <w:r>
              <w:rPr>
                <w:szCs w:val="21"/>
              </w:rPr>
              <w:t>烟气处理与控制</w:t>
            </w:r>
          </w:p>
        </w:tc>
        <w:tc>
          <w:tcPr>
            <w:tcW w:w="293" w:type="pct"/>
            <w:vMerge w:val="restart"/>
            <w:noWrap w:val="0"/>
            <w:vAlign w:val="center"/>
          </w:tcPr>
          <w:p>
            <w:pPr>
              <w:spacing w:line="276" w:lineRule="auto"/>
              <w:rPr>
                <w:szCs w:val="21"/>
              </w:rPr>
            </w:pPr>
            <w:r>
              <w:rPr>
                <w:szCs w:val="21"/>
              </w:rPr>
              <w:t>8</w:t>
            </w:r>
          </w:p>
        </w:tc>
        <w:tc>
          <w:tcPr>
            <w:tcW w:w="1853" w:type="pct"/>
            <w:noWrap w:val="0"/>
            <w:vAlign w:val="center"/>
          </w:tcPr>
          <w:p>
            <w:pPr>
              <w:spacing w:line="276" w:lineRule="auto"/>
              <w:rPr>
                <w:szCs w:val="21"/>
              </w:rPr>
            </w:pPr>
            <w:r>
              <w:rPr>
                <w:szCs w:val="21"/>
              </w:rPr>
              <w:t>有脱硝、脱酸、活性炭喷射、布袋除尘等烟气处理净化系统并正常运行的，得4分，缺一项扣1分</w:t>
            </w:r>
          </w:p>
        </w:tc>
        <w:tc>
          <w:tcPr>
            <w:tcW w:w="374" w:type="pct"/>
            <w:noWrap w:val="0"/>
            <w:vAlign w:val="center"/>
          </w:tcPr>
          <w:p>
            <w:pPr>
              <w:spacing w:line="276" w:lineRule="auto"/>
              <w:jc w:val="center"/>
              <w:rPr>
                <w:szCs w:val="21"/>
              </w:rPr>
            </w:pPr>
            <w:r>
              <w:rPr>
                <w:szCs w:val="21"/>
              </w:rPr>
              <w:t>4</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每条焚烧线独立设置烟气监测系统，指标齐全，运营稳定，每年校验至少一次，在线监测指标达标得2分，检测系统未独立设置扣1分，监测指标每少一项扣0.2分，未按时校验扣0.5分，满分2分。</w:t>
            </w:r>
          </w:p>
        </w:tc>
        <w:tc>
          <w:tcPr>
            <w:tcW w:w="374" w:type="pct"/>
            <w:noWrap w:val="0"/>
            <w:vAlign w:val="center"/>
          </w:tcPr>
          <w:p>
            <w:pPr>
              <w:spacing w:line="276" w:lineRule="auto"/>
              <w:jc w:val="center"/>
              <w:rPr>
                <w:szCs w:val="21"/>
              </w:rPr>
            </w:pPr>
            <w:r>
              <w:rPr>
                <w:szCs w:val="21"/>
              </w:rPr>
              <w:t>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烟气排放指标抽检结果均达标得2分，每项指标不达标扣0.5分，直至扣完，满分2分</w:t>
            </w:r>
          </w:p>
        </w:tc>
        <w:tc>
          <w:tcPr>
            <w:tcW w:w="374" w:type="pct"/>
            <w:noWrap w:val="0"/>
            <w:vAlign w:val="center"/>
          </w:tcPr>
          <w:p>
            <w:pPr>
              <w:spacing w:line="276" w:lineRule="auto"/>
              <w:jc w:val="center"/>
              <w:rPr>
                <w:szCs w:val="21"/>
              </w:rPr>
            </w:pPr>
            <w:r>
              <w:rPr>
                <w:szCs w:val="21"/>
              </w:rPr>
              <w:t>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0"/>
            <w:vAlign w:val="center"/>
          </w:tcPr>
          <w:p>
            <w:pPr>
              <w:spacing w:line="276" w:lineRule="auto"/>
              <w:rPr>
                <w:szCs w:val="21"/>
              </w:rPr>
            </w:pPr>
            <w:r>
              <w:rPr>
                <w:rFonts w:hint="eastAsia"/>
                <w:szCs w:val="21"/>
                <w:lang w:val="en-US" w:eastAsia="zh-CN"/>
              </w:rPr>
              <w:t>3</w:t>
            </w:r>
            <w:r>
              <w:rPr>
                <w:szCs w:val="21"/>
              </w:rPr>
              <w:t>-2</w:t>
            </w:r>
          </w:p>
        </w:tc>
        <w:tc>
          <w:tcPr>
            <w:tcW w:w="730" w:type="pct"/>
            <w:vMerge w:val="restart"/>
            <w:noWrap w:val="0"/>
            <w:vAlign w:val="center"/>
          </w:tcPr>
          <w:p>
            <w:pPr>
              <w:spacing w:line="276" w:lineRule="auto"/>
              <w:rPr>
                <w:szCs w:val="21"/>
              </w:rPr>
            </w:pPr>
            <w:r>
              <w:rPr>
                <w:szCs w:val="21"/>
              </w:rPr>
              <w:t>炉渣处理</w:t>
            </w:r>
          </w:p>
        </w:tc>
        <w:tc>
          <w:tcPr>
            <w:tcW w:w="293" w:type="pct"/>
            <w:vMerge w:val="restart"/>
            <w:noWrap w:val="0"/>
            <w:vAlign w:val="center"/>
          </w:tcPr>
          <w:p>
            <w:pPr>
              <w:spacing w:line="276" w:lineRule="auto"/>
              <w:rPr>
                <w:szCs w:val="21"/>
              </w:rPr>
            </w:pPr>
            <w:r>
              <w:rPr>
                <w:szCs w:val="21"/>
              </w:rPr>
              <w:t>4</w:t>
            </w:r>
          </w:p>
        </w:tc>
        <w:tc>
          <w:tcPr>
            <w:tcW w:w="1853" w:type="pct"/>
            <w:noWrap w:val="0"/>
            <w:vAlign w:val="center"/>
          </w:tcPr>
          <w:p>
            <w:pPr>
              <w:spacing w:line="276" w:lineRule="auto"/>
              <w:rPr>
                <w:szCs w:val="21"/>
              </w:rPr>
            </w:pPr>
            <w:r>
              <w:rPr>
                <w:szCs w:val="21"/>
              </w:rPr>
              <w:t>炉渣运输过程密闭无抛洒，车辆密闭措施得当，无二次污染得1分，每项不达标每个扣0.5分，直至扣完，满分1分。</w:t>
            </w:r>
          </w:p>
        </w:tc>
        <w:tc>
          <w:tcPr>
            <w:tcW w:w="374" w:type="pct"/>
            <w:noWrap w:val="0"/>
            <w:vAlign w:val="center"/>
          </w:tcPr>
          <w:p>
            <w:pPr>
              <w:spacing w:line="276" w:lineRule="auto"/>
              <w:jc w:val="center"/>
              <w:rPr>
                <w:szCs w:val="21"/>
              </w:rPr>
            </w:pPr>
            <w:r>
              <w:rPr>
                <w:szCs w:val="21"/>
              </w:rPr>
              <w:t>1</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炉渣地面无油污、杂物、积水等，得1分，出现上述问题每个扣0.5分，直至扣完，满分1分。</w:t>
            </w:r>
          </w:p>
        </w:tc>
        <w:tc>
          <w:tcPr>
            <w:tcW w:w="374" w:type="pct"/>
            <w:noWrap w:val="0"/>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炉渣全部实现无害化处置，得1分，否则扣1分，满分1分。</w:t>
            </w:r>
          </w:p>
        </w:tc>
        <w:tc>
          <w:tcPr>
            <w:tcW w:w="374" w:type="pct"/>
            <w:noWrap w:val="0"/>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炉渣实现资源重利用，利用率达到80%得1分，扣着扣1分，满分1分。</w:t>
            </w:r>
          </w:p>
        </w:tc>
        <w:tc>
          <w:tcPr>
            <w:tcW w:w="374" w:type="pct"/>
            <w:noWrap w:val="0"/>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ign w:val="center"/>
          </w:tcPr>
          <w:p>
            <w:pPr>
              <w:spacing w:line="276" w:lineRule="auto"/>
              <w:rPr>
                <w:szCs w:val="21"/>
              </w:rPr>
            </w:pPr>
            <w:r>
              <w:rPr>
                <w:rFonts w:hint="eastAsia"/>
                <w:szCs w:val="21"/>
                <w:lang w:val="en-US" w:eastAsia="zh-CN"/>
              </w:rPr>
              <w:t>3</w:t>
            </w:r>
            <w:r>
              <w:rPr>
                <w:szCs w:val="21"/>
              </w:rPr>
              <w:t>-3</w:t>
            </w:r>
          </w:p>
        </w:tc>
        <w:tc>
          <w:tcPr>
            <w:tcW w:w="730" w:type="pct"/>
            <w:vMerge w:val="restart"/>
            <w:noWrap/>
            <w:vAlign w:val="center"/>
          </w:tcPr>
          <w:p>
            <w:pPr>
              <w:spacing w:line="276" w:lineRule="auto"/>
              <w:rPr>
                <w:szCs w:val="21"/>
              </w:rPr>
            </w:pPr>
            <w:r>
              <w:rPr>
                <w:szCs w:val="21"/>
              </w:rPr>
              <w:t>飞灰处理</w:t>
            </w:r>
          </w:p>
        </w:tc>
        <w:tc>
          <w:tcPr>
            <w:tcW w:w="293" w:type="pct"/>
            <w:vMerge w:val="restart"/>
            <w:noWrap/>
            <w:vAlign w:val="center"/>
          </w:tcPr>
          <w:p>
            <w:pPr>
              <w:spacing w:line="276" w:lineRule="auto"/>
              <w:rPr>
                <w:rFonts w:hint="eastAsia" w:eastAsia="宋体"/>
                <w:szCs w:val="21"/>
                <w:lang w:eastAsia="zh-CN"/>
              </w:rPr>
            </w:pPr>
            <w:r>
              <w:rPr>
                <w:rFonts w:hint="eastAsia"/>
                <w:szCs w:val="21"/>
                <w:lang w:val="en-US" w:eastAsia="zh-CN"/>
              </w:rPr>
              <w:t>6</w:t>
            </w:r>
          </w:p>
        </w:tc>
        <w:tc>
          <w:tcPr>
            <w:tcW w:w="1853" w:type="pct"/>
            <w:noWrap w:val="0"/>
            <w:vAlign w:val="center"/>
          </w:tcPr>
          <w:p>
            <w:pPr>
              <w:spacing w:line="276" w:lineRule="auto"/>
              <w:rPr>
                <w:szCs w:val="21"/>
              </w:rPr>
            </w:pPr>
            <w:r>
              <w:rPr>
                <w:szCs w:val="21"/>
              </w:rPr>
              <w:t>飞灰处置方法得当、程序规范、各项处理指标达标得2分，上述有一项不符合扣1分，直至扣完，满分2分</w:t>
            </w:r>
          </w:p>
        </w:tc>
        <w:tc>
          <w:tcPr>
            <w:tcW w:w="374" w:type="pct"/>
            <w:noWrap/>
            <w:vAlign w:val="center"/>
          </w:tcPr>
          <w:p>
            <w:pPr>
              <w:spacing w:line="276" w:lineRule="auto"/>
              <w:jc w:val="center"/>
              <w:rPr>
                <w:szCs w:val="21"/>
              </w:rPr>
            </w:pPr>
            <w:r>
              <w:rPr>
                <w:szCs w:val="21"/>
              </w:rPr>
              <w:t>2</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飞灰处置具有资质，飞灰运输流程与效果满足要求得1分，上述有一项不符合扣</w:t>
            </w:r>
            <w:r>
              <w:rPr>
                <w:rFonts w:hint="eastAsia"/>
                <w:szCs w:val="21"/>
                <w:lang w:val="en-US" w:eastAsia="zh-CN"/>
              </w:rPr>
              <w:t>1</w:t>
            </w:r>
            <w:r>
              <w:rPr>
                <w:szCs w:val="21"/>
              </w:rPr>
              <w:t>分，直至扣完，满分</w:t>
            </w:r>
            <w:r>
              <w:rPr>
                <w:rFonts w:hint="eastAsia"/>
                <w:szCs w:val="21"/>
                <w:lang w:val="en-US" w:eastAsia="zh-CN"/>
              </w:rPr>
              <w:t>2</w:t>
            </w:r>
            <w:r>
              <w:rPr>
                <w:szCs w:val="21"/>
              </w:rPr>
              <w:t>分</w:t>
            </w:r>
          </w:p>
        </w:tc>
        <w:tc>
          <w:tcPr>
            <w:tcW w:w="374" w:type="pct"/>
            <w:noWrap/>
            <w:vAlign w:val="center"/>
          </w:tcPr>
          <w:p>
            <w:pPr>
              <w:spacing w:line="276" w:lineRule="auto"/>
              <w:jc w:val="center"/>
              <w:rPr>
                <w:rFonts w:hint="eastAsia" w:eastAsia="宋体"/>
                <w:szCs w:val="21"/>
                <w:lang w:eastAsia="zh-CN"/>
              </w:rPr>
            </w:pPr>
            <w:r>
              <w:rPr>
                <w:rFonts w:hint="eastAsia"/>
                <w:szCs w:val="21"/>
                <w:lang w:val="en-US" w:eastAsia="zh-CN"/>
              </w:rPr>
              <w:t>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飞灰最终处置后未出现超标得</w:t>
            </w:r>
            <w:r>
              <w:rPr>
                <w:rFonts w:hint="eastAsia"/>
                <w:szCs w:val="21"/>
                <w:lang w:val="en-US" w:eastAsia="zh-CN"/>
              </w:rPr>
              <w:t>2</w:t>
            </w:r>
            <w:r>
              <w:rPr>
                <w:szCs w:val="21"/>
              </w:rPr>
              <w:t>分，出现超标扣</w:t>
            </w:r>
            <w:r>
              <w:rPr>
                <w:rFonts w:hint="eastAsia"/>
                <w:szCs w:val="21"/>
                <w:lang w:val="en-US" w:eastAsia="zh-CN"/>
              </w:rPr>
              <w:t>2</w:t>
            </w:r>
            <w:r>
              <w:rPr>
                <w:szCs w:val="21"/>
              </w:rPr>
              <w:t>分，满分</w:t>
            </w:r>
            <w:r>
              <w:rPr>
                <w:rFonts w:hint="eastAsia"/>
                <w:szCs w:val="21"/>
                <w:lang w:val="en-US" w:eastAsia="zh-CN"/>
              </w:rPr>
              <w:t>2</w:t>
            </w:r>
            <w:r>
              <w:rPr>
                <w:szCs w:val="21"/>
              </w:rPr>
              <w:t>分</w:t>
            </w:r>
          </w:p>
        </w:tc>
        <w:tc>
          <w:tcPr>
            <w:tcW w:w="374" w:type="pct"/>
            <w:noWrap/>
            <w:vAlign w:val="center"/>
          </w:tcPr>
          <w:p>
            <w:pPr>
              <w:spacing w:line="276" w:lineRule="auto"/>
              <w:jc w:val="center"/>
              <w:rPr>
                <w:rFonts w:hint="eastAsia" w:eastAsia="宋体"/>
                <w:szCs w:val="21"/>
                <w:lang w:eastAsia="zh-CN"/>
              </w:rPr>
            </w:pPr>
            <w:r>
              <w:rPr>
                <w:rFonts w:hint="eastAsia"/>
                <w:szCs w:val="21"/>
                <w:lang w:val="en-US" w:eastAsia="zh-CN"/>
              </w:rPr>
              <w:t>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ign w:val="center"/>
          </w:tcPr>
          <w:p>
            <w:pPr>
              <w:spacing w:line="276" w:lineRule="auto"/>
              <w:rPr>
                <w:szCs w:val="21"/>
              </w:rPr>
            </w:pPr>
            <w:r>
              <w:rPr>
                <w:rFonts w:hint="eastAsia"/>
                <w:szCs w:val="21"/>
                <w:lang w:val="en-US" w:eastAsia="zh-CN"/>
              </w:rPr>
              <w:t>3</w:t>
            </w:r>
            <w:r>
              <w:rPr>
                <w:szCs w:val="21"/>
              </w:rPr>
              <w:t>-4</w:t>
            </w:r>
          </w:p>
        </w:tc>
        <w:tc>
          <w:tcPr>
            <w:tcW w:w="730" w:type="pct"/>
            <w:vMerge w:val="restart"/>
            <w:noWrap/>
            <w:vAlign w:val="center"/>
          </w:tcPr>
          <w:p>
            <w:pPr>
              <w:spacing w:line="276" w:lineRule="auto"/>
              <w:rPr>
                <w:szCs w:val="21"/>
              </w:rPr>
            </w:pPr>
            <w:r>
              <w:rPr>
                <w:szCs w:val="21"/>
              </w:rPr>
              <w:t>恶臭控制</w:t>
            </w:r>
          </w:p>
        </w:tc>
        <w:tc>
          <w:tcPr>
            <w:tcW w:w="293" w:type="pct"/>
            <w:vMerge w:val="restart"/>
            <w:noWrap/>
            <w:vAlign w:val="center"/>
          </w:tcPr>
          <w:p>
            <w:pPr>
              <w:spacing w:line="276" w:lineRule="auto"/>
              <w:rPr>
                <w:szCs w:val="21"/>
              </w:rPr>
            </w:pPr>
            <w:r>
              <w:rPr>
                <w:szCs w:val="21"/>
              </w:rPr>
              <w:t>2</w:t>
            </w:r>
          </w:p>
        </w:tc>
        <w:tc>
          <w:tcPr>
            <w:tcW w:w="1853" w:type="pct"/>
            <w:noWrap w:val="0"/>
            <w:vAlign w:val="center"/>
          </w:tcPr>
          <w:p>
            <w:pPr>
              <w:spacing w:line="276" w:lineRule="auto"/>
              <w:rPr>
                <w:szCs w:val="21"/>
              </w:rPr>
            </w:pPr>
            <w:r>
              <w:rPr>
                <w:szCs w:val="21"/>
              </w:rPr>
              <w:t>恶臭源密闭，采用合理收集措施，卸料厅设置有效隔离手段，得1分，缺一项扣0.5分，直至扣完，满分1分。</w:t>
            </w:r>
          </w:p>
        </w:tc>
        <w:tc>
          <w:tcPr>
            <w:tcW w:w="374" w:type="pct"/>
            <w:noWrap/>
            <w:vAlign w:val="center"/>
          </w:tcPr>
          <w:p>
            <w:pPr>
              <w:spacing w:line="276" w:lineRule="auto"/>
              <w:jc w:val="center"/>
              <w:rPr>
                <w:szCs w:val="21"/>
              </w:rPr>
            </w:pPr>
            <w:r>
              <w:rPr>
                <w:szCs w:val="21"/>
              </w:rPr>
              <w:t>1</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厂区内有独立除臭设施并正常运行，得1分，效果不佳扣0.5分，无相关设备扣1分，满分1分</w:t>
            </w:r>
          </w:p>
        </w:tc>
        <w:tc>
          <w:tcPr>
            <w:tcW w:w="374" w:type="pct"/>
            <w:noWrap/>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ign w:val="center"/>
          </w:tcPr>
          <w:p>
            <w:pPr>
              <w:spacing w:line="276" w:lineRule="auto"/>
              <w:rPr>
                <w:szCs w:val="21"/>
              </w:rPr>
            </w:pPr>
            <w:r>
              <w:rPr>
                <w:rFonts w:hint="eastAsia"/>
                <w:szCs w:val="21"/>
                <w:lang w:val="en-US" w:eastAsia="zh-CN"/>
              </w:rPr>
              <w:t>3</w:t>
            </w:r>
            <w:r>
              <w:rPr>
                <w:szCs w:val="21"/>
              </w:rPr>
              <w:t>-5</w:t>
            </w:r>
          </w:p>
        </w:tc>
        <w:tc>
          <w:tcPr>
            <w:tcW w:w="730" w:type="pct"/>
            <w:vMerge w:val="restart"/>
            <w:noWrap/>
            <w:vAlign w:val="center"/>
          </w:tcPr>
          <w:p>
            <w:pPr>
              <w:spacing w:line="276" w:lineRule="auto"/>
              <w:rPr>
                <w:szCs w:val="21"/>
              </w:rPr>
            </w:pPr>
            <w:r>
              <w:rPr>
                <w:szCs w:val="21"/>
              </w:rPr>
              <w:t>环保耗材</w:t>
            </w:r>
          </w:p>
        </w:tc>
        <w:tc>
          <w:tcPr>
            <w:tcW w:w="293" w:type="pct"/>
            <w:vMerge w:val="restart"/>
            <w:noWrap/>
            <w:vAlign w:val="center"/>
          </w:tcPr>
          <w:p>
            <w:pPr>
              <w:spacing w:line="276" w:lineRule="auto"/>
              <w:rPr>
                <w:szCs w:val="21"/>
              </w:rPr>
            </w:pPr>
            <w:r>
              <w:rPr>
                <w:szCs w:val="21"/>
              </w:rPr>
              <w:t>4</w:t>
            </w:r>
          </w:p>
        </w:tc>
        <w:tc>
          <w:tcPr>
            <w:tcW w:w="1853" w:type="pct"/>
            <w:noWrap w:val="0"/>
            <w:vAlign w:val="center"/>
          </w:tcPr>
          <w:p>
            <w:pPr>
              <w:spacing w:line="276" w:lineRule="auto"/>
              <w:rPr>
                <w:szCs w:val="21"/>
              </w:rPr>
            </w:pPr>
            <w:r>
              <w:rPr>
                <w:szCs w:val="21"/>
              </w:rPr>
              <w:t>活性炭、石灰浆等耗材使用量、品质、浓度达到处理要求，得2分，未达处理要求扣1分，无相关耗材得0分，满分2分</w:t>
            </w:r>
          </w:p>
        </w:tc>
        <w:tc>
          <w:tcPr>
            <w:tcW w:w="374" w:type="pct"/>
            <w:noWrap/>
            <w:vAlign w:val="center"/>
          </w:tcPr>
          <w:p>
            <w:pPr>
              <w:spacing w:line="276" w:lineRule="auto"/>
              <w:jc w:val="center"/>
              <w:rPr>
                <w:szCs w:val="21"/>
              </w:rPr>
            </w:pPr>
            <w:r>
              <w:rPr>
                <w:szCs w:val="21"/>
              </w:rPr>
              <w:t>2</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耗材投放系统安装计量装置并正常使用得1分，使用不正常或未使用不得分，满分1分</w:t>
            </w:r>
          </w:p>
        </w:tc>
        <w:tc>
          <w:tcPr>
            <w:tcW w:w="374" w:type="pct"/>
            <w:noWrap/>
            <w:vAlign w:val="center"/>
          </w:tcPr>
          <w:p>
            <w:pPr>
              <w:spacing w:line="276" w:lineRule="auto"/>
              <w:jc w:val="center"/>
              <w:rPr>
                <w:rFonts w:hint="eastAsia" w:eastAsia="宋体"/>
                <w:szCs w:val="21"/>
                <w:lang w:eastAsia="zh-CN"/>
              </w:rPr>
            </w:pPr>
            <w:r>
              <w:rPr>
                <w:rFonts w:hint="eastAsia"/>
                <w:szCs w:val="21"/>
                <w:lang w:val="en-US" w:eastAsia="zh-CN"/>
              </w:rPr>
              <w:t>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ign w:val="center"/>
          </w:tcPr>
          <w:p>
            <w:pPr>
              <w:spacing w:line="276" w:lineRule="auto"/>
              <w:rPr>
                <w:szCs w:val="21"/>
              </w:rPr>
            </w:pPr>
            <w:r>
              <w:rPr>
                <w:rFonts w:hint="eastAsia"/>
                <w:szCs w:val="21"/>
                <w:lang w:val="en-US" w:eastAsia="zh-CN"/>
              </w:rPr>
              <w:t>3</w:t>
            </w:r>
            <w:r>
              <w:rPr>
                <w:szCs w:val="21"/>
              </w:rPr>
              <w:t>-6</w:t>
            </w:r>
          </w:p>
        </w:tc>
        <w:tc>
          <w:tcPr>
            <w:tcW w:w="730" w:type="pct"/>
            <w:vMerge w:val="restart"/>
            <w:noWrap/>
            <w:vAlign w:val="center"/>
          </w:tcPr>
          <w:p>
            <w:pPr>
              <w:spacing w:line="276" w:lineRule="auto"/>
              <w:rPr>
                <w:szCs w:val="21"/>
              </w:rPr>
            </w:pPr>
            <w:r>
              <w:rPr>
                <w:szCs w:val="21"/>
              </w:rPr>
              <w:t>污水处理</w:t>
            </w:r>
          </w:p>
        </w:tc>
        <w:tc>
          <w:tcPr>
            <w:tcW w:w="293" w:type="pct"/>
            <w:vMerge w:val="restart"/>
            <w:noWrap/>
            <w:vAlign w:val="center"/>
          </w:tcPr>
          <w:p>
            <w:pPr>
              <w:spacing w:line="276" w:lineRule="auto"/>
              <w:rPr>
                <w:szCs w:val="21"/>
              </w:rPr>
            </w:pPr>
            <w:r>
              <w:rPr>
                <w:szCs w:val="21"/>
              </w:rPr>
              <w:t>3</w:t>
            </w:r>
          </w:p>
        </w:tc>
        <w:tc>
          <w:tcPr>
            <w:tcW w:w="1853" w:type="pct"/>
            <w:noWrap w:val="0"/>
            <w:vAlign w:val="center"/>
          </w:tcPr>
          <w:p>
            <w:pPr>
              <w:spacing w:line="276" w:lineRule="auto"/>
              <w:rPr>
                <w:szCs w:val="21"/>
              </w:rPr>
            </w:pPr>
            <w:r>
              <w:rPr>
                <w:szCs w:val="21"/>
              </w:rPr>
              <w:t>根据环评要求对污水进行规范处置，渗滤液收储系统完备，出水水质符合要求，厂区内有雨污分流系统，得2分，有一项不符合要求扣0.5分，直至扣完，满分2分</w:t>
            </w:r>
          </w:p>
        </w:tc>
        <w:tc>
          <w:tcPr>
            <w:tcW w:w="374" w:type="pct"/>
            <w:noWrap/>
            <w:vAlign w:val="center"/>
          </w:tcPr>
          <w:p>
            <w:pPr>
              <w:spacing w:line="276" w:lineRule="auto"/>
              <w:jc w:val="center"/>
              <w:rPr>
                <w:szCs w:val="21"/>
              </w:rPr>
            </w:pPr>
            <w:r>
              <w:rPr>
                <w:szCs w:val="21"/>
              </w:rPr>
              <w:t>2</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ign w:val="center"/>
          </w:tcPr>
          <w:p>
            <w:pPr>
              <w:spacing w:line="276" w:lineRule="auto"/>
              <w:rPr>
                <w:szCs w:val="21"/>
              </w:rPr>
            </w:pPr>
          </w:p>
        </w:tc>
        <w:tc>
          <w:tcPr>
            <w:tcW w:w="730" w:type="pct"/>
            <w:vMerge w:val="continue"/>
            <w:noWrap/>
            <w:vAlign w:val="center"/>
          </w:tcPr>
          <w:p>
            <w:pPr>
              <w:spacing w:line="276" w:lineRule="auto"/>
              <w:rPr>
                <w:szCs w:val="21"/>
              </w:rPr>
            </w:pPr>
          </w:p>
        </w:tc>
        <w:tc>
          <w:tcPr>
            <w:tcW w:w="293" w:type="pct"/>
            <w:vMerge w:val="continue"/>
            <w:noWrap/>
            <w:vAlign w:val="center"/>
          </w:tcPr>
          <w:p>
            <w:pPr>
              <w:spacing w:line="276" w:lineRule="auto"/>
              <w:rPr>
                <w:szCs w:val="21"/>
              </w:rPr>
            </w:pPr>
          </w:p>
        </w:tc>
        <w:tc>
          <w:tcPr>
            <w:tcW w:w="1853" w:type="pct"/>
            <w:noWrap w:val="0"/>
            <w:vAlign w:val="center"/>
          </w:tcPr>
          <w:p>
            <w:pPr>
              <w:spacing w:line="276" w:lineRule="auto"/>
              <w:rPr>
                <w:szCs w:val="21"/>
              </w:rPr>
            </w:pPr>
            <w:r>
              <w:rPr>
                <w:szCs w:val="21"/>
              </w:rPr>
              <w:t>设置出水在线监测仪并联网，污泥、浓缩液产物去向合理，出水回用措施得当得1分，有一项不符合要求扣0.1分，直至扣完，满分1分。</w:t>
            </w:r>
          </w:p>
        </w:tc>
        <w:tc>
          <w:tcPr>
            <w:tcW w:w="374" w:type="pct"/>
            <w:noWrap/>
            <w:vAlign w:val="center"/>
          </w:tcPr>
          <w:p>
            <w:pPr>
              <w:spacing w:line="276" w:lineRule="auto"/>
              <w:jc w:val="center"/>
              <w:rPr>
                <w:szCs w:val="21"/>
              </w:rPr>
            </w:pPr>
            <w:r>
              <w:rPr>
                <w:szCs w:val="21"/>
              </w:rPr>
              <w:t>1</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ign w:val="center"/>
          </w:tcPr>
          <w:p>
            <w:pPr>
              <w:spacing w:line="276" w:lineRule="auto"/>
              <w:rPr>
                <w:rFonts w:hint="eastAsia" w:eastAsia="宋体"/>
                <w:szCs w:val="21"/>
                <w:lang w:eastAsia="zh-CN"/>
              </w:rPr>
            </w:pPr>
            <w:r>
              <w:rPr>
                <w:rFonts w:hint="eastAsia"/>
                <w:szCs w:val="21"/>
                <w:lang w:val="en-US" w:eastAsia="zh-CN"/>
              </w:rPr>
              <w:t>3</w:t>
            </w:r>
            <w:r>
              <w:rPr>
                <w:szCs w:val="21"/>
              </w:rPr>
              <w:t>-</w:t>
            </w:r>
            <w:r>
              <w:rPr>
                <w:rFonts w:hint="eastAsia"/>
                <w:szCs w:val="21"/>
                <w:lang w:val="en-US" w:eastAsia="zh-CN"/>
              </w:rPr>
              <w:t>7</w:t>
            </w:r>
          </w:p>
        </w:tc>
        <w:tc>
          <w:tcPr>
            <w:tcW w:w="730" w:type="pct"/>
            <w:vMerge w:val="restart"/>
            <w:noWrap/>
            <w:vAlign w:val="center"/>
          </w:tcPr>
          <w:p>
            <w:pPr>
              <w:spacing w:line="276" w:lineRule="auto"/>
              <w:rPr>
                <w:szCs w:val="21"/>
              </w:rPr>
            </w:pPr>
            <w:r>
              <w:rPr>
                <w:szCs w:val="21"/>
              </w:rPr>
              <w:t>噪声控制</w:t>
            </w:r>
          </w:p>
        </w:tc>
        <w:tc>
          <w:tcPr>
            <w:tcW w:w="293" w:type="pct"/>
            <w:vMerge w:val="restart"/>
            <w:noWrap/>
            <w:vAlign w:val="center"/>
          </w:tcPr>
          <w:p>
            <w:pPr>
              <w:spacing w:line="276" w:lineRule="auto"/>
              <w:rPr>
                <w:szCs w:val="21"/>
              </w:rPr>
            </w:pPr>
            <w:r>
              <w:rPr>
                <w:szCs w:val="21"/>
              </w:rPr>
              <w:t>2</w:t>
            </w:r>
          </w:p>
        </w:tc>
        <w:tc>
          <w:tcPr>
            <w:tcW w:w="1853" w:type="pct"/>
            <w:noWrap w:val="0"/>
            <w:vAlign w:val="center"/>
          </w:tcPr>
          <w:p>
            <w:pPr>
              <w:spacing w:line="276" w:lineRule="auto"/>
              <w:rPr>
                <w:szCs w:val="21"/>
              </w:rPr>
            </w:pPr>
            <w:r>
              <w:rPr>
                <w:szCs w:val="21"/>
              </w:rPr>
              <w:t>厂界、设备噪声全面达标，得1分，监测指标超标每处扣0.1分，直至扣完，满分1分</w:t>
            </w:r>
          </w:p>
        </w:tc>
        <w:tc>
          <w:tcPr>
            <w:tcW w:w="374" w:type="pct"/>
            <w:noWrap/>
            <w:vAlign w:val="center"/>
          </w:tcPr>
          <w:p>
            <w:pPr>
              <w:spacing w:line="276" w:lineRule="auto"/>
              <w:jc w:val="center"/>
              <w:rPr>
                <w:szCs w:val="21"/>
              </w:rPr>
            </w:pPr>
            <w:r>
              <w:rPr>
                <w:szCs w:val="21"/>
              </w:rPr>
              <w:t>1</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0"/>
            <w:vAlign w:val="center"/>
          </w:tcPr>
          <w:p>
            <w:pPr>
              <w:spacing w:line="276" w:lineRule="auto"/>
              <w:rPr>
                <w:szCs w:val="21"/>
              </w:rPr>
            </w:pPr>
            <w:r>
              <w:rPr>
                <w:szCs w:val="21"/>
              </w:rPr>
              <w:t>现场噪声管理到位，责任清晰得1分，否则得0分，满分1分。</w:t>
            </w:r>
          </w:p>
        </w:tc>
        <w:tc>
          <w:tcPr>
            <w:tcW w:w="374" w:type="pct"/>
            <w:noWrap/>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restart"/>
            <w:noWrap/>
            <w:vAlign w:val="center"/>
          </w:tcPr>
          <w:p>
            <w:pPr>
              <w:spacing w:line="276" w:lineRule="auto"/>
              <w:rPr>
                <w:rFonts w:hint="eastAsia" w:eastAsia="宋体"/>
                <w:szCs w:val="21"/>
                <w:lang w:eastAsia="zh-CN"/>
              </w:rPr>
            </w:pPr>
            <w:r>
              <w:rPr>
                <w:rFonts w:hint="eastAsia"/>
                <w:szCs w:val="21"/>
                <w:lang w:val="en-US" w:eastAsia="zh-CN"/>
              </w:rPr>
              <w:t>4</w:t>
            </w:r>
          </w:p>
        </w:tc>
        <w:tc>
          <w:tcPr>
            <w:tcW w:w="701" w:type="pct"/>
            <w:vMerge w:val="restart"/>
            <w:noWrap w:val="0"/>
            <w:vAlign w:val="center"/>
          </w:tcPr>
          <w:p>
            <w:pPr>
              <w:spacing w:line="276" w:lineRule="auto"/>
              <w:rPr>
                <w:szCs w:val="21"/>
              </w:rPr>
            </w:pPr>
            <w:r>
              <w:rPr>
                <w:szCs w:val="21"/>
              </w:rPr>
              <w:t>厂内管理（满分</w:t>
            </w:r>
            <w:r>
              <w:rPr>
                <w:rFonts w:hint="eastAsia"/>
                <w:szCs w:val="21"/>
                <w:lang w:val="en-US" w:eastAsia="zh-CN"/>
              </w:rPr>
              <w:t>6</w:t>
            </w:r>
            <w:r>
              <w:rPr>
                <w:szCs w:val="21"/>
              </w:rPr>
              <w:t>分）</w:t>
            </w:r>
          </w:p>
        </w:tc>
        <w:tc>
          <w:tcPr>
            <w:tcW w:w="274" w:type="pct"/>
            <w:vMerge w:val="restart"/>
            <w:noWrap/>
            <w:vAlign w:val="center"/>
          </w:tcPr>
          <w:p>
            <w:pPr>
              <w:spacing w:line="276" w:lineRule="auto"/>
              <w:rPr>
                <w:szCs w:val="21"/>
              </w:rPr>
            </w:pPr>
            <w:r>
              <w:rPr>
                <w:rFonts w:hint="eastAsia"/>
                <w:szCs w:val="21"/>
                <w:lang w:val="en-US" w:eastAsia="zh-CN"/>
              </w:rPr>
              <w:t>4</w:t>
            </w:r>
            <w:r>
              <w:rPr>
                <w:szCs w:val="21"/>
              </w:rPr>
              <w:t>-1</w:t>
            </w:r>
          </w:p>
        </w:tc>
        <w:tc>
          <w:tcPr>
            <w:tcW w:w="730" w:type="pct"/>
            <w:vMerge w:val="restart"/>
            <w:noWrap/>
            <w:vAlign w:val="center"/>
          </w:tcPr>
          <w:p>
            <w:pPr>
              <w:spacing w:line="276" w:lineRule="auto"/>
              <w:rPr>
                <w:szCs w:val="21"/>
              </w:rPr>
            </w:pPr>
            <w:r>
              <w:rPr>
                <w:szCs w:val="21"/>
              </w:rPr>
              <w:t>安全管理</w:t>
            </w:r>
          </w:p>
        </w:tc>
        <w:tc>
          <w:tcPr>
            <w:tcW w:w="293" w:type="pct"/>
            <w:vMerge w:val="restart"/>
            <w:noWrap/>
            <w:vAlign w:val="center"/>
          </w:tcPr>
          <w:p>
            <w:pPr>
              <w:spacing w:line="276" w:lineRule="auto"/>
              <w:rPr>
                <w:rFonts w:hint="eastAsia" w:eastAsia="宋体"/>
                <w:szCs w:val="21"/>
                <w:lang w:eastAsia="zh-CN"/>
              </w:rPr>
            </w:pPr>
            <w:r>
              <w:rPr>
                <w:rFonts w:hint="eastAsia"/>
                <w:szCs w:val="21"/>
                <w:lang w:val="en-US" w:eastAsia="zh-CN"/>
              </w:rPr>
              <w:t>4</w:t>
            </w:r>
          </w:p>
        </w:tc>
        <w:tc>
          <w:tcPr>
            <w:tcW w:w="1853" w:type="pct"/>
            <w:noWrap/>
            <w:vAlign w:val="center"/>
          </w:tcPr>
          <w:p>
            <w:pPr>
              <w:spacing w:line="276" w:lineRule="auto"/>
              <w:rPr>
                <w:szCs w:val="21"/>
              </w:rPr>
            </w:pPr>
            <w:r>
              <w:rPr>
                <w:szCs w:val="21"/>
              </w:rPr>
              <w:t>安全管理制度完善，安全标识规范，具有ISO18000认证，工作票制度完善，从未发生安全事故</w:t>
            </w:r>
          </w:p>
        </w:tc>
        <w:tc>
          <w:tcPr>
            <w:tcW w:w="374" w:type="pct"/>
            <w:noWrap/>
            <w:vAlign w:val="center"/>
          </w:tcPr>
          <w:p>
            <w:pPr>
              <w:spacing w:line="276" w:lineRule="auto"/>
              <w:jc w:val="center"/>
              <w:rPr>
                <w:rFonts w:hint="eastAsia" w:eastAsia="宋体"/>
                <w:szCs w:val="21"/>
                <w:lang w:eastAsia="zh-CN"/>
              </w:rPr>
            </w:pPr>
            <w:r>
              <w:rPr>
                <w:rFonts w:hint="eastAsia"/>
                <w:szCs w:val="21"/>
                <w:lang w:val="en-US" w:eastAsia="zh-CN"/>
              </w:rPr>
              <w:t>4</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ign w:val="center"/>
          </w:tcPr>
          <w:p>
            <w:pPr>
              <w:spacing w:line="276" w:lineRule="auto"/>
              <w:rPr>
                <w:szCs w:val="21"/>
              </w:rPr>
            </w:pPr>
            <w:r>
              <w:rPr>
                <w:szCs w:val="21"/>
              </w:rPr>
              <w:t>安全管理制度和安全标识有缺陷，无ISO18000认证，工作票制度有欠缺，有轻微安全事故</w:t>
            </w:r>
          </w:p>
        </w:tc>
        <w:tc>
          <w:tcPr>
            <w:tcW w:w="374" w:type="pct"/>
            <w:noWrap/>
            <w:vAlign w:val="center"/>
          </w:tcPr>
          <w:p>
            <w:pPr>
              <w:spacing w:line="276" w:lineRule="auto"/>
              <w:jc w:val="center"/>
              <w:rPr>
                <w:szCs w:val="21"/>
              </w:rPr>
            </w:pPr>
            <w:r>
              <w:rPr>
                <w:szCs w:val="21"/>
              </w:rPr>
              <w:t>1-2</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ign w:val="center"/>
          </w:tcPr>
          <w:p>
            <w:pPr>
              <w:spacing w:line="276" w:lineRule="auto"/>
              <w:rPr>
                <w:szCs w:val="21"/>
              </w:rPr>
            </w:pPr>
            <w:r>
              <w:rPr>
                <w:szCs w:val="21"/>
              </w:rPr>
              <w:t>1年内曾发生过较大安全事故</w:t>
            </w:r>
          </w:p>
        </w:tc>
        <w:tc>
          <w:tcPr>
            <w:tcW w:w="374" w:type="pct"/>
            <w:noWrap/>
            <w:vAlign w:val="center"/>
          </w:tcPr>
          <w:p>
            <w:pPr>
              <w:spacing w:line="276" w:lineRule="auto"/>
              <w:jc w:val="center"/>
              <w:rPr>
                <w:szCs w:val="21"/>
              </w:rPr>
            </w:pPr>
            <w:r>
              <w:rPr>
                <w:szCs w:val="21"/>
              </w:rPr>
              <w:t>0</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restart"/>
            <w:noWrap/>
            <w:vAlign w:val="center"/>
          </w:tcPr>
          <w:p>
            <w:pPr>
              <w:spacing w:line="276" w:lineRule="auto"/>
              <w:rPr>
                <w:szCs w:val="21"/>
              </w:rPr>
            </w:pPr>
            <w:r>
              <w:rPr>
                <w:rFonts w:hint="eastAsia"/>
                <w:szCs w:val="21"/>
                <w:lang w:val="en-US" w:eastAsia="zh-CN"/>
              </w:rPr>
              <w:t>4</w:t>
            </w:r>
            <w:r>
              <w:rPr>
                <w:szCs w:val="21"/>
              </w:rPr>
              <w:t>-2</w:t>
            </w:r>
          </w:p>
        </w:tc>
        <w:tc>
          <w:tcPr>
            <w:tcW w:w="730" w:type="pct"/>
            <w:vMerge w:val="restart"/>
            <w:noWrap/>
            <w:vAlign w:val="center"/>
          </w:tcPr>
          <w:p>
            <w:pPr>
              <w:spacing w:line="276" w:lineRule="auto"/>
              <w:rPr>
                <w:szCs w:val="21"/>
              </w:rPr>
            </w:pPr>
            <w:r>
              <w:rPr>
                <w:szCs w:val="21"/>
              </w:rPr>
              <w:t>综合管理</w:t>
            </w:r>
          </w:p>
        </w:tc>
        <w:tc>
          <w:tcPr>
            <w:tcW w:w="293" w:type="pct"/>
            <w:vMerge w:val="restart"/>
            <w:noWrap/>
            <w:vAlign w:val="center"/>
          </w:tcPr>
          <w:p>
            <w:pPr>
              <w:spacing w:line="276" w:lineRule="auto"/>
              <w:rPr>
                <w:szCs w:val="21"/>
              </w:rPr>
            </w:pPr>
            <w:r>
              <w:rPr>
                <w:szCs w:val="21"/>
              </w:rPr>
              <w:t>2</w:t>
            </w:r>
          </w:p>
        </w:tc>
        <w:tc>
          <w:tcPr>
            <w:tcW w:w="1853" w:type="pct"/>
            <w:noWrap/>
            <w:vAlign w:val="center"/>
          </w:tcPr>
          <w:p>
            <w:pPr>
              <w:spacing w:line="276" w:lineRule="auto"/>
              <w:rPr>
                <w:szCs w:val="21"/>
              </w:rPr>
            </w:pPr>
            <w:r>
              <w:rPr>
                <w:szCs w:val="21"/>
              </w:rPr>
              <w:t>管理制度完善，厂区环境良好，1年内未发生过有效投诉事件</w:t>
            </w:r>
          </w:p>
        </w:tc>
        <w:tc>
          <w:tcPr>
            <w:tcW w:w="374" w:type="pct"/>
            <w:noWrap/>
            <w:vAlign w:val="center"/>
          </w:tcPr>
          <w:p>
            <w:pPr>
              <w:spacing w:line="276" w:lineRule="auto"/>
              <w:jc w:val="center"/>
              <w:rPr>
                <w:szCs w:val="21"/>
              </w:rPr>
            </w:pPr>
            <w:r>
              <w:rPr>
                <w:szCs w:val="21"/>
              </w:rPr>
              <w:t>2</w:t>
            </w:r>
          </w:p>
        </w:tc>
        <w:tc>
          <w:tcPr>
            <w:tcW w:w="488" w:type="pct"/>
            <w:vMerge w:val="restar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ign w:val="center"/>
          </w:tcPr>
          <w:p>
            <w:pPr>
              <w:spacing w:line="276" w:lineRule="auto"/>
              <w:rPr>
                <w:szCs w:val="21"/>
              </w:rPr>
            </w:pPr>
            <w:r>
              <w:rPr>
                <w:szCs w:val="21"/>
              </w:rPr>
              <w:t>厂区环境一般，1年内未发生过有效投诉事件</w:t>
            </w:r>
          </w:p>
        </w:tc>
        <w:tc>
          <w:tcPr>
            <w:tcW w:w="374" w:type="pct"/>
            <w:noWrap/>
            <w:vAlign w:val="center"/>
          </w:tcPr>
          <w:p>
            <w:pPr>
              <w:spacing w:line="276" w:lineRule="auto"/>
              <w:jc w:val="center"/>
              <w:rPr>
                <w:szCs w:val="21"/>
              </w:rPr>
            </w:pPr>
            <w:r>
              <w:rPr>
                <w:szCs w:val="21"/>
              </w:rPr>
              <w:t>1</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0"/>
            <w:vAlign w:val="center"/>
          </w:tcPr>
          <w:p>
            <w:pPr>
              <w:spacing w:line="276" w:lineRule="auto"/>
              <w:rPr>
                <w:szCs w:val="21"/>
              </w:rPr>
            </w:pPr>
          </w:p>
        </w:tc>
        <w:tc>
          <w:tcPr>
            <w:tcW w:w="701" w:type="pct"/>
            <w:vMerge w:val="continue"/>
            <w:noWrap w:val="0"/>
            <w:vAlign w:val="center"/>
          </w:tcPr>
          <w:p>
            <w:pPr>
              <w:spacing w:line="276" w:lineRule="auto"/>
              <w:rPr>
                <w:szCs w:val="21"/>
              </w:rPr>
            </w:pPr>
          </w:p>
        </w:tc>
        <w:tc>
          <w:tcPr>
            <w:tcW w:w="274" w:type="pct"/>
            <w:vMerge w:val="continue"/>
            <w:noWrap w:val="0"/>
            <w:vAlign w:val="center"/>
          </w:tcPr>
          <w:p>
            <w:pPr>
              <w:spacing w:line="276" w:lineRule="auto"/>
              <w:rPr>
                <w:szCs w:val="21"/>
              </w:rPr>
            </w:pPr>
          </w:p>
        </w:tc>
        <w:tc>
          <w:tcPr>
            <w:tcW w:w="730" w:type="pct"/>
            <w:vMerge w:val="continue"/>
            <w:noWrap w:val="0"/>
            <w:vAlign w:val="center"/>
          </w:tcPr>
          <w:p>
            <w:pPr>
              <w:spacing w:line="276" w:lineRule="auto"/>
              <w:rPr>
                <w:szCs w:val="21"/>
              </w:rPr>
            </w:pPr>
          </w:p>
        </w:tc>
        <w:tc>
          <w:tcPr>
            <w:tcW w:w="293" w:type="pct"/>
            <w:vMerge w:val="continue"/>
            <w:noWrap w:val="0"/>
            <w:vAlign w:val="center"/>
          </w:tcPr>
          <w:p>
            <w:pPr>
              <w:spacing w:line="276" w:lineRule="auto"/>
              <w:rPr>
                <w:szCs w:val="21"/>
              </w:rPr>
            </w:pPr>
          </w:p>
        </w:tc>
        <w:tc>
          <w:tcPr>
            <w:tcW w:w="1853" w:type="pct"/>
            <w:noWrap/>
            <w:vAlign w:val="center"/>
          </w:tcPr>
          <w:p>
            <w:pPr>
              <w:spacing w:line="276" w:lineRule="auto"/>
              <w:rPr>
                <w:szCs w:val="21"/>
              </w:rPr>
            </w:pPr>
            <w:r>
              <w:rPr>
                <w:szCs w:val="21"/>
              </w:rPr>
              <w:t>1年内发生过有效投诉事件</w:t>
            </w:r>
          </w:p>
        </w:tc>
        <w:tc>
          <w:tcPr>
            <w:tcW w:w="374" w:type="pct"/>
            <w:noWrap/>
            <w:vAlign w:val="center"/>
          </w:tcPr>
          <w:p>
            <w:pPr>
              <w:spacing w:line="276" w:lineRule="auto"/>
              <w:jc w:val="center"/>
              <w:rPr>
                <w:szCs w:val="21"/>
              </w:rPr>
            </w:pPr>
            <w:r>
              <w:rPr>
                <w:szCs w:val="21"/>
              </w:rPr>
              <w:t>0</w:t>
            </w:r>
          </w:p>
        </w:tc>
        <w:tc>
          <w:tcPr>
            <w:tcW w:w="488" w:type="pct"/>
            <w:vMerge w:val="continue"/>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restart"/>
            <w:noWrap/>
            <w:vAlign w:val="center"/>
          </w:tcPr>
          <w:p>
            <w:pPr>
              <w:spacing w:line="276" w:lineRule="auto"/>
              <w:rPr>
                <w:rFonts w:hint="eastAsia" w:eastAsia="宋体"/>
                <w:szCs w:val="21"/>
                <w:lang w:eastAsia="zh-CN"/>
              </w:rPr>
            </w:pPr>
            <w:r>
              <w:rPr>
                <w:rFonts w:hint="eastAsia"/>
                <w:szCs w:val="21"/>
                <w:lang w:val="en-US" w:eastAsia="zh-CN"/>
              </w:rPr>
              <w:t>5</w:t>
            </w:r>
          </w:p>
        </w:tc>
        <w:tc>
          <w:tcPr>
            <w:tcW w:w="701" w:type="pct"/>
            <w:vMerge w:val="restart"/>
            <w:noWrap/>
            <w:vAlign w:val="center"/>
          </w:tcPr>
          <w:p>
            <w:pPr>
              <w:spacing w:line="276" w:lineRule="auto"/>
              <w:rPr>
                <w:szCs w:val="21"/>
              </w:rPr>
            </w:pPr>
            <w:r>
              <w:rPr>
                <w:szCs w:val="21"/>
              </w:rPr>
              <w:t>公众满意度与宣传（</w:t>
            </w:r>
            <w:r>
              <w:rPr>
                <w:rFonts w:hint="eastAsia"/>
                <w:szCs w:val="21"/>
                <w:lang w:val="en-US" w:eastAsia="zh-CN"/>
              </w:rPr>
              <w:t>7</w:t>
            </w:r>
            <w:r>
              <w:rPr>
                <w:szCs w:val="21"/>
              </w:rPr>
              <w:t>分）</w:t>
            </w:r>
          </w:p>
        </w:tc>
        <w:tc>
          <w:tcPr>
            <w:tcW w:w="274" w:type="pct"/>
            <w:noWrap/>
            <w:vAlign w:val="center"/>
          </w:tcPr>
          <w:p>
            <w:pPr>
              <w:spacing w:line="276" w:lineRule="auto"/>
              <w:rPr>
                <w:szCs w:val="21"/>
              </w:rPr>
            </w:pPr>
            <w:r>
              <w:rPr>
                <w:rFonts w:hint="eastAsia"/>
                <w:szCs w:val="21"/>
                <w:lang w:val="en-US" w:eastAsia="zh-CN"/>
              </w:rPr>
              <w:t>5</w:t>
            </w:r>
            <w:r>
              <w:rPr>
                <w:szCs w:val="21"/>
              </w:rPr>
              <w:t>-1</w:t>
            </w:r>
          </w:p>
        </w:tc>
        <w:tc>
          <w:tcPr>
            <w:tcW w:w="730" w:type="pct"/>
            <w:noWrap/>
            <w:vAlign w:val="center"/>
          </w:tcPr>
          <w:p>
            <w:pPr>
              <w:spacing w:line="276" w:lineRule="auto"/>
              <w:rPr>
                <w:szCs w:val="21"/>
              </w:rPr>
            </w:pPr>
            <w:r>
              <w:rPr>
                <w:szCs w:val="21"/>
              </w:rPr>
              <w:t>公众满意度调查</w:t>
            </w:r>
          </w:p>
        </w:tc>
        <w:tc>
          <w:tcPr>
            <w:tcW w:w="293" w:type="pct"/>
            <w:noWrap/>
            <w:vAlign w:val="center"/>
          </w:tcPr>
          <w:p>
            <w:pPr>
              <w:spacing w:line="276" w:lineRule="auto"/>
              <w:rPr>
                <w:rFonts w:hint="eastAsia" w:eastAsia="宋体"/>
                <w:szCs w:val="21"/>
                <w:lang w:eastAsia="zh-CN"/>
              </w:rPr>
            </w:pPr>
            <w:r>
              <w:rPr>
                <w:rFonts w:hint="eastAsia"/>
                <w:szCs w:val="21"/>
                <w:lang w:val="en-US" w:eastAsia="zh-CN"/>
              </w:rPr>
              <w:t>4</w:t>
            </w:r>
          </w:p>
        </w:tc>
        <w:tc>
          <w:tcPr>
            <w:tcW w:w="1853" w:type="pct"/>
            <w:noWrap/>
            <w:vAlign w:val="center"/>
          </w:tcPr>
          <w:p>
            <w:pPr>
              <w:spacing w:line="276" w:lineRule="auto"/>
              <w:rPr>
                <w:szCs w:val="21"/>
              </w:rPr>
            </w:pPr>
            <w:r>
              <w:rPr>
                <w:color w:val="000000"/>
                <w:szCs w:val="21"/>
              </w:rPr>
              <w:t>委托第三方机构组织定期或不定期的客户满意度调查，并将满意度调查的结果向公众进行公布。有偏离执行的扣1分，最高扣</w:t>
            </w:r>
            <w:r>
              <w:rPr>
                <w:rFonts w:hint="eastAsia"/>
                <w:color w:val="000000"/>
                <w:szCs w:val="21"/>
                <w:lang w:val="en-US" w:eastAsia="zh-CN"/>
              </w:rPr>
              <w:t>4</w:t>
            </w:r>
            <w:r>
              <w:rPr>
                <w:color w:val="000000"/>
                <w:szCs w:val="21"/>
              </w:rPr>
              <w:t>分，扣完为止。</w:t>
            </w:r>
          </w:p>
        </w:tc>
        <w:tc>
          <w:tcPr>
            <w:tcW w:w="374" w:type="pct"/>
            <w:noWrap/>
            <w:vAlign w:val="center"/>
          </w:tcPr>
          <w:p>
            <w:pPr>
              <w:spacing w:line="276" w:lineRule="auto"/>
              <w:jc w:val="center"/>
              <w:rPr>
                <w:rFonts w:hint="eastAsia" w:eastAsia="宋体"/>
                <w:szCs w:val="21"/>
                <w:lang w:eastAsia="zh-CN"/>
              </w:rPr>
            </w:pPr>
            <w:r>
              <w:rPr>
                <w:szCs w:val="21"/>
              </w:rPr>
              <w:t>0-</w:t>
            </w:r>
            <w:r>
              <w:rPr>
                <w:rFonts w:hint="eastAsia"/>
                <w:szCs w:val="21"/>
                <w:lang w:val="en-US" w:eastAsia="zh-CN"/>
              </w:rPr>
              <w:t>4</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vMerge w:val="continue"/>
            <w:noWrap/>
            <w:vAlign w:val="center"/>
          </w:tcPr>
          <w:p>
            <w:pPr>
              <w:spacing w:line="276" w:lineRule="auto"/>
              <w:rPr>
                <w:szCs w:val="21"/>
              </w:rPr>
            </w:pPr>
          </w:p>
        </w:tc>
        <w:tc>
          <w:tcPr>
            <w:tcW w:w="701" w:type="pct"/>
            <w:vMerge w:val="continue"/>
            <w:noWrap/>
            <w:vAlign w:val="center"/>
          </w:tcPr>
          <w:p>
            <w:pPr>
              <w:spacing w:line="276" w:lineRule="auto"/>
              <w:rPr>
                <w:szCs w:val="21"/>
              </w:rPr>
            </w:pPr>
          </w:p>
        </w:tc>
        <w:tc>
          <w:tcPr>
            <w:tcW w:w="274" w:type="pct"/>
            <w:noWrap/>
            <w:vAlign w:val="center"/>
          </w:tcPr>
          <w:p>
            <w:pPr>
              <w:spacing w:line="276" w:lineRule="auto"/>
              <w:rPr>
                <w:szCs w:val="21"/>
              </w:rPr>
            </w:pPr>
            <w:r>
              <w:rPr>
                <w:rFonts w:hint="eastAsia"/>
                <w:szCs w:val="21"/>
                <w:lang w:val="en-US" w:eastAsia="zh-CN"/>
              </w:rPr>
              <w:t>5</w:t>
            </w:r>
            <w:r>
              <w:rPr>
                <w:szCs w:val="21"/>
              </w:rPr>
              <w:t>-2</w:t>
            </w:r>
          </w:p>
        </w:tc>
        <w:tc>
          <w:tcPr>
            <w:tcW w:w="730" w:type="pct"/>
            <w:noWrap/>
            <w:vAlign w:val="center"/>
          </w:tcPr>
          <w:p>
            <w:pPr>
              <w:spacing w:line="276" w:lineRule="auto"/>
              <w:rPr>
                <w:szCs w:val="21"/>
              </w:rPr>
            </w:pPr>
            <w:r>
              <w:rPr>
                <w:szCs w:val="21"/>
              </w:rPr>
              <w:t>科普公益宣传</w:t>
            </w:r>
          </w:p>
        </w:tc>
        <w:tc>
          <w:tcPr>
            <w:tcW w:w="293" w:type="pct"/>
            <w:noWrap/>
            <w:vAlign w:val="center"/>
          </w:tcPr>
          <w:p>
            <w:pPr>
              <w:spacing w:line="276" w:lineRule="auto"/>
              <w:rPr>
                <w:rFonts w:hint="eastAsia" w:eastAsia="宋体"/>
                <w:szCs w:val="21"/>
                <w:lang w:eastAsia="zh-CN"/>
              </w:rPr>
            </w:pPr>
            <w:r>
              <w:rPr>
                <w:rFonts w:hint="eastAsia"/>
                <w:szCs w:val="21"/>
                <w:lang w:val="en-US" w:eastAsia="zh-CN"/>
              </w:rPr>
              <w:t>3</w:t>
            </w:r>
          </w:p>
        </w:tc>
        <w:tc>
          <w:tcPr>
            <w:tcW w:w="1853" w:type="pct"/>
            <w:noWrap/>
            <w:vAlign w:val="center"/>
          </w:tcPr>
          <w:p>
            <w:pPr>
              <w:spacing w:line="276" w:lineRule="auto"/>
              <w:rPr>
                <w:szCs w:val="21"/>
              </w:rPr>
            </w:pPr>
            <w:r>
              <w:rPr>
                <w:color w:val="000000"/>
                <w:kern w:val="0"/>
                <w:szCs w:val="21"/>
              </w:rPr>
              <w:t>每季度对公众进行必要的安全知识教育、宣传和普及。</w:t>
            </w:r>
            <w:r>
              <w:rPr>
                <w:color w:val="000000"/>
                <w:szCs w:val="21"/>
              </w:rPr>
              <w:t>有偏离执行的扣</w:t>
            </w:r>
            <w:r>
              <w:rPr>
                <w:rFonts w:hint="eastAsia"/>
                <w:color w:val="000000"/>
                <w:szCs w:val="21"/>
                <w:lang w:val="en-US" w:eastAsia="zh-CN"/>
              </w:rPr>
              <w:t>1</w:t>
            </w:r>
            <w:r>
              <w:rPr>
                <w:color w:val="000000"/>
                <w:szCs w:val="21"/>
              </w:rPr>
              <w:t>分，最高扣</w:t>
            </w:r>
            <w:r>
              <w:rPr>
                <w:rFonts w:hint="eastAsia"/>
                <w:color w:val="000000"/>
                <w:szCs w:val="21"/>
                <w:lang w:val="en-US" w:eastAsia="zh-CN"/>
              </w:rPr>
              <w:t>3</w:t>
            </w:r>
            <w:r>
              <w:rPr>
                <w:color w:val="000000"/>
                <w:szCs w:val="21"/>
              </w:rPr>
              <w:t>分，扣完为止。</w:t>
            </w:r>
          </w:p>
        </w:tc>
        <w:tc>
          <w:tcPr>
            <w:tcW w:w="374" w:type="pct"/>
            <w:noWrap/>
            <w:vAlign w:val="center"/>
          </w:tcPr>
          <w:p>
            <w:pPr>
              <w:spacing w:line="276" w:lineRule="auto"/>
              <w:jc w:val="center"/>
              <w:rPr>
                <w:rFonts w:hint="eastAsia" w:eastAsia="宋体"/>
                <w:szCs w:val="21"/>
                <w:lang w:eastAsia="zh-CN"/>
              </w:rPr>
            </w:pPr>
            <w:r>
              <w:rPr>
                <w:szCs w:val="21"/>
              </w:rPr>
              <w:t>0-</w:t>
            </w:r>
            <w:r>
              <w:rPr>
                <w:rFonts w:hint="eastAsia"/>
                <w:szCs w:val="21"/>
                <w:lang w:val="en-US" w:eastAsia="zh-CN"/>
              </w:rPr>
              <w:t>3</w:t>
            </w:r>
          </w:p>
        </w:tc>
        <w:tc>
          <w:tcPr>
            <w:tcW w:w="488" w:type="pct"/>
            <w:noWrap w:val="0"/>
            <w:vAlign w:val="center"/>
          </w:tcPr>
          <w:p>
            <w:pPr>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82" w:type="pct"/>
            <w:noWrap/>
            <w:vAlign w:val="center"/>
          </w:tcPr>
          <w:p>
            <w:pPr>
              <w:spacing w:line="276" w:lineRule="auto"/>
              <w:rPr>
                <w:szCs w:val="21"/>
              </w:rPr>
            </w:pPr>
            <w:r>
              <w:rPr>
                <w:szCs w:val="21"/>
              </w:rPr>
              <w:t>合计</w:t>
            </w:r>
          </w:p>
        </w:tc>
        <w:tc>
          <w:tcPr>
            <w:tcW w:w="701" w:type="pct"/>
            <w:noWrap/>
            <w:vAlign w:val="center"/>
          </w:tcPr>
          <w:p>
            <w:pPr>
              <w:spacing w:line="276" w:lineRule="auto"/>
              <w:rPr>
                <w:szCs w:val="21"/>
              </w:rPr>
            </w:pPr>
            <w:r>
              <w:rPr>
                <w:szCs w:val="21"/>
              </w:rPr>
              <w:t>100</w:t>
            </w:r>
          </w:p>
        </w:tc>
        <w:tc>
          <w:tcPr>
            <w:tcW w:w="274" w:type="pct"/>
            <w:noWrap/>
            <w:vAlign w:val="center"/>
          </w:tcPr>
          <w:p>
            <w:pPr>
              <w:spacing w:line="276" w:lineRule="auto"/>
              <w:rPr>
                <w:szCs w:val="21"/>
              </w:rPr>
            </w:pPr>
          </w:p>
        </w:tc>
        <w:tc>
          <w:tcPr>
            <w:tcW w:w="730" w:type="pct"/>
            <w:noWrap/>
            <w:vAlign w:val="center"/>
          </w:tcPr>
          <w:p>
            <w:pPr>
              <w:spacing w:line="276" w:lineRule="auto"/>
              <w:rPr>
                <w:szCs w:val="21"/>
              </w:rPr>
            </w:pPr>
          </w:p>
        </w:tc>
        <w:tc>
          <w:tcPr>
            <w:tcW w:w="293" w:type="pct"/>
            <w:noWrap/>
            <w:vAlign w:val="center"/>
          </w:tcPr>
          <w:p>
            <w:pPr>
              <w:spacing w:line="276" w:lineRule="auto"/>
              <w:rPr>
                <w:szCs w:val="21"/>
              </w:rPr>
            </w:pPr>
            <w:r>
              <w:rPr>
                <w:szCs w:val="21"/>
              </w:rPr>
              <w:t>100</w:t>
            </w:r>
          </w:p>
        </w:tc>
        <w:tc>
          <w:tcPr>
            <w:tcW w:w="1853" w:type="pct"/>
            <w:noWrap/>
            <w:vAlign w:val="center"/>
          </w:tcPr>
          <w:p>
            <w:pPr>
              <w:spacing w:line="276" w:lineRule="auto"/>
              <w:rPr>
                <w:szCs w:val="21"/>
              </w:rPr>
            </w:pPr>
            <w:r>
              <w:rPr>
                <w:szCs w:val="21"/>
              </w:rPr>
              <w:t>-</w:t>
            </w:r>
          </w:p>
        </w:tc>
        <w:tc>
          <w:tcPr>
            <w:tcW w:w="374" w:type="pct"/>
            <w:noWrap/>
            <w:vAlign w:val="center"/>
          </w:tcPr>
          <w:p>
            <w:pPr>
              <w:spacing w:line="276" w:lineRule="auto"/>
              <w:jc w:val="center"/>
              <w:rPr>
                <w:szCs w:val="21"/>
              </w:rPr>
            </w:pPr>
            <w:r>
              <w:rPr>
                <w:szCs w:val="21"/>
              </w:rPr>
              <w:t>-</w:t>
            </w:r>
          </w:p>
        </w:tc>
        <w:tc>
          <w:tcPr>
            <w:tcW w:w="488" w:type="pct"/>
            <w:noWrap w:val="0"/>
            <w:vAlign w:val="center"/>
          </w:tcPr>
          <w:p>
            <w:pPr>
              <w:spacing w:line="276" w:lineRule="auto"/>
              <w:jc w:val="center"/>
              <w:rPr>
                <w:szCs w:val="21"/>
              </w:rPr>
            </w:pPr>
          </w:p>
        </w:tc>
      </w:tr>
    </w:tbl>
    <w:p>
      <w:pPr>
        <w:sectPr>
          <w:pgSz w:w="16838" w:h="11906" w:orient="landscape"/>
          <w:pgMar w:top="1797" w:right="1440" w:bottom="1797" w:left="1440" w:header="851" w:footer="992" w:gutter="0"/>
          <w:cols w:space="0" w:num="1"/>
          <w:rtlGutter w:val="0"/>
          <w:docGrid w:linePitch="312" w:charSpace="0"/>
        </w:sectPr>
      </w:pPr>
    </w:p>
    <w:p>
      <w:pPr>
        <w:pStyle w:val="2"/>
      </w:pPr>
    </w:p>
    <w:p>
      <w:pPr>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br w:type="page"/>
      </w:r>
    </w:p>
    <w:p>
      <w:pPr>
        <w:spacing w:line="360" w:lineRule="auto"/>
        <w:jc w:val="center"/>
        <w:rPr>
          <w:rFonts w:hint="eastAsia" w:ascii="宋体" w:hAnsi="宋体" w:cs="宋体"/>
          <w:b/>
          <w:sz w:val="30"/>
          <w:szCs w:val="30"/>
        </w:rPr>
      </w:pPr>
      <w:r>
        <w:rPr>
          <w:rFonts w:hint="eastAsia" w:ascii="宋体" w:hAnsi="宋体" w:cs="宋体"/>
          <w:b/>
          <w:sz w:val="30"/>
          <w:szCs w:val="30"/>
        </w:rPr>
        <w:t>五.附件（响应文件格式）</w:t>
      </w:r>
    </w:p>
    <w:p>
      <w:pPr>
        <w:spacing w:line="360" w:lineRule="auto"/>
        <w:rPr>
          <w:rFonts w:hint="eastAsia" w:ascii="宋体" w:hAnsi="宋体" w:cs="宋体"/>
          <w:bCs/>
          <w:sz w:val="52"/>
          <w:szCs w:val="52"/>
        </w:rPr>
      </w:pPr>
    </w:p>
    <w:p>
      <w:pPr>
        <w:spacing w:line="360" w:lineRule="auto"/>
        <w:jc w:val="center"/>
        <w:rPr>
          <w:rFonts w:hint="eastAsia" w:ascii="宋体" w:hAnsi="宋体" w:cs="宋体"/>
          <w:bCs/>
          <w:sz w:val="52"/>
          <w:szCs w:val="52"/>
        </w:rPr>
      </w:pPr>
      <w:r>
        <w:rPr>
          <w:rFonts w:hint="eastAsia" w:ascii="宋体" w:hAnsi="宋体" w:cs="宋体"/>
          <w:bCs/>
          <w:sz w:val="52"/>
          <w:szCs w:val="52"/>
        </w:rPr>
        <w:t>响</w:t>
      </w:r>
    </w:p>
    <w:p>
      <w:pPr>
        <w:spacing w:line="360" w:lineRule="auto"/>
        <w:jc w:val="center"/>
        <w:rPr>
          <w:rFonts w:hint="eastAsia" w:ascii="宋体" w:hAnsi="宋体" w:cs="宋体"/>
          <w:bCs/>
          <w:sz w:val="72"/>
        </w:rPr>
      </w:pPr>
    </w:p>
    <w:p>
      <w:pPr>
        <w:spacing w:line="360" w:lineRule="auto"/>
        <w:jc w:val="center"/>
        <w:rPr>
          <w:rFonts w:hint="eastAsia" w:ascii="宋体" w:hAnsi="宋体" w:cs="宋体"/>
          <w:bCs/>
          <w:sz w:val="52"/>
          <w:szCs w:val="52"/>
        </w:rPr>
      </w:pPr>
      <w:r>
        <w:rPr>
          <w:rFonts w:hint="eastAsia" w:ascii="宋体" w:hAnsi="宋体" w:cs="宋体"/>
          <w:bCs/>
          <w:sz w:val="52"/>
          <w:szCs w:val="52"/>
        </w:rPr>
        <w:t>应</w:t>
      </w:r>
    </w:p>
    <w:p>
      <w:pPr>
        <w:spacing w:line="360" w:lineRule="auto"/>
        <w:jc w:val="center"/>
        <w:rPr>
          <w:rFonts w:hint="eastAsia" w:ascii="宋体" w:hAnsi="宋体" w:cs="宋体"/>
          <w:bCs/>
          <w:sz w:val="72"/>
        </w:rPr>
      </w:pPr>
    </w:p>
    <w:p>
      <w:pPr>
        <w:spacing w:line="360" w:lineRule="auto"/>
        <w:jc w:val="center"/>
        <w:rPr>
          <w:rFonts w:hint="eastAsia" w:ascii="宋体" w:hAnsi="宋体" w:cs="宋体"/>
          <w:bCs/>
          <w:sz w:val="52"/>
          <w:szCs w:val="52"/>
        </w:rPr>
      </w:pPr>
      <w:r>
        <w:rPr>
          <w:rFonts w:hint="eastAsia" w:ascii="宋体" w:hAnsi="宋体" w:cs="宋体"/>
          <w:bCs/>
          <w:sz w:val="52"/>
          <w:szCs w:val="52"/>
        </w:rPr>
        <w:t>文</w:t>
      </w:r>
    </w:p>
    <w:p>
      <w:pPr>
        <w:spacing w:line="360" w:lineRule="auto"/>
        <w:jc w:val="center"/>
        <w:rPr>
          <w:rFonts w:hint="eastAsia" w:ascii="宋体" w:hAnsi="宋体" w:cs="宋体"/>
          <w:bCs/>
          <w:sz w:val="52"/>
          <w:szCs w:val="52"/>
        </w:rPr>
      </w:pPr>
    </w:p>
    <w:p>
      <w:pPr>
        <w:spacing w:line="360" w:lineRule="auto"/>
        <w:jc w:val="center"/>
        <w:rPr>
          <w:rFonts w:hint="eastAsia" w:ascii="宋体" w:hAnsi="宋体" w:cs="宋体"/>
          <w:bCs/>
          <w:sz w:val="72"/>
        </w:rPr>
      </w:pPr>
      <w:r>
        <w:rPr>
          <w:rFonts w:hint="eastAsia" w:ascii="宋体" w:hAnsi="宋体" w:cs="宋体"/>
          <w:bCs/>
          <w:sz w:val="52"/>
          <w:szCs w:val="52"/>
        </w:rPr>
        <w:t>件</w:t>
      </w:r>
    </w:p>
    <w:p>
      <w:pPr>
        <w:spacing w:line="360" w:lineRule="auto"/>
        <w:rPr>
          <w:rFonts w:hint="eastAsia" w:ascii="宋体" w:hAnsi="宋体" w:cs="宋体"/>
          <w:bCs/>
          <w:sz w:val="28"/>
        </w:rPr>
      </w:pPr>
    </w:p>
    <w:p>
      <w:pPr>
        <w:spacing w:line="360" w:lineRule="auto"/>
        <w:ind w:firstLine="2715"/>
        <w:rPr>
          <w:rFonts w:hint="eastAsia" w:ascii="宋体" w:hAnsi="宋体" w:cs="宋体"/>
          <w:bCs/>
          <w:sz w:val="28"/>
          <w:szCs w:val="28"/>
        </w:rPr>
      </w:pPr>
      <w:r>
        <w:rPr>
          <w:rFonts w:hint="eastAsia" w:ascii="宋体" w:hAnsi="宋体" w:cs="宋体"/>
          <w:bCs/>
          <w:sz w:val="28"/>
          <w:szCs w:val="28"/>
        </w:rPr>
        <w:t xml:space="preserve">政府采购编号： </w:t>
      </w:r>
    </w:p>
    <w:p>
      <w:pPr>
        <w:spacing w:line="360" w:lineRule="auto"/>
        <w:ind w:firstLine="2703"/>
        <w:rPr>
          <w:rFonts w:hint="eastAsia" w:ascii="宋体" w:hAnsi="宋体" w:cs="宋体"/>
          <w:bCs/>
          <w:sz w:val="28"/>
          <w:szCs w:val="28"/>
        </w:rPr>
      </w:pPr>
      <w:r>
        <w:rPr>
          <w:rFonts w:hint="eastAsia" w:ascii="宋体" w:hAnsi="宋体" w:cs="宋体"/>
          <w:bCs/>
          <w:sz w:val="28"/>
          <w:szCs w:val="28"/>
        </w:rPr>
        <w:t>采购项目名称：</w:t>
      </w:r>
    </w:p>
    <w:p>
      <w:pPr>
        <w:spacing w:line="360" w:lineRule="auto"/>
        <w:ind w:firstLine="2703"/>
        <w:rPr>
          <w:rFonts w:hint="eastAsia" w:ascii="宋体" w:hAnsi="宋体" w:cs="宋体"/>
          <w:bCs/>
          <w:sz w:val="28"/>
          <w:szCs w:val="28"/>
        </w:rPr>
      </w:pPr>
      <w:r>
        <w:rPr>
          <w:rFonts w:hint="eastAsia" w:ascii="宋体" w:hAnsi="宋体" w:cs="宋体"/>
          <w:bCs/>
          <w:sz w:val="28"/>
          <w:szCs w:val="28"/>
        </w:rPr>
        <w:t>供应商：</w:t>
      </w:r>
    </w:p>
    <w:p>
      <w:pPr>
        <w:spacing w:line="360" w:lineRule="auto"/>
        <w:rPr>
          <w:rFonts w:hint="eastAsia" w:ascii="宋体" w:hAnsi="宋体" w:cs="宋体"/>
          <w:bCs/>
          <w:sz w:val="32"/>
        </w:rPr>
      </w:pPr>
    </w:p>
    <w:p>
      <w:pPr>
        <w:spacing w:line="360" w:lineRule="auto"/>
        <w:jc w:val="center"/>
        <w:rPr>
          <w:rFonts w:hint="eastAsia" w:ascii="宋体" w:hAnsi="宋体" w:cs="宋体"/>
          <w:bCs/>
          <w:sz w:val="24"/>
          <w:szCs w:val="24"/>
        </w:rPr>
      </w:pPr>
      <w:r>
        <w:rPr>
          <w:rFonts w:hint="eastAsia" w:ascii="宋体" w:hAnsi="宋体" w:cs="宋体"/>
          <w:bCs/>
          <w:sz w:val="36"/>
          <w:szCs w:val="36"/>
        </w:rPr>
        <w:t>二○    年  月  日</w:t>
      </w:r>
      <w:bookmarkStart w:id="153" w:name="一．报价函（格式）"/>
      <w:bookmarkEnd w:id="153"/>
    </w:p>
    <w:p>
      <w:pPr>
        <w:spacing w:line="360" w:lineRule="auto"/>
        <w:outlineLvl w:val="0"/>
        <w:rPr>
          <w:rFonts w:hint="eastAsia" w:ascii="宋体" w:hAnsi="宋体" w:cs="宋体"/>
          <w:bCs/>
          <w:sz w:val="24"/>
          <w:szCs w:val="24"/>
        </w:rPr>
      </w:pPr>
    </w:p>
    <w:p>
      <w:pPr>
        <w:pageBreakBefore/>
        <w:spacing w:line="360" w:lineRule="auto"/>
        <w:ind w:firstLine="480" w:firstLineChars="200"/>
        <w:outlineLvl w:val="0"/>
        <w:rPr>
          <w:rFonts w:hint="eastAsia" w:ascii="宋体" w:hAnsi="宋体" w:cs="宋体"/>
          <w:bCs/>
          <w:sz w:val="24"/>
          <w:szCs w:val="24"/>
        </w:rPr>
      </w:pPr>
      <w:r>
        <w:rPr>
          <w:rFonts w:hint="eastAsia" w:ascii="宋体" w:hAnsi="宋体" w:cs="宋体"/>
          <w:bCs/>
          <w:sz w:val="24"/>
          <w:szCs w:val="24"/>
        </w:rPr>
        <w:t>（一）响应函（格式）：</w:t>
      </w:r>
    </w:p>
    <w:p>
      <w:pPr>
        <w:spacing w:line="360" w:lineRule="auto"/>
        <w:jc w:val="center"/>
        <w:rPr>
          <w:rFonts w:hint="eastAsia" w:ascii="宋体" w:hAnsi="宋体" w:cs="宋体"/>
          <w:bCs/>
          <w:sz w:val="24"/>
          <w:szCs w:val="24"/>
        </w:rPr>
      </w:pPr>
      <w:r>
        <w:rPr>
          <w:rFonts w:hint="eastAsia" w:ascii="宋体" w:hAnsi="宋体" w:cs="宋体"/>
          <w:bCs/>
          <w:sz w:val="28"/>
          <w:szCs w:val="28"/>
        </w:rPr>
        <w:t>响应函</w:t>
      </w:r>
    </w:p>
    <w:p>
      <w:pPr>
        <w:widowControl/>
        <w:topLinePunct/>
        <w:spacing w:before="4" w:line="360" w:lineRule="auto"/>
        <w:rPr>
          <w:rFonts w:hint="eastAsia" w:ascii="宋体" w:hAnsi="宋体" w:cs="宋体"/>
          <w:sz w:val="24"/>
        </w:rPr>
      </w:pPr>
      <w:r>
        <w:rPr>
          <w:rFonts w:hint="eastAsia" w:ascii="宋体" w:hAnsi="宋体" w:cs="宋体"/>
          <w:sz w:val="24"/>
        </w:rPr>
        <w:t>致：普信国际工程咨询有限公司</w:t>
      </w:r>
    </w:p>
    <w:p>
      <w:pPr>
        <w:topLinePunct/>
        <w:spacing w:line="360" w:lineRule="auto"/>
        <w:ind w:firstLine="480" w:firstLineChars="200"/>
        <w:rPr>
          <w:rFonts w:hint="eastAsia" w:ascii="宋体" w:hAnsi="宋体" w:cs="宋体"/>
          <w:sz w:val="24"/>
        </w:rPr>
      </w:pPr>
      <w:r>
        <w:rPr>
          <w:rFonts w:hint="eastAsia" w:ascii="宋体" w:hAnsi="宋体" w:cs="宋体"/>
          <w:sz w:val="24"/>
        </w:rPr>
        <w:t>一、根据已收到的采购编号为的</w:t>
      </w:r>
      <w:r>
        <w:rPr>
          <w:rFonts w:hint="eastAsia" w:ascii="宋体" w:hAnsi="宋体" w:cs="宋体"/>
          <w:b/>
          <w:sz w:val="24"/>
          <w:u w:val="single"/>
        </w:rPr>
        <w:t xml:space="preserve">    （采购项目名称 ）   </w:t>
      </w:r>
      <w:r>
        <w:rPr>
          <w:rFonts w:hint="eastAsia" w:ascii="宋体" w:hAnsi="宋体" w:cs="宋体"/>
          <w:sz w:val="24"/>
        </w:rPr>
        <w:t>的磋商文件，遵照国家法律、法规和规章的有关规定，我方经过踏勘现场和对磋商文件等所有文件的研究后，我方报价供应商民币(大写)元（RMB</w:t>
      </w:r>
      <w:r>
        <w:rPr>
          <w:rFonts w:hint="eastAsia" w:ascii="宋体" w:hAnsi="宋体" w:cs="宋体"/>
          <w:sz w:val="24"/>
          <w:u w:val="single"/>
        </w:rPr>
        <w:t xml:space="preserve">￥      </w:t>
      </w:r>
      <w:r>
        <w:rPr>
          <w:rFonts w:hint="eastAsia" w:ascii="宋体" w:hAnsi="宋体" w:cs="宋体"/>
          <w:sz w:val="24"/>
        </w:rPr>
        <w:t>元）。</w:t>
      </w:r>
    </w:p>
    <w:p>
      <w:pPr>
        <w:topLinePunct/>
        <w:spacing w:line="360" w:lineRule="auto"/>
        <w:ind w:firstLine="480" w:firstLineChars="200"/>
        <w:rPr>
          <w:rFonts w:hint="eastAsia" w:ascii="宋体" w:hAnsi="宋体" w:cs="宋体"/>
          <w:sz w:val="24"/>
        </w:rPr>
      </w:pPr>
      <w:r>
        <w:rPr>
          <w:rFonts w:hint="eastAsia" w:ascii="宋体" w:hAnsi="宋体" w:cs="宋体"/>
          <w:sz w:val="24"/>
        </w:rPr>
        <w:t>二、我方已详细审核全部磋商文件，包括修改文件（如有时）及有关附件，并响应磋商文件各条款。</w:t>
      </w:r>
    </w:p>
    <w:p>
      <w:pPr>
        <w:topLinePunct/>
        <w:spacing w:line="360" w:lineRule="auto"/>
        <w:ind w:firstLine="480" w:firstLineChars="200"/>
        <w:rPr>
          <w:rFonts w:hint="eastAsia" w:ascii="宋体" w:hAnsi="宋体" w:cs="宋体"/>
          <w:sz w:val="24"/>
        </w:rPr>
      </w:pPr>
      <w:r>
        <w:rPr>
          <w:rFonts w:hint="eastAsia" w:ascii="宋体" w:hAnsi="宋体" w:cs="宋体"/>
          <w:sz w:val="24"/>
        </w:rPr>
        <w:t>三、我方承认开标一览表是我方响应函的组成部分。</w:t>
      </w:r>
    </w:p>
    <w:p>
      <w:pPr>
        <w:topLinePunct/>
        <w:spacing w:line="360" w:lineRule="auto"/>
        <w:ind w:firstLine="480" w:firstLineChars="200"/>
        <w:rPr>
          <w:rFonts w:hint="eastAsia" w:ascii="宋体" w:hAnsi="宋体" w:cs="宋体"/>
          <w:sz w:val="24"/>
        </w:rPr>
      </w:pPr>
      <w:r>
        <w:rPr>
          <w:rFonts w:hint="eastAsia" w:ascii="宋体" w:hAnsi="宋体" w:cs="宋体"/>
          <w:sz w:val="24"/>
        </w:rPr>
        <w:t>四、一旦我方中标，我方保证按合同协议书中规定的</w:t>
      </w:r>
      <w:r>
        <w:rPr>
          <w:rFonts w:hint="eastAsia" w:ascii="宋体" w:hAnsi="宋体" w:cs="宋体"/>
          <w:sz w:val="24"/>
          <w:szCs w:val="24"/>
        </w:rPr>
        <w:t>项目合作期为：</w:t>
      </w:r>
      <w:r>
        <w:rPr>
          <w:rFonts w:hint="eastAsia" w:ascii="宋体" w:hAnsi="宋体" w:cs="宋体"/>
          <w:b/>
          <w:sz w:val="24"/>
          <w:u w:val="single"/>
        </w:rPr>
        <w:t xml:space="preserve">          </w:t>
      </w:r>
      <w:r>
        <w:rPr>
          <w:rFonts w:hint="eastAsia" w:ascii="宋体" w:hAnsi="宋体" w:cs="宋体"/>
          <w:sz w:val="24"/>
          <w:u w:val="single"/>
        </w:rPr>
        <w:t xml:space="preserve">    </w:t>
      </w:r>
    </w:p>
    <w:p>
      <w:pPr>
        <w:topLinePunct/>
        <w:spacing w:line="360" w:lineRule="auto"/>
        <w:ind w:firstLine="480" w:firstLineChars="200"/>
        <w:rPr>
          <w:rFonts w:hint="eastAsia" w:ascii="宋体" w:hAnsi="宋体" w:cs="宋体"/>
          <w:sz w:val="24"/>
        </w:rPr>
      </w:pPr>
      <w:r>
        <w:rPr>
          <w:rFonts w:hint="eastAsia" w:ascii="宋体" w:hAnsi="宋体" w:cs="宋体"/>
          <w:sz w:val="24"/>
        </w:rPr>
        <w:t>五、除非另外达成协议并生效，你方的成交通知书和本响应文件将成为约束双方的合同文件的组成部分；</w:t>
      </w:r>
    </w:p>
    <w:p>
      <w:pPr>
        <w:widowControl/>
        <w:topLinePunct/>
        <w:spacing w:before="4" w:line="360" w:lineRule="auto"/>
        <w:ind w:left="210" w:leftChars="100" w:firstLine="240" w:firstLineChars="100"/>
        <w:rPr>
          <w:rFonts w:hint="eastAsia" w:ascii="宋体" w:hAnsi="宋体" w:cs="宋体"/>
          <w:sz w:val="24"/>
        </w:rPr>
      </w:pPr>
      <w:r>
        <w:rPr>
          <w:rFonts w:hint="eastAsia" w:ascii="宋体" w:hAnsi="宋体" w:cs="宋体"/>
          <w:sz w:val="24"/>
        </w:rPr>
        <w:t>六、我方愿意提供普信国际工程咨询有限公司在磋商文件中要求的文件、资料（具体内容如下）：</w:t>
      </w:r>
    </w:p>
    <w:p>
      <w:pPr>
        <w:spacing w:line="360" w:lineRule="auto"/>
        <w:ind w:firstLine="482" w:firstLineChars="200"/>
        <w:rPr>
          <w:rFonts w:hint="eastAsia" w:ascii="宋体" w:hAnsi="宋体" w:cs="宋体"/>
          <w:b/>
          <w:bCs/>
          <w:sz w:val="24"/>
        </w:rPr>
      </w:pPr>
      <w:r>
        <w:rPr>
          <w:rFonts w:hint="eastAsia" w:ascii="宋体" w:hAnsi="宋体" w:cs="宋体"/>
          <w:b/>
          <w:bCs/>
          <w:sz w:val="24"/>
        </w:rPr>
        <w:t>响应文件分为明标和暗标两部分，明标由证明文件部分、响应函部分二部分组成，暗标为技术文件部分（单独成册）。另附电子光盘一张。</w:t>
      </w:r>
    </w:p>
    <w:p>
      <w:pPr>
        <w:spacing w:line="360" w:lineRule="auto"/>
        <w:ind w:firstLine="482" w:firstLineChars="200"/>
        <w:rPr>
          <w:rFonts w:hint="eastAsia" w:ascii="宋体" w:hAnsi="宋体" w:cs="宋体"/>
          <w:b/>
          <w:bCs/>
          <w:sz w:val="24"/>
        </w:rPr>
      </w:pPr>
      <w:r>
        <w:rPr>
          <w:rFonts w:hint="eastAsia" w:ascii="宋体" w:hAnsi="宋体" w:cs="宋体"/>
          <w:b/>
          <w:bCs/>
          <w:sz w:val="24"/>
        </w:rPr>
        <w:t>明标部分：</w:t>
      </w:r>
    </w:p>
    <w:p>
      <w:pPr>
        <w:spacing w:line="360" w:lineRule="auto"/>
        <w:ind w:left="105" w:leftChars="50" w:firstLine="360" w:firstLineChars="150"/>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证明文件部分：</w:t>
      </w:r>
    </w:p>
    <w:p>
      <w:pPr>
        <w:spacing w:line="360" w:lineRule="auto"/>
        <w:ind w:left="105" w:leftChars="50" w:firstLine="360" w:firstLineChars="150"/>
        <w:rPr>
          <w:rFonts w:hint="eastAsia" w:ascii="宋体" w:hAnsi="宋体" w:cs="宋体"/>
          <w:sz w:val="24"/>
        </w:rPr>
      </w:pPr>
      <w:r>
        <w:rPr>
          <w:rFonts w:hint="eastAsia" w:ascii="宋体" w:hAnsi="宋体" w:cs="宋体"/>
          <w:sz w:val="24"/>
        </w:rPr>
        <w:t>第一部分：资格、资信证明文件</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关于资格的声明函（</w:t>
      </w:r>
      <w:r>
        <w:rPr>
          <w:rFonts w:hint="eastAsia" w:ascii="宋体" w:hAnsi="宋体" w:cs="宋体"/>
          <w:b/>
          <w:bCs/>
          <w:sz w:val="24"/>
          <w:szCs w:val="24"/>
        </w:rPr>
        <w:t>格式见附件</w:t>
      </w:r>
      <w:r>
        <w:rPr>
          <w:rFonts w:hint="eastAsia" w:ascii="宋体" w:hAnsi="宋体" w:cs="宋体"/>
          <w:bCs/>
          <w:sz w:val="24"/>
          <w:szCs w:val="24"/>
        </w:rPr>
        <w:t>）；</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sz w:val="24"/>
        </w:rPr>
      </w:pPr>
      <w:r>
        <w:rPr>
          <w:rFonts w:hint="eastAsia" w:ascii="宋体" w:hAnsi="宋体" w:cs="宋体"/>
          <w:sz w:val="24"/>
        </w:rPr>
        <w:t>供应商法定代表人授权委托书</w:t>
      </w:r>
      <w:r>
        <w:rPr>
          <w:rFonts w:hint="eastAsia" w:ascii="宋体" w:hAnsi="宋体" w:cs="宋体"/>
          <w:b/>
          <w:sz w:val="24"/>
        </w:rPr>
        <w:t>（法定代表人亲自参与报价的除外，格式见附件）</w:t>
      </w:r>
      <w:r>
        <w:rPr>
          <w:rFonts w:hint="eastAsia" w:ascii="宋体" w:hAnsi="宋体" w:cs="宋体"/>
          <w:sz w:val="24"/>
        </w:rPr>
        <w:t>；</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sz w:val="24"/>
        </w:rPr>
      </w:pPr>
      <w:r>
        <w:rPr>
          <w:rFonts w:hint="eastAsia" w:ascii="宋体" w:hAnsi="宋体" w:cs="宋体"/>
          <w:sz w:val="24"/>
        </w:rPr>
        <w:t>供应商法定代表人身份证复印件及被授权代表身份证复印件并加盖公章</w:t>
      </w:r>
      <w:r>
        <w:rPr>
          <w:rFonts w:hint="eastAsia" w:ascii="宋体" w:hAnsi="宋体" w:cs="宋体"/>
          <w:b/>
          <w:sz w:val="24"/>
        </w:rPr>
        <w:t>（报价时必须携带并提交参加开标会议的法定代表人或被授权代表有效身份证明原件）</w:t>
      </w:r>
      <w:r>
        <w:rPr>
          <w:rFonts w:hint="eastAsia" w:ascii="宋体" w:hAnsi="宋体" w:cs="宋体"/>
          <w:sz w:val="24"/>
        </w:rPr>
        <w:t>；</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sz w:val="24"/>
          <w:lang w:val="zh-CN"/>
        </w:rPr>
      </w:pPr>
      <w:r>
        <w:rPr>
          <w:rFonts w:hint="eastAsia" w:ascii="宋体" w:hAnsi="宋体" w:cs="宋体"/>
          <w:sz w:val="24"/>
        </w:rPr>
        <w:t>供应商有效期内营业执照副本（三证合一）复印件，复印件须加盖公章</w:t>
      </w:r>
      <w:r>
        <w:rPr>
          <w:rFonts w:hint="eastAsia" w:ascii="宋体" w:hAnsi="宋体" w:cs="宋体"/>
          <w:b/>
          <w:bCs/>
          <w:sz w:val="24"/>
        </w:rPr>
        <w:t>（报价时</w:t>
      </w:r>
      <w:r>
        <w:rPr>
          <w:rFonts w:hint="eastAsia" w:ascii="宋体" w:hAnsi="宋体" w:cs="宋体"/>
          <w:b/>
          <w:sz w:val="24"/>
        </w:rPr>
        <w:t>提供</w:t>
      </w:r>
      <w:r>
        <w:rPr>
          <w:rFonts w:hint="eastAsia" w:ascii="宋体" w:hAnsi="宋体" w:cs="宋体"/>
          <w:b/>
          <w:bCs/>
          <w:sz w:val="24"/>
        </w:rPr>
        <w:t>原件或公证件）</w:t>
      </w:r>
      <w:r>
        <w:rPr>
          <w:rFonts w:hint="eastAsia" w:ascii="宋体" w:hAnsi="宋体" w:cs="宋体"/>
          <w:sz w:val="24"/>
        </w:rPr>
        <w:t>；</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sz w:val="24"/>
          <w:lang w:val="zh-CN"/>
        </w:rPr>
      </w:pPr>
      <w:r>
        <w:rPr>
          <w:rFonts w:hint="eastAsia" w:ascii="宋体" w:hAnsi="宋体" w:cs="宋体"/>
          <w:sz w:val="24"/>
          <w:szCs w:val="22"/>
        </w:rPr>
        <w:t>供应商具有运营生活垃圾焚烧发电项目的经验与能力，并提供相关证明资料（如特许经营协议、项目合同或其他相关证明材料）</w:t>
      </w:r>
      <w:r>
        <w:rPr>
          <w:rFonts w:hint="eastAsia" w:ascii="宋体" w:hAnsi="宋体" w:cs="宋体"/>
          <w:sz w:val="24"/>
        </w:rPr>
        <w:t>复印件须加盖公章</w:t>
      </w:r>
      <w:r>
        <w:rPr>
          <w:rFonts w:hint="eastAsia" w:ascii="宋体" w:hAnsi="宋体" w:cs="宋体"/>
          <w:b/>
          <w:bCs/>
          <w:sz w:val="24"/>
        </w:rPr>
        <w:t>（报价时</w:t>
      </w:r>
      <w:r>
        <w:rPr>
          <w:rFonts w:hint="eastAsia" w:ascii="宋体" w:hAnsi="宋体" w:cs="宋体"/>
          <w:b/>
          <w:sz w:val="24"/>
        </w:rPr>
        <w:t>提供</w:t>
      </w:r>
      <w:r>
        <w:rPr>
          <w:rFonts w:hint="eastAsia" w:ascii="宋体" w:hAnsi="宋体" w:cs="宋体"/>
          <w:b/>
          <w:bCs/>
          <w:sz w:val="24"/>
        </w:rPr>
        <w:t>原件或公证件）</w:t>
      </w:r>
      <w:r>
        <w:rPr>
          <w:rFonts w:hint="eastAsia" w:ascii="宋体" w:hAnsi="宋体" w:cs="宋体"/>
          <w:sz w:val="24"/>
        </w:rPr>
        <w:t>；</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供应商近三个月中任意一个月份(不含投标当月)的财务状况报告（资产负债表和利润表）或由会计师事务所出具的近两年中任意一个年度的审计报告和所附已审财务报告复印件</w:t>
      </w:r>
      <w:r>
        <w:rPr>
          <w:rFonts w:hint="eastAsia" w:ascii="宋体" w:hAnsi="宋体" w:cs="宋体"/>
          <w:b/>
          <w:bCs/>
          <w:sz w:val="24"/>
          <w:szCs w:val="24"/>
        </w:rPr>
        <w:t>（报价时</w:t>
      </w:r>
      <w:r>
        <w:rPr>
          <w:rFonts w:hint="eastAsia" w:ascii="宋体" w:hAnsi="宋体" w:cs="宋体"/>
          <w:b/>
          <w:sz w:val="24"/>
        </w:rPr>
        <w:t>提供</w:t>
      </w:r>
      <w:r>
        <w:rPr>
          <w:rFonts w:hint="eastAsia" w:ascii="宋体" w:hAnsi="宋体" w:cs="宋体"/>
          <w:b/>
          <w:bCs/>
          <w:sz w:val="24"/>
          <w:szCs w:val="24"/>
        </w:rPr>
        <w:t>原件或公证件）</w:t>
      </w:r>
      <w:r>
        <w:rPr>
          <w:rFonts w:hint="eastAsia" w:ascii="宋体" w:hAnsi="宋体" w:cs="宋体"/>
          <w:bCs/>
          <w:sz w:val="24"/>
          <w:szCs w:val="24"/>
        </w:rPr>
        <w:t>；</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供应商近三个月中任意一个月份(不含报价当月) 的依法缴纳税收的相关材料（提供相关主管部门证明或银行代扣证明）复印件；</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供应商近三个月中任意一个月份(不含投标当月) 的依法缴纳社会保障资金的相关材料（提供相关主管部门证明或银行代扣证明）复印件；</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
          <w:sz w:val="24"/>
          <w:szCs w:val="24"/>
        </w:rPr>
      </w:pPr>
      <w:r>
        <w:rPr>
          <w:rFonts w:hint="eastAsia" w:ascii="宋体" w:hAnsi="宋体" w:cs="宋体"/>
          <w:bCs/>
          <w:sz w:val="24"/>
          <w:szCs w:val="24"/>
        </w:rPr>
        <w:t>供应商基本账户的开户许可证（或网上打印基本存款信息）复印件及磋商保证金汇款（进账）凭证复印件并加盖公章；</w:t>
      </w:r>
      <w:r>
        <w:rPr>
          <w:rFonts w:hint="eastAsia" w:ascii="宋体" w:hAnsi="宋体" w:cs="宋体"/>
          <w:b/>
          <w:sz w:val="24"/>
          <w:szCs w:val="24"/>
        </w:rPr>
        <w:t>（1.报价时携带原件备查；2.提供投标担保函的供应商除外，提供投标担保函的供应商须按照磋商文件投标担保的相关规定执行）</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
          <w:bCs/>
          <w:sz w:val="24"/>
          <w:szCs w:val="24"/>
        </w:rPr>
      </w:pPr>
      <w:r>
        <w:rPr>
          <w:rFonts w:hint="eastAsia" w:ascii="宋体" w:hAnsi="宋体" w:cs="宋体"/>
          <w:bCs/>
          <w:sz w:val="24"/>
          <w:szCs w:val="24"/>
        </w:rPr>
        <w:t>授权委托人</w:t>
      </w:r>
      <w:r>
        <w:rPr>
          <w:rFonts w:hint="eastAsia" w:ascii="宋体" w:hAnsi="宋体" w:cs="宋体"/>
          <w:sz w:val="24"/>
        </w:rPr>
        <w:t>与供应商企业签订的劳动合同、法定的社保收缴部门出具由供应商本企业为授权委托人依法缴纳的20</w:t>
      </w:r>
      <w:r>
        <w:rPr>
          <w:rFonts w:hint="eastAsia" w:ascii="宋体" w:hAnsi="宋体" w:cs="宋体"/>
          <w:sz w:val="24"/>
          <w:lang w:val="en-US" w:eastAsia="zh-CN"/>
        </w:rPr>
        <w:t>20</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月～2020年</w:t>
      </w:r>
      <w:r>
        <w:rPr>
          <w:rFonts w:hint="eastAsia" w:ascii="宋体" w:hAnsi="宋体" w:cs="宋体"/>
          <w:sz w:val="24"/>
          <w:lang w:val="en-US" w:eastAsia="zh-CN"/>
        </w:rPr>
        <w:t>11</w:t>
      </w:r>
      <w:r>
        <w:rPr>
          <w:rFonts w:hint="eastAsia" w:ascii="宋体" w:hAnsi="宋体" w:cs="宋体"/>
          <w:sz w:val="24"/>
        </w:rPr>
        <w:t>月的社会保障资金的相关材料（提供相关主管部门证明或银行代扣证明）复印件加盖公章</w:t>
      </w:r>
      <w:r>
        <w:rPr>
          <w:rFonts w:hint="eastAsia" w:ascii="宋体" w:hAnsi="宋体" w:cs="宋体"/>
          <w:b/>
          <w:bCs/>
          <w:sz w:val="24"/>
        </w:rPr>
        <w:t>（报价时提供原件或公证件）</w:t>
      </w:r>
    </w:p>
    <w:p>
      <w:pPr>
        <w:numPr>
          <w:ilvl w:val="0"/>
          <w:numId w:val="46"/>
        </w:numPr>
        <w:tabs>
          <w:tab w:val="left" w:pos="420"/>
          <w:tab w:val="left" w:pos="945"/>
          <w:tab w:val="left" w:pos="1155"/>
          <w:tab w:val="left" w:pos="1288"/>
          <w:tab w:val="left" w:pos="1996"/>
        </w:tabs>
        <w:spacing w:line="360" w:lineRule="auto"/>
        <w:ind w:left="0" w:firstLine="523" w:firstLineChars="218"/>
        <w:rPr>
          <w:rFonts w:hint="eastAsia" w:ascii="宋体" w:hAnsi="宋体" w:cs="宋体"/>
          <w:bCs/>
          <w:sz w:val="24"/>
          <w:szCs w:val="24"/>
        </w:rPr>
      </w:pPr>
      <w:r>
        <w:rPr>
          <w:rFonts w:hint="eastAsia" w:ascii="宋体" w:hAnsi="宋体" w:cs="宋体"/>
          <w:bCs/>
          <w:sz w:val="24"/>
          <w:szCs w:val="24"/>
        </w:rPr>
        <w:t>承诺书（</w:t>
      </w:r>
      <w:r>
        <w:rPr>
          <w:rFonts w:hint="eastAsia" w:ascii="宋体" w:hAnsi="宋体" w:cs="宋体"/>
          <w:b/>
          <w:bCs/>
          <w:sz w:val="24"/>
          <w:szCs w:val="24"/>
        </w:rPr>
        <w:t>格式见附件</w:t>
      </w:r>
      <w:r>
        <w:rPr>
          <w:rFonts w:hint="eastAsia" w:ascii="宋体" w:hAnsi="宋体" w:cs="宋体"/>
          <w:bCs/>
          <w:sz w:val="24"/>
          <w:szCs w:val="24"/>
        </w:rPr>
        <w:t>）；</w:t>
      </w:r>
    </w:p>
    <w:p>
      <w:pPr>
        <w:tabs>
          <w:tab w:val="left" w:pos="420"/>
          <w:tab w:val="left" w:pos="945"/>
          <w:tab w:val="left" w:pos="1155"/>
        </w:tabs>
        <w:spacing w:line="360" w:lineRule="auto"/>
        <w:ind w:firstLine="480" w:firstLineChars="200"/>
        <w:rPr>
          <w:rFonts w:hint="eastAsia" w:ascii="宋体" w:hAnsi="宋体" w:cs="宋体"/>
          <w:bCs/>
          <w:sz w:val="24"/>
          <w:szCs w:val="24"/>
        </w:rPr>
      </w:pPr>
      <w:r>
        <w:rPr>
          <w:rFonts w:hint="eastAsia" w:ascii="宋体" w:hAnsi="宋体" w:cs="宋体"/>
          <w:sz w:val="24"/>
        </w:rPr>
        <w:t>*</w:t>
      </w:r>
      <w:r>
        <w:rPr>
          <w:rFonts w:hint="eastAsia" w:ascii="宋体" w:hAnsi="宋体" w:cs="宋体"/>
          <w:kern w:val="0"/>
          <w:sz w:val="24"/>
        </w:rPr>
        <w:t>注：供应商已按《无锡市政府采购供应商注册登记管理办法》（锡财购〔2012〕3号）文件要求入供应商库的，可注册入库（详见http://cz.wuxi.gov.cn/doc</w:t>
      </w:r>
      <w:r>
        <w:rPr>
          <w:rFonts w:hint="eastAsia" w:ascii="宋体" w:hAnsi="宋体" w:cs="宋体"/>
          <w:kern w:val="0"/>
          <w:sz w:val="24"/>
        </w:rPr>
        <w:br w:type="textWrapping"/>
      </w:r>
      <w:r>
        <w:rPr>
          <w:rFonts w:hint="eastAsia" w:ascii="宋体" w:hAnsi="宋体" w:cs="宋体"/>
          <w:kern w:val="0"/>
          <w:sz w:val="24"/>
        </w:rPr>
        <w:t>/2012/10/11/51585.shtml）成功后，从网上下载打印《无锡市政府采购注册供应商资格信息登记表》（以下简称信息登记表），并经法定代表人签字和加盖公章后,可作为供应商响应文件的有效组成部分提交采购代理机构。信息登记表所记录的信息如能反映供应商具备对应资格条件项的，在本项目评审时，可凭信息登记表免于提供相应的资格、资信证明材料的原件或公证件，否则必须按要求提供相应的资格、资信证明材料原件或公证件来予以证明。</w:t>
      </w:r>
      <w:r>
        <w:rPr>
          <w:rFonts w:hint="eastAsia" w:ascii="宋体" w:hAnsi="宋体" w:cs="宋体"/>
          <w:kern w:val="0"/>
          <w:sz w:val="24"/>
        </w:rPr>
        <w:br w:type="textWrapping"/>
      </w:r>
      <w:r>
        <w:rPr>
          <w:rFonts w:hint="eastAsia" w:ascii="宋体" w:hAnsi="宋体" w:cs="宋体"/>
          <w:kern w:val="0"/>
          <w:sz w:val="24"/>
        </w:rPr>
        <w:t>上述证明文件中的资格、资信证明文件必须全部提供,若供应商为联合体报价，须同时提供联合体单位的资格、资信证明文件。其中要求提交的原件或公证件必须与响应文件同时提交，如果原件正在年检（或换证），则必须提供法定年检（或换证）单位出具的有效证明原件。供应商法定代表人或被授权代表为外籍、港、澳、台地区人士的，其身份证明须提供有效的护照或港澳同胞来往内地通行证、台湾同胞来往大陆通行证，或其它可在中国大陆有效居留的许可证明。否则必须提供原件或公证件来予以证明。供应商所提交的证明文件的完整与否，将直接影响其响应文件的审核和评分结果。</w:t>
      </w:r>
    </w:p>
    <w:p>
      <w:pPr>
        <w:spacing w:line="360" w:lineRule="auto"/>
        <w:ind w:firstLine="480" w:firstLineChars="200"/>
        <w:rPr>
          <w:rFonts w:hint="eastAsia" w:ascii="宋体" w:hAnsi="宋体" w:cs="宋体"/>
          <w:sz w:val="24"/>
        </w:rPr>
      </w:pPr>
      <w:r>
        <w:rPr>
          <w:rFonts w:hint="eastAsia" w:ascii="宋体" w:hAnsi="宋体" w:cs="宋体"/>
          <w:sz w:val="24"/>
        </w:rPr>
        <w:t>第二部分：补充性文件：</w:t>
      </w:r>
    </w:p>
    <w:p>
      <w:pPr>
        <w:spacing w:line="360" w:lineRule="auto"/>
        <w:ind w:firstLine="480" w:firstLineChars="200"/>
        <w:rPr>
          <w:rFonts w:hint="eastAsia" w:ascii="宋体" w:hAnsi="宋体" w:cs="宋体"/>
          <w:sz w:val="24"/>
        </w:rPr>
      </w:pPr>
      <w:r>
        <w:rPr>
          <w:rFonts w:hint="eastAsia" w:ascii="宋体" w:hAnsi="宋体" w:cs="宋体"/>
          <w:sz w:val="24"/>
        </w:rPr>
        <w:t>（1）供应商简介和经营情况说明；</w:t>
      </w:r>
    </w:p>
    <w:p>
      <w:pPr>
        <w:spacing w:line="360" w:lineRule="auto"/>
        <w:ind w:firstLine="480" w:firstLineChars="200"/>
        <w:rPr>
          <w:rFonts w:hint="eastAsia" w:ascii="宋体" w:hAnsi="宋体" w:cs="宋体"/>
          <w:sz w:val="24"/>
        </w:rPr>
      </w:pPr>
      <w:r>
        <w:rPr>
          <w:rFonts w:hint="eastAsia" w:ascii="宋体" w:hAnsi="宋体" w:cs="宋体"/>
          <w:sz w:val="24"/>
        </w:rPr>
        <w:t>（2）供应商认为有必要提供的其他证明材料（参照评分标准要求）。</w:t>
      </w:r>
    </w:p>
    <w:p>
      <w:pPr>
        <w:spacing w:line="360" w:lineRule="auto"/>
        <w:ind w:firstLine="480" w:firstLineChars="200"/>
        <w:rPr>
          <w:rFonts w:hint="eastAsia" w:ascii="宋体" w:hAnsi="宋体" w:cs="宋体"/>
          <w:sz w:val="24"/>
        </w:rPr>
      </w:pPr>
      <w:r>
        <w:rPr>
          <w:rFonts w:hint="eastAsia" w:ascii="宋体" w:hAnsi="宋体" w:cs="宋体"/>
          <w:sz w:val="24"/>
        </w:rPr>
        <w:t>（3）如是中小企业的，提供《中小企业声明函》（格式见附件）。</w:t>
      </w:r>
    </w:p>
    <w:p>
      <w:pPr>
        <w:spacing w:line="360" w:lineRule="auto"/>
        <w:ind w:firstLine="480" w:firstLineChars="200"/>
        <w:rPr>
          <w:rFonts w:hint="eastAsia" w:ascii="宋体" w:hAnsi="宋体" w:cs="宋体"/>
          <w:sz w:val="24"/>
        </w:rPr>
      </w:pPr>
      <w:r>
        <w:rPr>
          <w:rFonts w:hint="eastAsia" w:ascii="宋体" w:hAnsi="宋体" w:cs="宋体"/>
          <w:sz w:val="24"/>
        </w:rPr>
        <w:t>（4）残疾人福利性单位声明函（如是，格式见附件）</w:t>
      </w:r>
    </w:p>
    <w:p>
      <w:pPr>
        <w:spacing w:line="360" w:lineRule="auto"/>
        <w:ind w:firstLine="480" w:firstLineChars="200"/>
        <w:rPr>
          <w:rFonts w:hint="eastAsia" w:ascii="宋体" w:hAnsi="宋体" w:cs="宋体"/>
          <w:sz w:val="24"/>
        </w:rPr>
      </w:pPr>
      <w:r>
        <w:rPr>
          <w:rFonts w:hint="eastAsia" w:ascii="宋体" w:hAnsi="宋体" w:cs="宋体"/>
          <w:sz w:val="24"/>
        </w:rPr>
        <w:t>2、响应函部分：</w:t>
      </w:r>
    </w:p>
    <w:p>
      <w:pPr>
        <w:spacing w:line="360" w:lineRule="auto"/>
        <w:ind w:firstLine="480" w:firstLineChars="200"/>
        <w:rPr>
          <w:rFonts w:hint="eastAsia" w:ascii="宋体" w:hAnsi="宋体" w:cs="宋体"/>
          <w:sz w:val="24"/>
        </w:rPr>
      </w:pPr>
      <w:r>
        <w:rPr>
          <w:rFonts w:hint="eastAsia" w:ascii="宋体" w:hAnsi="宋体" w:cs="宋体"/>
          <w:sz w:val="24"/>
        </w:rPr>
        <w:t>（1）响应函（格式见附件）；</w:t>
      </w:r>
    </w:p>
    <w:p>
      <w:pPr>
        <w:spacing w:line="360" w:lineRule="auto"/>
        <w:ind w:firstLine="480" w:firstLineChars="200"/>
        <w:rPr>
          <w:rFonts w:hint="eastAsia" w:ascii="宋体" w:hAnsi="宋体" w:cs="宋体"/>
          <w:sz w:val="24"/>
        </w:rPr>
      </w:pPr>
      <w:r>
        <w:rPr>
          <w:rFonts w:hint="eastAsia" w:ascii="宋体" w:hAnsi="宋体" w:cs="宋体"/>
          <w:sz w:val="24"/>
        </w:rPr>
        <w:t>（2）开标一览表（格式见附件）；</w:t>
      </w:r>
    </w:p>
    <w:p>
      <w:pPr>
        <w:spacing w:line="360" w:lineRule="auto"/>
        <w:ind w:firstLine="480" w:firstLineChars="200"/>
        <w:rPr>
          <w:rFonts w:hint="eastAsia" w:ascii="宋体" w:hAnsi="宋体" w:cs="宋体"/>
          <w:sz w:val="24"/>
        </w:rPr>
      </w:pPr>
      <w:r>
        <w:rPr>
          <w:rFonts w:hint="eastAsia" w:ascii="宋体" w:hAnsi="宋体" w:cs="宋体"/>
          <w:sz w:val="24"/>
        </w:rPr>
        <w:t>（3）细目报价表（格式见附件）；</w:t>
      </w:r>
    </w:p>
    <w:p>
      <w:pPr>
        <w:spacing w:line="360" w:lineRule="auto"/>
        <w:ind w:firstLine="480" w:firstLineChars="200"/>
        <w:rPr>
          <w:rFonts w:hint="eastAsia" w:ascii="宋体" w:hAnsi="宋体" w:cs="宋体"/>
          <w:sz w:val="24"/>
        </w:rPr>
      </w:pPr>
      <w:r>
        <w:rPr>
          <w:rFonts w:hint="eastAsia" w:ascii="宋体" w:hAnsi="宋体" w:cs="宋体"/>
          <w:sz w:val="24"/>
        </w:rPr>
        <w:t>（4）项目具体财务分析表（格式见附件）；</w:t>
      </w:r>
    </w:p>
    <w:p>
      <w:pPr>
        <w:spacing w:line="360" w:lineRule="auto"/>
        <w:ind w:firstLine="480" w:firstLineChars="200"/>
        <w:rPr>
          <w:rFonts w:hint="eastAsia" w:ascii="宋体" w:hAnsi="宋体" w:cs="宋体"/>
          <w:sz w:val="24"/>
        </w:rPr>
      </w:pPr>
      <w:r>
        <w:rPr>
          <w:rFonts w:hint="eastAsia" w:ascii="宋体" w:hAnsi="宋体" w:cs="宋体"/>
          <w:sz w:val="24"/>
        </w:rPr>
        <w:t>暗标部分：</w:t>
      </w:r>
    </w:p>
    <w:p>
      <w:pPr>
        <w:spacing w:line="360" w:lineRule="auto"/>
        <w:ind w:firstLine="480" w:firstLineChars="200"/>
        <w:rPr>
          <w:rFonts w:hint="eastAsia" w:ascii="宋体" w:hAnsi="宋体" w:cs="宋体"/>
          <w:sz w:val="24"/>
        </w:rPr>
      </w:pPr>
      <w:r>
        <w:rPr>
          <w:rFonts w:hint="eastAsia" w:ascii="宋体" w:hAnsi="宋体" w:cs="宋体"/>
          <w:sz w:val="24"/>
        </w:rPr>
        <w:t>4、技术标，主要包括以下内容：</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 投融资方案，包括但不限于；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（a）社会资本须根据招标文件的有关规定，以及本项目运营方案需要的初始投资和运营成本的基础上，准备本项目财务方案；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（b）项目公司注册后，项目公司承担融资交割任务；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（c）融资方案：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①项目的总投资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②项目融资资金来源、贷款和资本金的比例（包括社会资本向项目注入资本金的金额、比例、出资方式、时间和方法等内容）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③债务偿还计划及融资成本</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④合作期内更新改造投资</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（d）财务分析/垃圾处理服务费价格方案及分析：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①投标经济参数汇总表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②项目投资总造价估算书及计算依据</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③垃圾处理服务费单价的价格组成及计算依据</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④垃圾处理项目主要经济效益指标</w:t>
      </w:r>
    </w:p>
    <w:p>
      <w:pPr>
        <w:adjustRightInd w:val="0"/>
        <w:snapToGrid w:val="0"/>
        <w:spacing w:line="360" w:lineRule="auto"/>
        <w:ind w:left="480"/>
        <w:rPr>
          <w:rFonts w:hint="eastAsia" w:ascii="宋体" w:hAnsi="宋体" w:cs="宋体"/>
          <w:sz w:val="24"/>
          <w:szCs w:val="24"/>
        </w:rPr>
      </w:pPr>
      <w:r>
        <w:rPr>
          <w:rFonts w:hint="eastAsia" w:ascii="宋体" w:hAnsi="宋体" w:cs="宋体"/>
          <w:b/>
          <w:bCs/>
          <w:sz w:val="24"/>
          <w:szCs w:val="24"/>
        </w:rPr>
        <w:t>（2） 运营方案，包括但不限于：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（a）项目公司人员组织方案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（b）项目人力资源管理方案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（c）项目运行管理方案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（d）项目设备管理与维护方案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（e）设备、设施更新改造方案</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（f）项目风险应对及安全管理方案</w:t>
      </w:r>
    </w:p>
    <w:p>
      <w:pPr>
        <w:adjustRightInd w:val="0"/>
        <w:snapToGrid w:val="0"/>
        <w:spacing w:line="360" w:lineRule="auto"/>
        <w:ind w:left="480"/>
        <w:rPr>
          <w:rFonts w:hint="eastAsia" w:ascii="宋体" w:hAnsi="宋体" w:cs="宋体"/>
          <w:b/>
          <w:bCs/>
          <w:sz w:val="24"/>
          <w:szCs w:val="24"/>
        </w:rPr>
      </w:pPr>
      <w:r>
        <w:rPr>
          <w:rFonts w:hint="eastAsia" w:ascii="宋体" w:hAnsi="宋体" w:cs="宋体"/>
          <w:b/>
          <w:bCs/>
          <w:sz w:val="24"/>
          <w:szCs w:val="24"/>
        </w:rPr>
        <w:t>（3）移交方案，包括但不限于：</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（a）项目移交的技术状态保障承诺</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（b）项目的移交范围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（c）对项目接收方人员的培训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（d）项目后期维护保障承诺。</w:t>
      </w:r>
    </w:p>
    <w:p>
      <w:pPr>
        <w:spacing w:line="360" w:lineRule="auto"/>
        <w:ind w:firstLine="480" w:firstLineChars="200"/>
        <w:rPr>
          <w:rFonts w:hint="eastAsia" w:ascii="宋体" w:hAnsi="宋体" w:cs="宋体"/>
          <w:sz w:val="24"/>
        </w:rPr>
      </w:pPr>
      <w:r>
        <w:rPr>
          <w:rFonts w:hint="eastAsia" w:ascii="宋体" w:hAnsi="宋体" w:cs="宋体"/>
          <w:sz w:val="24"/>
        </w:rPr>
        <w:t>七、我方同意按磋商文件中的规定，本响应文件报价的有效期限为成交通知书发出之日起90天。</w:t>
      </w:r>
    </w:p>
    <w:p>
      <w:pPr>
        <w:spacing w:line="360" w:lineRule="auto"/>
        <w:ind w:firstLine="480" w:firstLineChars="200"/>
        <w:rPr>
          <w:rFonts w:hint="eastAsia" w:ascii="宋体" w:hAnsi="宋体" w:cs="宋体"/>
          <w:sz w:val="24"/>
        </w:rPr>
      </w:pPr>
      <w:r>
        <w:rPr>
          <w:rFonts w:hint="eastAsia" w:ascii="宋体" w:hAnsi="宋体" w:cs="宋体"/>
          <w:sz w:val="24"/>
        </w:rPr>
        <w:t>八、如果我方的响应文件被接受，我方将履行磋商文件中规定的每一项要求。</w:t>
      </w:r>
    </w:p>
    <w:p>
      <w:pPr>
        <w:spacing w:line="360" w:lineRule="auto"/>
        <w:ind w:firstLine="480" w:firstLineChars="200"/>
        <w:rPr>
          <w:rFonts w:hint="eastAsia" w:ascii="宋体" w:hAnsi="宋体" w:cs="宋体"/>
          <w:sz w:val="24"/>
        </w:rPr>
      </w:pPr>
      <w:r>
        <w:rPr>
          <w:rFonts w:hint="eastAsia" w:ascii="宋体" w:hAnsi="宋体" w:cs="宋体"/>
          <w:sz w:val="24"/>
        </w:rPr>
        <w:t>九、我方认为你们有权决定成交人。</w:t>
      </w:r>
    </w:p>
    <w:p>
      <w:pPr>
        <w:spacing w:line="360" w:lineRule="auto"/>
        <w:ind w:firstLine="480" w:firstLineChars="200"/>
        <w:rPr>
          <w:rFonts w:hint="eastAsia" w:ascii="宋体" w:hAnsi="宋体" w:cs="宋体"/>
          <w:sz w:val="24"/>
        </w:rPr>
      </w:pPr>
      <w:r>
        <w:rPr>
          <w:rFonts w:hint="eastAsia" w:ascii="宋体" w:hAnsi="宋体" w:cs="宋体"/>
          <w:sz w:val="24"/>
        </w:rPr>
        <w:t>十、我方愿意遵守《中华人民共和国政府采购法》，并按《中华人民共和国合同法》和合同条款履行自己的全部责任。在合同履行过程中，双方如有争议，由普信国际工程咨询有限公司协调解决。如协商不能解决，双方可向无锡仲裁委员会按其仲裁规则申请仲裁，</w:t>
      </w:r>
    </w:p>
    <w:p>
      <w:pPr>
        <w:spacing w:line="360" w:lineRule="auto"/>
        <w:ind w:firstLine="480" w:firstLineChars="200"/>
        <w:rPr>
          <w:rFonts w:hint="eastAsia" w:ascii="宋体" w:hAnsi="宋体" w:cs="宋体"/>
          <w:sz w:val="24"/>
        </w:rPr>
      </w:pPr>
      <w:r>
        <w:rPr>
          <w:rFonts w:hint="eastAsia" w:ascii="宋体" w:hAnsi="宋体" w:cs="宋体"/>
          <w:sz w:val="24"/>
        </w:rPr>
        <w:t>十一、我方认可并保证遵守磋商文件的所有规定，放弃对磋商文件提出质疑的权利。</w:t>
      </w:r>
    </w:p>
    <w:p>
      <w:pPr>
        <w:spacing w:line="360" w:lineRule="auto"/>
        <w:ind w:firstLine="480" w:firstLineChars="200"/>
        <w:rPr>
          <w:rFonts w:hint="eastAsia" w:ascii="宋体" w:hAnsi="宋体" w:cs="宋体"/>
          <w:sz w:val="24"/>
        </w:rPr>
      </w:pPr>
      <w:r>
        <w:rPr>
          <w:rFonts w:hint="eastAsia" w:ascii="宋体" w:hAnsi="宋体" w:cs="宋体"/>
          <w:sz w:val="24"/>
        </w:rPr>
        <w:t>十二、我方愿意按磋商文件的规定交纳人民币</w:t>
      </w:r>
      <w:r>
        <w:rPr>
          <w:rFonts w:hint="eastAsia" w:ascii="宋体" w:hAnsi="宋体" w:cs="宋体"/>
          <w:b/>
          <w:sz w:val="24"/>
          <w:u w:val="single"/>
        </w:rPr>
        <w:t xml:space="preserve">    万元</w:t>
      </w:r>
      <w:r>
        <w:rPr>
          <w:rFonts w:hint="eastAsia" w:ascii="宋体" w:hAnsi="宋体" w:cs="宋体"/>
          <w:sz w:val="24"/>
        </w:rPr>
        <w:t>的磋商保证金。如我放在报价截止期后撤回报价及成交拒绝遵守报价承诺或拒绝在规定的时间内与采购人签订合同，则磋商保证金将被贵方没收。</w:t>
      </w:r>
    </w:p>
    <w:p>
      <w:pPr>
        <w:spacing w:line="360" w:lineRule="auto"/>
        <w:ind w:firstLine="480" w:firstLineChars="200"/>
        <w:rPr>
          <w:rFonts w:hint="eastAsia" w:ascii="宋体" w:hAnsi="宋体" w:cs="宋体"/>
          <w:sz w:val="24"/>
        </w:rPr>
      </w:pPr>
      <w:r>
        <w:rPr>
          <w:rFonts w:hint="eastAsia" w:ascii="宋体" w:hAnsi="宋体" w:cs="宋体"/>
          <w:sz w:val="24"/>
        </w:rPr>
        <w:t>十三、如果我方被确定为成交人，我方愿意在签订合同时交纳成交合同总金额10%的履约保证金。且我方如无不可抗力，又未履行磋商文件、响应文件合同条款的，一经查实，我方愿意赔偿由此而造成的一切损失，并同意接受按磋商文件的相关要求对我方进行的处理。</w:t>
      </w:r>
    </w:p>
    <w:p>
      <w:pPr>
        <w:widowControl/>
        <w:topLinePunct/>
        <w:spacing w:before="4" w:line="360" w:lineRule="auto"/>
        <w:rPr>
          <w:rFonts w:hint="eastAsia" w:ascii="宋体" w:hAnsi="宋体" w:cs="宋体"/>
          <w:sz w:val="24"/>
        </w:rPr>
      </w:pPr>
    </w:p>
    <w:p>
      <w:pPr>
        <w:widowControl/>
        <w:topLinePunct/>
        <w:spacing w:before="4" w:line="360" w:lineRule="auto"/>
        <w:rPr>
          <w:rFonts w:hint="eastAsia" w:ascii="宋体" w:hAnsi="宋体" w:cs="宋体"/>
          <w:sz w:val="24"/>
        </w:rPr>
      </w:pPr>
    </w:p>
    <w:p>
      <w:pPr>
        <w:widowControl/>
        <w:topLinePunct/>
        <w:spacing w:before="4" w:line="360" w:lineRule="auto"/>
        <w:rPr>
          <w:rFonts w:hint="eastAsia" w:ascii="宋体" w:hAnsi="宋体" w:cs="宋体"/>
          <w:sz w:val="24"/>
        </w:rPr>
      </w:pPr>
    </w:p>
    <w:p>
      <w:pPr>
        <w:widowControl/>
        <w:topLinePunct/>
        <w:spacing w:before="4" w:line="360" w:lineRule="auto"/>
        <w:rPr>
          <w:rFonts w:hint="eastAsia" w:ascii="宋体" w:hAnsi="宋体" w:cs="宋体"/>
          <w:sz w:val="24"/>
        </w:rPr>
      </w:pPr>
    </w:p>
    <w:p>
      <w:pPr>
        <w:widowControl/>
        <w:topLinePunct/>
        <w:spacing w:before="4" w:line="360" w:lineRule="auto"/>
        <w:rPr>
          <w:rFonts w:hint="eastAsia" w:ascii="宋体" w:hAnsi="宋体" w:cs="宋体"/>
          <w:sz w:val="24"/>
        </w:rPr>
      </w:pPr>
      <w:r>
        <w:rPr>
          <w:rFonts w:hint="eastAsia" w:ascii="宋体" w:hAnsi="宋体" w:cs="宋体"/>
          <w:sz w:val="24"/>
        </w:rPr>
        <w:t>供应商：（盖章）</w:t>
      </w:r>
    </w:p>
    <w:p>
      <w:pPr>
        <w:widowControl/>
        <w:topLinePunct/>
        <w:spacing w:before="4" w:line="360" w:lineRule="auto"/>
        <w:rPr>
          <w:rFonts w:hint="eastAsia" w:ascii="宋体" w:hAnsi="宋体" w:cs="宋体"/>
          <w:sz w:val="24"/>
        </w:rPr>
      </w:pPr>
      <w:r>
        <w:rPr>
          <w:rFonts w:hint="eastAsia" w:ascii="宋体" w:hAnsi="宋体" w:cs="宋体"/>
          <w:sz w:val="24"/>
        </w:rPr>
        <w:t>法定代表人或被授权代表：（签字或盖章）</w:t>
      </w:r>
    </w:p>
    <w:p>
      <w:pPr>
        <w:widowControl/>
        <w:topLinePunct/>
        <w:spacing w:before="4" w:line="360" w:lineRule="auto"/>
        <w:rPr>
          <w:rFonts w:hint="eastAsia" w:ascii="宋体" w:hAnsi="宋体" w:cs="宋体"/>
          <w:sz w:val="24"/>
        </w:rPr>
      </w:pPr>
      <w:r>
        <w:rPr>
          <w:rFonts w:hint="eastAsia" w:ascii="宋体" w:hAnsi="宋体" w:cs="宋体"/>
          <w:sz w:val="24"/>
        </w:rPr>
        <w:t>电话：                   传真：</w:t>
      </w:r>
    </w:p>
    <w:p>
      <w:pPr>
        <w:widowControl/>
        <w:topLinePunct/>
        <w:spacing w:before="4" w:line="360" w:lineRule="auto"/>
        <w:rPr>
          <w:rFonts w:hint="eastAsia" w:ascii="宋体" w:hAnsi="宋体" w:cs="宋体"/>
          <w:sz w:val="24"/>
        </w:rPr>
      </w:pPr>
      <w:r>
        <w:rPr>
          <w:rFonts w:hint="eastAsia" w:ascii="宋体" w:hAnsi="宋体" w:cs="宋体"/>
          <w:sz w:val="24"/>
        </w:rPr>
        <w:t>地址：                   邮编：</w:t>
      </w:r>
    </w:p>
    <w:p>
      <w:pPr>
        <w:widowControl/>
        <w:topLinePunct/>
        <w:spacing w:before="4" w:line="360" w:lineRule="auto"/>
        <w:rPr>
          <w:rFonts w:hint="eastAsia" w:ascii="宋体" w:hAnsi="宋体" w:cs="宋体"/>
          <w:sz w:val="24"/>
        </w:rPr>
      </w:pPr>
      <w:r>
        <w:rPr>
          <w:rFonts w:hint="eastAsia" w:ascii="宋体" w:hAnsi="宋体" w:cs="宋体"/>
          <w:sz w:val="24"/>
        </w:rPr>
        <w:t>开户名称：</w:t>
      </w:r>
    </w:p>
    <w:p>
      <w:pPr>
        <w:widowControl/>
        <w:topLinePunct/>
        <w:spacing w:before="4" w:line="360" w:lineRule="auto"/>
        <w:rPr>
          <w:rFonts w:hint="eastAsia" w:ascii="宋体" w:hAnsi="宋体" w:cs="宋体"/>
          <w:sz w:val="24"/>
        </w:rPr>
      </w:pPr>
      <w:r>
        <w:rPr>
          <w:rFonts w:hint="eastAsia" w:ascii="宋体" w:hAnsi="宋体" w:cs="宋体"/>
          <w:sz w:val="24"/>
        </w:rPr>
        <w:t>开户银行：</w:t>
      </w:r>
    </w:p>
    <w:p>
      <w:pPr>
        <w:widowControl/>
        <w:topLinePunct/>
        <w:spacing w:before="4" w:line="360" w:lineRule="auto"/>
        <w:rPr>
          <w:rFonts w:hint="eastAsia" w:ascii="宋体" w:hAnsi="宋体" w:cs="宋体"/>
          <w:sz w:val="24"/>
        </w:rPr>
      </w:pPr>
      <w:r>
        <w:rPr>
          <w:rFonts w:hint="eastAsia" w:ascii="宋体" w:hAnsi="宋体" w:cs="宋体"/>
          <w:sz w:val="24"/>
        </w:rPr>
        <w:t>开户账号：</w:t>
      </w:r>
    </w:p>
    <w:p>
      <w:pPr>
        <w:spacing w:line="360" w:lineRule="auto"/>
        <w:ind w:firstLine="420" w:firstLineChars="175"/>
        <w:jc w:val="center"/>
        <w:outlineLvl w:val="0"/>
        <w:rPr>
          <w:rFonts w:hint="eastAsia" w:ascii="宋体" w:hAnsi="宋体" w:cs="宋体"/>
          <w:bCs/>
          <w:sz w:val="30"/>
          <w:szCs w:val="30"/>
        </w:rPr>
      </w:pPr>
      <w:r>
        <w:rPr>
          <w:rFonts w:hint="eastAsia" w:ascii="宋体" w:hAnsi="宋体" w:cs="宋体"/>
          <w:sz w:val="24"/>
        </w:rPr>
        <w:br w:type="page"/>
      </w:r>
      <w:r>
        <w:rPr>
          <w:rFonts w:hint="eastAsia" w:ascii="宋体" w:hAnsi="宋体" w:cs="宋体"/>
          <w:bCs/>
          <w:sz w:val="30"/>
          <w:szCs w:val="30"/>
        </w:rPr>
        <w:t>开标一览表</w:t>
      </w:r>
    </w:p>
    <w:p>
      <w:pPr>
        <w:adjustRightInd w:val="0"/>
        <w:snapToGrid w:val="0"/>
        <w:spacing w:line="360" w:lineRule="auto"/>
        <w:jc w:val="center"/>
        <w:rPr>
          <w:rFonts w:hint="eastAsia" w:ascii="宋体" w:hAnsi="宋体" w:cs="宋体"/>
          <w:sz w:val="24"/>
        </w:rPr>
      </w:pPr>
    </w:p>
    <w:p>
      <w:pPr>
        <w:adjustRightInd w:val="0"/>
        <w:snapToGrid w:val="0"/>
        <w:spacing w:line="360" w:lineRule="auto"/>
        <w:rPr>
          <w:rFonts w:hint="eastAsia" w:ascii="宋体" w:hAnsi="宋体" w:cs="宋体"/>
          <w:bCs/>
          <w:sz w:val="24"/>
        </w:rPr>
      </w:pPr>
      <w:r>
        <w:rPr>
          <w:rFonts w:hint="eastAsia" w:ascii="宋体" w:hAnsi="宋体" w:cs="宋体"/>
          <w:sz w:val="24"/>
        </w:rPr>
        <w:t xml:space="preserve">供应商全称（加盖公章）：  </w:t>
      </w:r>
      <w:r>
        <w:rPr>
          <w:rFonts w:hint="eastAsia" w:ascii="宋体" w:hAnsi="宋体" w:cs="宋体"/>
          <w:sz w:val="24"/>
          <w:szCs w:val="28"/>
        </w:rPr>
        <w:t xml:space="preserve">                                   采购</w:t>
      </w:r>
      <w:r>
        <w:rPr>
          <w:rFonts w:hint="eastAsia" w:ascii="宋体" w:hAnsi="宋体" w:cs="宋体"/>
          <w:bCs/>
          <w:sz w:val="24"/>
        </w:rPr>
        <w:t>编号：</w:t>
      </w:r>
    </w:p>
    <w:tbl>
      <w:tblPr>
        <w:tblStyle w:val="54"/>
        <w:tblW w:w="0" w:type="auto"/>
        <w:tblInd w:w="96" w:type="dxa"/>
        <w:tblLayout w:type="fixed"/>
        <w:tblCellMar>
          <w:top w:w="0" w:type="dxa"/>
          <w:left w:w="108" w:type="dxa"/>
          <w:bottom w:w="0" w:type="dxa"/>
          <w:right w:w="108" w:type="dxa"/>
        </w:tblCellMar>
      </w:tblPr>
      <w:tblGrid>
        <w:gridCol w:w="4412"/>
        <w:gridCol w:w="4968"/>
      </w:tblGrid>
      <w:tr>
        <w:tblPrEx>
          <w:tblCellMar>
            <w:top w:w="0" w:type="dxa"/>
            <w:left w:w="108" w:type="dxa"/>
            <w:bottom w:w="0" w:type="dxa"/>
            <w:right w:w="108" w:type="dxa"/>
          </w:tblCellMar>
        </w:tblPrEx>
        <w:trPr>
          <w:trHeight w:val="1244" w:hRule="atLeast"/>
        </w:trPr>
        <w:tc>
          <w:tcPr>
            <w:tcW w:w="44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sz w:val="24"/>
              </w:rPr>
            </w:pPr>
            <w:r>
              <w:rPr>
                <w:rFonts w:hint="eastAsia" w:ascii="宋体" w:hAnsi="宋体" w:cs="宋体"/>
                <w:sz w:val="24"/>
              </w:rPr>
              <w:t>项目总报价</w:t>
            </w:r>
          </w:p>
          <w:p>
            <w:pPr>
              <w:widowControl/>
              <w:spacing w:line="360" w:lineRule="auto"/>
              <w:jc w:val="center"/>
              <w:rPr>
                <w:rFonts w:hint="eastAsia" w:ascii="宋体" w:hAnsi="宋体" w:cs="宋体"/>
                <w:b/>
                <w:bCs/>
                <w:sz w:val="24"/>
              </w:rPr>
            </w:pPr>
            <w:r>
              <w:rPr>
                <w:rFonts w:hint="eastAsia" w:ascii="宋体" w:hAnsi="宋体" w:cs="宋体"/>
                <w:sz w:val="24"/>
              </w:rPr>
              <w:t>（人民币）</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大写：</w:t>
            </w: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小写：</w:t>
            </w:r>
          </w:p>
        </w:tc>
      </w:tr>
      <w:tr>
        <w:tblPrEx>
          <w:tblCellMar>
            <w:top w:w="0" w:type="dxa"/>
            <w:left w:w="108" w:type="dxa"/>
            <w:bottom w:w="0" w:type="dxa"/>
            <w:right w:w="108" w:type="dxa"/>
          </w:tblCellMar>
        </w:tblPrEx>
        <w:trPr>
          <w:trHeight w:val="935" w:hRule="atLeast"/>
        </w:trPr>
        <w:tc>
          <w:tcPr>
            <w:tcW w:w="44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sz w:val="24"/>
              </w:rPr>
            </w:pPr>
            <w:r>
              <w:rPr>
                <w:rFonts w:hint="eastAsia" w:ascii="宋体" w:hAnsi="宋体" w:cs="宋体"/>
                <w:sz w:val="24"/>
              </w:rPr>
              <w:t>其中属于小、微</w:t>
            </w:r>
            <w:r>
              <w:rPr>
                <w:rFonts w:hint="eastAsia" w:ascii="宋体" w:hAnsi="宋体" w:cs="宋体"/>
                <w:sz w:val="24"/>
                <w:szCs w:val="22"/>
              </w:rPr>
              <w:t>型企业/监狱企业/残疾人福利性单位产品的价格合计</w:t>
            </w:r>
          </w:p>
        </w:tc>
        <w:tc>
          <w:tcPr>
            <w:tcW w:w="49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kern w:val="0"/>
                <w:sz w:val="24"/>
              </w:rPr>
            </w:pPr>
            <w:r>
              <w:rPr>
                <w:rFonts w:hint="eastAsia" w:ascii="宋体" w:hAnsi="宋体" w:cs="宋体"/>
                <w:kern w:val="0"/>
                <w:sz w:val="24"/>
              </w:rPr>
              <w:t>小写：</w:t>
            </w:r>
          </w:p>
        </w:tc>
      </w:tr>
    </w:tbl>
    <w:p>
      <w:pPr>
        <w:spacing w:line="360" w:lineRule="auto"/>
        <w:rPr>
          <w:rFonts w:hint="eastAsia" w:ascii="宋体" w:hAnsi="宋体" w:cs="宋体"/>
          <w:b/>
          <w:sz w:val="24"/>
        </w:rPr>
      </w:pPr>
      <w:r>
        <w:rPr>
          <w:rFonts w:hint="eastAsia" w:ascii="宋体" w:hAnsi="宋体" w:cs="宋体"/>
          <w:sz w:val="24"/>
        </w:rPr>
        <w:t>法定代表人或授权代表签字盖章：                          日期：   年   月   日</w:t>
      </w:r>
    </w:p>
    <w:p>
      <w:pPr>
        <w:spacing w:line="360" w:lineRule="auto"/>
        <w:rPr>
          <w:rFonts w:hint="eastAsia" w:ascii="宋体" w:hAnsi="宋体" w:cs="宋体"/>
          <w:b/>
          <w:sz w:val="24"/>
        </w:rPr>
      </w:pPr>
      <w:r>
        <w:rPr>
          <w:rFonts w:hint="eastAsia" w:ascii="宋体" w:hAnsi="宋体" w:cs="宋体"/>
          <w:b/>
          <w:sz w:val="24"/>
        </w:rPr>
        <w:t>注：开标一览表中的内容应与响应函内容一致，否则评标时一律按开标一览表中内容为准，开标一览表中必须按要求盖章、签字。</w:t>
      </w:r>
    </w:p>
    <w:p>
      <w:pPr>
        <w:spacing w:line="360" w:lineRule="auto"/>
        <w:rPr>
          <w:rFonts w:hint="eastAsia" w:ascii="宋体" w:hAnsi="宋体" w:cs="宋体"/>
          <w:szCs w:val="21"/>
        </w:rPr>
      </w:pPr>
    </w:p>
    <w:p>
      <w:pPr>
        <w:widowControl/>
        <w:jc w:val="left"/>
        <w:rPr>
          <w:rFonts w:hint="eastAsia" w:ascii="宋体" w:hAnsi="宋体" w:cs="宋体"/>
          <w:sz w:val="24"/>
          <w:szCs w:val="24"/>
        </w:rPr>
      </w:pPr>
      <w:r>
        <w:rPr>
          <w:rFonts w:hint="eastAsia" w:ascii="宋体" w:hAnsi="宋体" w:eastAsia="宋体" w:cs="宋体"/>
          <w:sz w:val="24"/>
          <w:szCs w:val="24"/>
        </w:rPr>
        <w:br w:type="page"/>
      </w:r>
    </w:p>
    <w:p>
      <w:pPr>
        <w:spacing w:after="156"/>
        <w:ind w:hanging="3"/>
        <w:jc w:val="center"/>
        <w:rPr>
          <w:rFonts w:hint="eastAsia" w:ascii="宋体" w:hAnsi="宋体" w:cs="宋体"/>
          <w:sz w:val="24"/>
          <w:szCs w:val="24"/>
        </w:rPr>
      </w:pPr>
      <w:r>
        <w:rPr>
          <w:rFonts w:hint="eastAsia" w:ascii="宋体" w:hAnsi="宋体" w:cs="宋体"/>
          <w:sz w:val="24"/>
          <w:szCs w:val="24"/>
        </w:rPr>
        <w:t>投资计划表</w:t>
      </w:r>
    </w:p>
    <w:p>
      <w:pPr>
        <w:spacing w:after="156"/>
        <w:ind w:hanging="3"/>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524"/>
        <w:gridCol w:w="524"/>
        <w:gridCol w:w="524"/>
        <w:gridCol w:w="524"/>
        <w:gridCol w:w="524"/>
        <w:gridCol w:w="524"/>
        <w:gridCol w:w="524"/>
        <w:gridCol w:w="534"/>
        <w:gridCol w:w="524"/>
        <w:gridCol w:w="1223"/>
        <w:gridCol w:w="525"/>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noWrap w:val="0"/>
            <w:vAlign w:val="center"/>
          </w:tcPr>
          <w:p>
            <w:pPr>
              <w:ind w:hanging="3"/>
              <w:rPr>
                <w:rFonts w:hint="eastAsia" w:ascii="宋体" w:hAnsi="宋体" w:cs="宋体"/>
                <w:kern w:val="0"/>
                <w:sz w:val="24"/>
                <w:szCs w:val="24"/>
              </w:rPr>
            </w:pPr>
            <w:r>
              <w:rPr>
                <w:rFonts w:hint="eastAsia" w:ascii="宋体" w:hAnsi="宋体" w:cs="宋体"/>
                <w:sz w:val="24"/>
                <w:szCs w:val="24"/>
              </w:rPr>
              <w:t>自然年</w:t>
            </w: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3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1223" w:type="dxa"/>
            <w:vMerge w:val="restart"/>
            <w:noWrap/>
            <w:vAlign w:val="center"/>
          </w:tcPr>
          <w:p>
            <w:pPr>
              <w:ind w:hanging="3"/>
              <w:rPr>
                <w:rFonts w:hint="eastAsia" w:ascii="宋体" w:hAnsi="宋体" w:cs="宋体"/>
                <w:sz w:val="24"/>
                <w:szCs w:val="24"/>
              </w:rPr>
            </w:pPr>
            <w:r>
              <w:rPr>
                <w:rFonts w:hint="eastAsia" w:ascii="宋体" w:hAnsi="宋体" w:cs="宋体"/>
                <w:sz w:val="24"/>
                <w:szCs w:val="24"/>
              </w:rPr>
              <w:t>… …</w:t>
            </w:r>
          </w:p>
        </w:tc>
        <w:tc>
          <w:tcPr>
            <w:tcW w:w="525" w:type="dxa"/>
            <w:noWrap/>
            <w:vAlign w:val="center"/>
          </w:tcPr>
          <w:p>
            <w:pPr>
              <w:ind w:hanging="3"/>
              <w:rPr>
                <w:rFonts w:hint="eastAsia" w:ascii="宋体" w:hAnsi="宋体" w:cs="宋体"/>
                <w:sz w:val="24"/>
                <w:szCs w:val="24"/>
              </w:rPr>
            </w:pPr>
          </w:p>
        </w:tc>
        <w:tc>
          <w:tcPr>
            <w:tcW w:w="527" w:type="dxa"/>
            <w:noWrap/>
            <w:vAlign w:val="center"/>
          </w:tcPr>
          <w:p>
            <w:pPr>
              <w:ind w:hanging="3"/>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3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1223" w:type="dxa"/>
            <w:vMerge w:val="continue"/>
            <w:noWrap w:val="0"/>
            <w:vAlign w:val="center"/>
          </w:tcPr>
          <w:p>
            <w:pPr>
              <w:ind w:hanging="3"/>
              <w:rPr>
                <w:rFonts w:hint="eastAsia" w:ascii="宋体" w:hAnsi="宋体" w:cs="宋体"/>
                <w:sz w:val="24"/>
                <w:szCs w:val="24"/>
              </w:rPr>
            </w:pPr>
          </w:p>
        </w:tc>
        <w:tc>
          <w:tcPr>
            <w:tcW w:w="525" w:type="dxa"/>
            <w:noWrap/>
            <w:vAlign w:val="center"/>
          </w:tcPr>
          <w:p>
            <w:pPr>
              <w:ind w:hanging="3"/>
              <w:rPr>
                <w:rFonts w:hint="eastAsia" w:ascii="宋体" w:hAnsi="宋体" w:cs="宋体"/>
                <w:sz w:val="24"/>
                <w:szCs w:val="24"/>
              </w:rPr>
            </w:pPr>
          </w:p>
        </w:tc>
        <w:tc>
          <w:tcPr>
            <w:tcW w:w="527" w:type="dxa"/>
            <w:noWrap/>
            <w:vAlign w:val="center"/>
          </w:tcPr>
          <w:p>
            <w:pPr>
              <w:ind w:hanging="3"/>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noWrap w:val="0"/>
            <w:vAlign w:val="center"/>
          </w:tcPr>
          <w:p>
            <w:pPr>
              <w:ind w:hanging="3"/>
              <w:rPr>
                <w:rFonts w:hint="eastAsia" w:ascii="宋体" w:hAnsi="宋体" w:cs="宋体"/>
                <w:sz w:val="24"/>
                <w:szCs w:val="24"/>
              </w:rPr>
            </w:pPr>
            <w:r>
              <w:rPr>
                <w:rFonts w:hint="eastAsia" w:ascii="宋体" w:hAnsi="宋体" w:cs="宋体"/>
                <w:sz w:val="24"/>
                <w:szCs w:val="24"/>
              </w:rPr>
              <w:t>1.资本金</w:t>
            </w: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3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1223" w:type="dxa"/>
            <w:noWrap/>
            <w:vAlign w:val="center"/>
          </w:tcPr>
          <w:p>
            <w:pPr>
              <w:ind w:hanging="3"/>
              <w:rPr>
                <w:rFonts w:hint="eastAsia" w:ascii="宋体" w:hAnsi="宋体" w:cs="宋体"/>
                <w:sz w:val="24"/>
                <w:szCs w:val="24"/>
              </w:rPr>
            </w:pPr>
          </w:p>
        </w:tc>
        <w:tc>
          <w:tcPr>
            <w:tcW w:w="525" w:type="dxa"/>
            <w:noWrap/>
            <w:vAlign w:val="center"/>
          </w:tcPr>
          <w:p>
            <w:pPr>
              <w:ind w:hanging="3"/>
              <w:rPr>
                <w:rFonts w:hint="eastAsia" w:ascii="宋体" w:hAnsi="宋体" w:cs="宋体"/>
                <w:sz w:val="24"/>
                <w:szCs w:val="24"/>
              </w:rPr>
            </w:pPr>
          </w:p>
        </w:tc>
        <w:tc>
          <w:tcPr>
            <w:tcW w:w="527" w:type="dxa"/>
            <w:noWrap/>
            <w:vAlign w:val="center"/>
          </w:tcPr>
          <w:p>
            <w:pPr>
              <w:ind w:hanging="3"/>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noWrap w:val="0"/>
            <w:vAlign w:val="center"/>
          </w:tcPr>
          <w:p>
            <w:pPr>
              <w:ind w:hanging="3"/>
              <w:rPr>
                <w:rFonts w:hint="eastAsia" w:ascii="宋体" w:hAnsi="宋体" w:cs="宋体"/>
                <w:sz w:val="24"/>
                <w:szCs w:val="24"/>
              </w:rPr>
            </w:pPr>
            <w:r>
              <w:rPr>
                <w:rFonts w:hint="eastAsia" w:ascii="宋体" w:hAnsi="宋体" w:cs="宋体"/>
                <w:sz w:val="24"/>
                <w:szCs w:val="24"/>
              </w:rPr>
              <w:t>2.贷款</w:t>
            </w: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3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1223" w:type="dxa"/>
            <w:noWrap/>
            <w:vAlign w:val="center"/>
          </w:tcPr>
          <w:p>
            <w:pPr>
              <w:ind w:hanging="3"/>
              <w:rPr>
                <w:rFonts w:hint="eastAsia" w:ascii="宋体" w:hAnsi="宋体" w:cs="宋体"/>
                <w:sz w:val="24"/>
                <w:szCs w:val="24"/>
              </w:rPr>
            </w:pPr>
          </w:p>
        </w:tc>
        <w:tc>
          <w:tcPr>
            <w:tcW w:w="525" w:type="dxa"/>
            <w:noWrap/>
            <w:vAlign w:val="center"/>
          </w:tcPr>
          <w:p>
            <w:pPr>
              <w:ind w:hanging="3"/>
              <w:rPr>
                <w:rFonts w:hint="eastAsia" w:ascii="宋体" w:hAnsi="宋体" w:cs="宋体"/>
                <w:sz w:val="24"/>
                <w:szCs w:val="24"/>
              </w:rPr>
            </w:pPr>
          </w:p>
        </w:tc>
        <w:tc>
          <w:tcPr>
            <w:tcW w:w="527" w:type="dxa"/>
            <w:noWrap/>
            <w:vAlign w:val="center"/>
          </w:tcPr>
          <w:p>
            <w:pPr>
              <w:ind w:hanging="3"/>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noWrap w:val="0"/>
            <w:vAlign w:val="center"/>
          </w:tcPr>
          <w:p>
            <w:pPr>
              <w:ind w:hanging="3"/>
              <w:rPr>
                <w:rFonts w:hint="eastAsia" w:ascii="宋体" w:hAnsi="宋体" w:cs="宋体"/>
                <w:sz w:val="24"/>
                <w:szCs w:val="24"/>
              </w:rPr>
            </w:pPr>
            <w:r>
              <w:rPr>
                <w:rFonts w:hint="eastAsia" w:ascii="宋体" w:hAnsi="宋体" w:cs="宋体"/>
                <w:sz w:val="24"/>
                <w:szCs w:val="24"/>
              </w:rPr>
              <w:t>3.……</w:t>
            </w: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534" w:type="dxa"/>
            <w:noWrap/>
            <w:vAlign w:val="center"/>
          </w:tcPr>
          <w:p>
            <w:pPr>
              <w:ind w:hanging="3"/>
              <w:rPr>
                <w:rFonts w:hint="eastAsia" w:ascii="宋体" w:hAnsi="宋体" w:cs="宋体"/>
                <w:sz w:val="24"/>
                <w:szCs w:val="24"/>
              </w:rPr>
            </w:pPr>
          </w:p>
        </w:tc>
        <w:tc>
          <w:tcPr>
            <w:tcW w:w="524" w:type="dxa"/>
            <w:noWrap/>
            <w:vAlign w:val="center"/>
          </w:tcPr>
          <w:p>
            <w:pPr>
              <w:ind w:hanging="3"/>
              <w:rPr>
                <w:rFonts w:hint="eastAsia" w:ascii="宋体" w:hAnsi="宋体" w:cs="宋体"/>
                <w:sz w:val="24"/>
                <w:szCs w:val="24"/>
              </w:rPr>
            </w:pPr>
          </w:p>
        </w:tc>
        <w:tc>
          <w:tcPr>
            <w:tcW w:w="1223" w:type="dxa"/>
            <w:noWrap/>
            <w:vAlign w:val="center"/>
          </w:tcPr>
          <w:p>
            <w:pPr>
              <w:ind w:hanging="3"/>
              <w:rPr>
                <w:rFonts w:hint="eastAsia" w:ascii="宋体" w:hAnsi="宋体" w:cs="宋体"/>
                <w:sz w:val="24"/>
                <w:szCs w:val="24"/>
              </w:rPr>
            </w:pPr>
          </w:p>
        </w:tc>
        <w:tc>
          <w:tcPr>
            <w:tcW w:w="525" w:type="dxa"/>
            <w:noWrap/>
            <w:vAlign w:val="center"/>
          </w:tcPr>
          <w:p>
            <w:pPr>
              <w:ind w:hanging="3"/>
              <w:rPr>
                <w:rFonts w:hint="eastAsia" w:ascii="宋体" w:hAnsi="宋体" w:cs="宋体"/>
                <w:sz w:val="24"/>
                <w:szCs w:val="24"/>
              </w:rPr>
            </w:pPr>
          </w:p>
        </w:tc>
        <w:tc>
          <w:tcPr>
            <w:tcW w:w="527" w:type="dxa"/>
            <w:noWrap/>
            <w:vAlign w:val="center"/>
          </w:tcPr>
          <w:p>
            <w:pPr>
              <w:ind w:hanging="3"/>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7" w:type="dxa"/>
            <w:shd w:val="clear" w:color="auto" w:fill="FFFFFF"/>
            <w:noWrap/>
            <w:vAlign w:val="center"/>
          </w:tcPr>
          <w:p>
            <w:pPr>
              <w:ind w:hanging="3"/>
              <w:rPr>
                <w:rFonts w:hint="eastAsia" w:ascii="宋体" w:hAnsi="宋体" w:cs="宋体"/>
                <w:sz w:val="24"/>
                <w:szCs w:val="24"/>
              </w:rPr>
            </w:pPr>
            <w:r>
              <w:rPr>
                <w:rFonts w:hint="eastAsia" w:ascii="宋体" w:hAnsi="宋体" w:cs="宋体"/>
                <w:sz w:val="24"/>
                <w:szCs w:val="24"/>
              </w:rPr>
              <w:t>4.总投资</w:t>
            </w:r>
          </w:p>
        </w:tc>
        <w:tc>
          <w:tcPr>
            <w:tcW w:w="52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534" w:type="dxa"/>
            <w:shd w:val="clear" w:color="auto" w:fill="FFFFFF"/>
            <w:noWrap/>
            <w:vAlign w:val="center"/>
          </w:tcPr>
          <w:p>
            <w:pPr>
              <w:ind w:hanging="3"/>
              <w:rPr>
                <w:rFonts w:hint="eastAsia" w:ascii="宋体" w:hAnsi="宋体" w:cs="宋体"/>
                <w:sz w:val="24"/>
                <w:szCs w:val="24"/>
              </w:rPr>
            </w:pPr>
          </w:p>
        </w:tc>
        <w:tc>
          <w:tcPr>
            <w:tcW w:w="524" w:type="dxa"/>
            <w:shd w:val="clear" w:color="auto" w:fill="FFFFFF"/>
            <w:noWrap/>
            <w:vAlign w:val="center"/>
          </w:tcPr>
          <w:p>
            <w:pPr>
              <w:ind w:hanging="3"/>
              <w:rPr>
                <w:rFonts w:hint="eastAsia" w:ascii="宋体" w:hAnsi="宋体" w:cs="宋体"/>
                <w:sz w:val="24"/>
                <w:szCs w:val="24"/>
              </w:rPr>
            </w:pPr>
          </w:p>
        </w:tc>
        <w:tc>
          <w:tcPr>
            <w:tcW w:w="1223" w:type="dxa"/>
            <w:shd w:val="clear" w:color="auto" w:fill="FFFFFF"/>
            <w:noWrap/>
            <w:vAlign w:val="center"/>
          </w:tcPr>
          <w:p>
            <w:pPr>
              <w:ind w:hanging="3"/>
              <w:rPr>
                <w:rFonts w:hint="eastAsia" w:ascii="宋体" w:hAnsi="宋体" w:cs="宋体"/>
                <w:sz w:val="24"/>
                <w:szCs w:val="24"/>
              </w:rPr>
            </w:pPr>
          </w:p>
        </w:tc>
        <w:tc>
          <w:tcPr>
            <w:tcW w:w="525" w:type="dxa"/>
            <w:shd w:val="clear" w:color="auto" w:fill="FFFFFF"/>
            <w:noWrap/>
            <w:vAlign w:val="center"/>
          </w:tcPr>
          <w:p>
            <w:pPr>
              <w:ind w:hanging="3"/>
              <w:rPr>
                <w:rFonts w:hint="eastAsia" w:ascii="宋体" w:hAnsi="宋体" w:cs="宋体"/>
                <w:sz w:val="24"/>
                <w:szCs w:val="24"/>
              </w:rPr>
            </w:pPr>
          </w:p>
        </w:tc>
        <w:tc>
          <w:tcPr>
            <w:tcW w:w="527" w:type="dxa"/>
            <w:shd w:val="clear" w:color="auto" w:fill="FFFFFF"/>
            <w:noWrap/>
            <w:vAlign w:val="center"/>
          </w:tcPr>
          <w:p>
            <w:pPr>
              <w:ind w:hanging="3"/>
              <w:rPr>
                <w:rFonts w:hint="eastAsia" w:ascii="宋体" w:hAnsi="宋体" w:cs="宋体"/>
                <w:sz w:val="24"/>
                <w:szCs w:val="24"/>
              </w:rPr>
            </w:pPr>
          </w:p>
        </w:tc>
      </w:tr>
    </w:tbl>
    <w:p>
      <w:pPr>
        <w:spacing w:after="156"/>
        <w:ind w:hanging="3"/>
        <w:jc w:val="left"/>
        <w:rPr>
          <w:rFonts w:hint="eastAsia" w:ascii="宋体" w:hAnsi="宋体" w:cs="宋体"/>
          <w:sz w:val="24"/>
          <w:szCs w:val="24"/>
        </w:rPr>
      </w:pPr>
    </w:p>
    <w:p>
      <w:pPr>
        <w:spacing w:after="156"/>
        <w:ind w:hanging="3"/>
        <w:jc w:val="left"/>
        <w:rPr>
          <w:rFonts w:hint="eastAsia" w:ascii="宋体" w:hAnsi="宋体" w:cs="宋体"/>
          <w:sz w:val="24"/>
          <w:szCs w:val="24"/>
        </w:rPr>
      </w:pPr>
    </w:p>
    <w:p>
      <w:pPr>
        <w:spacing w:after="156"/>
        <w:ind w:hanging="3"/>
        <w:jc w:val="cente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营业收入表</w:t>
      </w:r>
    </w:p>
    <w:p>
      <w:pPr>
        <w:spacing w:after="156"/>
        <w:ind w:hanging="3"/>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86"/>
        <w:gridCol w:w="328"/>
        <w:gridCol w:w="328"/>
        <w:gridCol w:w="328"/>
        <w:gridCol w:w="328"/>
        <w:gridCol w:w="328"/>
        <w:gridCol w:w="328"/>
        <w:gridCol w:w="328"/>
        <w:gridCol w:w="328"/>
        <w:gridCol w:w="328"/>
        <w:gridCol w:w="941"/>
        <w:gridCol w:w="329"/>
        <w:gridCol w:w="3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0"/>
            <w:vAlign w:val="center"/>
          </w:tcPr>
          <w:p>
            <w:pPr>
              <w:ind w:hanging="3"/>
              <w:rPr>
                <w:rFonts w:hint="eastAsia" w:ascii="宋体" w:hAnsi="宋体" w:cs="宋体"/>
                <w:sz w:val="24"/>
                <w:szCs w:val="24"/>
              </w:rPr>
            </w:pPr>
            <w:r>
              <w:rPr>
                <w:rFonts w:hint="eastAsia" w:ascii="宋体" w:hAnsi="宋体" w:cs="宋体"/>
                <w:sz w:val="24"/>
                <w:szCs w:val="24"/>
              </w:rPr>
              <w:t>自然年</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vMerge w:val="restart"/>
            <w:noWrap/>
            <w:vAlign w:val="center"/>
          </w:tcPr>
          <w:p>
            <w:pPr>
              <w:ind w:hanging="3"/>
              <w:rPr>
                <w:rFonts w:hint="eastAsia" w:ascii="宋体" w:hAnsi="宋体" w:cs="宋体"/>
                <w:sz w:val="24"/>
                <w:szCs w:val="24"/>
              </w:rPr>
            </w:pPr>
            <w:r>
              <w:rPr>
                <w:rFonts w:hint="eastAsia" w:ascii="宋体" w:hAnsi="宋体" w:cs="宋体"/>
                <w:sz w:val="24"/>
                <w:szCs w:val="24"/>
              </w:rPr>
              <w:t>… …</w:t>
            </w: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vMerge w:val="continue"/>
            <w:noWrap w:val="0"/>
            <w:vAlign w:val="center"/>
          </w:tcPr>
          <w:p>
            <w:pPr>
              <w:ind w:hanging="3"/>
              <w:rPr>
                <w:rFonts w:hint="eastAsia" w:ascii="宋体" w:hAnsi="宋体" w:cs="宋体"/>
                <w:sz w:val="24"/>
                <w:szCs w:val="24"/>
              </w:rPr>
            </w:pP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ign w:val="center"/>
          </w:tcPr>
          <w:p>
            <w:pPr>
              <w:ind w:hanging="3"/>
              <w:rPr>
                <w:rFonts w:hint="eastAsia" w:ascii="宋体" w:hAnsi="宋体" w:cs="宋体"/>
                <w:sz w:val="24"/>
                <w:szCs w:val="24"/>
              </w:rPr>
            </w:pPr>
            <w:r>
              <w:rPr>
                <w:rFonts w:hint="eastAsia" w:ascii="宋体" w:hAnsi="宋体" w:cs="宋体"/>
                <w:sz w:val="24"/>
                <w:szCs w:val="24"/>
              </w:rPr>
              <w:t>1.营业收入</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noWrap/>
            <w:vAlign w:val="center"/>
          </w:tcPr>
          <w:p>
            <w:pPr>
              <w:ind w:hanging="3"/>
              <w:rPr>
                <w:rFonts w:hint="eastAsia" w:ascii="宋体" w:hAnsi="宋体" w:cs="宋体"/>
                <w:sz w:val="24"/>
                <w:szCs w:val="24"/>
              </w:rPr>
            </w:pP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ign w:val="center"/>
          </w:tcPr>
          <w:p>
            <w:pPr>
              <w:ind w:hanging="3"/>
              <w:rPr>
                <w:rFonts w:hint="eastAsia" w:ascii="宋体" w:hAnsi="宋体" w:cs="宋体"/>
                <w:sz w:val="24"/>
                <w:szCs w:val="24"/>
              </w:rPr>
            </w:pPr>
            <w:r>
              <w:rPr>
                <w:rFonts w:hint="eastAsia" w:ascii="宋体" w:hAnsi="宋体" w:cs="宋体"/>
                <w:sz w:val="24"/>
                <w:szCs w:val="24"/>
              </w:rPr>
              <w:t>1.1垃圾处理服务费收入</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noWrap/>
            <w:vAlign w:val="center"/>
          </w:tcPr>
          <w:p>
            <w:pPr>
              <w:ind w:hanging="3"/>
              <w:rPr>
                <w:rFonts w:hint="eastAsia" w:ascii="宋体" w:hAnsi="宋体" w:cs="宋体"/>
                <w:sz w:val="24"/>
                <w:szCs w:val="24"/>
              </w:rPr>
            </w:pP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ign w:val="center"/>
          </w:tcPr>
          <w:p>
            <w:pPr>
              <w:ind w:hanging="3"/>
              <w:rPr>
                <w:rFonts w:hint="eastAsia" w:ascii="宋体" w:hAnsi="宋体" w:cs="宋体"/>
                <w:sz w:val="24"/>
                <w:szCs w:val="24"/>
              </w:rPr>
            </w:pPr>
            <w:r>
              <w:rPr>
                <w:rFonts w:hint="eastAsia" w:ascii="宋体" w:hAnsi="宋体" w:cs="宋体"/>
                <w:sz w:val="24"/>
                <w:szCs w:val="24"/>
              </w:rPr>
              <w:t>1.1.1生活垃圾处理服务费</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noWrap/>
            <w:vAlign w:val="center"/>
          </w:tcPr>
          <w:p>
            <w:pPr>
              <w:ind w:hanging="3"/>
              <w:rPr>
                <w:rFonts w:hint="eastAsia" w:ascii="宋体" w:hAnsi="宋体" w:cs="宋体"/>
                <w:sz w:val="24"/>
                <w:szCs w:val="24"/>
              </w:rPr>
            </w:pP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shd w:val="clear" w:color="auto" w:fill="FFFFFF"/>
            <w:noWrap/>
            <w:vAlign w:val="center"/>
          </w:tcPr>
          <w:p>
            <w:pPr>
              <w:ind w:hanging="3"/>
              <w:rPr>
                <w:rFonts w:hint="eastAsia" w:ascii="宋体" w:hAnsi="宋体" w:cs="宋体"/>
                <w:sz w:val="24"/>
                <w:szCs w:val="24"/>
              </w:rPr>
            </w:pPr>
            <w:r>
              <w:rPr>
                <w:rFonts w:hint="eastAsia" w:ascii="宋体" w:hAnsi="宋体" w:cs="宋体"/>
                <w:sz w:val="24"/>
                <w:szCs w:val="24"/>
              </w:rPr>
              <w:t>1.2上网发电收入</w:t>
            </w: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941" w:type="dxa"/>
            <w:shd w:val="clear" w:color="auto" w:fill="FFFFFF"/>
            <w:noWrap/>
            <w:vAlign w:val="center"/>
          </w:tcPr>
          <w:p>
            <w:pPr>
              <w:ind w:hanging="3"/>
              <w:rPr>
                <w:rFonts w:hint="eastAsia" w:ascii="宋体" w:hAnsi="宋体" w:cs="宋体"/>
                <w:sz w:val="24"/>
                <w:szCs w:val="24"/>
              </w:rPr>
            </w:pPr>
          </w:p>
        </w:tc>
        <w:tc>
          <w:tcPr>
            <w:tcW w:w="329" w:type="dxa"/>
            <w:shd w:val="clear" w:color="auto" w:fill="FFFFFF"/>
            <w:noWrap/>
            <w:vAlign w:val="center"/>
          </w:tcPr>
          <w:p>
            <w:pPr>
              <w:ind w:hanging="3"/>
              <w:rPr>
                <w:rFonts w:hint="eastAsia" w:ascii="宋体" w:hAnsi="宋体" w:cs="宋体"/>
                <w:sz w:val="24"/>
                <w:szCs w:val="24"/>
              </w:rPr>
            </w:pPr>
          </w:p>
        </w:tc>
        <w:tc>
          <w:tcPr>
            <w:tcW w:w="320" w:type="dxa"/>
            <w:shd w:val="clear" w:color="auto" w:fill="FFFFFF"/>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ign w:val="center"/>
          </w:tcPr>
          <w:p>
            <w:pPr>
              <w:ind w:hanging="3"/>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增值税退税</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noWrap/>
            <w:vAlign w:val="center"/>
          </w:tcPr>
          <w:p>
            <w:pPr>
              <w:ind w:hanging="3"/>
              <w:rPr>
                <w:rFonts w:hint="eastAsia" w:ascii="宋体" w:hAnsi="宋体" w:cs="宋体"/>
                <w:sz w:val="24"/>
                <w:szCs w:val="24"/>
              </w:rPr>
            </w:pP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noWrap/>
            <w:vAlign w:val="center"/>
          </w:tcPr>
          <w:p>
            <w:pPr>
              <w:rPr>
                <w:rFonts w:hint="eastAsia" w:ascii="宋体" w:hAnsi="宋体" w:cs="宋体"/>
                <w:sz w:val="24"/>
                <w:szCs w:val="24"/>
              </w:rPr>
            </w:pPr>
            <w:r>
              <w:rPr>
                <w:rFonts w:hint="eastAsia" w:ascii="宋体" w:hAnsi="宋体" w:cs="宋体"/>
                <w:sz w:val="24"/>
                <w:szCs w:val="24"/>
              </w:rPr>
              <w:t>2.增值税</w:t>
            </w: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328" w:type="dxa"/>
            <w:noWrap/>
            <w:vAlign w:val="center"/>
          </w:tcPr>
          <w:p>
            <w:pPr>
              <w:ind w:hanging="3"/>
              <w:rPr>
                <w:rFonts w:hint="eastAsia" w:ascii="宋体" w:hAnsi="宋体" w:cs="宋体"/>
                <w:sz w:val="24"/>
                <w:szCs w:val="24"/>
              </w:rPr>
            </w:pPr>
          </w:p>
        </w:tc>
        <w:tc>
          <w:tcPr>
            <w:tcW w:w="941" w:type="dxa"/>
            <w:noWrap/>
            <w:vAlign w:val="center"/>
          </w:tcPr>
          <w:p>
            <w:pPr>
              <w:ind w:hanging="3"/>
              <w:rPr>
                <w:rFonts w:hint="eastAsia" w:ascii="宋体" w:hAnsi="宋体" w:cs="宋体"/>
                <w:sz w:val="24"/>
                <w:szCs w:val="24"/>
              </w:rPr>
            </w:pPr>
          </w:p>
        </w:tc>
        <w:tc>
          <w:tcPr>
            <w:tcW w:w="329" w:type="dxa"/>
            <w:noWrap/>
            <w:vAlign w:val="center"/>
          </w:tcPr>
          <w:p>
            <w:pPr>
              <w:ind w:hanging="3"/>
              <w:rPr>
                <w:rFonts w:hint="eastAsia" w:ascii="宋体" w:hAnsi="宋体" w:cs="宋体"/>
                <w:sz w:val="24"/>
                <w:szCs w:val="24"/>
              </w:rPr>
            </w:pPr>
          </w:p>
        </w:tc>
        <w:tc>
          <w:tcPr>
            <w:tcW w:w="320"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3986" w:type="dxa"/>
            <w:shd w:val="clear" w:color="auto" w:fill="FFFFFF"/>
            <w:noWrap/>
            <w:vAlign w:val="center"/>
          </w:tcPr>
          <w:p>
            <w:pPr>
              <w:ind w:hanging="3"/>
              <w:rPr>
                <w:rFonts w:hint="eastAsia" w:ascii="宋体" w:hAnsi="宋体" w:cs="宋体"/>
                <w:sz w:val="24"/>
                <w:szCs w:val="24"/>
              </w:rPr>
            </w:pPr>
            <w:r>
              <w:rPr>
                <w:rFonts w:hint="eastAsia" w:ascii="宋体" w:hAnsi="宋体" w:cs="宋体"/>
                <w:sz w:val="24"/>
                <w:szCs w:val="24"/>
              </w:rPr>
              <w:t>3.销售税金及附加</w:t>
            </w: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328" w:type="dxa"/>
            <w:shd w:val="clear" w:color="auto" w:fill="FFFFFF"/>
            <w:noWrap/>
            <w:vAlign w:val="center"/>
          </w:tcPr>
          <w:p>
            <w:pPr>
              <w:ind w:hanging="3"/>
              <w:rPr>
                <w:rFonts w:hint="eastAsia" w:ascii="宋体" w:hAnsi="宋体" w:cs="宋体"/>
                <w:sz w:val="24"/>
                <w:szCs w:val="24"/>
              </w:rPr>
            </w:pPr>
          </w:p>
        </w:tc>
        <w:tc>
          <w:tcPr>
            <w:tcW w:w="941" w:type="dxa"/>
            <w:shd w:val="clear" w:color="auto" w:fill="FFFFFF"/>
            <w:noWrap/>
            <w:vAlign w:val="center"/>
          </w:tcPr>
          <w:p>
            <w:pPr>
              <w:ind w:hanging="3"/>
              <w:rPr>
                <w:rFonts w:hint="eastAsia" w:ascii="宋体" w:hAnsi="宋体" w:cs="宋体"/>
                <w:sz w:val="24"/>
                <w:szCs w:val="24"/>
              </w:rPr>
            </w:pPr>
          </w:p>
        </w:tc>
        <w:tc>
          <w:tcPr>
            <w:tcW w:w="329" w:type="dxa"/>
            <w:shd w:val="clear" w:color="auto" w:fill="FFFFFF"/>
            <w:noWrap/>
            <w:vAlign w:val="center"/>
          </w:tcPr>
          <w:p>
            <w:pPr>
              <w:ind w:hanging="3"/>
              <w:rPr>
                <w:rFonts w:hint="eastAsia" w:ascii="宋体" w:hAnsi="宋体" w:cs="宋体"/>
                <w:sz w:val="24"/>
                <w:szCs w:val="24"/>
              </w:rPr>
            </w:pPr>
          </w:p>
        </w:tc>
        <w:tc>
          <w:tcPr>
            <w:tcW w:w="320" w:type="dxa"/>
            <w:shd w:val="clear" w:color="auto" w:fill="FFFFFF"/>
            <w:noWrap/>
            <w:vAlign w:val="center"/>
          </w:tcPr>
          <w:p>
            <w:pPr>
              <w:ind w:hanging="3"/>
              <w:rPr>
                <w:rFonts w:hint="eastAsia" w:ascii="宋体" w:hAnsi="宋体" w:cs="宋体"/>
                <w:sz w:val="24"/>
                <w:szCs w:val="24"/>
              </w:rPr>
            </w:pPr>
          </w:p>
        </w:tc>
      </w:tr>
    </w:tbl>
    <w:p>
      <w:pPr>
        <w:ind w:hanging="3"/>
        <w:rPr>
          <w:rFonts w:hint="eastAsia" w:ascii="宋体" w:hAnsi="宋体" w:cs="宋体"/>
          <w:sz w:val="24"/>
          <w:szCs w:val="24"/>
        </w:rPr>
      </w:pPr>
    </w:p>
    <w:p>
      <w:pPr>
        <w:spacing w:after="156"/>
        <w:ind w:right="480" w:hanging="3"/>
        <w:rPr>
          <w:rFonts w:hint="eastAsia" w:ascii="宋体" w:hAnsi="宋体" w:cs="宋体"/>
          <w:sz w:val="24"/>
          <w:szCs w:val="24"/>
        </w:rPr>
      </w:pPr>
    </w:p>
    <w:p>
      <w:pPr>
        <w:ind w:hanging="3"/>
        <w:rPr>
          <w:rFonts w:hint="eastAsia" w:ascii="宋体" w:hAnsi="宋体" w:cs="宋体"/>
          <w:sz w:val="24"/>
          <w:szCs w:val="24"/>
        </w:rPr>
        <w:sectPr>
          <w:pgSz w:w="11906" w:h="16838"/>
          <w:pgMar w:top="1440" w:right="1797" w:bottom="1440" w:left="1797" w:header="851" w:footer="992" w:gutter="0"/>
          <w:cols w:space="720" w:num="1"/>
          <w:docGrid w:linePitch="312" w:charSpace="0"/>
        </w:sectPr>
      </w:pPr>
    </w:p>
    <w:p>
      <w:pPr>
        <w:spacing w:after="156"/>
        <w:ind w:hanging="3"/>
        <w:jc w:val="center"/>
        <w:rPr>
          <w:rFonts w:hint="eastAsia" w:ascii="宋体" w:hAnsi="宋体" w:cs="宋体"/>
          <w:sz w:val="24"/>
          <w:szCs w:val="24"/>
        </w:rPr>
      </w:pPr>
      <w:r>
        <w:rPr>
          <w:rFonts w:hint="eastAsia" w:ascii="宋体" w:hAnsi="宋体" w:cs="宋体"/>
          <w:sz w:val="24"/>
          <w:szCs w:val="24"/>
        </w:rPr>
        <w:t>运营成本明细</w:t>
      </w:r>
    </w:p>
    <w:p>
      <w:pPr>
        <w:ind w:hanging="6"/>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544"/>
        <w:gridCol w:w="544"/>
        <w:gridCol w:w="544"/>
        <w:gridCol w:w="544"/>
        <w:gridCol w:w="544"/>
        <w:gridCol w:w="544"/>
        <w:gridCol w:w="544"/>
        <w:gridCol w:w="544"/>
        <w:gridCol w:w="544"/>
        <w:gridCol w:w="5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自然年</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vMerge w:val="restart"/>
            <w:noWrap/>
            <w:vAlign w:val="center"/>
          </w:tcPr>
          <w:p>
            <w:pPr>
              <w:ind w:hanging="3"/>
              <w:rPr>
                <w:rFonts w:hint="eastAsia" w:ascii="宋体" w:hAnsi="宋体" w:cs="宋体"/>
                <w:sz w:val="24"/>
                <w:szCs w:val="24"/>
              </w:rPr>
            </w:pPr>
            <w:r>
              <w:rPr>
                <w:rFonts w:hint="eastAsia" w:ascii="宋体" w:hAnsi="宋体" w:cs="宋体"/>
                <w:sz w:val="24"/>
                <w:szCs w:val="24"/>
              </w:rPr>
              <w:t>…</w:t>
            </w: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vMerge w:val="continue"/>
            <w:noWrap w:val="0"/>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1.外购原材料</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2.外购燃料及动力</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rPr>
                <w:rFonts w:hint="eastAsia" w:ascii="宋体" w:hAnsi="宋体" w:cs="宋体"/>
                <w:sz w:val="24"/>
                <w:szCs w:val="24"/>
              </w:rPr>
            </w:pPr>
            <w:r>
              <w:rPr>
                <w:rFonts w:hint="eastAsia" w:ascii="宋体" w:hAnsi="宋体" w:cs="宋体"/>
                <w:sz w:val="24"/>
                <w:szCs w:val="24"/>
              </w:rPr>
              <w:t>3.工资及福利</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4.维修费</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5.其他费用</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0"/>
            <w:vAlign w:val="center"/>
          </w:tcPr>
          <w:p>
            <w:pPr>
              <w:ind w:hanging="3"/>
              <w:rPr>
                <w:rFonts w:hint="eastAsia" w:ascii="宋体" w:hAnsi="宋体" w:cs="宋体"/>
                <w:sz w:val="24"/>
                <w:szCs w:val="24"/>
              </w:rPr>
            </w:pPr>
            <w:r>
              <w:rPr>
                <w:rFonts w:hint="eastAsia" w:ascii="宋体" w:hAnsi="宋体" w:cs="宋体"/>
                <w:sz w:val="24"/>
                <w:szCs w:val="24"/>
              </w:rPr>
              <w:t>……</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noWrap/>
            <w:vAlign w:val="center"/>
          </w:tcPr>
          <w:p>
            <w:pPr>
              <w:ind w:hanging="3"/>
              <w:rPr>
                <w:rFonts w:hint="eastAsia" w:ascii="宋体" w:hAnsi="宋体" w:cs="宋体"/>
                <w:sz w:val="24"/>
                <w:szCs w:val="24"/>
              </w:rPr>
            </w:pPr>
            <w:r>
              <w:rPr>
                <w:rFonts w:hint="eastAsia" w:ascii="宋体" w:hAnsi="宋体" w:cs="宋体"/>
                <w:sz w:val="24"/>
                <w:szCs w:val="24"/>
              </w:rPr>
              <w:t>运营成本合计(万元)</w:t>
            </w: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44" w:type="dxa"/>
            <w:noWrap/>
            <w:vAlign w:val="center"/>
          </w:tcPr>
          <w:p>
            <w:pPr>
              <w:ind w:hanging="3"/>
              <w:rPr>
                <w:rFonts w:hint="eastAsia" w:ascii="宋体" w:hAnsi="宋体" w:cs="宋体"/>
                <w:sz w:val="24"/>
                <w:szCs w:val="24"/>
              </w:rPr>
            </w:pPr>
          </w:p>
        </w:tc>
        <w:tc>
          <w:tcPr>
            <w:tcW w:w="539"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3093" w:type="dxa"/>
            <w:shd w:val="clear" w:color="auto" w:fill="FFFFFF"/>
            <w:noWrap/>
            <w:vAlign w:val="center"/>
          </w:tcPr>
          <w:p>
            <w:pPr>
              <w:ind w:hanging="3"/>
              <w:rPr>
                <w:rFonts w:hint="eastAsia" w:ascii="宋体" w:hAnsi="宋体" w:cs="宋体"/>
                <w:sz w:val="24"/>
                <w:szCs w:val="24"/>
              </w:rPr>
            </w:pPr>
            <w:r>
              <w:rPr>
                <w:rFonts w:hint="eastAsia" w:ascii="宋体" w:hAnsi="宋体" w:cs="宋体"/>
                <w:sz w:val="24"/>
                <w:szCs w:val="24"/>
              </w:rPr>
              <w:t>垃圾处理成本单价(元/吨)</w:t>
            </w: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44" w:type="dxa"/>
            <w:shd w:val="clear" w:color="auto" w:fill="FFFFFF"/>
            <w:noWrap/>
            <w:vAlign w:val="center"/>
          </w:tcPr>
          <w:p>
            <w:pPr>
              <w:ind w:hanging="3"/>
              <w:rPr>
                <w:rFonts w:hint="eastAsia" w:ascii="宋体" w:hAnsi="宋体" w:cs="宋体"/>
                <w:sz w:val="24"/>
                <w:szCs w:val="24"/>
              </w:rPr>
            </w:pPr>
          </w:p>
        </w:tc>
        <w:tc>
          <w:tcPr>
            <w:tcW w:w="539" w:type="dxa"/>
            <w:shd w:val="clear" w:color="auto" w:fill="FFFFFF"/>
            <w:noWrap/>
            <w:vAlign w:val="center"/>
          </w:tcPr>
          <w:p>
            <w:pPr>
              <w:ind w:hanging="3"/>
              <w:rPr>
                <w:rFonts w:hint="eastAsia" w:ascii="宋体" w:hAnsi="宋体" w:cs="宋体"/>
                <w:sz w:val="24"/>
                <w:szCs w:val="24"/>
              </w:rPr>
            </w:pPr>
          </w:p>
        </w:tc>
      </w:tr>
    </w:tbl>
    <w:p>
      <w:pPr>
        <w:spacing w:before="156" w:after="156"/>
        <w:ind w:right="482" w:hanging="3"/>
        <w:rPr>
          <w:rFonts w:hint="eastAsia" w:ascii="宋体" w:hAnsi="宋体" w:cs="宋体"/>
          <w:sz w:val="24"/>
          <w:szCs w:val="24"/>
        </w:rPr>
      </w:pPr>
      <w:r>
        <w:rPr>
          <w:rFonts w:hint="eastAsia" w:ascii="宋体" w:hAnsi="宋体" w:cs="宋体"/>
          <w:sz w:val="24"/>
          <w:szCs w:val="24"/>
        </w:rPr>
        <w:t>注：运营成本中不包括财务费用、折旧摊销费用。</w:t>
      </w:r>
    </w:p>
    <w:p>
      <w:pPr>
        <w:ind w:hanging="3"/>
        <w:rPr>
          <w:rFonts w:hint="eastAsia" w:ascii="宋体" w:hAnsi="宋体" w:cs="宋体"/>
          <w:sz w:val="24"/>
          <w:szCs w:val="24"/>
        </w:rPr>
      </w:pPr>
    </w:p>
    <w:p>
      <w:pPr>
        <w:ind w:hanging="3"/>
        <w:rPr>
          <w:rFonts w:hint="eastAsia" w:ascii="宋体" w:hAnsi="宋体" w:cs="宋体"/>
          <w:sz w:val="24"/>
          <w:szCs w:val="24"/>
        </w:rPr>
        <w:sectPr>
          <w:pgSz w:w="11906" w:h="16838"/>
          <w:pgMar w:top="1440" w:right="1797" w:bottom="1440" w:left="1797" w:header="851" w:footer="992" w:gutter="0"/>
          <w:cols w:space="720" w:num="1"/>
          <w:docGrid w:linePitch="312" w:charSpace="0"/>
        </w:sectPr>
      </w:pPr>
    </w:p>
    <w:p>
      <w:pPr>
        <w:spacing w:after="183"/>
        <w:ind w:hanging="3"/>
        <w:jc w:val="center"/>
        <w:rPr>
          <w:rFonts w:hint="eastAsia" w:ascii="宋体" w:hAnsi="宋体" w:cs="宋体"/>
          <w:sz w:val="24"/>
          <w:szCs w:val="24"/>
        </w:rPr>
      </w:pPr>
      <w:r>
        <w:rPr>
          <w:rFonts w:hint="eastAsia" w:ascii="宋体" w:hAnsi="宋体" w:cs="宋体"/>
          <w:sz w:val="24"/>
          <w:szCs w:val="24"/>
        </w:rPr>
        <w:t>还本付息表</w:t>
      </w:r>
    </w:p>
    <w:p>
      <w:pPr>
        <w:spacing w:after="183"/>
        <w:ind w:hanging="3"/>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1"/>
        <w:gridCol w:w="585"/>
        <w:gridCol w:w="585"/>
        <w:gridCol w:w="585"/>
        <w:gridCol w:w="585"/>
        <w:gridCol w:w="585"/>
        <w:gridCol w:w="585"/>
        <w:gridCol w:w="585"/>
        <w:gridCol w:w="585"/>
        <w:gridCol w:w="585"/>
        <w:gridCol w:w="585"/>
        <w:gridCol w:w="585"/>
        <w:gridCol w:w="5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自然年</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vMerge w:val="restart"/>
            <w:noWrap/>
            <w:vAlign w:val="center"/>
          </w:tcPr>
          <w:p>
            <w:pPr>
              <w:ind w:hanging="3"/>
              <w:rPr>
                <w:rFonts w:hint="eastAsia" w:ascii="宋体" w:hAnsi="宋体" w:cs="宋体"/>
                <w:sz w:val="24"/>
                <w:szCs w:val="24"/>
              </w:rPr>
            </w:pPr>
            <w:r>
              <w:rPr>
                <w:rFonts w:hint="eastAsia" w:ascii="宋体" w:hAnsi="宋体" w:cs="宋体"/>
                <w:sz w:val="24"/>
                <w:szCs w:val="24"/>
              </w:rPr>
              <w:t>…</w:t>
            </w: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vMerge w:val="continue"/>
            <w:noWrap w:val="0"/>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1.期初余额</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2.本期借款</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3.本期还本</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4.本期付息</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5.偿还本利合计</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11" w:type="dxa"/>
            <w:noWrap w:val="0"/>
            <w:vAlign w:val="center"/>
          </w:tcPr>
          <w:p>
            <w:pPr>
              <w:ind w:hanging="3"/>
              <w:rPr>
                <w:rFonts w:hint="eastAsia" w:ascii="宋体" w:hAnsi="宋体" w:cs="宋体"/>
                <w:sz w:val="24"/>
                <w:szCs w:val="24"/>
              </w:rPr>
            </w:pPr>
            <w:r>
              <w:rPr>
                <w:rFonts w:hint="eastAsia" w:ascii="宋体" w:hAnsi="宋体" w:cs="宋体"/>
                <w:sz w:val="24"/>
                <w:szCs w:val="24"/>
              </w:rPr>
              <w:t>6.期末余额</w:t>
            </w: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5" w:type="dxa"/>
            <w:noWrap/>
            <w:vAlign w:val="center"/>
          </w:tcPr>
          <w:p>
            <w:pPr>
              <w:ind w:hanging="3"/>
              <w:rPr>
                <w:rFonts w:hint="eastAsia" w:ascii="宋体" w:hAnsi="宋体" w:cs="宋体"/>
                <w:sz w:val="24"/>
                <w:szCs w:val="24"/>
              </w:rPr>
            </w:pPr>
          </w:p>
        </w:tc>
        <w:tc>
          <w:tcPr>
            <w:tcW w:w="582" w:type="dxa"/>
            <w:noWrap/>
            <w:vAlign w:val="center"/>
          </w:tcPr>
          <w:p>
            <w:pPr>
              <w:ind w:hanging="3"/>
              <w:rPr>
                <w:rFonts w:hint="eastAsia" w:ascii="宋体" w:hAnsi="宋体" w:cs="宋体"/>
                <w:sz w:val="24"/>
                <w:szCs w:val="24"/>
              </w:rPr>
            </w:pPr>
          </w:p>
        </w:tc>
      </w:tr>
    </w:tbl>
    <w:p>
      <w:pPr>
        <w:spacing w:after="183"/>
        <w:ind w:hanging="3"/>
        <w:rPr>
          <w:rFonts w:hint="eastAsia" w:ascii="宋体" w:hAnsi="宋体" w:cs="宋体"/>
          <w:sz w:val="24"/>
          <w:szCs w:val="24"/>
        </w:rPr>
      </w:pPr>
    </w:p>
    <w:p>
      <w:pPr>
        <w:widowControl/>
        <w:jc w:val="left"/>
        <w:rPr>
          <w:rFonts w:hint="eastAsia" w:ascii="宋体" w:hAnsi="宋体" w:cs="宋体"/>
          <w:sz w:val="24"/>
          <w:szCs w:val="24"/>
        </w:rPr>
      </w:pPr>
      <w:r>
        <w:rPr>
          <w:rFonts w:hint="eastAsia" w:ascii="宋体" w:hAnsi="宋体" w:cs="宋体"/>
          <w:sz w:val="24"/>
          <w:szCs w:val="24"/>
        </w:rPr>
        <w:br w:type="page"/>
      </w:r>
    </w:p>
    <w:p>
      <w:pPr>
        <w:spacing w:after="183"/>
        <w:ind w:hanging="3"/>
        <w:jc w:val="center"/>
        <w:rPr>
          <w:rFonts w:hint="eastAsia" w:ascii="宋体" w:hAnsi="宋体" w:cs="宋体"/>
          <w:sz w:val="24"/>
          <w:szCs w:val="24"/>
        </w:rPr>
      </w:pPr>
      <w:r>
        <w:rPr>
          <w:rFonts w:hint="eastAsia" w:ascii="宋体" w:hAnsi="宋体" w:cs="宋体"/>
          <w:sz w:val="24"/>
          <w:szCs w:val="24"/>
        </w:rPr>
        <w:t>损益表</w:t>
      </w:r>
    </w:p>
    <w:p>
      <w:pPr>
        <w:ind w:hanging="3"/>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1"/>
        <w:gridCol w:w="574"/>
        <w:gridCol w:w="574"/>
        <w:gridCol w:w="574"/>
        <w:gridCol w:w="575"/>
        <w:gridCol w:w="575"/>
        <w:gridCol w:w="575"/>
        <w:gridCol w:w="575"/>
        <w:gridCol w:w="575"/>
        <w:gridCol w:w="575"/>
        <w:gridCol w:w="575"/>
        <w:gridCol w:w="575"/>
        <w:gridCol w:w="5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0"/>
            <w:vAlign w:val="center"/>
          </w:tcPr>
          <w:p>
            <w:pPr>
              <w:ind w:hanging="3"/>
              <w:rPr>
                <w:rFonts w:hint="eastAsia" w:ascii="宋体" w:hAnsi="宋体" w:cs="宋体"/>
                <w:sz w:val="24"/>
                <w:szCs w:val="24"/>
              </w:rPr>
            </w:pPr>
            <w:r>
              <w:rPr>
                <w:rFonts w:hint="eastAsia" w:ascii="宋体" w:hAnsi="宋体" w:cs="宋体"/>
                <w:sz w:val="24"/>
                <w:szCs w:val="24"/>
              </w:rPr>
              <w:t>自然年</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vMerge w:val="restart"/>
            <w:noWrap/>
            <w:vAlign w:val="center"/>
          </w:tcPr>
          <w:p>
            <w:pPr>
              <w:ind w:hanging="3"/>
              <w:rPr>
                <w:rFonts w:hint="eastAsia" w:ascii="宋体" w:hAnsi="宋体" w:cs="宋体"/>
                <w:sz w:val="24"/>
                <w:szCs w:val="24"/>
              </w:rPr>
            </w:pPr>
            <w:r>
              <w:rPr>
                <w:rFonts w:hint="eastAsia" w:ascii="宋体" w:hAnsi="宋体" w:cs="宋体"/>
                <w:sz w:val="24"/>
                <w:szCs w:val="24"/>
              </w:rPr>
              <w:t>…</w:t>
            </w: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vMerge w:val="continue"/>
            <w:noWrap w:val="0"/>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1.营业收入</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2.增值税退税收入</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3.相关税费</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4.运营成本</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5.折旧与摊销</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6.财务费用</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7.税前利润</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8.累计税前利润</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9.所得税</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10.净利润</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631" w:type="dxa"/>
            <w:noWrap/>
            <w:vAlign w:val="center"/>
          </w:tcPr>
          <w:p>
            <w:pPr>
              <w:ind w:hanging="3"/>
              <w:rPr>
                <w:rFonts w:hint="eastAsia" w:ascii="宋体" w:hAnsi="宋体" w:cs="宋体"/>
                <w:sz w:val="24"/>
                <w:szCs w:val="24"/>
              </w:rPr>
            </w:pPr>
            <w:r>
              <w:rPr>
                <w:rFonts w:hint="eastAsia" w:ascii="宋体" w:hAnsi="宋体" w:cs="宋体"/>
                <w:sz w:val="24"/>
                <w:szCs w:val="24"/>
              </w:rPr>
              <w:t>11.累计净利润</w:t>
            </w: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4"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c>
          <w:tcPr>
            <w:tcW w:w="575" w:type="dxa"/>
            <w:noWrap/>
            <w:vAlign w:val="center"/>
          </w:tcPr>
          <w:p>
            <w:pPr>
              <w:ind w:hanging="3"/>
              <w:rPr>
                <w:rFonts w:hint="eastAsia" w:ascii="宋体" w:hAnsi="宋体" w:cs="宋体"/>
                <w:sz w:val="24"/>
                <w:szCs w:val="24"/>
              </w:rPr>
            </w:pPr>
          </w:p>
        </w:tc>
      </w:tr>
    </w:tbl>
    <w:p>
      <w:pPr>
        <w:widowControl/>
        <w:jc w:val="cente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资本金现金流量表</w:t>
      </w:r>
    </w:p>
    <w:p>
      <w:pPr>
        <w:ind w:hanging="3"/>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8"/>
        <w:gridCol w:w="898"/>
        <w:gridCol w:w="895"/>
        <w:gridCol w:w="895"/>
        <w:gridCol w:w="895"/>
        <w:gridCol w:w="895"/>
        <w:gridCol w:w="895"/>
        <w:gridCol w:w="8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自然年</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vMerge w:val="restart"/>
            <w:noWrap w:val="0"/>
            <w:vAlign w:val="center"/>
          </w:tcPr>
          <w:p>
            <w:pPr>
              <w:ind w:hanging="3"/>
              <w:rPr>
                <w:rFonts w:hint="eastAsia" w:ascii="宋体" w:hAnsi="宋体" w:cs="宋体"/>
                <w:sz w:val="24"/>
                <w:szCs w:val="24"/>
              </w:rPr>
            </w:pPr>
            <w:r>
              <w:rPr>
                <w:rFonts w:hint="eastAsia" w:ascii="宋体" w:hAnsi="宋体" w:cs="宋体"/>
                <w:sz w:val="24"/>
                <w:szCs w:val="24"/>
              </w:rPr>
              <w:t>…</w:t>
            </w: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vMerge w:val="continue"/>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1.现金流入</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1.1营业收入</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1.2回收固定资产余值</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1.3回收流动资金</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1.4增值税退税收入</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2.现金流出</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2.1项目资本金</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2.2经营成本</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2.3偿还借款</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2.3.1本金偿还</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2.3.2利息偿还</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2.4增值税税金及附加</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3.税前现金流量</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3.1累计税前现金流量</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4.所得税</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5.税后净现金流量</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5.1累计税后净现金流量</w:t>
            </w:r>
          </w:p>
        </w:tc>
        <w:tc>
          <w:tcPr>
            <w:tcW w:w="898"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87" w:type="dxa"/>
            <w:noWrap w:val="0"/>
            <w:vAlign w:val="center"/>
          </w:tcPr>
          <w:p>
            <w:pPr>
              <w:ind w:hanging="3"/>
              <w:rPr>
                <w:rFonts w:hint="eastAsia" w:ascii="宋体" w:hAnsi="宋体" w:cs="宋体"/>
                <w:sz w:val="24"/>
                <w:szCs w:val="24"/>
              </w:rPr>
            </w:pPr>
          </w:p>
        </w:tc>
      </w:tr>
    </w:tbl>
    <w:p>
      <w:pPr>
        <w:widowControl/>
        <w:jc w:val="center"/>
        <w:rPr>
          <w:rFonts w:hint="eastAsia"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全投资现金流量表</w:t>
      </w:r>
    </w:p>
    <w:p>
      <w:pPr>
        <w:widowControl/>
        <w:spacing w:before="183" w:after="183"/>
        <w:ind w:hanging="3"/>
        <w:jc w:val="right"/>
        <w:rPr>
          <w:rFonts w:hint="eastAsia" w:ascii="宋体" w:hAnsi="宋体" w:cs="宋体"/>
          <w:sz w:val="24"/>
          <w:szCs w:val="24"/>
        </w:rPr>
      </w:pPr>
      <w:r>
        <w:rPr>
          <w:rFonts w:hint="eastAsia" w:ascii="宋体" w:hAnsi="宋体" w:cs="宋体"/>
          <w:sz w:val="24"/>
          <w:szCs w:val="24"/>
        </w:rPr>
        <w:t>单位：万元</w:t>
      </w: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8"/>
        <w:gridCol w:w="895"/>
        <w:gridCol w:w="895"/>
        <w:gridCol w:w="895"/>
        <w:gridCol w:w="895"/>
        <w:gridCol w:w="895"/>
        <w:gridCol w:w="895"/>
        <w:gridCol w:w="8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自然年</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vMerge w:val="restart"/>
            <w:noWrap w:val="0"/>
            <w:vAlign w:val="center"/>
          </w:tcPr>
          <w:p>
            <w:pPr>
              <w:ind w:hanging="3"/>
              <w:rPr>
                <w:rFonts w:hint="eastAsia" w:ascii="宋体" w:hAnsi="宋体" w:cs="宋体"/>
                <w:sz w:val="24"/>
                <w:szCs w:val="24"/>
              </w:rPr>
            </w:pPr>
            <w:r>
              <w:rPr>
                <w:rFonts w:hint="eastAsia" w:ascii="宋体" w:hAnsi="宋体" w:cs="宋体"/>
                <w:sz w:val="24"/>
                <w:szCs w:val="24"/>
              </w:rPr>
              <w:t>…</w:t>
            </w: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计算年</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vMerge w:val="continue"/>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1.现金流入</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1.1营业收入</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1.2回收固定资产余值</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1.3回收流动资金</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1.4增值税退税收入</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2.现金流出</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2.1固定资产投资</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2.2流动资金</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2.3经营成本</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2.4增值税税金及附加</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3.税前现金流量</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3.1累计税前现金流量</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4.调整所得税</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5.税后净现金流量（1-2-4）</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268" w:type="dxa"/>
            <w:noWrap w:val="0"/>
            <w:vAlign w:val="center"/>
          </w:tcPr>
          <w:p>
            <w:pPr>
              <w:ind w:hanging="3"/>
              <w:rPr>
                <w:rFonts w:hint="eastAsia" w:ascii="宋体" w:hAnsi="宋体" w:cs="宋体"/>
                <w:sz w:val="24"/>
                <w:szCs w:val="24"/>
              </w:rPr>
            </w:pPr>
            <w:r>
              <w:rPr>
                <w:rFonts w:hint="eastAsia" w:ascii="宋体" w:hAnsi="宋体" w:cs="宋体"/>
                <w:sz w:val="24"/>
                <w:szCs w:val="24"/>
              </w:rPr>
              <w:t>5.1累计税后净现金流量</w:t>
            </w: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5" w:type="dxa"/>
            <w:noWrap w:val="0"/>
            <w:vAlign w:val="center"/>
          </w:tcPr>
          <w:p>
            <w:pPr>
              <w:ind w:hanging="3"/>
              <w:rPr>
                <w:rFonts w:hint="eastAsia" w:ascii="宋体" w:hAnsi="宋体" w:cs="宋体"/>
                <w:sz w:val="24"/>
                <w:szCs w:val="24"/>
              </w:rPr>
            </w:pPr>
          </w:p>
        </w:tc>
        <w:tc>
          <w:tcPr>
            <w:tcW w:w="890" w:type="dxa"/>
            <w:noWrap w:val="0"/>
            <w:vAlign w:val="center"/>
          </w:tcPr>
          <w:p>
            <w:pPr>
              <w:ind w:hanging="3"/>
              <w:rPr>
                <w:rFonts w:hint="eastAsia" w:ascii="宋体" w:hAnsi="宋体" w:cs="宋体"/>
                <w:sz w:val="24"/>
                <w:szCs w:val="24"/>
              </w:rPr>
            </w:pPr>
          </w:p>
        </w:tc>
      </w:tr>
    </w:tbl>
    <w:p>
      <w:pPr>
        <w:spacing w:line="400" w:lineRule="exact"/>
        <w:ind w:right="482" w:hanging="3"/>
        <w:rPr>
          <w:rFonts w:hint="eastAsia" w:ascii="宋体" w:hAnsi="宋体" w:cs="宋体"/>
          <w:sz w:val="24"/>
          <w:szCs w:val="24"/>
        </w:rPr>
        <w:sectPr>
          <w:pgSz w:w="11906" w:h="16838"/>
          <w:pgMar w:top="1440" w:right="1797" w:bottom="1440" w:left="1797" w:header="851" w:footer="458" w:gutter="0"/>
          <w:cols w:space="720" w:num="1"/>
          <w:docGrid w:linePitch="367" w:charSpace="0"/>
        </w:sectPr>
      </w:pPr>
      <w:bookmarkStart w:id="154" w:name="_Toc398995916"/>
      <w:bookmarkEnd w:id="154"/>
      <w:bookmarkStart w:id="155" w:name="_Toc395953516"/>
      <w:bookmarkEnd w:id="155"/>
      <w:bookmarkStart w:id="156" w:name="_Toc51075893"/>
      <w:bookmarkEnd w:id="156"/>
      <w:bookmarkStart w:id="157" w:name="_Toc3100843"/>
      <w:bookmarkEnd w:id="157"/>
      <w:bookmarkStart w:id="158" w:name="_Toc50477908"/>
      <w:bookmarkEnd w:id="158"/>
      <w:bookmarkStart w:id="159" w:name="B_Toc384779078"/>
      <w:bookmarkEnd w:id="159"/>
      <w:bookmarkStart w:id="160" w:name="_Toc393888676"/>
      <w:bookmarkEnd w:id="160"/>
      <w:bookmarkStart w:id="161" w:name="_Toc467040734"/>
      <w:bookmarkEnd w:id="161"/>
      <w:bookmarkStart w:id="162" w:name="_Toc50502706"/>
      <w:bookmarkEnd w:id="162"/>
      <w:bookmarkStart w:id="163" w:name="_Toc393923401"/>
      <w:bookmarkEnd w:id="163"/>
      <w:bookmarkStart w:id="164" w:name="_Toc393927172"/>
      <w:bookmarkEnd w:id="164"/>
      <w:bookmarkStart w:id="165" w:name="_Toc393927357"/>
      <w:bookmarkEnd w:id="165"/>
      <w:bookmarkStart w:id="166" w:name="_Toc50502664"/>
      <w:bookmarkEnd w:id="166"/>
      <w:bookmarkStart w:id="167" w:name="_Toc391437288"/>
      <w:bookmarkEnd w:id="167"/>
      <w:bookmarkStart w:id="168" w:name="_Toc393923520"/>
      <w:bookmarkEnd w:id="168"/>
      <w:bookmarkStart w:id="169" w:name="_Toc396885658"/>
      <w:bookmarkEnd w:id="169"/>
    </w:p>
    <w:p>
      <w:pPr>
        <w:widowControl/>
        <w:jc w:val="center"/>
        <w:rPr>
          <w:rFonts w:hint="eastAsia" w:ascii="宋体" w:hAnsi="宋体" w:cs="宋体"/>
          <w:sz w:val="24"/>
          <w:szCs w:val="24"/>
        </w:rPr>
      </w:pPr>
      <w:r>
        <w:rPr>
          <w:rFonts w:hint="eastAsia" w:ascii="宋体" w:hAnsi="宋体" w:cs="宋体"/>
          <w:sz w:val="24"/>
          <w:szCs w:val="24"/>
        </w:rPr>
        <w:t>主要技术经济指标</w:t>
      </w:r>
    </w:p>
    <w:p>
      <w:pPr>
        <w:widowControl/>
        <w:jc w:val="center"/>
        <w:rPr>
          <w:rFonts w:hint="eastAsia" w:ascii="宋体" w:hAnsi="宋体" w:cs="宋体"/>
          <w:sz w:val="24"/>
          <w:szCs w:val="24"/>
        </w:rPr>
      </w:pPr>
    </w:p>
    <w:tbl>
      <w:tblPr>
        <w:tblStyle w:val="5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7"/>
        <w:gridCol w:w="3372"/>
        <w:gridCol w:w="1574"/>
        <w:gridCol w:w="2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1157"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3372" w:type="dxa"/>
            <w:noWrap w:val="0"/>
            <w:vAlign w:val="center"/>
          </w:tcPr>
          <w:p>
            <w:pPr>
              <w:ind w:hanging="3"/>
              <w:jc w:val="center"/>
              <w:rPr>
                <w:rFonts w:hint="eastAsia" w:ascii="宋体" w:hAnsi="宋体" w:cs="宋体"/>
                <w:sz w:val="24"/>
                <w:szCs w:val="24"/>
              </w:rPr>
            </w:pPr>
            <w:r>
              <w:rPr>
                <w:rFonts w:hint="eastAsia" w:ascii="宋体" w:hAnsi="宋体" w:cs="宋体"/>
                <w:sz w:val="24"/>
                <w:szCs w:val="24"/>
              </w:rPr>
              <w:t>项目</w:t>
            </w:r>
          </w:p>
        </w:tc>
        <w:tc>
          <w:tcPr>
            <w:tcW w:w="1574" w:type="dxa"/>
            <w:noWrap w:val="0"/>
            <w:vAlign w:val="center"/>
          </w:tcPr>
          <w:p>
            <w:pPr>
              <w:ind w:hanging="3"/>
              <w:jc w:val="center"/>
              <w:rPr>
                <w:rFonts w:hint="eastAsia" w:ascii="宋体" w:hAnsi="宋体" w:cs="宋体"/>
                <w:sz w:val="24"/>
                <w:szCs w:val="24"/>
              </w:rPr>
            </w:pPr>
            <w:r>
              <w:rPr>
                <w:rFonts w:hint="eastAsia" w:ascii="宋体" w:hAnsi="宋体" w:cs="宋体"/>
                <w:sz w:val="24"/>
                <w:szCs w:val="24"/>
              </w:rPr>
              <w:t>单位</w:t>
            </w:r>
          </w:p>
        </w:tc>
        <w:tc>
          <w:tcPr>
            <w:tcW w:w="2425" w:type="dxa"/>
            <w:noWrap w:val="0"/>
            <w:vAlign w:val="center"/>
          </w:tcPr>
          <w:p>
            <w:pPr>
              <w:ind w:hanging="3"/>
              <w:jc w:val="center"/>
              <w:rPr>
                <w:rFonts w:hint="eastAsia" w:ascii="宋体" w:hAnsi="宋体" w:cs="宋体"/>
                <w:sz w:val="24"/>
                <w:szCs w:val="24"/>
              </w:rPr>
            </w:pPr>
            <w:r>
              <w:rPr>
                <w:rFonts w:hint="eastAsia" w:ascii="宋体" w:hAnsi="宋体" w:cs="宋体"/>
                <w:sz w:val="24"/>
                <w:szCs w:val="24"/>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center"/>
          </w:tcPr>
          <w:p>
            <w:pPr>
              <w:ind w:hanging="3"/>
              <w:jc w:val="center"/>
              <w:rPr>
                <w:rFonts w:hint="eastAsia" w:ascii="宋体" w:hAnsi="宋体" w:cs="宋体"/>
                <w:sz w:val="24"/>
                <w:szCs w:val="24"/>
              </w:rPr>
            </w:pPr>
            <w:r>
              <w:rPr>
                <w:rFonts w:hint="eastAsia" w:ascii="宋体" w:hAnsi="宋体" w:cs="宋体"/>
                <w:sz w:val="24"/>
                <w:szCs w:val="24"/>
              </w:rPr>
              <w:t>一</w:t>
            </w:r>
          </w:p>
        </w:tc>
        <w:tc>
          <w:tcPr>
            <w:tcW w:w="3372" w:type="dxa"/>
            <w:noWrap w:val="0"/>
            <w:vAlign w:val="center"/>
          </w:tcPr>
          <w:p>
            <w:pPr>
              <w:ind w:hanging="3"/>
              <w:jc w:val="center"/>
              <w:rPr>
                <w:rFonts w:hint="eastAsia" w:ascii="宋体" w:hAnsi="宋体" w:cs="宋体"/>
                <w:sz w:val="24"/>
                <w:szCs w:val="24"/>
              </w:rPr>
            </w:pPr>
            <w:r>
              <w:rPr>
                <w:rFonts w:hint="eastAsia" w:ascii="宋体" w:hAnsi="宋体" w:cs="宋体"/>
                <w:sz w:val="24"/>
                <w:szCs w:val="24"/>
              </w:rPr>
              <w:t>投资总额</w:t>
            </w:r>
          </w:p>
        </w:tc>
        <w:tc>
          <w:tcPr>
            <w:tcW w:w="1574" w:type="dxa"/>
            <w:noWrap w:val="0"/>
            <w:vAlign w:val="center"/>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center"/>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二</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资金筹措</w:t>
            </w:r>
          </w:p>
        </w:tc>
        <w:tc>
          <w:tcPr>
            <w:tcW w:w="1574" w:type="dxa"/>
            <w:noWrap w:val="0"/>
            <w:vAlign w:val="bottom"/>
          </w:tcPr>
          <w:p>
            <w:pPr>
              <w:ind w:hanging="3"/>
              <w:jc w:val="center"/>
              <w:rPr>
                <w:rFonts w:hint="eastAsia" w:ascii="宋体" w:hAnsi="宋体" w:cs="宋体"/>
                <w:sz w:val="24"/>
                <w:szCs w:val="24"/>
              </w:rPr>
            </w:pP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1</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自有资金</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2</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银行贷款</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年限</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年</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年利率</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三</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经营成本</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1</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年经营成本</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2</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单位经营成本</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元/吨</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四</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经营收入</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万元/年</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1</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垃圾处理服务费收入</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万元/年</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2</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发电收入</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万元/年</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3</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其他收入</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万元/年</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五</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主要财务指标</w:t>
            </w:r>
          </w:p>
        </w:tc>
        <w:tc>
          <w:tcPr>
            <w:tcW w:w="1574" w:type="dxa"/>
            <w:noWrap w:val="0"/>
            <w:vAlign w:val="bottom"/>
          </w:tcPr>
          <w:p>
            <w:pPr>
              <w:ind w:hanging="3"/>
              <w:jc w:val="center"/>
              <w:rPr>
                <w:rFonts w:hint="eastAsia" w:ascii="宋体" w:hAnsi="宋体" w:cs="宋体"/>
                <w:sz w:val="24"/>
                <w:szCs w:val="24"/>
              </w:rPr>
            </w:pP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1</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全部投资</w:t>
            </w:r>
          </w:p>
        </w:tc>
        <w:tc>
          <w:tcPr>
            <w:tcW w:w="1574" w:type="dxa"/>
            <w:noWrap w:val="0"/>
            <w:vAlign w:val="bottom"/>
          </w:tcPr>
          <w:p>
            <w:pPr>
              <w:ind w:hanging="3"/>
              <w:jc w:val="center"/>
              <w:rPr>
                <w:rFonts w:hint="eastAsia" w:ascii="宋体" w:hAnsi="宋体" w:cs="宋体"/>
                <w:sz w:val="24"/>
                <w:szCs w:val="24"/>
              </w:rPr>
            </w:pP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内部收益率</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财务净现金值（按4.9%折算）</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静态投资回收期</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年</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2</w:t>
            </w: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资本金</w:t>
            </w:r>
          </w:p>
        </w:tc>
        <w:tc>
          <w:tcPr>
            <w:tcW w:w="1574" w:type="dxa"/>
            <w:noWrap w:val="0"/>
            <w:vAlign w:val="bottom"/>
          </w:tcPr>
          <w:p>
            <w:pPr>
              <w:ind w:hanging="3"/>
              <w:jc w:val="center"/>
              <w:rPr>
                <w:rFonts w:hint="eastAsia" w:ascii="宋体" w:hAnsi="宋体" w:cs="宋体"/>
                <w:sz w:val="24"/>
                <w:szCs w:val="24"/>
              </w:rPr>
            </w:pP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内部收益率</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财务净现金值（按4.9%折算）</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万元</w:t>
            </w:r>
          </w:p>
        </w:tc>
        <w:tc>
          <w:tcPr>
            <w:tcW w:w="2425" w:type="dxa"/>
            <w:noWrap w:val="0"/>
            <w:vAlign w:val="bottom"/>
          </w:tcPr>
          <w:p>
            <w:pPr>
              <w:ind w:hanging="3"/>
              <w:jc w:val="center"/>
              <w:rPr>
                <w:rFonts w:hint="eastAsia" w:ascii="宋体" w:hAnsi="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57" w:type="dxa"/>
            <w:noWrap w:val="0"/>
            <w:vAlign w:val="bottom"/>
          </w:tcPr>
          <w:p>
            <w:pPr>
              <w:ind w:hanging="3"/>
              <w:jc w:val="center"/>
              <w:rPr>
                <w:rFonts w:hint="eastAsia" w:ascii="宋体" w:hAnsi="宋体" w:cs="宋体"/>
                <w:sz w:val="24"/>
                <w:szCs w:val="24"/>
              </w:rPr>
            </w:pPr>
          </w:p>
        </w:tc>
        <w:tc>
          <w:tcPr>
            <w:tcW w:w="3372"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静态投资回收期</w:t>
            </w:r>
          </w:p>
        </w:tc>
        <w:tc>
          <w:tcPr>
            <w:tcW w:w="1574" w:type="dxa"/>
            <w:noWrap w:val="0"/>
            <w:vAlign w:val="bottom"/>
          </w:tcPr>
          <w:p>
            <w:pPr>
              <w:ind w:hanging="3"/>
              <w:jc w:val="center"/>
              <w:rPr>
                <w:rFonts w:hint="eastAsia" w:ascii="宋体" w:hAnsi="宋体" w:cs="宋体"/>
                <w:sz w:val="24"/>
                <w:szCs w:val="24"/>
              </w:rPr>
            </w:pPr>
            <w:r>
              <w:rPr>
                <w:rFonts w:hint="eastAsia" w:ascii="宋体" w:hAnsi="宋体" w:cs="宋体"/>
                <w:sz w:val="24"/>
                <w:szCs w:val="24"/>
              </w:rPr>
              <w:t>年</w:t>
            </w:r>
          </w:p>
        </w:tc>
        <w:tc>
          <w:tcPr>
            <w:tcW w:w="2425" w:type="dxa"/>
            <w:noWrap w:val="0"/>
            <w:vAlign w:val="bottom"/>
          </w:tcPr>
          <w:p>
            <w:pPr>
              <w:ind w:hanging="3"/>
              <w:jc w:val="center"/>
              <w:rPr>
                <w:rFonts w:hint="eastAsia" w:ascii="宋体" w:hAnsi="宋体" w:cs="宋体"/>
                <w:sz w:val="24"/>
                <w:szCs w:val="24"/>
              </w:rPr>
            </w:pPr>
          </w:p>
        </w:tc>
      </w:tr>
    </w:tbl>
    <w:p>
      <w:pPr>
        <w:widowControl/>
        <w:jc w:val="left"/>
        <w:rPr>
          <w:rFonts w:hint="eastAsia" w:ascii="宋体" w:hAnsi="宋体" w:cs="宋体"/>
          <w:sz w:val="24"/>
          <w:szCs w:val="24"/>
        </w:rPr>
      </w:pPr>
    </w:p>
    <w:p>
      <w:pPr>
        <w:spacing w:line="360" w:lineRule="auto"/>
        <w:rPr>
          <w:rFonts w:hint="eastAsia" w:ascii="宋体" w:hAnsi="宋体" w:cs="宋体"/>
          <w:b/>
          <w:bCs/>
          <w:sz w:val="30"/>
          <w:szCs w:val="30"/>
        </w:rPr>
      </w:pPr>
      <w:r>
        <w:rPr>
          <w:rFonts w:hint="eastAsia" w:ascii="宋体" w:hAnsi="宋体" w:cs="宋体"/>
          <w:sz w:val="24"/>
          <w:szCs w:val="24"/>
        </w:rPr>
        <w:br w:type="page"/>
      </w:r>
      <w:r>
        <w:rPr>
          <w:rFonts w:hint="eastAsia" w:ascii="宋体" w:hAnsi="宋体" w:cs="宋体"/>
          <w:b/>
          <w:bCs/>
          <w:sz w:val="30"/>
          <w:szCs w:val="30"/>
        </w:rPr>
        <w:t>属于小、微型企业产品细目报价表</w:t>
      </w:r>
    </w:p>
    <w:p>
      <w:pPr>
        <w:spacing w:line="360" w:lineRule="auto"/>
        <w:jc w:val="center"/>
        <w:rPr>
          <w:rFonts w:hint="eastAsia" w:ascii="宋体" w:hAnsi="宋体" w:cs="宋体"/>
          <w:b/>
          <w:bCs/>
          <w:sz w:val="24"/>
          <w:szCs w:val="24"/>
        </w:rPr>
      </w:pPr>
      <w:r>
        <w:rPr>
          <w:rFonts w:hint="eastAsia" w:ascii="宋体" w:hAnsi="宋体" w:cs="宋体"/>
          <w:b/>
          <w:bCs/>
          <w:sz w:val="24"/>
          <w:szCs w:val="24"/>
        </w:rPr>
        <w:t>细目报价表</w:t>
      </w:r>
    </w:p>
    <w:p>
      <w:pPr>
        <w:spacing w:line="360" w:lineRule="auto"/>
        <w:rPr>
          <w:rFonts w:hint="eastAsia" w:ascii="宋体" w:hAnsi="宋体" w:cs="宋体"/>
          <w:bCs/>
          <w:sz w:val="24"/>
          <w:szCs w:val="24"/>
        </w:rPr>
      </w:pPr>
      <w:r>
        <w:rPr>
          <w:rFonts w:hint="eastAsia" w:ascii="宋体" w:hAnsi="宋体" w:cs="宋体"/>
          <w:bCs/>
          <w:sz w:val="24"/>
          <w:szCs w:val="24"/>
        </w:rPr>
        <w:t>供应商名称（盖章）                                  政府采购编号：</w:t>
      </w:r>
    </w:p>
    <w:tbl>
      <w:tblPr>
        <w:tblStyle w:val="54"/>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96"/>
        <w:gridCol w:w="1888"/>
        <w:gridCol w:w="1701"/>
        <w:gridCol w:w="992"/>
        <w:gridCol w:w="851"/>
        <w:gridCol w:w="1153"/>
        <w:gridCol w:w="831"/>
        <w:gridCol w:w="85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trPr>
        <w:tc>
          <w:tcPr>
            <w:tcW w:w="531" w:type="dxa"/>
            <w:noWrap w:val="0"/>
            <w:tcMar>
              <w:top w:w="15" w:type="dxa"/>
              <w:left w:w="15" w:type="dxa"/>
              <w:bottom w:w="0" w:type="dxa"/>
              <w:right w:w="15" w:type="dxa"/>
            </w:tcMar>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序号</w:t>
            </w:r>
          </w:p>
        </w:tc>
        <w:tc>
          <w:tcPr>
            <w:tcW w:w="1984" w:type="dxa"/>
            <w:gridSpan w:val="2"/>
            <w:noWrap w:val="0"/>
            <w:tcMar>
              <w:top w:w="15" w:type="dxa"/>
              <w:left w:w="15" w:type="dxa"/>
              <w:bottom w:w="0" w:type="dxa"/>
              <w:right w:w="15" w:type="dxa"/>
            </w:tcMar>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名称</w:t>
            </w:r>
          </w:p>
        </w:tc>
        <w:tc>
          <w:tcPr>
            <w:tcW w:w="1701" w:type="dxa"/>
            <w:noWrap w:val="0"/>
            <w:tcMar>
              <w:top w:w="15" w:type="dxa"/>
              <w:left w:w="15" w:type="dxa"/>
              <w:bottom w:w="0" w:type="dxa"/>
              <w:right w:w="15" w:type="dxa"/>
            </w:tcMar>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品牌型号</w:t>
            </w:r>
          </w:p>
        </w:tc>
        <w:tc>
          <w:tcPr>
            <w:tcW w:w="992" w:type="dxa"/>
            <w:noWrap w:val="0"/>
            <w:tcMar>
              <w:top w:w="15" w:type="dxa"/>
              <w:left w:w="15" w:type="dxa"/>
              <w:bottom w:w="0" w:type="dxa"/>
              <w:right w:w="15" w:type="dxa"/>
            </w:tcMar>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数量</w:t>
            </w:r>
          </w:p>
        </w:tc>
        <w:tc>
          <w:tcPr>
            <w:tcW w:w="851" w:type="dxa"/>
            <w:noWrap w:val="0"/>
            <w:tcMar>
              <w:top w:w="15" w:type="dxa"/>
              <w:left w:w="15" w:type="dxa"/>
              <w:bottom w:w="0" w:type="dxa"/>
              <w:right w:w="15" w:type="dxa"/>
            </w:tcMar>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产地</w:t>
            </w:r>
          </w:p>
        </w:tc>
        <w:tc>
          <w:tcPr>
            <w:tcW w:w="1153" w:type="dxa"/>
            <w:noWrap w:val="0"/>
            <w:vAlign w:val="center"/>
          </w:tcPr>
          <w:p>
            <w:pPr>
              <w:spacing w:before="5" w:line="360" w:lineRule="auto"/>
              <w:jc w:val="center"/>
              <w:rPr>
                <w:rFonts w:hint="eastAsia" w:ascii="宋体" w:hAnsi="宋体" w:cs="宋体"/>
                <w:b/>
                <w:szCs w:val="21"/>
              </w:rPr>
            </w:pPr>
            <w:r>
              <w:rPr>
                <w:rFonts w:hint="eastAsia" w:ascii="宋体" w:hAnsi="宋体" w:cs="宋体"/>
                <w:szCs w:val="21"/>
              </w:rPr>
              <w:t>是否属于小、微型企业/监狱企业/残疾人福利性单位产品</w:t>
            </w:r>
          </w:p>
        </w:tc>
        <w:tc>
          <w:tcPr>
            <w:tcW w:w="831" w:type="dxa"/>
            <w:noWrap w:val="0"/>
            <w:tcMar>
              <w:top w:w="15" w:type="dxa"/>
              <w:left w:w="15" w:type="dxa"/>
              <w:bottom w:w="0" w:type="dxa"/>
              <w:right w:w="15" w:type="dxa"/>
            </w:tcMar>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质保期</w:t>
            </w:r>
          </w:p>
        </w:tc>
        <w:tc>
          <w:tcPr>
            <w:tcW w:w="851" w:type="dxa"/>
            <w:noWrap w:val="0"/>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单报价</w:t>
            </w:r>
          </w:p>
        </w:tc>
        <w:tc>
          <w:tcPr>
            <w:tcW w:w="1036" w:type="dxa"/>
            <w:noWrap w:val="0"/>
            <w:vAlign w:val="center"/>
          </w:tcPr>
          <w:p>
            <w:pPr>
              <w:spacing w:before="5" w:line="360" w:lineRule="auto"/>
              <w:jc w:val="center"/>
              <w:rPr>
                <w:rFonts w:hint="eastAsia" w:ascii="宋体" w:hAnsi="宋体" w:cs="宋体"/>
                <w:b/>
                <w:sz w:val="24"/>
                <w:szCs w:val="24"/>
              </w:rPr>
            </w:pPr>
            <w:r>
              <w:rPr>
                <w:rFonts w:hint="eastAsia" w:ascii="宋体" w:hAnsi="宋体" w:cs="宋体"/>
                <w:b/>
                <w:sz w:val="24"/>
                <w:szCs w:val="24"/>
              </w:rPr>
              <w:t>分项     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val="0"/>
            <w:tcMar>
              <w:top w:w="15" w:type="dxa"/>
              <w:left w:w="15" w:type="dxa"/>
              <w:bottom w:w="0" w:type="dxa"/>
              <w:right w:w="15"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1984" w:type="dxa"/>
            <w:gridSpan w:val="2"/>
            <w:noWrap w:val="0"/>
            <w:tcMar>
              <w:top w:w="15" w:type="dxa"/>
              <w:left w:w="15" w:type="dxa"/>
              <w:bottom w:w="0" w:type="dxa"/>
              <w:right w:w="15" w:type="dxa"/>
            </w:tcMar>
            <w:vAlign w:val="center"/>
          </w:tcPr>
          <w:p>
            <w:pPr>
              <w:spacing w:line="360" w:lineRule="auto"/>
              <w:rPr>
                <w:rFonts w:hint="eastAsia" w:ascii="宋体" w:hAnsi="宋体" w:cs="宋体"/>
                <w:sz w:val="24"/>
                <w:szCs w:val="24"/>
              </w:rPr>
            </w:pPr>
          </w:p>
        </w:tc>
        <w:tc>
          <w:tcPr>
            <w:tcW w:w="1701" w:type="dxa"/>
            <w:noWrap w:val="0"/>
            <w:tcMar>
              <w:top w:w="15" w:type="dxa"/>
              <w:left w:w="15" w:type="dxa"/>
              <w:bottom w:w="0" w:type="dxa"/>
              <w:right w:w="15" w:type="dxa"/>
            </w:tcMar>
            <w:vAlign w:val="center"/>
          </w:tcPr>
          <w:p>
            <w:pPr>
              <w:spacing w:line="360" w:lineRule="auto"/>
              <w:rPr>
                <w:rFonts w:hint="eastAsia" w:ascii="宋体" w:hAnsi="宋体" w:cs="宋体"/>
                <w:bCs/>
                <w:sz w:val="24"/>
                <w:szCs w:val="24"/>
              </w:rPr>
            </w:pPr>
          </w:p>
        </w:tc>
        <w:tc>
          <w:tcPr>
            <w:tcW w:w="992" w:type="dxa"/>
            <w:noWrap w:val="0"/>
            <w:tcMar>
              <w:top w:w="15" w:type="dxa"/>
              <w:left w:w="15" w:type="dxa"/>
              <w:bottom w:w="0" w:type="dxa"/>
              <w:right w:w="15" w:type="dxa"/>
            </w:tcMar>
            <w:vAlign w:val="center"/>
          </w:tcPr>
          <w:p>
            <w:pPr>
              <w:spacing w:line="360" w:lineRule="auto"/>
              <w:jc w:val="center"/>
              <w:rPr>
                <w:rFonts w:hint="eastAsia" w:ascii="宋体" w:hAnsi="宋体" w:cs="宋体"/>
                <w:sz w:val="24"/>
                <w:szCs w:val="24"/>
              </w:rPr>
            </w:pPr>
          </w:p>
        </w:tc>
        <w:tc>
          <w:tcPr>
            <w:tcW w:w="851"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　</w:t>
            </w:r>
          </w:p>
        </w:tc>
        <w:tc>
          <w:tcPr>
            <w:tcW w:w="1153" w:type="dxa"/>
            <w:noWrap w:val="0"/>
            <w:vAlign w:val="center"/>
          </w:tcPr>
          <w:p>
            <w:pPr>
              <w:spacing w:line="360" w:lineRule="auto"/>
              <w:jc w:val="center"/>
              <w:rPr>
                <w:rFonts w:hint="eastAsia" w:ascii="宋体" w:hAnsi="宋体" w:cs="宋体"/>
                <w:b/>
                <w:bCs/>
                <w:sz w:val="24"/>
                <w:szCs w:val="24"/>
              </w:rPr>
            </w:pPr>
          </w:p>
        </w:tc>
        <w:tc>
          <w:tcPr>
            <w:tcW w:w="831"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　</w:t>
            </w:r>
          </w:p>
        </w:tc>
        <w:tc>
          <w:tcPr>
            <w:tcW w:w="851" w:type="dxa"/>
            <w:noWrap w:val="0"/>
            <w:vAlign w:val="center"/>
          </w:tcPr>
          <w:p>
            <w:pPr>
              <w:spacing w:line="360" w:lineRule="auto"/>
              <w:jc w:val="center"/>
              <w:rPr>
                <w:rFonts w:hint="eastAsia" w:ascii="宋体" w:hAnsi="宋体" w:cs="宋体"/>
                <w:b/>
                <w:bCs/>
                <w:sz w:val="24"/>
                <w:szCs w:val="24"/>
              </w:rPr>
            </w:pPr>
          </w:p>
        </w:tc>
        <w:tc>
          <w:tcPr>
            <w:tcW w:w="1036" w:type="dxa"/>
            <w:noWrap w:val="0"/>
            <w:vAlign w:val="center"/>
          </w:tcPr>
          <w:p>
            <w:pPr>
              <w:spacing w:line="360" w:lineRule="auto"/>
              <w:jc w:val="cente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trPr>
        <w:tc>
          <w:tcPr>
            <w:tcW w:w="531" w:type="dxa"/>
            <w:noWrap w:val="0"/>
            <w:tcMar>
              <w:top w:w="15" w:type="dxa"/>
              <w:left w:w="15" w:type="dxa"/>
              <w:bottom w:w="0" w:type="dxa"/>
              <w:right w:w="15"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1984" w:type="dxa"/>
            <w:gridSpan w:val="2"/>
            <w:noWrap w:val="0"/>
            <w:tcMar>
              <w:top w:w="15" w:type="dxa"/>
              <w:left w:w="15" w:type="dxa"/>
              <w:bottom w:w="0" w:type="dxa"/>
              <w:right w:w="15" w:type="dxa"/>
            </w:tcMar>
            <w:vAlign w:val="center"/>
          </w:tcPr>
          <w:p>
            <w:pPr>
              <w:spacing w:line="360" w:lineRule="auto"/>
              <w:rPr>
                <w:rFonts w:hint="eastAsia" w:ascii="宋体" w:hAnsi="宋体" w:cs="宋体"/>
                <w:sz w:val="24"/>
                <w:szCs w:val="24"/>
              </w:rPr>
            </w:pPr>
          </w:p>
        </w:tc>
        <w:tc>
          <w:tcPr>
            <w:tcW w:w="1701" w:type="dxa"/>
            <w:noWrap w:val="0"/>
            <w:tcMar>
              <w:top w:w="15" w:type="dxa"/>
              <w:left w:w="15" w:type="dxa"/>
              <w:bottom w:w="0" w:type="dxa"/>
              <w:right w:w="15" w:type="dxa"/>
            </w:tcMar>
            <w:vAlign w:val="center"/>
          </w:tcPr>
          <w:p>
            <w:pPr>
              <w:spacing w:line="360" w:lineRule="auto"/>
              <w:rPr>
                <w:rFonts w:hint="eastAsia" w:ascii="宋体" w:hAnsi="宋体" w:cs="宋体"/>
                <w:bCs/>
                <w:sz w:val="24"/>
                <w:szCs w:val="24"/>
              </w:rPr>
            </w:pPr>
          </w:p>
        </w:tc>
        <w:tc>
          <w:tcPr>
            <w:tcW w:w="992" w:type="dxa"/>
            <w:noWrap w:val="0"/>
            <w:tcMar>
              <w:top w:w="15" w:type="dxa"/>
              <w:left w:w="15" w:type="dxa"/>
              <w:bottom w:w="0" w:type="dxa"/>
              <w:right w:w="15" w:type="dxa"/>
            </w:tcMar>
            <w:vAlign w:val="center"/>
          </w:tcPr>
          <w:p>
            <w:pPr>
              <w:spacing w:line="360" w:lineRule="auto"/>
              <w:jc w:val="center"/>
              <w:rPr>
                <w:rFonts w:hint="eastAsia" w:ascii="宋体" w:hAnsi="宋体" w:cs="宋体"/>
                <w:sz w:val="24"/>
                <w:szCs w:val="24"/>
              </w:rPr>
            </w:pPr>
          </w:p>
        </w:tc>
        <w:tc>
          <w:tcPr>
            <w:tcW w:w="851"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szCs w:val="24"/>
              </w:rPr>
            </w:pPr>
          </w:p>
        </w:tc>
        <w:tc>
          <w:tcPr>
            <w:tcW w:w="1153" w:type="dxa"/>
            <w:noWrap w:val="0"/>
            <w:vAlign w:val="center"/>
          </w:tcPr>
          <w:p>
            <w:pPr>
              <w:spacing w:line="360" w:lineRule="auto"/>
              <w:jc w:val="center"/>
              <w:rPr>
                <w:rFonts w:hint="eastAsia" w:ascii="宋体" w:hAnsi="宋体" w:cs="宋体"/>
                <w:b/>
                <w:bCs/>
                <w:sz w:val="24"/>
                <w:szCs w:val="24"/>
              </w:rPr>
            </w:pPr>
          </w:p>
        </w:tc>
        <w:tc>
          <w:tcPr>
            <w:tcW w:w="831"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szCs w:val="24"/>
              </w:rPr>
            </w:pPr>
          </w:p>
        </w:tc>
        <w:tc>
          <w:tcPr>
            <w:tcW w:w="851" w:type="dxa"/>
            <w:noWrap w:val="0"/>
            <w:vAlign w:val="center"/>
          </w:tcPr>
          <w:p>
            <w:pPr>
              <w:spacing w:line="360" w:lineRule="auto"/>
              <w:jc w:val="center"/>
              <w:rPr>
                <w:rFonts w:hint="eastAsia" w:ascii="宋体" w:hAnsi="宋体" w:cs="宋体"/>
                <w:b/>
                <w:bCs/>
                <w:sz w:val="24"/>
                <w:szCs w:val="24"/>
              </w:rPr>
            </w:pPr>
          </w:p>
        </w:tc>
        <w:tc>
          <w:tcPr>
            <w:tcW w:w="1036" w:type="dxa"/>
            <w:noWrap w:val="0"/>
            <w:vAlign w:val="center"/>
          </w:tcPr>
          <w:p>
            <w:pPr>
              <w:spacing w:line="360" w:lineRule="auto"/>
              <w:jc w:val="cente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531" w:type="dxa"/>
            <w:noWrap w:val="0"/>
            <w:tcMar>
              <w:top w:w="15" w:type="dxa"/>
              <w:left w:w="15" w:type="dxa"/>
              <w:bottom w:w="0" w:type="dxa"/>
              <w:right w:w="15"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3</w:t>
            </w:r>
          </w:p>
        </w:tc>
        <w:tc>
          <w:tcPr>
            <w:tcW w:w="1984" w:type="dxa"/>
            <w:gridSpan w:val="2"/>
            <w:noWrap w:val="0"/>
            <w:tcMar>
              <w:top w:w="15" w:type="dxa"/>
              <w:left w:w="15" w:type="dxa"/>
              <w:bottom w:w="0" w:type="dxa"/>
              <w:right w:w="15" w:type="dxa"/>
            </w:tcMar>
            <w:vAlign w:val="center"/>
          </w:tcPr>
          <w:p>
            <w:pPr>
              <w:spacing w:line="360" w:lineRule="auto"/>
              <w:rPr>
                <w:rFonts w:hint="eastAsia" w:ascii="宋体" w:hAnsi="宋体" w:cs="宋体"/>
                <w:sz w:val="24"/>
                <w:szCs w:val="24"/>
              </w:rPr>
            </w:pPr>
          </w:p>
        </w:tc>
        <w:tc>
          <w:tcPr>
            <w:tcW w:w="1701" w:type="dxa"/>
            <w:noWrap w:val="0"/>
            <w:tcMar>
              <w:top w:w="15" w:type="dxa"/>
              <w:left w:w="15" w:type="dxa"/>
              <w:bottom w:w="0" w:type="dxa"/>
              <w:right w:w="15" w:type="dxa"/>
            </w:tcMar>
            <w:vAlign w:val="center"/>
          </w:tcPr>
          <w:p>
            <w:pPr>
              <w:spacing w:line="360" w:lineRule="auto"/>
              <w:rPr>
                <w:rFonts w:hint="eastAsia" w:ascii="宋体" w:hAnsi="宋体" w:cs="宋体"/>
                <w:bCs/>
                <w:sz w:val="24"/>
                <w:szCs w:val="24"/>
              </w:rPr>
            </w:pPr>
          </w:p>
        </w:tc>
        <w:tc>
          <w:tcPr>
            <w:tcW w:w="992" w:type="dxa"/>
            <w:noWrap w:val="0"/>
            <w:tcMar>
              <w:top w:w="15" w:type="dxa"/>
              <w:left w:w="15" w:type="dxa"/>
              <w:bottom w:w="0" w:type="dxa"/>
              <w:right w:w="15" w:type="dxa"/>
            </w:tcMar>
            <w:vAlign w:val="center"/>
          </w:tcPr>
          <w:p>
            <w:pPr>
              <w:spacing w:line="360" w:lineRule="auto"/>
              <w:jc w:val="center"/>
              <w:rPr>
                <w:rFonts w:hint="eastAsia" w:ascii="宋体" w:hAnsi="宋体" w:cs="宋体"/>
                <w:sz w:val="24"/>
                <w:szCs w:val="24"/>
              </w:rPr>
            </w:pPr>
          </w:p>
        </w:tc>
        <w:tc>
          <w:tcPr>
            <w:tcW w:w="851"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szCs w:val="24"/>
              </w:rPr>
            </w:pPr>
          </w:p>
        </w:tc>
        <w:tc>
          <w:tcPr>
            <w:tcW w:w="1153" w:type="dxa"/>
            <w:noWrap w:val="0"/>
            <w:vAlign w:val="center"/>
          </w:tcPr>
          <w:p>
            <w:pPr>
              <w:spacing w:line="360" w:lineRule="auto"/>
              <w:jc w:val="center"/>
              <w:rPr>
                <w:rFonts w:hint="eastAsia" w:ascii="宋体" w:hAnsi="宋体" w:cs="宋体"/>
                <w:b/>
                <w:bCs/>
                <w:sz w:val="24"/>
                <w:szCs w:val="24"/>
              </w:rPr>
            </w:pPr>
          </w:p>
        </w:tc>
        <w:tc>
          <w:tcPr>
            <w:tcW w:w="831" w:type="dxa"/>
            <w:noWrap w:val="0"/>
            <w:tcMar>
              <w:top w:w="15" w:type="dxa"/>
              <w:left w:w="15" w:type="dxa"/>
              <w:bottom w:w="0" w:type="dxa"/>
              <w:right w:w="15" w:type="dxa"/>
            </w:tcMar>
            <w:vAlign w:val="center"/>
          </w:tcPr>
          <w:p>
            <w:pPr>
              <w:spacing w:line="360" w:lineRule="auto"/>
              <w:jc w:val="center"/>
              <w:rPr>
                <w:rFonts w:hint="eastAsia" w:ascii="宋体" w:hAnsi="宋体" w:cs="宋体"/>
                <w:b/>
                <w:bCs/>
                <w:sz w:val="24"/>
                <w:szCs w:val="24"/>
              </w:rPr>
            </w:pPr>
          </w:p>
        </w:tc>
        <w:tc>
          <w:tcPr>
            <w:tcW w:w="851" w:type="dxa"/>
            <w:noWrap w:val="0"/>
            <w:vAlign w:val="center"/>
          </w:tcPr>
          <w:p>
            <w:pPr>
              <w:spacing w:line="360" w:lineRule="auto"/>
              <w:jc w:val="center"/>
              <w:rPr>
                <w:rFonts w:hint="eastAsia" w:ascii="宋体" w:hAnsi="宋体" w:cs="宋体"/>
                <w:b/>
                <w:bCs/>
                <w:sz w:val="24"/>
                <w:szCs w:val="24"/>
              </w:rPr>
            </w:pPr>
          </w:p>
        </w:tc>
        <w:tc>
          <w:tcPr>
            <w:tcW w:w="1036" w:type="dxa"/>
            <w:noWrap w:val="0"/>
            <w:vAlign w:val="center"/>
          </w:tcPr>
          <w:p>
            <w:pPr>
              <w:spacing w:line="360" w:lineRule="auto"/>
              <w:jc w:val="cente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9930" w:type="dxa"/>
            <w:gridSpan w:val="10"/>
            <w:noWrap w:val="0"/>
            <w:tcMar>
              <w:top w:w="15" w:type="dxa"/>
              <w:left w:w="15" w:type="dxa"/>
              <w:bottom w:w="0" w:type="dxa"/>
              <w:right w:w="15" w:type="dxa"/>
            </w:tcMar>
            <w:vAlign w:val="center"/>
          </w:tcPr>
          <w:p>
            <w:pPr>
              <w:spacing w:line="360" w:lineRule="auto"/>
              <w:rPr>
                <w:rFonts w:hint="eastAsia" w:ascii="宋体" w:hAnsi="宋体" w:cs="宋体"/>
                <w:b/>
                <w:bCs/>
                <w:sz w:val="24"/>
                <w:szCs w:val="24"/>
              </w:rPr>
            </w:pPr>
            <w:r>
              <w:rPr>
                <w:rFonts w:hint="eastAsia" w:ascii="宋体" w:hAnsi="宋体" w:cs="宋体"/>
                <w:b/>
                <w:bCs/>
                <w:sz w:val="24"/>
                <w:szCs w:val="24"/>
              </w:rPr>
              <w:t>属于小、微型企业/监狱企业/残疾人福利性单位产品的价格合计（大写）：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27" w:type="dxa"/>
            <w:gridSpan w:val="2"/>
            <w:vMerge w:val="restart"/>
            <w:tcBorders>
              <w:top w:val="single" w:color="auto" w:sz="4" w:space="0"/>
              <w:left w:val="single" w:color="auto" w:sz="4" w:space="0"/>
              <w:right w:val="single" w:color="auto" w:sz="4" w:space="0"/>
            </w:tcBorders>
            <w:noWrap w:val="0"/>
            <w:vAlign w:val="center"/>
          </w:tcPr>
          <w:p>
            <w:pPr>
              <w:pStyle w:val="46"/>
              <w:spacing w:line="360" w:lineRule="auto"/>
              <w:ind w:firstLine="120" w:firstLineChars="50"/>
              <w:rPr>
                <w:rFonts w:hint="eastAsia" w:ascii="宋体" w:hAnsi="宋体" w:cs="宋体"/>
                <w:b/>
                <w:bCs/>
                <w:sz w:val="24"/>
              </w:rPr>
            </w:pPr>
            <w:r>
              <w:rPr>
                <w:rFonts w:hint="eastAsia" w:ascii="宋体" w:hAnsi="宋体" w:cs="宋体"/>
                <w:b/>
                <w:bCs/>
                <w:sz w:val="24"/>
              </w:rPr>
              <w:t>服</w:t>
            </w:r>
          </w:p>
          <w:p>
            <w:pPr>
              <w:pStyle w:val="46"/>
              <w:spacing w:line="360" w:lineRule="auto"/>
              <w:ind w:firstLine="120" w:firstLineChars="50"/>
              <w:rPr>
                <w:rFonts w:hint="eastAsia" w:ascii="宋体" w:hAnsi="宋体" w:cs="宋体"/>
                <w:b/>
                <w:bCs/>
                <w:sz w:val="24"/>
              </w:rPr>
            </w:pPr>
            <w:r>
              <w:rPr>
                <w:rFonts w:hint="eastAsia" w:ascii="宋体" w:hAnsi="宋体" w:cs="宋体"/>
                <w:b/>
                <w:bCs/>
                <w:sz w:val="24"/>
              </w:rPr>
              <w:t>务</w:t>
            </w:r>
          </w:p>
          <w:p>
            <w:pPr>
              <w:pStyle w:val="46"/>
              <w:spacing w:line="360" w:lineRule="auto"/>
              <w:ind w:firstLine="120" w:firstLineChars="50"/>
              <w:rPr>
                <w:rFonts w:hint="eastAsia" w:ascii="宋体" w:hAnsi="宋体" w:cs="宋体"/>
                <w:b/>
                <w:bCs/>
                <w:sz w:val="24"/>
              </w:rPr>
            </w:pPr>
            <w:r>
              <w:rPr>
                <w:rFonts w:hint="eastAsia" w:ascii="宋体" w:hAnsi="宋体" w:cs="宋体"/>
                <w:b/>
                <w:bCs/>
                <w:sz w:val="24"/>
              </w:rPr>
              <w:t>承</w:t>
            </w:r>
          </w:p>
          <w:p>
            <w:pPr>
              <w:pStyle w:val="46"/>
              <w:spacing w:line="360" w:lineRule="auto"/>
              <w:ind w:firstLine="120" w:firstLineChars="50"/>
              <w:rPr>
                <w:rFonts w:hint="eastAsia" w:ascii="宋体" w:hAnsi="宋体" w:cs="宋体"/>
                <w:bCs/>
                <w:sz w:val="24"/>
              </w:rPr>
            </w:pPr>
            <w:r>
              <w:rPr>
                <w:rFonts w:hint="eastAsia" w:ascii="宋体" w:hAnsi="宋体" w:cs="宋体"/>
                <w:b/>
                <w:bCs/>
                <w:sz w:val="24"/>
              </w:rPr>
              <w:t>诺</w:t>
            </w:r>
          </w:p>
        </w:tc>
        <w:tc>
          <w:tcPr>
            <w:tcW w:w="9303"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质量 2.安装 3."三包"(包修、包退、包换)4.其他承诺</w:t>
            </w:r>
          </w:p>
          <w:p>
            <w:pPr>
              <w:spacing w:line="360" w:lineRule="auto"/>
              <w:rPr>
                <w:rFonts w:hint="eastAsia" w:ascii="宋体" w:hAnsi="宋体" w:cs="宋体"/>
                <w:bCs/>
                <w:sz w:val="24"/>
                <w:szCs w:val="24"/>
              </w:rPr>
            </w:pPr>
            <w:r>
              <w:rPr>
                <w:rFonts w:hint="eastAsia" w:ascii="宋体" w:hAnsi="宋体" w:cs="宋体"/>
                <w:bCs/>
                <w:sz w:val="24"/>
                <w:szCs w:val="24"/>
              </w:rPr>
              <w:t>（以上是主要承诺，供供应商参考，供应商应在满足磋商文件要求的基础上，根据自己单位的情况作出具体承诺）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trPr>
        <w:tc>
          <w:tcPr>
            <w:tcW w:w="627" w:type="dxa"/>
            <w:gridSpan w:val="2"/>
            <w:vMerge w:val="continue"/>
            <w:tcBorders>
              <w:left w:val="single" w:color="auto" w:sz="4" w:space="0"/>
              <w:bottom w:val="single" w:color="auto" w:sz="4" w:space="0"/>
              <w:right w:val="single" w:color="auto" w:sz="4" w:space="0"/>
            </w:tcBorders>
            <w:noWrap w:val="0"/>
            <w:vAlign w:val="center"/>
          </w:tcPr>
          <w:p>
            <w:pPr>
              <w:pStyle w:val="46"/>
              <w:spacing w:line="360" w:lineRule="auto"/>
              <w:rPr>
                <w:rFonts w:hint="eastAsia" w:ascii="宋体" w:hAnsi="宋体" w:cs="宋体"/>
                <w:bCs/>
                <w:sz w:val="24"/>
              </w:rPr>
            </w:pPr>
          </w:p>
        </w:tc>
        <w:tc>
          <w:tcPr>
            <w:tcW w:w="9303"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Cs/>
                <w:sz w:val="24"/>
                <w:szCs w:val="24"/>
              </w:rPr>
            </w:pPr>
          </w:p>
        </w:tc>
      </w:tr>
    </w:tbl>
    <w:p>
      <w:pPr>
        <w:spacing w:before="5" w:line="360" w:lineRule="auto"/>
        <w:rPr>
          <w:rFonts w:hint="eastAsia" w:ascii="宋体" w:hAnsi="宋体" w:cs="宋体"/>
          <w:b/>
          <w:bCs/>
          <w:sz w:val="24"/>
          <w:szCs w:val="24"/>
        </w:rPr>
      </w:pPr>
      <w:r>
        <w:rPr>
          <w:rFonts w:hint="eastAsia" w:ascii="宋体" w:hAnsi="宋体" w:cs="宋体"/>
          <w:b/>
          <w:bCs/>
          <w:sz w:val="24"/>
          <w:szCs w:val="24"/>
        </w:rPr>
        <w:t>法定代表人或法定代表人授权代表签字或盖章：</w:t>
      </w:r>
    </w:p>
    <w:p>
      <w:pPr>
        <w:spacing w:line="360" w:lineRule="auto"/>
        <w:rPr>
          <w:rFonts w:hint="eastAsia" w:ascii="宋体" w:hAnsi="宋体" w:cs="宋体"/>
          <w:kern w:val="0"/>
          <w:szCs w:val="21"/>
          <w:lang w:val="zh-CN"/>
        </w:rPr>
      </w:pPr>
      <w:r>
        <w:rPr>
          <w:rFonts w:hint="eastAsia" w:ascii="宋体" w:hAnsi="宋体" w:cs="宋体"/>
          <w:b/>
          <w:sz w:val="24"/>
          <w:szCs w:val="24"/>
        </w:rPr>
        <w:t>注：</w:t>
      </w:r>
      <w:r>
        <w:rPr>
          <w:rFonts w:hint="eastAsia" w:ascii="宋体" w:hAnsi="宋体" w:cs="宋体"/>
          <w:bCs/>
          <w:kern w:val="1"/>
          <w:szCs w:val="21"/>
        </w:rPr>
        <w:t>（1）</w:t>
      </w:r>
      <w:r>
        <w:rPr>
          <w:rFonts w:hint="eastAsia" w:ascii="宋体" w:hAnsi="宋体" w:cs="宋体"/>
          <w:kern w:val="0"/>
          <w:szCs w:val="21"/>
          <w:lang w:val="zh-CN"/>
        </w:rPr>
        <w:t>在“</w:t>
      </w:r>
      <w:r>
        <w:rPr>
          <w:rFonts w:hint="eastAsia" w:ascii="宋体" w:hAnsi="宋体" w:cs="宋体"/>
          <w:szCs w:val="21"/>
        </w:rPr>
        <w:t>是否属于小、微型企业产品</w:t>
      </w:r>
      <w:r>
        <w:rPr>
          <w:rFonts w:hint="eastAsia" w:ascii="宋体" w:hAnsi="宋体" w:cs="宋体"/>
          <w:kern w:val="0"/>
          <w:szCs w:val="21"/>
          <w:lang w:val="zh-CN"/>
        </w:rPr>
        <w:t>”栏内填写“是”或“否”。如填写“是”，必须在“产地“栏内加填</w:t>
      </w:r>
      <w:r>
        <w:rPr>
          <w:rFonts w:hint="eastAsia" w:ascii="宋体" w:hAnsi="宋体" w:cs="宋体"/>
          <w:szCs w:val="21"/>
        </w:rPr>
        <w:t>小、微型企业的完整名称，供应商</w:t>
      </w:r>
      <w:r>
        <w:rPr>
          <w:rFonts w:hint="eastAsia" w:ascii="宋体" w:hAnsi="宋体" w:cs="宋体"/>
          <w:kern w:val="0"/>
          <w:szCs w:val="21"/>
          <w:lang w:val="zh-CN"/>
        </w:rPr>
        <w:t>《中小企业声明函》</w:t>
      </w:r>
      <w:r>
        <w:rPr>
          <w:rFonts w:hint="eastAsia" w:ascii="宋体" w:hAnsi="宋体" w:cs="宋体"/>
          <w:szCs w:val="21"/>
        </w:rPr>
        <w:t>和供应商所在地的县级以上中小企业主管部门对供应商为中型或小、微型企业的认定证明复印件；如未按要求填写和提供有效证明或</w:t>
      </w:r>
      <w:r>
        <w:rPr>
          <w:rFonts w:hint="eastAsia" w:ascii="宋体" w:hAnsi="宋体" w:cs="宋体"/>
          <w:kern w:val="0"/>
          <w:szCs w:val="21"/>
          <w:lang w:val="zh-CN"/>
        </w:rPr>
        <w:t>相关内容表述不清的，</w:t>
      </w:r>
      <w:r>
        <w:rPr>
          <w:rFonts w:hint="eastAsia" w:ascii="宋体" w:hAnsi="宋体" w:cs="宋体"/>
          <w:szCs w:val="21"/>
        </w:rPr>
        <w:t>不得享受价格扣除。</w:t>
      </w:r>
      <w:r>
        <w:rPr>
          <w:rFonts w:hint="eastAsia" w:ascii="宋体" w:hAnsi="宋体" w:cs="宋体"/>
          <w:kern w:val="0"/>
          <w:szCs w:val="21"/>
          <w:lang w:val="zh-CN"/>
        </w:rPr>
        <w:t>供应商对所报相关数据的真实性负责；</w:t>
      </w:r>
    </w:p>
    <w:p>
      <w:pPr>
        <w:spacing w:line="360" w:lineRule="auto"/>
        <w:ind w:firstLine="210" w:firstLineChars="100"/>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）在“</w:t>
      </w:r>
      <w:r>
        <w:rPr>
          <w:rFonts w:hint="eastAsia" w:ascii="宋体" w:hAnsi="宋体" w:cs="宋体"/>
          <w:szCs w:val="21"/>
        </w:rPr>
        <w:t>是否</w:t>
      </w:r>
      <w:r>
        <w:rPr>
          <w:rFonts w:hint="eastAsia" w:ascii="宋体" w:hAnsi="宋体" w:cs="宋体"/>
          <w:kern w:val="0"/>
          <w:szCs w:val="21"/>
          <w:lang w:val="zh-CN"/>
        </w:rPr>
        <w:t>属于监狱和戒毒企业产品”栏内填写“是”或“否”。监狱和戒毒企业参加政府采购活动视同小型、微型企业，享受评审价格扣除6%的政府采购优惠政策。参加报价的监狱和戒毒企业，应当提供由省级以上监狱管理局、戒毒管理局（含新疆生产建设兵团）出具的属于监狱企业的证明文件复印件。（按属于监狱和戒毒企业产品细目报价表认真填写，未按要求提供有效证明或相关内容表述不清的，不得享受价格扣除。）</w:t>
      </w:r>
    </w:p>
    <w:p>
      <w:pPr>
        <w:spacing w:line="360" w:lineRule="auto"/>
        <w:ind w:firstLine="210" w:firstLineChars="100"/>
        <w:outlineLvl w:val="0"/>
        <w:rPr>
          <w:rFonts w:hint="eastAsia" w:ascii="宋体" w:hAnsi="宋体" w:cs="宋体"/>
          <w:spacing w:val="-3"/>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）在“</w:t>
      </w:r>
      <w:r>
        <w:rPr>
          <w:rFonts w:hint="eastAsia" w:ascii="宋体" w:hAnsi="宋体" w:cs="宋体"/>
          <w:szCs w:val="21"/>
        </w:rPr>
        <w:t>是否属于</w:t>
      </w:r>
      <w:r>
        <w:rPr>
          <w:rFonts w:hint="eastAsia" w:ascii="宋体" w:hAnsi="宋体" w:cs="宋体"/>
          <w:kern w:val="0"/>
          <w:szCs w:val="21"/>
          <w:lang w:val="zh-CN"/>
        </w:rPr>
        <w:t>残疾人福利性单位产品”栏内填写“是”或“否”。残疾人福利性单位参加政府采购活动视同小型、微型企业，享受评审价格扣除6%的政府采购优惠政策。参加报价的残疾人福利性单位，应当提供《残疾人福利性单位声明函》。残疾人福利性单位属于小型、微型企业的，不重复享受政策。（按属于残疾人福利性单位产品细目报价表认真填写，如未按要求填写和提供有效声明函的，不得享受价格扣除。）</w:t>
      </w:r>
    </w:p>
    <w:p>
      <w:pPr>
        <w:spacing w:line="360" w:lineRule="auto"/>
        <w:ind w:firstLine="315"/>
        <w:outlineLvl w:val="0"/>
        <w:rPr>
          <w:rFonts w:hint="eastAsia" w:ascii="宋体" w:hAnsi="宋体" w:cs="宋体"/>
          <w:kern w:val="1"/>
          <w:szCs w:val="21"/>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w:t>
      </w:r>
      <w:r>
        <w:rPr>
          <w:rFonts w:hint="eastAsia" w:ascii="宋体" w:hAnsi="宋体" w:cs="宋体"/>
          <w:kern w:val="1"/>
          <w:szCs w:val="21"/>
        </w:rPr>
        <w:t>供应商应当根据“项目技术要求和有关说明”的内容在上表中详细填写；</w:t>
      </w:r>
    </w:p>
    <w:p>
      <w:pPr>
        <w:spacing w:line="360" w:lineRule="auto"/>
        <w:ind w:firstLine="315"/>
        <w:outlineLvl w:val="0"/>
        <w:rPr>
          <w:rFonts w:hint="eastAsia" w:ascii="宋体" w:hAnsi="宋体" w:cs="宋体"/>
          <w:kern w:val="1"/>
          <w:sz w:val="24"/>
        </w:rPr>
      </w:pPr>
      <w:r>
        <w:rPr>
          <w:rFonts w:hint="eastAsia" w:ascii="宋体" w:hAnsi="宋体" w:cs="宋体"/>
          <w:kern w:val="1"/>
          <w:szCs w:val="21"/>
        </w:rPr>
        <w:t>（5）表格不够可自行延长。</w:t>
      </w:r>
      <w:r>
        <w:rPr>
          <w:rFonts w:hint="eastAsia" w:ascii="宋体" w:hAnsi="宋体" w:cs="宋体"/>
          <w:kern w:val="1"/>
          <w:sz w:val="24"/>
        </w:rPr>
        <w:t xml:space="preserve">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widowControl/>
        <w:shd w:val="clear" w:color="auto" w:fill="FFFFFF"/>
        <w:spacing w:line="360" w:lineRule="auto"/>
        <w:rPr>
          <w:rFonts w:hint="eastAsia" w:ascii="宋体" w:hAnsi="宋体" w:cs="宋体"/>
          <w:b/>
          <w:sz w:val="30"/>
          <w:szCs w:val="30"/>
        </w:rPr>
      </w:pPr>
      <w:r>
        <w:rPr>
          <w:rFonts w:hint="eastAsia" w:ascii="宋体" w:hAnsi="宋体" w:cs="宋体"/>
          <w:bCs/>
          <w:sz w:val="24"/>
        </w:rPr>
        <w:br w:type="page"/>
      </w:r>
      <w:r>
        <w:rPr>
          <w:rFonts w:hint="eastAsia" w:ascii="宋体" w:hAnsi="宋体" w:cs="宋体"/>
          <w:b/>
          <w:sz w:val="30"/>
          <w:szCs w:val="30"/>
        </w:rPr>
        <w:t>附：中小企业声明函</w:t>
      </w:r>
    </w:p>
    <w:p>
      <w:pPr>
        <w:spacing w:line="360" w:lineRule="auto"/>
        <w:jc w:val="center"/>
        <w:rPr>
          <w:rFonts w:hint="eastAsia" w:ascii="宋体" w:hAnsi="宋体" w:cs="宋体"/>
          <w:b/>
          <w:spacing w:val="6"/>
          <w:sz w:val="28"/>
          <w:szCs w:val="28"/>
        </w:rPr>
      </w:pPr>
      <w:r>
        <w:rPr>
          <w:rFonts w:hint="eastAsia" w:ascii="宋体" w:hAnsi="宋体" w:cs="宋体"/>
          <w:b/>
          <w:spacing w:val="6"/>
          <w:sz w:val="28"/>
          <w:szCs w:val="28"/>
        </w:rPr>
        <w:t>中小企业声明函</w:t>
      </w:r>
    </w:p>
    <w:p>
      <w:pPr>
        <w:spacing w:line="360" w:lineRule="auto"/>
        <w:ind w:firstLine="480" w:firstLineChars="200"/>
        <w:rPr>
          <w:rFonts w:hint="eastAsia" w:ascii="宋体" w:hAnsi="宋体" w:cs="宋体"/>
          <w:bCs/>
          <w:sz w:val="24"/>
        </w:rPr>
      </w:pPr>
    </w:p>
    <w:p>
      <w:pPr>
        <w:spacing w:line="360" w:lineRule="auto"/>
        <w:ind w:firstLine="480" w:firstLineChars="200"/>
        <w:rPr>
          <w:rFonts w:hint="eastAsia" w:ascii="宋体" w:hAnsi="宋体" w:cs="宋体"/>
          <w:bCs/>
          <w:sz w:val="24"/>
        </w:rPr>
      </w:pPr>
      <w:r>
        <w:rPr>
          <w:rFonts w:hint="eastAsia" w:ascii="宋体" w:hAnsi="宋体" w:cs="宋体"/>
          <w:bCs/>
          <w:sz w:val="24"/>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rPr>
          <w:rFonts w:hint="eastAsia" w:ascii="宋体" w:hAnsi="宋体" w:cs="宋体"/>
          <w:bCs/>
          <w:sz w:val="24"/>
        </w:rPr>
      </w:pPr>
      <w:r>
        <w:rPr>
          <w:rFonts w:hint="eastAsia" w:ascii="宋体" w:hAnsi="宋体" w:cs="宋体"/>
          <w:bCs/>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rPr>
          <w:rFonts w:hint="eastAsia" w:ascii="宋体" w:hAnsi="宋体" w:cs="宋体"/>
          <w:bCs/>
          <w:sz w:val="24"/>
        </w:rPr>
      </w:pPr>
      <w:r>
        <w:rPr>
          <w:rFonts w:hint="eastAsia" w:ascii="宋体" w:hAnsi="宋体" w:cs="宋体"/>
          <w:bCs/>
          <w:sz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rPr>
          <w:rFonts w:hint="eastAsia" w:ascii="宋体" w:hAnsi="宋体" w:cs="宋体"/>
          <w:bCs/>
          <w:sz w:val="24"/>
        </w:rPr>
      </w:pPr>
      <w:r>
        <w:rPr>
          <w:rFonts w:hint="eastAsia" w:ascii="宋体" w:hAnsi="宋体" w:cs="宋体"/>
          <w:bCs/>
          <w:sz w:val="24"/>
        </w:rPr>
        <w:t>本公司对上述声明的真实性负责。如有虚假，将依法承担相应责任。</w:t>
      </w:r>
    </w:p>
    <w:p>
      <w:pPr>
        <w:spacing w:line="360" w:lineRule="auto"/>
        <w:rPr>
          <w:rFonts w:hint="eastAsia" w:ascii="宋体" w:hAnsi="宋体" w:cs="宋体"/>
          <w:bCs/>
          <w:sz w:val="24"/>
        </w:rPr>
      </w:pPr>
    </w:p>
    <w:p>
      <w:pPr>
        <w:spacing w:line="360" w:lineRule="auto"/>
        <w:rPr>
          <w:rFonts w:hint="eastAsia" w:ascii="宋体" w:hAnsi="宋体" w:cs="宋体"/>
          <w:bCs/>
          <w:sz w:val="24"/>
        </w:rPr>
      </w:pPr>
    </w:p>
    <w:p>
      <w:pPr>
        <w:spacing w:line="360" w:lineRule="auto"/>
        <w:rPr>
          <w:rFonts w:hint="eastAsia" w:ascii="宋体" w:hAnsi="宋体" w:cs="宋体"/>
          <w:bCs/>
          <w:sz w:val="24"/>
        </w:rPr>
      </w:pPr>
    </w:p>
    <w:p>
      <w:pPr>
        <w:spacing w:line="360" w:lineRule="auto"/>
        <w:ind w:firstLine="4800" w:firstLineChars="2000"/>
        <w:rPr>
          <w:rFonts w:hint="eastAsia" w:ascii="宋体" w:hAnsi="宋体" w:cs="宋体"/>
          <w:bCs/>
          <w:sz w:val="24"/>
        </w:rPr>
      </w:pPr>
      <w:r>
        <w:rPr>
          <w:rFonts w:hint="eastAsia" w:ascii="宋体" w:hAnsi="宋体" w:cs="宋体"/>
          <w:bCs/>
          <w:sz w:val="24"/>
        </w:rPr>
        <w:t>企业名称（盖章）：</w:t>
      </w:r>
    </w:p>
    <w:p>
      <w:pPr>
        <w:spacing w:line="360" w:lineRule="auto"/>
        <w:ind w:firstLine="4800" w:firstLineChars="2000"/>
        <w:rPr>
          <w:rFonts w:hint="eastAsia" w:ascii="宋体" w:hAnsi="宋体" w:cs="宋体"/>
          <w:bCs/>
          <w:sz w:val="24"/>
        </w:rPr>
      </w:pPr>
    </w:p>
    <w:p>
      <w:pPr>
        <w:spacing w:line="360" w:lineRule="auto"/>
        <w:ind w:firstLine="4800" w:firstLineChars="2000"/>
        <w:rPr>
          <w:rFonts w:hint="eastAsia" w:ascii="宋体" w:hAnsi="宋体" w:cs="宋体"/>
          <w:bCs/>
          <w:sz w:val="24"/>
        </w:rPr>
      </w:pPr>
      <w:r>
        <w:rPr>
          <w:rFonts w:hint="eastAsia" w:ascii="宋体" w:hAnsi="宋体" w:cs="宋体"/>
          <w:bCs/>
          <w:sz w:val="24"/>
        </w:rPr>
        <w:t>日　　期：</w:t>
      </w:r>
    </w:p>
    <w:p>
      <w:pPr>
        <w:spacing w:line="360" w:lineRule="auto"/>
        <w:rPr>
          <w:rFonts w:hint="eastAsia" w:ascii="宋体" w:hAnsi="宋体" w:cs="宋体"/>
          <w:bCs/>
          <w:sz w:val="24"/>
        </w:rPr>
      </w:pPr>
    </w:p>
    <w:p>
      <w:pPr>
        <w:spacing w:line="360" w:lineRule="auto"/>
        <w:rPr>
          <w:rFonts w:hint="eastAsia" w:ascii="宋体" w:hAnsi="宋体" w:cs="宋体"/>
          <w:bCs/>
          <w:sz w:val="24"/>
        </w:rPr>
      </w:pPr>
    </w:p>
    <w:p>
      <w:pPr>
        <w:spacing w:line="360" w:lineRule="auto"/>
        <w:rPr>
          <w:rFonts w:hint="eastAsia" w:ascii="宋体" w:hAnsi="宋体" w:cs="宋体"/>
          <w:bCs/>
          <w:sz w:val="24"/>
        </w:rPr>
      </w:pPr>
      <w:r>
        <w:rPr>
          <w:rFonts w:hint="eastAsia" w:ascii="宋体" w:hAnsi="宋体" w:cs="宋体"/>
          <w:sz w:val="24"/>
          <w:lang w:val="zh-CN"/>
        </w:rPr>
        <w:t>注：供应商如</w:t>
      </w:r>
      <w:r>
        <w:rPr>
          <w:rFonts w:hint="eastAsia" w:ascii="宋体" w:hAnsi="宋体" w:cs="宋体"/>
          <w:bCs/>
          <w:sz w:val="24"/>
        </w:rPr>
        <w:t>为小、微型企业</w:t>
      </w:r>
      <w:r>
        <w:rPr>
          <w:rFonts w:hint="eastAsia" w:ascii="宋体" w:hAnsi="宋体" w:cs="宋体"/>
          <w:sz w:val="24"/>
          <w:lang w:val="zh-CN"/>
        </w:rPr>
        <w:t>必须另提供</w:t>
      </w:r>
      <w:r>
        <w:rPr>
          <w:rFonts w:hint="eastAsia" w:ascii="宋体" w:hAnsi="宋体" w:cs="宋体"/>
          <w:bCs/>
          <w:sz w:val="24"/>
        </w:rPr>
        <w:t>供应商所在地的县级以上中小企业主管部门对供应商为小、微型企业的认定（有效）证明复印件；如未按要求填写和提供有效证明或</w:t>
      </w:r>
      <w:r>
        <w:rPr>
          <w:rFonts w:hint="eastAsia" w:ascii="宋体" w:hAnsi="宋体" w:cs="宋体"/>
          <w:sz w:val="24"/>
          <w:lang w:val="zh-CN"/>
        </w:rPr>
        <w:t>相关内容表述不清的，</w:t>
      </w:r>
      <w:r>
        <w:rPr>
          <w:rFonts w:hint="eastAsia" w:ascii="宋体" w:hAnsi="宋体" w:cs="宋体"/>
          <w:bCs/>
          <w:sz w:val="24"/>
        </w:rPr>
        <w:t>不得享受价格扣除。</w:t>
      </w:r>
      <w:r>
        <w:rPr>
          <w:rFonts w:hint="eastAsia" w:ascii="宋体" w:hAnsi="宋体" w:cs="宋体"/>
          <w:sz w:val="24"/>
          <w:lang w:val="zh-CN"/>
        </w:rPr>
        <w:t>供应商对所报相关数据的真实性负责，无锡市政府采购中心有权将相关内容进行公示。</w:t>
      </w:r>
    </w:p>
    <w:p>
      <w:pPr>
        <w:spacing w:line="360" w:lineRule="auto"/>
        <w:rPr>
          <w:rFonts w:hint="eastAsia" w:ascii="宋体" w:hAnsi="宋体" w:cs="宋体"/>
          <w:bCs/>
          <w:sz w:val="24"/>
        </w:rPr>
      </w:pPr>
    </w:p>
    <w:p>
      <w:pPr>
        <w:rPr>
          <w:rFonts w:hint="eastAsia" w:ascii="宋体" w:hAnsi="宋体" w:cs="宋体"/>
          <w:bCs/>
          <w:sz w:val="24"/>
          <w:szCs w:val="24"/>
        </w:rPr>
      </w:pPr>
      <w:r>
        <w:rPr>
          <w:rFonts w:hint="eastAsia" w:ascii="宋体" w:hAnsi="宋体" w:cs="宋体"/>
          <w:bCs/>
          <w:sz w:val="24"/>
          <w:szCs w:val="24"/>
        </w:rPr>
        <w:br w:type="page"/>
      </w:r>
    </w:p>
    <w:p>
      <w:pPr>
        <w:spacing w:line="360" w:lineRule="auto"/>
        <w:rPr>
          <w:rFonts w:hint="eastAsia" w:ascii="宋体" w:hAnsi="宋体" w:cs="宋体"/>
          <w:b/>
          <w:spacing w:val="6"/>
          <w:sz w:val="30"/>
          <w:szCs w:val="30"/>
          <w:highlight w:val="yellow"/>
        </w:rPr>
      </w:pPr>
      <w:r>
        <w:rPr>
          <w:rFonts w:hint="eastAsia" w:ascii="宋体" w:hAnsi="宋体" w:cs="宋体"/>
          <w:bCs/>
          <w:sz w:val="24"/>
          <w:szCs w:val="24"/>
        </w:rPr>
        <w:t>附：残疾人福利性单位声明函</w:t>
      </w:r>
    </w:p>
    <w:p>
      <w:pPr>
        <w:spacing w:line="360" w:lineRule="auto"/>
        <w:jc w:val="center"/>
        <w:rPr>
          <w:rFonts w:hint="eastAsia" w:ascii="宋体" w:hAnsi="宋体" w:cs="宋体"/>
          <w:bCs/>
          <w:sz w:val="28"/>
          <w:szCs w:val="28"/>
        </w:rPr>
      </w:pPr>
      <w:r>
        <w:rPr>
          <w:rFonts w:hint="eastAsia" w:ascii="宋体" w:hAnsi="宋体" w:cs="宋体"/>
          <w:bCs/>
          <w:sz w:val="28"/>
          <w:szCs w:val="28"/>
        </w:rPr>
        <w:t>残疾人福利性单位声明函</w:t>
      </w:r>
    </w:p>
    <w:p>
      <w:pPr>
        <w:spacing w:line="360" w:lineRule="auto"/>
        <w:jc w:val="center"/>
        <w:rPr>
          <w:rFonts w:hint="eastAsia" w:ascii="宋体" w:hAnsi="宋体" w:cs="宋体"/>
          <w:bCs/>
          <w:sz w:val="28"/>
          <w:szCs w:val="28"/>
          <w:highlight w:val="yellow"/>
        </w:rPr>
      </w:pP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本单位对上述声明的真实性负责。如有虚假，将依法承担相应责任。</w:t>
      </w:r>
    </w:p>
    <w:p>
      <w:pPr>
        <w:spacing w:line="360" w:lineRule="auto"/>
        <w:ind w:firstLine="480" w:firstLineChars="200"/>
        <w:rPr>
          <w:rFonts w:hint="eastAsia" w:ascii="宋体" w:hAnsi="宋体" w:cs="宋体"/>
          <w:bCs/>
          <w:sz w:val="24"/>
          <w:szCs w:val="24"/>
        </w:rPr>
      </w:pPr>
    </w:p>
    <w:p>
      <w:pPr>
        <w:spacing w:line="360" w:lineRule="auto"/>
        <w:ind w:firstLine="480" w:firstLineChars="200"/>
        <w:rPr>
          <w:rFonts w:hint="eastAsia" w:ascii="宋体" w:hAnsi="宋体" w:cs="宋体"/>
          <w:bCs/>
          <w:sz w:val="24"/>
          <w:szCs w:val="24"/>
        </w:rPr>
      </w:pP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单位名称（盖章）：</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日  期：</w:t>
      </w:r>
    </w:p>
    <w:p>
      <w:pPr>
        <w:spacing w:line="360" w:lineRule="auto"/>
        <w:outlineLvl w:val="0"/>
        <w:rPr>
          <w:rFonts w:hint="eastAsia" w:ascii="宋体" w:hAnsi="宋体" w:cs="宋体"/>
          <w:b/>
          <w:sz w:val="30"/>
          <w:szCs w:val="30"/>
        </w:rPr>
      </w:pPr>
      <w:r>
        <w:rPr>
          <w:rFonts w:hint="eastAsia" w:ascii="宋体" w:hAnsi="宋体" w:cs="宋体"/>
          <w:sz w:val="24"/>
        </w:rPr>
        <w:br w:type="page"/>
      </w:r>
      <w:r>
        <w:rPr>
          <w:rFonts w:hint="eastAsia" w:ascii="宋体" w:hAnsi="宋体" w:cs="宋体"/>
          <w:b/>
          <w:sz w:val="30"/>
          <w:szCs w:val="30"/>
        </w:rPr>
        <w:t xml:space="preserve">（二）（供应商）关于资格的声明函（格式）：  </w:t>
      </w:r>
    </w:p>
    <w:p>
      <w:pPr>
        <w:spacing w:line="360" w:lineRule="auto"/>
        <w:rPr>
          <w:rFonts w:hint="eastAsia" w:ascii="宋体" w:hAnsi="宋体" w:cs="宋体"/>
          <w:b/>
          <w:sz w:val="30"/>
          <w:szCs w:val="30"/>
        </w:rPr>
      </w:pPr>
    </w:p>
    <w:p>
      <w:pPr>
        <w:spacing w:line="360" w:lineRule="auto"/>
        <w:jc w:val="center"/>
        <w:rPr>
          <w:rFonts w:hint="eastAsia" w:ascii="宋体" w:hAnsi="宋体" w:cs="宋体"/>
          <w:b/>
          <w:sz w:val="30"/>
          <w:szCs w:val="30"/>
        </w:rPr>
      </w:pPr>
      <w:r>
        <w:rPr>
          <w:rFonts w:hint="eastAsia" w:ascii="宋体" w:hAnsi="宋体" w:cs="宋体"/>
          <w:b/>
          <w:sz w:val="30"/>
          <w:szCs w:val="30"/>
        </w:rPr>
        <w:t>关于资格的声明函</w:t>
      </w:r>
    </w:p>
    <w:p>
      <w:pPr>
        <w:topLinePunct/>
        <w:snapToGrid w:val="0"/>
        <w:spacing w:line="360" w:lineRule="auto"/>
        <w:jc w:val="center"/>
        <w:rPr>
          <w:rFonts w:hint="eastAsia" w:ascii="宋体" w:hAnsi="宋体" w:cs="宋体"/>
          <w:sz w:val="24"/>
        </w:rPr>
      </w:pPr>
    </w:p>
    <w:p>
      <w:pPr>
        <w:topLinePunct/>
        <w:snapToGrid w:val="0"/>
        <w:spacing w:line="360" w:lineRule="auto"/>
        <w:jc w:val="center"/>
        <w:rPr>
          <w:rFonts w:hint="eastAsia" w:ascii="宋体" w:hAnsi="宋体" w:cs="宋体"/>
          <w:sz w:val="24"/>
        </w:rPr>
      </w:pPr>
      <w:r>
        <w:rPr>
          <w:rFonts w:hint="eastAsia" w:ascii="宋体" w:hAnsi="宋体" w:cs="宋体"/>
          <w:sz w:val="24"/>
        </w:rPr>
        <w:t>采购编号：</w:t>
      </w:r>
    </w:p>
    <w:p>
      <w:pPr>
        <w:topLinePunct/>
        <w:snapToGrid w:val="0"/>
        <w:spacing w:line="360" w:lineRule="auto"/>
        <w:jc w:val="center"/>
        <w:rPr>
          <w:rFonts w:hint="eastAsia" w:ascii="宋体" w:hAnsi="宋体" w:cs="宋体"/>
          <w:sz w:val="24"/>
        </w:rPr>
      </w:pPr>
      <w:r>
        <w:rPr>
          <w:rFonts w:hint="eastAsia" w:ascii="宋体" w:hAnsi="宋体" w:cs="宋体"/>
          <w:sz w:val="24"/>
        </w:rPr>
        <w:t xml:space="preserve"> 日期：</w:t>
      </w:r>
    </w:p>
    <w:p>
      <w:pPr>
        <w:spacing w:line="360" w:lineRule="auto"/>
        <w:jc w:val="center"/>
        <w:rPr>
          <w:rFonts w:hint="eastAsia" w:ascii="宋体" w:hAnsi="宋体" w:cs="宋体"/>
          <w:sz w:val="24"/>
        </w:rPr>
      </w:pPr>
    </w:p>
    <w:p>
      <w:pPr>
        <w:topLinePunct/>
        <w:snapToGrid w:val="0"/>
        <w:spacing w:line="360" w:lineRule="auto"/>
        <w:rPr>
          <w:rFonts w:hint="eastAsia" w:ascii="宋体" w:hAnsi="宋体" w:cs="宋体"/>
          <w:sz w:val="24"/>
          <w:u w:val="single"/>
        </w:rPr>
      </w:pPr>
      <w:r>
        <w:rPr>
          <w:rFonts w:hint="eastAsia" w:ascii="宋体" w:hAnsi="宋体" w:cs="宋体"/>
          <w:sz w:val="24"/>
          <w:u w:val="single"/>
        </w:rPr>
        <w:t xml:space="preserve"> 普信国际工程咨询有限公司：  </w:t>
      </w:r>
    </w:p>
    <w:p>
      <w:pPr>
        <w:adjustRightInd w:val="0"/>
        <w:spacing w:line="360" w:lineRule="auto"/>
        <w:ind w:left="420" w:right="34"/>
        <w:jc w:val="left"/>
        <w:textAlignment w:val="baseline"/>
        <w:rPr>
          <w:rFonts w:hint="eastAsia" w:ascii="宋体" w:hAnsi="宋体" w:cs="宋体"/>
          <w:kern w:val="0"/>
          <w:sz w:val="24"/>
          <w:u w:val="single"/>
        </w:rPr>
      </w:pPr>
      <w:r>
        <w:rPr>
          <w:rFonts w:hint="eastAsia" w:ascii="宋体" w:hAnsi="宋体" w:cs="宋体"/>
          <w:kern w:val="0"/>
          <w:sz w:val="24"/>
        </w:rPr>
        <w:t>我公司参加政府采购活动，前三年内在经营活动中没有重大违法记录。</w:t>
      </w:r>
    </w:p>
    <w:p>
      <w:pPr>
        <w:adjustRightInd w:val="0"/>
        <w:spacing w:line="360" w:lineRule="auto"/>
        <w:ind w:right="34" w:firstLine="403"/>
        <w:jc w:val="left"/>
        <w:textAlignment w:val="baseline"/>
        <w:rPr>
          <w:rFonts w:hint="eastAsia" w:ascii="宋体" w:hAnsi="宋体" w:cs="宋体"/>
          <w:kern w:val="0"/>
          <w:sz w:val="24"/>
        </w:rPr>
      </w:pPr>
      <w:r>
        <w:rPr>
          <w:rFonts w:hint="eastAsia" w:ascii="宋体" w:hAnsi="宋体" w:cs="宋体"/>
          <w:kern w:val="0"/>
          <w:sz w:val="24"/>
        </w:rPr>
        <w:t>我公司（单位）愿针对本项目（采购编号：　　　　）进行报价，响应文件中所有关于报价资格的文件、证明、陈述均是真实的、准确的。若有违背，我公司（单位）        愿意承担由此而产生的一切后果。</w:t>
      </w:r>
    </w:p>
    <w:p>
      <w:pPr>
        <w:adjustRightInd w:val="0"/>
        <w:spacing w:line="360" w:lineRule="auto"/>
        <w:ind w:right="34" w:firstLine="403"/>
        <w:jc w:val="left"/>
        <w:textAlignment w:val="baseline"/>
        <w:rPr>
          <w:rFonts w:hint="eastAsia" w:ascii="宋体" w:hAnsi="宋体" w:cs="宋体"/>
          <w:kern w:val="0"/>
          <w:sz w:val="24"/>
        </w:rPr>
      </w:pPr>
    </w:p>
    <w:p>
      <w:pPr>
        <w:adjustRightInd w:val="0"/>
        <w:spacing w:line="360" w:lineRule="auto"/>
        <w:ind w:right="34" w:firstLine="403"/>
        <w:jc w:val="left"/>
        <w:textAlignment w:val="baseline"/>
        <w:rPr>
          <w:rFonts w:hint="eastAsia" w:ascii="宋体" w:hAnsi="宋体" w:cs="宋体"/>
          <w:kern w:val="0"/>
        </w:rPr>
      </w:pPr>
    </w:p>
    <w:p>
      <w:pPr>
        <w:adjustRightInd w:val="0"/>
        <w:spacing w:line="360" w:lineRule="auto"/>
        <w:ind w:right="34" w:firstLine="403"/>
        <w:jc w:val="left"/>
        <w:textAlignment w:val="baseline"/>
        <w:rPr>
          <w:rFonts w:hint="eastAsia" w:ascii="宋体" w:hAnsi="宋体" w:cs="宋体"/>
          <w:kern w:val="0"/>
        </w:rPr>
      </w:pPr>
    </w:p>
    <w:p>
      <w:pPr>
        <w:spacing w:line="360" w:lineRule="auto"/>
        <w:ind w:firstLine="480" w:firstLineChars="200"/>
        <w:jc w:val="center"/>
        <w:rPr>
          <w:rFonts w:hint="eastAsia" w:ascii="宋体" w:hAnsi="宋体" w:cs="宋体"/>
          <w:sz w:val="24"/>
        </w:rPr>
      </w:pPr>
      <w:r>
        <w:rPr>
          <w:rFonts w:hint="eastAsia" w:ascii="宋体" w:hAnsi="宋体" w:cs="宋体"/>
          <w:sz w:val="24"/>
        </w:rPr>
        <w:t>供应商（盖章）：</w:t>
      </w:r>
    </w:p>
    <w:p>
      <w:pPr>
        <w:adjustRightInd w:val="0"/>
        <w:spacing w:line="360" w:lineRule="auto"/>
        <w:ind w:right="34" w:firstLine="403"/>
        <w:jc w:val="left"/>
        <w:textAlignment w:val="baseline"/>
        <w:rPr>
          <w:rFonts w:hint="eastAsia" w:ascii="宋体" w:hAnsi="宋体" w:cs="宋体"/>
          <w:kern w:val="0"/>
        </w:rPr>
      </w:pPr>
      <w:r>
        <w:rPr>
          <w:rFonts w:hint="eastAsia" w:ascii="宋体" w:hAnsi="宋体" w:cs="宋体"/>
          <w:kern w:val="0"/>
          <w:sz w:val="24"/>
        </w:rPr>
        <w:t>　　　　　　　　　　　法定代表人或法定代表人授权代表签字或盖章：</w:t>
      </w:r>
    </w:p>
    <w:p>
      <w:pPr>
        <w:spacing w:line="360" w:lineRule="auto"/>
        <w:outlineLvl w:val="0"/>
        <w:rPr>
          <w:rFonts w:hint="eastAsia" w:ascii="宋体" w:hAnsi="宋体" w:cs="宋体"/>
          <w:b/>
          <w:sz w:val="30"/>
          <w:szCs w:val="30"/>
        </w:rPr>
      </w:pPr>
      <w:r>
        <w:rPr>
          <w:rFonts w:hint="eastAsia" w:ascii="宋体" w:hAnsi="宋体" w:cs="宋体"/>
          <w:sz w:val="24"/>
        </w:rPr>
        <w:br w:type="page"/>
      </w:r>
      <w:r>
        <w:rPr>
          <w:rFonts w:hint="eastAsia" w:ascii="宋体" w:hAnsi="宋体" w:cs="宋体"/>
          <w:b/>
          <w:sz w:val="30"/>
          <w:szCs w:val="30"/>
        </w:rPr>
        <w:t>（三）（供应商）法定代表人授权委托书（格式）：</w:t>
      </w:r>
    </w:p>
    <w:p>
      <w:pPr>
        <w:spacing w:line="360" w:lineRule="auto"/>
        <w:jc w:val="center"/>
        <w:outlineLvl w:val="0"/>
        <w:rPr>
          <w:rFonts w:hint="eastAsia" w:ascii="宋体" w:hAnsi="宋体" w:cs="宋体"/>
          <w:b/>
          <w:sz w:val="30"/>
          <w:szCs w:val="30"/>
        </w:rPr>
      </w:pPr>
    </w:p>
    <w:p>
      <w:pPr>
        <w:spacing w:line="360" w:lineRule="auto"/>
        <w:jc w:val="center"/>
        <w:outlineLvl w:val="0"/>
        <w:rPr>
          <w:rFonts w:hint="eastAsia" w:ascii="宋体" w:hAnsi="宋体" w:cs="宋体"/>
          <w:b/>
          <w:sz w:val="30"/>
          <w:szCs w:val="30"/>
        </w:rPr>
      </w:pPr>
      <w:r>
        <w:rPr>
          <w:rFonts w:hint="eastAsia" w:ascii="宋体" w:hAnsi="宋体" w:cs="宋体"/>
          <w:b/>
          <w:sz w:val="30"/>
          <w:szCs w:val="30"/>
        </w:rPr>
        <w:t>法定代表人授权委托书</w:t>
      </w:r>
    </w:p>
    <w:p>
      <w:pPr>
        <w:spacing w:line="360" w:lineRule="auto"/>
        <w:jc w:val="center"/>
        <w:rPr>
          <w:rFonts w:hint="eastAsia" w:ascii="宋体" w:hAnsi="宋体" w:cs="宋体"/>
          <w:bCs/>
          <w:sz w:val="36"/>
        </w:rPr>
      </w:pPr>
    </w:p>
    <w:p>
      <w:pPr>
        <w:spacing w:line="360" w:lineRule="auto"/>
        <w:rPr>
          <w:rFonts w:hint="eastAsia" w:ascii="宋体" w:hAnsi="宋体" w:cs="宋体"/>
          <w:bCs/>
          <w:sz w:val="24"/>
        </w:rPr>
      </w:pPr>
      <w:r>
        <w:rPr>
          <w:rFonts w:hint="eastAsia" w:ascii="宋体" w:hAnsi="宋体" w:cs="宋体"/>
          <w:bCs/>
          <w:sz w:val="24"/>
        </w:rPr>
        <w:t>政府采购编号：</w:t>
      </w:r>
    </w:p>
    <w:p>
      <w:pPr>
        <w:spacing w:line="360" w:lineRule="auto"/>
        <w:rPr>
          <w:rFonts w:hint="eastAsia" w:ascii="宋体" w:hAnsi="宋体" w:cs="宋体"/>
          <w:bCs/>
          <w:sz w:val="24"/>
        </w:rPr>
      </w:pPr>
      <w:r>
        <w:rPr>
          <w:rFonts w:hint="eastAsia" w:ascii="宋体" w:hAnsi="宋体" w:cs="宋体"/>
          <w:bCs/>
          <w:sz w:val="24"/>
        </w:rPr>
        <w:t xml:space="preserve">     日期：</w:t>
      </w:r>
    </w:p>
    <w:p>
      <w:pPr>
        <w:spacing w:line="360" w:lineRule="auto"/>
        <w:rPr>
          <w:rFonts w:hint="eastAsia" w:ascii="宋体" w:hAnsi="宋体" w:cs="宋体"/>
          <w:bCs/>
          <w:sz w:val="24"/>
        </w:rPr>
      </w:pPr>
      <w:r>
        <w:rPr>
          <w:rFonts w:hint="eastAsia" w:ascii="宋体" w:hAnsi="宋体" w:cs="宋体"/>
          <w:bCs/>
          <w:sz w:val="24"/>
        </w:rPr>
        <w:t>普信国际工程咨询有限公司：</w:t>
      </w:r>
    </w:p>
    <w:p>
      <w:pPr>
        <w:spacing w:line="360" w:lineRule="auto"/>
        <w:ind w:firstLine="480" w:firstLineChars="200"/>
        <w:rPr>
          <w:rFonts w:hint="eastAsia" w:ascii="宋体" w:hAnsi="宋体" w:cs="宋体"/>
          <w:bCs/>
          <w:sz w:val="24"/>
        </w:rPr>
      </w:pPr>
      <w:r>
        <w:rPr>
          <w:rFonts w:hint="eastAsia" w:ascii="宋体" w:hAnsi="宋体" w:cs="宋体"/>
          <w:bCs/>
          <w:sz w:val="24"/>
        </w:rPr>
        <w:t>系中华人民共和国合法企业，特授权代表我公司（单位）全权办理针对本项目（编号 ）的投标，参与开标、评标、签约等具体工作，并签署全部有关的文件、协议及合同。</w:t>
      </w:r>
    </w:p>
    <w:p>
      <w:pPr>
        <w:spacing w:line="360" w:lineRule="auto"/>
        <w:ind w:firstLine="525"/>
        <w:rPr>
          <w:rFonts w:hint="eastAsia" w:ascii="宋体" w:hAnsi="宋体" w:cs="宋体"/>
          <w:bCs/>
          <w:sz w:val="24"/>
        </w:rPr>
      </w:pPr>
      <w:r>
        <w:rPr>
          <w:rFonts w:hint="eastAsia" w:ascii="宋体" w:hAnsi="宋体" w:cs="宋体"/>
          <w:bCs/>
          <w:sz w:val="24"/>
        </w:rPr>
        <w:t>我公司（单位）对被授权人的签名负全部责任。</w:t>
      </w:r>
    </w:p>
    <w:p>
      <w:pPr>
        <w:spacing w:line="360" w:lineRule="auto"/>
        <w:ind w:firstLine="523" w:firstLineChars="218"/>
        <w:rPr>
          <w:rFonts w:hint="eastAsia" w:ascii="宋体" w:hAnsi="宋体" w:cs="宋体"/>
          <w:bCs/>
          <w:sz w:val="24"/>
        </w:rPr>
      </w:pPr>
      <w:r>
        <w:rPr>
          <w:rFonts w:hint="eastAsia" w:ascii="宋体" w:hAnsi="宋体" w:cs="宋体"/>
          <w:bCs/>
          <w:sz w:val="24"/>
        </w:rPr>
        <w:t>在撤销授权的书面通知送达你处以前，本授权书一直有效，被授权人签署的所有文件（在授权书有效期内签署的）不因授权的撤销而失效。</w:t>
      </w:r>
    </w:p>
    <w:p>
      <w:pPr>
        <w:spacing w:line="360" w:lineRule="auto"/>
        <w:ind w:firstLine="525"/>
        <w:rPr>
          <w:rFonts w:hint="eastAsia" w:ascii="宋体" w:hAnsi="宋体" w:cs="宋体"/>
          <w:bCs/>
          <w:sz w:val="24"/>
        </w:rPr>
      </w:pPr>
      <w:r>
        <w:rPr>
          <w:rFonts w:hint="eastAsia" w:ascii="宋体" w:hAnsi="宋体" w:cs="宋体"/>
          <w:bCs/>
          <w:sz w:val="24"/>
        </w:rPr>
        <w:t>被授权人情况：</w:t>
      </w:r>
    </w:p>
    <w:p>
      <w:pPr>
        <w:spacing w:line="360" w:lineRule="auto"/>
        <w:ind w:firstLine="525"/>
        <w:rPr>
          <w:rFonts w:hint="eastAsia" w:ascii="宋体" w:hAnsi="宋体" w:cs="宋体"/>
          <w:bCs/>
          <w:sz w:val="24"/>
        </w:rPr>
      </w:pPr>
      <w:r>
        <w:rPr>
          <w:rFonts w:hint="eastAsia" w:ascii="宋体" w:hAnsi="宋体" w:cs="宋体"/>
          <w:bCs/>
          <w:sz w:val="24"/>
        </w:rPr>
        <w:t xml:space="preserve">姓名：         性别：       </w:t>
      </w:r>
    </w:p>
    <w:p>
      <w:pPr>
        <w:spacing w:line="360" w:lineRule="auto"/>
        <w:ind w:firstLine="525"/>
        <w:rPr>
          <w:rFonts w:hint="eastAsia" w:ascii="宋体" w:hAnsi="宋体" w:cs="宋体"/>
          <w:bCs/>
          <w:sz w:val="24"/>
        </w:rPr>
      </w:pPr>
      <w:r>
        <w:rPr>
          <w:rFonts w:hint="eastAsia" w:ascii="宋体" w:hAnsi="宋体" w:cs="宋体"/>
          <w:bCs/>
          <w:sz w:val="24"/>
        </w:rPr>
        <w:t>身份证件号码：                电话：</w:t>
      </w:r>
    </w:p>
    <w:p>
      <w:pPr>
        <w:spacing w:line="360" w:lineRule="auto"/>
        <w:ind w:firstLine="525"/>
        <w:rPr>
          <w:rFonts w:hint="eastAsia" w:ascii="宋体" w:hAnsi="宋体" w:cs="宋体"/>
          <w:bCs/>
          <w:sz w:val="24"/>
        </w:rPr>
      </w:pPr>
      <w:r>
        <w:rPr>
          <w:rFonts w:hint="eastAsia" w:ascii="宋体" w:hAnsi="宋体" w:cs="宋体"/>
          <w:bCs/>
          <w:sz w:val="24"/>
        </w:rPr>
        <w:t>通讯地址：</w:t>
      </w:r>
    </w:p>
    <w:p>
      <w:pPr>
        <w:spacing w:line="360" w:lineRule="auto"/>
        <w:ind w:firstLine="525"/>
        <w:rPr>
          <w:rFonts w:hint="eastAsia" w:ascii="宋体" w:hAnsi="宋体" w:cs="宋体"/>
          <w:bCs/>
          <w:sz w:val="24"/>
        </w:rPr>
      </w:pPr>
      <w:r>
        <w:rPr>
          <w:rFonts w:hint="eastAsia" w:ascii="宋体" w:hAnsi="宋体" w:cs="宋体"/>
          <w:bCs/>
          <w:sz w:val="24"/>
        </w:rPr>
        <w:t>被授权人签名：                单位名称（盖章）：</w:t>
      </w:r>
    </w:p>
    <w:p>
      <w:pPr>
        <w:spacing w:line="360" w:lineRule="auto"/>
        <w:ind w:firstLine="420"/>
        <w:rPr>
          <w:rFonts w:hint="eastAsia" w:ascii="宋体" w:hAnsi="宋体" w:cs="宋体"/>
          <w:bCs/>
          <w:sz w:val="24"/>
        </w:rPr>
      </w:pPr>
      <w:r>
        <w:rPr>
          <w:rFonts w:hint="eastAsia" w:ascii="宋体" w:hAnsi="宋体" w:cs="宋体"/>
          <w:bCs/>
          <w:sz w:val="24"/>
        </w:rPr>
        <w:t xml:space="preserve">                       法定代表人（签字或盖章）：</w:t>
      </w:r>
    </w:p>
    <w:p>
      <w:pPr>
        <w:spacing w:line="360" w:lineRule="auto"/>
        <w:ind w:firstLine="420"/>
        <w:rPr>
          <w:rFonts w:hint="eastAsia" w:ascii="宋体" w:hAnsi="宋体" w:cs="宋体"/>
          <w:bCs/>
          <w:sz w:val="24"/>
        </w:rPr>
      </w:pPr>
      <w:r>
        <w:rPr>
          <w:rFonts w:hint="eastAsia" w:ascii="宋体" w:hAnsi="宋体" w:cs="宋体"/>
          <w:bCs/>
          <w:sz w:val="24"/>
        </w:rPr>
        <mc:AlternateContent>
          <mc:Choice Requires="wps">
            <w:drawing>
              <wp:anchor distT="0" distB="0" distL="114300" distR="114300" simplePos="0" relativeHeight="251661312" behindDoc="0" locked="0" layoutInCell="1" allowOverlap="1">
                <wp:simplePos x="0" y="0"/>
                <wp:positionH relativeFrom="column">
                  <wp:posOffset>3267075</wp:posOffset>
                </wp:positionH>
                <wp:positionV relativeFrom="paragraph">
                  <wp:posOffset>151130</wp:posOffset>
                </wp:positionV>
                <wp:extent cx="2867025" cy="1584960"/>
                <wp:effectExtent l="4445" t="4445" r="5080" b="10795"/>
                <wp:wrapNone/>
                <wp:docPr id="7" name="文本框 7"/>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p>
                            <w:pPr>
                              <w:jc w:val="center"/>
                              <w:rPr>
                                <w:rFonts w:ascii="黑体" w:eastAsia="黑体"/>
                                <w:sz w:val="32"/>
                                <w:szCs w:val="32"/>
                              </w:rPr>
                            </w:pPr>
                            <w:r>
                              <w:rPr>
                                <w:rFonts w:hint="eastAsia" w:ascii="黑体" w:eastAsia="黑体"/>
                                <w:sz w:val="32"/>
                                <w:szCs w:val="32"/>
                              </w:rPr>
                              <w:t>正反面</w:t>
                            </w:r>
                          </w:p>
                        </w:txbxContent>
                      </wps:txbx>
                      <wps:bodyPr upright="1"/>
                    </wps:wsp>
                  </a:graphicData>
                </a:graphic>
              </wp:anchor>
            </w:drawing>
          </mc:Choice>
          <mc:Fallback>
            <w:pict>
              <v:shape id="_x0000_s1026" o:spid="_x0000_s1026" o:spt="202" type="#_x0000_t202" style="position:absolute;left:0pt;margin-left:257.25pt;margin-top:11.9pt;height:124.8pt;width:225.75pt;z-index:251661312;mso-width-relative:page;mso-height-relative:page;" fillcolor="#FFFFFF" filled="t" stroked="t" coordsize="21600,21600" o:gfxdata="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sIwW3ZAAAACgEAAA8AAAAAAAAAAQAg&#10;AAAAIgAAAGRycy9kb3ducmV2LnhtbFBLAQIUABQAAAAIAIdO4kC0bc3TDQIAADcEAAAOAAAAAAAA&#10;AAEAIAAAACg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p>
                      <w:pPr>
                        <w:jc w:val="center"/>
                        <w:rPr>
                          <w:rFonts w:ascii="黑体" w:eastAsia="黑体"/>
                          <w:sz w:val="32"/>
                          <w:szCs w:val="32"/>
                        </w:rPr>
                      </w:pPr>
                      <w:r>
                        <w:rPr>
                          <w:rFonts w:hint="eastAsia" w:ascii="黑体" w:eastAsia="黑体"/>
                          <w:sz w:val="32"/>
                          <w:szCs w:val="32"/>
                        </w:rPr>
                        <w:t>正反面</w:t>
                      </w:r>
                    </w:p>
                  </w:txbxContent>
                </v:textbox>
              </v:shape>
            </w:pict>
          </mc:Fallback>
        </mc:AlternateContent>
      </w:r>
      <w:r>
        <w:rPr>
          <w:rFonts w:hint="eastAsia" w:ascii="宋体" w:hAnsi="宋体" w:cs="宋体"/>
          <w:bCs/>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151130</wp:posOffset>
                </wp:positionV>
                <wp:extent cx="2867025" cy="1584960"/>
                <wp:effectExtent l="4445" t="4445" r="5080" b="10795"/>
                <wp:wrapNone/>
                <wp:docPr id="6" name="文本框 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正反面</w:t>
                            </w:r>
                          </w:p>
                        </w:txbxContent>
                      </wps:txbx>
                      <wps:bodyPr upright="1"/>
                    </wps:wsp>
                  </a:graphicData>
                </a:graphic>
              </wp:anchor>
            </w:drawing>
          </mc:Choice>
          <mc:Fallback>
            <w:pict>
              <v:shape id="_x0000_s1026" o:spid="_x0000_s1026" o:spt="202" type="#_x0000_t202" style="position:absolute;left:0pt;margin-left:0pt;margin-top:11.9pt;height:124.8pt;width:225.75pt;z-index:251662336;mso-width-relative:page;mso-height-relative:page;" fillcolor="#FFFFFF" filled="t" stroked="t" coordsize="21600,21600" o:gfxdata="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PBGBNcAAAAHAQAADwAAAAAAAAABACAA&#10;AAAiAAAAZHJzL2Rvd25yZXYueG1sUEsBAhQAFAAAAAgAh07iQAjPbDgOAgAANw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正反面</w:t>
                      </w:r>
                    </w:p>
                  </w:txbxContent>
                </v:textbox>
              </v:shape>
            </w:pict>
          </mc:Fallback>
        </mc:AlternateContent>
      </w:r>
    </w:p>
    <w:p>
      <w:pPr>
        <w:spacing w:line="360" w:lineRule="auto"/>
        <w:ind w:firstLine="420"/>
        <w:rPr>
          <w:rFonts w:hint="eastAsia" w:ascii="宋体" w:hAnsi="宋体" w:cs="宋体"/>
          <w:bCs/>
          <w:sz w:val="30"/>
        </w:rPr>
      </w:pPr>
    </w:p>
    <w:p>
      <w:pPr>
        <w:spacing w:line="360" w:lineRule="auto"/>
        <w:rPr>
          <w:rFonts w:hint="eastAsia" w:ascii="宋体" w:hAnsi="宋体" w:cs="宋体"/>
          <w:bCs/>
          <w:sz w:val="36"/>
        </w:rPr>
      </w:pPr>
    </w:p>
    <w:p>
      <w:pPr>
        <w:widowControl/>
        <w:topLinePunct/>
        <w:spacing w:before="4" w:line="360" w:lineRule="auto"/>
        <w:jc w:val="left"/>
        <w:rPr>
          <w:rFonts w:hint="eastAsia"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（四）承诺书（格式）</w:t>
      </w:r>
    </w:p>
    <w:p>
      <w:pPr>
        <w:pStyle w:val="6"/>
        <w:spacing w:line="360" w:lineRule="auto"/>
        <w:rPr>
          <w:rFonts w:hint="eastAsia" w:ascii="宋体" w:hAnsi="宋体" w:eastAsia="宋体" w:cs="宋体"/>
          <w:bCs w:val="0"/>
          <w:sz w:val="32"/>
          <w:szCs w:val="32"/>
        </w:rPr>
      </w:pPr>
      <w:r>
        <w:rPr>
          <w:rFonts w:hint="eastAsia" w:ascii="宋体" w:hAnsi="宋体" w:eastAsia="宋体" w:cs="宋体"/>
          <w:bCs w:val="0"/>
          <w:sz w:val="32"/>
          <w:szCs w:val="32"/>
        </w:rPr>
        <w:t>承诺书一(格式)</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（采购人名称）           </w:t>
      </w:r>
    </w:p>
    <w:p>
      <w:pPr>
        <w:spacing w:before="240" w:line="360" w:lineRule="auto"/>
        <w:ind w:firstLine="480"/>
        <w:rPr>
          <w:rFonts w:hint="eastAsia" w:ascii="宋体" w:hAnsi="宋体" w:cs="宋体"/>
          <w:sz w:val="24"/>
        </w:rPr>
      </w:pPr>
      <w:r>
        <w:rPr>
          <w:rFonts w:hint="eastAsia" w:ascii="宋体" w:hAnsi="宋体" w:cs="宋体"/>
          <w:sz w:val="24"/>
        </w:rPr>
        <w:t>我公司自愿参加贵单位（公司）项目的报价，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根据贵单位（公司）提出的磋商文件要求，本公司递交的响应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before="240" w:line="360" w:lineRule="auto"/>
        <w:ind w:firstLine="480"/>
        <w:rPr>
          <w:rFonts w:hint="eastAsia" w:ascii="宋体" w:hAnsi="宋体" w:cs="宋体"/>
          <w:sz w:val="24"/>
        </w:rPr>
      </w:pPr>
    </w:p>
    <w:p>
      <w:pPr>
        <w:spacing w:before="240" w:line="360" w:lineRule="auto"/>
        <w:ind w:firstLine="480"/>
        <w:rPr>
          <w:rFonts w:hint="eastAsia" w:ascii="宋体" w:hAnsi="宋体" w:cs="宋体"/>
          <w:sz w:val="24"/>
        </w:rPr>
      </w:pPr>
    </w:p>
    <w:p>
      <w:pPr>
        <w:spacing w:before="240" w:line="360" w:lineRule="auto"/>
        <w:ind w:firstLine="480"/>
        <w:rPr>
          <w:rFonts w:hint="eastAsia" w:ascii="宋体" w:hAnsi="宋体" w:cs="宋体"/>
          <w:sz w:val="24"/>
        </w:rPr>
      </w:pPr>
    </w:p>
    <w:p>
      <w:pPr>
        <w:spacing w:before="240" w:line="360" w:lineRule="auto"/>
        <w:ind w:right="480" w:firstLine="2760" w:firstLineChars="1150"/>
        <w:jc w:val="right"/>
        <w:rPr>
          <w:rFonts w:hint="eastAsia" w:ascii="宋体" w:hAnsi="宋体" w:cs="宋体"/>
          <w:sz w:val="24"/>
        </w:rPr>
      </w:pPr>
      <w:r>
        <w:rPr>
          <w:rFonts w:hint="eastAsia" w:ascii="宋体" w:hAnsi="宋体" w:cs="宋体"/>
          <w:sz w:val="24"/>
        </w:rPr>
        <w:t>供应商：（公章）</w:t>
      </w:r>
    </w:p>
    <w:p>
      <w:pPr>
        <w:wordWrap w:val="0"/>
        <w:spacing w:before="240" w:line="360" w:lineRule="auto"/>
        <w:ind w:firstLine="480"/>
        <w:jc w:val="right"/>
        <w:rPr>
          <w:rFonts w:hint="eastAsia" w:ascii="宋体" w:hAnsi="宋体" w:cs="宋体"/>
          <w:sz w:val="24"/>
        </w:rPr>
      </w:pPr>
      <w:r>
        <w:rPr>
          <w:rFonts w:hint="eastAsia" w:ascii="宋体" w:hAnsi="宋体" w:cs="宋体"/>
          <w:sz w:val="24"/>
        </w:rPr>
        <w:t>法定代表人或其被授权代表：   （签字和盖章）</w:t>
      </w:r>
    </w:p>
    <w:p>
      <w:pPr>
        <w:spacing w:before="240" w:line="360" w:lineRule="auto"/>
        <w:ind w:right="480" w:firstLine="480"/>
        <w:jc w:val="center"/>
        <w:rPr>
          <w:rFonts w:hint="eastAsia" w:ascii="宋体" w:hAnsi="宋体" w:cs="宋体"/>
          <w:sz w:val="24"/>
        </w:rPr>
      </w:pPr>
      <w:r>
        <w:rPr>
          <w:rFonts w:hint="eastAsia" w:ascii="宋体" w:hAnsi="宋体" w:cs="宋体"/>
          <w:sz w:val="24"/>
        </w:rPr>
        <w:t xml:space="preserve">                                              年    月    日   </w:t>
      </w:r>
    </w:p>
    <w:p>
      <w:pPr>
        <w:pStyle w:val="6"/>
        <w:spacing w:line="360" w:lineRule="auto"/>
        <w:rPr>
          <w:rFonts w:hint="eastAsia" w:ascii="宋体" w:hAnsi="宋体" w:eastAsia="宋体" w:cs="宋体"/>
        </w:rPr>
      </w:pPr>
      <w:r>
        <w:rPr>
          <w:rFonts w:hint="eastAsia" w:ascii="宋体" w:hAnsi="宋体" w:eastAsia="宋体" w:cs="宋体"/>
          <w:b w:val="0"/>
          <w:bCs w:val="0"/>
          <w:sz w:val="24"/>
          <w:szCs w:val="24"/>
        </w:rPr>
        <w:br w:type="page"/>
      </w:r>
      <w:r>
        <w:rPr>
          <w:rFonts w:hint="eastAsia" w:ascii="宋体" w:hAnsi="宋体" w:eastAsia="宋体" w:cs="宋体"/>
          <w:bCs w:val="0"/>
          <w:sz w:val="32"/>
          <w:szCs w:val="32"/>
        </w:rPr>
        <w:t>承诺书二（廉洁承诺书格式）</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为了积极配合贵局为平台的招标工作，有效遏制不公平竞争和违规违纪问题的发生，确保招标工作的公平、公正、公开，我们保证认真贯彻《招投标法》等相关规定以及相关廉洁要求，特向贵局承诺如下事项：</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1、自觉遵守国家法律法规及有关廉政建设制度。</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2、主动了解贵局招投标纪律，积极配合贵局执行招投标廉政建设的有关规定。</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3、不使用不正当手段妨碍、排挤其他投标单位或串通投标。</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4、按照磋商文件规定的方式进行投标，不隐瞒本单位投标资质的真实情况，投标资质符合规定。</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6、不向设计招标的单位及个人购置或提供通讯工具、交通工具和高档办公用品等。</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7、不向涉及招标的单位及个人的配偶、子女、亲属分包此次招标项目。</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8、不向涉及招标的单位及个人支付好处费、介绍费。</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9、一旦发现相关人员在招标过程中有索要财物等不廉洁行为，坚决予以抵制，并及时向贵局纪检监察室举报。</w:t>
      </w:r>
    </w:p>
    <w:p>
      <w:pPr>
        <w:adjustRightInd w:val="0"/>
        <w:snapToGrid w:val="0"/>
        <w:spacing w:line="360" w:lineRule="auto"/>
        <w:ind w:firstLine="360" w:firstLineChars="150"/>
        <w:rPr>
          <w:rFonts w:hint="eastAsia" w:ascii="宋体" w:hAnsi="宋体" w:cs="宋体"/>
          <w:sz w:val="24"/>
        </w:rPr>
      </w:pPr>
      <w:r>
        <w:rPr>
          <w:rFonts w:hint="eastAsia" w:ascii="宋体" w:hAnsi="宋体" w:cs="宋体"/>
          <w:sz w:val="24"/>
        </w:rPr>
        <w:t>我们若违反上述承诺，愿接收取消投标资格及其他任何形式的处理。</w:t>
      </w:r>
    </w:p>
    <w:p>
      <w:pPr>
        <w:adjustRightInd w:val="0"/>
        <w:snapToGrid w:val="0"/>
        <w:spacing w:before="240" w:line="360" w:lineRule="auto"/>
        <w:ind w:right="480" w:firstLine="360" w:firstLineChars="150"/>
        <w:rPr>
          <w:rFonts w:hint="eastAsia" w:ascii="宋体" w:hAnsi="宋体" w:cs="宋体"/>
          <w:sz w:val="24"/>
        </w:rPr>
      </w:pPr>
      <w:r>
        <w:rPr>
          <w:rFonts w:hint="eastAsia" w:ascii="宋体" w:hAnsi="宋体" w:cs="宋体"/>
          <w:sz w:val="24"/>
        </w:rPr>
        <w:t>供应商：（公章）</w:t>
      </w:r>
    </w:p>
    <w:p>
      <w:pPr>
        <w:wordWrap w:val="0"/>
        <w:adjustRightInd w:val="0"/>
        <w:snapToGrid w:val="0"/>
        <w:spacing w:before="240" w:line="360" w:lineRule="auto"/>
        <w:ind w:firstLine="360" w:firstLineChars="150"/>
        <w:jc w:val="right"/>
        <w:rPr>
          <w:rFonts w:hint="eastAsia" w:ascii="宋体" w:hAnsi="宋体" w:cs="宋体"/>
          <w:sz w:val="24"/>
        </w:rPr>
      </w:pPr>
      <w:r>
        <w:rPr>
          <w:rFonts w:hint="eastAsia" w:ascii="宋体" w:hAnsi="宋体" w:cs="宋体"/>
          <w:sz w:val="24"/>
        </w:rPr>
        <w:t>法定代表人或其被授权代表：   （签字和盖章）</w:t>
      </w:r>
    </w:p>
    <w:p>
      <w:pPr>
        <w:adjustRightInd w:val="0"/>
        <w:snapToGrid w:val="0"/>
        <w:spacing w:before="240" w:line="360" w:lineRule="auto"/>
        <w:ind w:right="480" w:firstLine="360" w:firstLineChars="150"/>
        <w:jc w:val="center"/>
        <w:rPr>
          <w:rFonts w:hint="eastAsia" w:ascii="宋体" w:hAnsi="宋体" w:cs="宋体"/>
          <w:sz w:val="24"/>
        </w:rPr>
      </w:pPr>
      <w:r>
        <w:rPr>
          <w:rFonts w:hint="eastAsia" w:ascii="宋体" w:hAnsi="宋体" w:cs="宋体"/>
          <w:sz w:val="24"/>
        </w:rPr>
        <w:t xml:space="preserve">                                              年    月    日  </w:t>
      </w:r>
    </w:p>
    <w:p>
      <w:pPr>
        <w:pStyle w:val="27"/>
        <w:spacing w:line="360" w:lineRule="auto"/>
        <w:ind w:left="0" w:right="34"/>
        <w:rPr>
          <w:rFonts w:hint="eastAsia" w:ascii="宋体" w:hAnsi="宋体" w:cs="宋体"/>
        </w:rPr>
      </w:pPr>
    </w:p>
    <w:p>
      <w:pPr>
        <w:pStyle w:val="27"/>
        <w:spacing w:line="360" w:lineRule="auto"/>
        <w:ind w:left="0" w:right="34"/>
        <w:rPr>
          <w:rFonts w:hint="eastAsia" w:ascii="宋体" w:hAnsi="宋体" w:cs="宋体"/>
        </w:rPr>
      </w:pPr>
    </w:p>
    <w:p>
      <w:pPr>
        <w:pStyle w:val="27"/>
        <w:spacing w:line="360" w:lineRule="auto"/>
        <w:ind w:left="0" w:right="34"/>
        <w:rPr>
          <w:rFonts w:hint="eastAsia" w:ascii="宋体" w:hAnsi="宋体" w:cs="宋体"/>
        </w:rPr>
      </w:pPr>
    </w:p>
    <w:p>
      <w:pPr>
        <w:pStyle w:val="27"/>
        <w:spacing w:line="360" w:lineRule="auto"/>
        <w:ind w:left="0" w:right="34"/>
        <w:rPr>
          <w:rFonts w:hint="eastAsia" w:ascii="宋体" w:hAnsi="宋体" w:cs="宋体"/>
        </w:rPr>
      </w:pPr>
    </w:p>
    <w:p>
      <w:pPr>
        <w:pStyle w:val="27"/>
        <w:spacing w:line="360" w:lineRule="auto"/>
        <w:ind w:left="0" w:right="34"/>
        <w:rPr>
          <w:rFonts w:hint="eastAsia" w:ascii="宋体" w:hAnsi="宋体" w:cs="宋体"/>
        </w:rPr>
      </w:pPr>
    </w:p>
    <w:p>
      <w:pPr>
        <w:widowControl/>
        <w:tabs>
          <w:tab w:val="left" w:pos="360"/>
          <w:tab w:val="left" w:pos="960"/>
        </w:tabs>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b/>
          <w:sz w:val="30"/>
          <w:szCs w:val="30"/>
        </w:rPr>
        <w:t>（五）附件</w:t>
      </w:r>
    </w:p>
    <w:p>
      <w:pPr>
        <w:widowControl/>
        <w:tabs>
          <w:tab w:val="left" w:pos="360"/>
          <w:tab w:val="left" w:pos="960"/>
        </w:tabs>
        <w:spacing w:line="360" w:lineRule="auto"/>
        <w:jc w:val="center"/>
        <w:rPr>
          <w:rFonts w:hint="eastAsia" w:ascii="宋体" w:hAnsi="宋体" w:cs="宋体"/>
          <w:sz w:val="24"/>
        </w:rPr>
      </w:pPr>
      <w:r>
        <w:rPr>
          <w:rFonts w:hint="eastAsia" w:ascii="宋体" w:hAnsi="宋体" w:cs="宋体"/>
          <w:sz w:val="24"/>
        </w:rPr>
        <w:t>附件一：</w:t>
      </w:r>
    </w:p>
    <w:p>
      <w:pPr>
        <w:widowControl/>
        <w:tabs>
          <w:tab w:val="left" w:pos="360"/>
          <w:tab w:val="left" w:pos="960"/>
        </w:tabs>
        <w:spacing w:line="360" w:lineRule="auto"/>
        <w:ind w:firstLine="360" w:firstLineChars="150"/>
        <w:jc w:val="center"/>
        <w:rPr>
          <w:rFonts w:hint="eastAsia" w:ascii="宋体" w:hAnsi="宋体" w:cs="宋体"/>
          <w:sz w:val="24"/>
        </w:rPr>
      </w:pPr>
      <w:r>
        <w:rPr>
          <w:rFonts w:hint="eastAsia" w:ascii="宋体" w:hAnsi="宋体" w:cs="宋体"/>
          <w:sz w:val="24"/>
        </w:rPr>
        <w:t>政府采购投标担保函 （项目用）</w:t>
      </w:r>
    </w:p>
    <w:p>
      <w:pPr>
        <w:widowControl/>
        <w:tabs>
          <w:tab w:val="left" w:pos="360"/>
          <w:tab w:val="left" w:pos="960"/>
        </w:tabs>
        <w:spacing w:line="360" w:lineRule="auto"/>
        <w:ind w:firstLine="360" w:firstLineChars="150"/>
        <w:jc w:val="center"/>
        <w:rPr>
          <w:rFonts w:hint="eastAsia" w:ascii="宋体" w:hAnsi="宋体" w:cs="宋体"/>
          <w:sz w:val="24"/>
        </w:rPr>
      </w:pPr>
      <w:r>
        <w:rPr>
          <w:rFonts w:hint="eastAsia" w:ascii="宋体" w:hAnsi="宋体" w:cs="宋体"/>
          <w:sz w:val="24"/>
        </w:rPr>
        <w:t>编号：</w:t>
      </w:r>
    </w:p>
    <w:p>
      <w:pPr>
        <w:widowControl/>
        <w:tabs>
          <w:tab w:val="left" w:pos="360"/>
          <w:tab w:val="left" w:pos="960"/>
        </w:tabs>
        <w:spacing w:line="360" w:lineRule="auto"/>
        <w:ind w:firstLine="360" w:firstLineChars="150"/>
        <w:jc w:val="left"/>
        <w:rPr>
          <w:rFonts w:hint="eastAsia" w:ascii="宋体" w:hAnsi="宋体" w:cs="宋体"/>
          <w:sz w:val="24"/>
        </w:rPr>
      </w:pP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（采购人或采购代理机构）：</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u w:val="single"/>
        </w:rPr>
      </w:pPr>
      <w:r>
        <w:rPr>
          <w:rFonts w:hint="eastAsia" w:ascii="宋体" w:hAnsi="宋体" w:cs="宋体"/>
          <w:sz w:val="24"/>
        </w:rPr>
        <w:t>鉴于（以下简称“报价供应商”）拟参加编号为的</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项目（以下简称“本项目”）投标，根据本项目磋商文件，供应商参加投标时应向你方交纳磋商保证金，且可以投标担保函的形式交纳磋商保证金。应供应商的申请，我方以保证的方式向你方提供如下磋商保证金担保：</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一、保证责任的情形及保证金额</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（一）在报价供应商出现下列情形之一时，我方承担保证责任：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1．中标后报价供应商无正当理由不与采购人或者采购代理机构签订《政府采购合同》；</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2．磋商文件规定的报价供应商应当缴纳保证金的其他情形。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（二）我方承担保证责任的最高金额为人民币元（大写），即本项目的磋商保证金金额。</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二、保证的方式及保证期间</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我方保证的方式为：连带责任保证。</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我方的保证期间为：自本保函生效之日起个月止。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三、承担保证责任的程序</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1．你方要求我方承担保证责任的，应在本保函保证期间内向我方发出书面索赔通知。索赔通知应写明要求索赔的金额，支付款项应到达的账号，并附有证明报价供应商发生我方应承担保证责任情形的事实材料。</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2．我方在收到索赔通知及相关证明材料后，在</w:t>
      </w:r>
      <w:r>
        <w:rPr>
          <w:rFonts w:hint="eastAsia" w:ascii="宋体" w:hAnsi="宋体" w:cs="宋体"/>
          <w:sz w:val="24"/>
          <w:u w:val="single"/>
        </w:rPr>
        <w:t>　　　</w:t>
      </w:r>
      <w:r>
        <w:rPr>
          <w:rFonts w:hint="eastAsia" w:ascii="宋体" w:hAnsi="宋体" w:cs="宋体"/>
          <w:sz w:val="24"/>
        </w:rPr>
        <w:t>个工作日内进行审查，符合应承担保证责任情形的，我方应按照你方的要求代报价供应商向你方支付磋商保证金。</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四、保证责任的终止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1．保证期间届满你方未向我方书面主张保证责任的，自保证期间届满次日起，我方保证责任自动终止。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2．我方按照本保函向你贵方履行了保证责任后，自我方向你贵方支付款项（支付款项从我方账户划出）之日起，保证责任终止。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3．按照法律法规的规定或出现我方保证责任终止的其它情形的，我方在本保函项下的保证责任亦终止。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五、免责条款</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1．依照法律规定或你方与报价供应商的另行约定，全部或者部分免除报价供应商磋商保证金义务时，我方亦免除相应的保证责任。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2．因你方原因致使报价供应商发生本保函第一条第（一）款约定情形的，我方不承担保证责任。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3．因不可抗力造成报价供应商发生本保函第一条约定情形的，我方不承担保证责任。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4．你方或其他有权机关对磋商文件进行任何澄清或修改，加重我方保证责任的，我方对加重部分不承担保证责任，但该澄清或修改经我方事先书面同意的除外。</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六、争议的解决</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因本保函发生的纠纷，由你我双方协商解决，协商不成的，通过诉讼程序解决，诉讼管辖地法院为法院。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七、保函的生效</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本保函自我方加盖公章之日起生效。</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保证人：（公章）                  年     月      日</w:t>
      </w:r>
    </w:p>
    <w:p>
      <w:pPr>
        <w:widowControl/>
        <w:tabs>
          <w:tab w:val="left" w:pos="360"/>
          <w:tab w:val="left" w:pos="960"/>
        </w:tabs>
        <w:spacing w:line="360" w:lineRule="auto"/>
        <w:ind w:firstLine="360" w:firstLineChars="150"/>
        <w:jc w:val="left"/>
        <w:rPr>
          <w:rFonts w:hint="eastAsia" w:ascii="宋体" w:hAnsi="宋体" w:cs="宋体"/>
          <w:sz w:val="24"/>
        </w:rPr>
      </w:pPr>
    </w:p>
    <w:p>
      <w:pPr>
        <w:widowControl/>
        <w:tabs>
          <w:tab w:val="left" w:pos="360"/>
          <w:tab w:val="left" w:pos="960"/>
        </w:tabs>
        <w:spacing w:line="360" w:lineRule="auto"/>
        <w:ind w:firstLine="360" w:firstLineChars="15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附件二：</w:t>
      </w:r>
    </w:p>
    <w:p>
      <w:pPr>
        <w:widowControl/>
        <w:tabs>
          <w:tab w:val="left" w:pos="360"/>
          <w:tab w:val="left" w:pos="960"/>
        </w:tabs>
        <w:spacing w:line="360" w:lineRule="auto"/>
        <w:ind w:firstLine="360" w:firstLineChars="150"/>
        <w:jc w:val="center"/>
        <w:rPr>
          <w:rFonts w:hint="eastAsia" w:ascii="宋体" w:hAnsi="宋体" w:cs="宋体"/>
          <w:sz w:val="24"/>
        </w:rPr>
      </w:pPr>
      <w:r>
        <w:rPr>
          <w:rFonts w:hint="eastAsia" w:ascii="宋体" w:hAnsi="宋体" w:cs="宋体"/>
          <w:sz w:val="24"/>
        </w:rPr>
        <w:t>政府采购履约担保函（项目用）</w:t>
      </w:r>
    </w:p>
    <w:p>
      <w:pPr>
        <w:widowControl/>
        <w:tabs>
          <w:tab w:val="left" w:pos="360"/>
          <w:tab w:val="left" w:pos="960"/>
        </w:tabs>
        <w:spacing w:line="360" w:lineRule="auto"/>
        <w:ind w:firstLine="360" w:firstLineChars="150"/>
        <w:jc w:val="center"/>
        <w:rPr>
          <w:rFonts w:hint="eastAsia" w:ascii="宋体" w:hAnsi="宋体" w:cs="宋体"/>
          <w:sz w:val="24"/>
        </w:rPr>
      </w:pPr>
      <w:r>
        <w:rPr>
          <w:rFonts w:hint="eastAsia" w:ascii="宋体" w:hAnsi="宋体" w:cs="宋体"/>
          <w:sz w:val="24"/>
        </w:rPr>
        <w:t>编号：</w:t>
      </w:r>
    </w:p>
    <w:p>
      <w:pPr>
        <w:widowControl/>
        <w:tabs>
          <w:tab w:val="left" w:pos="360"/>
          <w:tab w:val="left" w:pos="960"/>
        </w:tabs>
        <w:spacing w:line="360" w:lineRule="auto"/>
        <w:jc w:val="center"/>
        <w:rPr>
          <w:rFonts w:hint="eastAsia" w:ascii="宋体" w:hAnsi="宋体" w:cs="宋体"/>
          <w:sz w:val="24"/>
        </w:rPr>
      </w:pPr>
      <w:r>
        <w:rPr>
          <w:rFonts w:hint="eastAsia" w:ascii="宋体" w:hAnsi="宋体" w:cs="宋体"/>
          <w:sz w:val="24"/>
        </w:rPr>
        <w:t>（采购人）：</w:t>
      </w:r>
    </w:p>
    <w:p>
      <w:pPr>
        <w:widowControl/>
        <w:tabs>
          <w:tab w:val="left" w:pos="360"/>
          <w:tab w:val="left" w:pos="960"/>
        </w:tabs>
        <w:spacing w:line="360" w:lineRule="auto"/>
        <w:ind w:firstLine="360" w:firstLineChars="150"/>
        <w:jc w:val="left"/>
        <w:rPr>
          <w:rFonts w:hint="eastAsia" w:ascii="宋体" w:hAnsi="宋体" w:cs="宋体"/>
          <w:sz w:val="24"/>
        </w:rPr>
      </w:pP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鉴于你方与（以下简称供应商）于年月日签定编号为 的《政府采购合同》（以下简称主合同），且依据该合同的约定，供应商应在年</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 xml:space="preserve">    月   日前向你方交纳履约保证金，且可以履约担保函的形式交纳履约保证金。应供应商的申请，我方以保证的方式向你方提供如下履约保证金担保：</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一、保证责任的情形及保证金额</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（一）在供应商出现下列情形之一时，我方承担保证责任：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1．将中标项目转让给他人，或者在响应文件中未说明，且未经采购招标机构人同意，将中标项目分包给他人的；</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 xml:space="preserve">　　2．主合同约定的应当缴纳履约保证金的情形: </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（1）未按主合同约定的质量、数量和期限供应货物/提供服务/完成工程的；</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                                                           。</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（二）我方的保证范围是主合同约定的合同价款总额的%数额为         元（大写），币种为。（即主合同履约保证金金额）</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二、保证的方式及保证期间</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我方保证的方式为：连带责任保证。</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我方保证的期间为：自本合同生效之日起至供应商按照主合同约定的供货/</w:t>
      </w:r>
      <w:r>
        <w:rPr>
          <w:rFonts w:hint="eastAsia" w:ascii="宋体" w:hAnsi="宋体" w:cs="宋体"/>
          <w:sz w:val="24"/>
          <w:lang w:eastAsia="zh-CN"/>
        </w:rPr>
        <w:t>服务期</w:t>
      </w:r>
      <w:r>
        <w:rPr>
          <w:rFonts w:hint="eastAsia" w:ascii="宋体" w:hAnsi="宋体" w:cs="宋体"/>
          <w:sz w:val="24"/>
        </w:rPr>
        <w:t>限届满后日内。</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三、承担保证责任的程序</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 我方收到你方的书面索赔通知及相应证明材料，在工作日内进行核定后按照本保函的承诺承担保证责任。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四、保证责任的终止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五、免责条款</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1．因你方违反主合同约定致使供应商不能履行义务的，我方不承担保证责任。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3．因不可抗力造成供应商不能履行供货义务的，我方不承担保证责任。</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六、争议的解决</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因本保函发生的纠纷，由你我双方协商解决，协商不成的，通过诉讼程序解决，诉讼管辖地法院为法院。</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七、保函的生效</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本保函自我方加盖公章之日起生效。</w:t>
      </w:r>
    </w:p>
    <w:p>
      <w:pPr>
        <w:widowControl/>
        <w:tabs>
          <w:tab w:val="left" w:pos="360"/>
          <w:tab w:val="left" w:pos="960"/>
        </w:tabs>
        <w:adjustRightInd w:val="0"/>
        <w:snapToGrid w:val="0"/>
        <w:spacing w:line="360" w:lineRule="auto"/>
        <w:jc w:val="left"/>
        <w:rPr>
          <w:rFonts w:hint="eastAsia" w:ascii="宋体" w:hAnsi="宋体" w:cs="宋体"/>
          <w:sz w:val="24"/>
        </w:rPr>
      </w:pP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r>
        <w:rPr>
          <w:rFonts w:hint="eastAsia" w:ascii="宋体" w:hAnsi="宋体" w:cs="宋体"/>
          <w:sz w:val="24"/>
        </w:rPr>
        <w:t>保证人：（公章）</w:t>
      </w:r>
    </w:p>
    <w:p>
      <w:pPr>
        <w:widowControl/>
        <w:tabs>
          <w:tab w:val="left" w:pos="360"/>
          <w:tab w:val="left" w:pos="960"/>
        </w:tabs>
        <w:adjustRightInd w:val="0"/>
        <w:snapToGrid w:val="0"/>
        <w:spacing w:line="360" w:lineRule="auto"/>
        <w:ind w:firstLine="360" w:firstLineChars="150"/>
        <w:jc w:val="left"/>
        <w:rPr>
          <w:rFonts w:hint="eastAsia" w:ascii="宋体" w:hAnsi="宋体" w:cs="宋体"/>
          <w:sz w:val="24"/>
        </w:rPr>
      </w:pPr>
    </w:p>
    <w:p>
      <w:pPr>
        <w:adjustRightInd w:val="0"/>
        <w:snapToGrid w:val="0"/>
        <w:spacing w:line="360" w:lineRule="auto"/>
        <w:outlineLvl w:val="0"/>
        <w:rPr>
          <w:rFonts w:hint="eastAsia" w:ascii="宋体" w:hAnsi="宋体" w:cs="宋体"/>
          <w:bCs/>
          <w:sz w:val="28"/>
          <w:szCs w:val="28"/>
        </w:rPr>
      </w:pPr>
      <w:r>
        <w:rPr>
          <w:rFonts w:hint="eastAsia" w:ascii="宋体" w:hAnsi="宋体" w:cs="宋体"/>
          <w:sz w:val="24"/>
        </w:rPr>
        <w:t xml:space="preserve"> 年     月      日</w:t>
      </w:r>
    </w:p>
    <w:p>
      <w:pPr>
        <w:spacing w:line="360" w:lineRule="auto"/>
        <w:outlineLvl w:val="0"/>
        <w:rPr>
          <w:rFonts w:hint="eastAsia" w:ascii="宋体" w:hAnsi="宋体" w:cs="宋体"/>
          <w:bCs/>
          <w:sz w:val="28"/>
          <w:szCs w:val="28"/>
        </w:rPr>
      </w:pPr>
    </w:p>
    <w:p>
      <w:pPr>
        <w:spacing w:line="360" w:lineRule="auto"/>
        <w:outlineLvl w:val="0"/>
        <w:rPr>
          <w:rFonts w:hint="eastAsia" w:ascii="宋体" w:hAnsi="宋体" w:cs="宋体"/>
          <w:bCs/>
          <w:sz w:val="28"/>
          <w:szCs w:val="28"/>
        </w:rPr>
      </w:pPr>
    </w:p>
    <w:p>
      <w:pPr>
        <w:spacing w:line="360" w:lineRule="auto"/>
        <w:outlineLvl w:val="0"/>
        <w:rPr>
          <w:rFonts w:hint="eastAsia" w:ascii="宋体" w:hAnsi="宋体" w:cs="宋体"/>
          <w:bCs/>
          <w:sz w:val="28"/>
          <w:szCs w:val="28"/>
        </w:rPr>
      </w:pPr>
    </w:p>
    <w:p>
      <w:pPr>
        <w:spacing w:line="360" w:lineRule="auto"/>
        <w:jc w:val="center"/>
        <w:outlineLvl w:val="0"/>
        <w:rPr>
          <w:rFonts w:hint="eastAsia" w:ascii="宋体" w:hAnsi="宋体" w:cs="宋体"/>
          <w:sz w:val="24"/>
        </w:rPr>
      </w:pPr>
      <w:r>
        <w:rPr>
          <w:rFonts w:hint="eastAsia" w:ascii="宋体" w:hAnsi="宋体" w:cs="宋体"/>
          <w:bCs/>
          <w:sz w:val="28"/>
          <w:szCs w:val="28"/>
        </w:rPr>
        <w:br w:type="page"/>
      </w:r>
      <w:r>
        <w:rPr>
          <w:rFonts w:hint="eastAsia" w:ascii="宋体" w:hAnsi="宋体" w:cs="宋体"/>
          <w:b/>
          <w:bCs/>
          <w:sz w:val="30"/>
          <w:szCs w:val="30"/>
        </w:rPr>
        <w:t>（八）暗标（技术文件）格式：</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p>
    <w:p>
      <w:pPr>
        <w:spacing w:line="360" w:lineRule="auto"/>
        <w:jc w:val="center"/>
        <w:outlineLvl w:val="0"/>
        <w:rPr>
          <w:rFonts w:hint="eastAsia" w:ascii="宋体" w:hAnsi="宋体" w:cs="宋体"/>
          <w:b/>
          <w:sz w:val="72"/>
          <w:szCs w:val="72"/>
        </w:rPr>
      </w:pPr>
      <w:r>
        <w:rPr>
          <w:rFonts w:hint="eastAsia" w:ascii="宋体" w:hAnsi="宋体" w:cs="宋体"/>
          <w:b/>
          <w:sz w:val="72"/>
          <w:szCs w:val="72"/>
        </w:rPr>
        <w:t>暗标封面</w:t>
      </w:r>
    </w:p>
    <w:p>
      <w:pPr>
        <w:spacing w:line="360" w:lineRule="auto"/>
        <w:jc w:val="center"/>
        <w:outlineLvl w:val="0"/>
        <w:rPr>
          <w:rFonts w:hint="eastAsia" w:ascii="宋体" w:hAnsi="宋体" w:cs="宋体"/>
          <w:sz w:val="24"/>
        </w:rPr>
      </w:pPr>
      <w:r>
        <w:rPr>
          <w:rFonts w:hint="eastAsia" w:ascii="宋体" w:hAnsi="宋体" w:cs="宋体"/>
          <w:b/>
          <w:sz w:val="28"/>
          <w:szCs w:val="28"/>
        </w:rPr>
        <w:t>（采购代理机构统一提供）</w:t>
      </w:r>
    </w:p>
    <w:p>
      <w:pPr>
        <w:spacing w:line="360" w:lineRule="auto"/>
        <w:jc w:val="center"/>
        <w:rPr>
          <w:rFonts w:hint="eastAsia" w:ascii="宋体" w:hAnsi="宋体" w:cs="宋体"/>
          <w:b/>
          <w:bCs/>
          <w:sz w:val="52"/>
          <w:szCs w:val="52"/>
        </w:rPr>
      </w:pPr>
      <w:r>
        <w:rPr>
          <w:rFonts w:hint="eastAsia" w:ascii="宋体" w:hAnsi="宋体" w:cs="宋体"/>
          <w:sz w:val="24"/>
        </w:rPr>
        <w:br w:type="page"/>
      </w:r>
      <w:r>
        <w:rPr>
          <w:rFonts w:hint="eastAsia" w:ascii="宋体" w:hAnsi="宋体" w:cs="宋体"/>
          <w:b/>
          <w:bCs/>
          <w:sz w:val="52"/>
          <w:szCs w:val="52"/>
        </w:rPr>
        <w:t>目  录</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 xml:space="preserve"> 投融资方案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社会资本须根据招标文件的有关规定，以及本项目运营方案需要的初始投资和运营成本的基础上，准备本项目财务方案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项目公司注册后，项目公司承担融资交割任务</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融资方案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①项目的总投资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②项目融资资金来源、贷款和资本金的比例（包括社会资本向项目注入资本金的金额、比例、出资方式、时间和方法等内容）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③债务偿还计划及融资成本</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④合作期内更新改造投资</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财务分析/垃圾处理服务费价格方案及分析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①投标经济参数汇总表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②项目投资总造价估算书及计算依据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③垃圾处理服务费单价的价格组成及计算依据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④垃圾处理项目主要经济效益指标</w:t>
      </w:r>
    </w:p>
    <w:p>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lang w:eastAsia="zh-CN"/>
        </w:rPr>
        <w:t>二、</w:t>
      </w:r>
      <w:r>
        <w:rPr>
          <w:rFonts w:hint="eastAsia" w:ascii="宋体" w:hAnsi="宋体" w:cs="宋体"/>
          <w:b/>
          <w:bCs/>
          <w:sz w:val="24"/>
          <w:szCs w:val="24"/>
        </w:rPr>
        <w:t>运营方案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项目公司人员组织方案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项目人力资源管理方案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项目运行管理方案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项目设备管理与维护方案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设备、设施更新改造方案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项目风险应对及安全管理方案</w:t>
      </w: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移交方案</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lang w:val="en-US" w:eastAsia="zh-CN"/>
        </w:rPr>
        <w:t>1、</w:t>
      </w:r>
      <w:r>
        <w:rPr>
          <w:rFonts w:hint="eastAsia" w:ascii="宋体" w:hAnsi="宋体" w:cs="宋体"/>
          <w:sz w:val="24"/>
          <w:szCs w:val="24"/>
        </w:rPr>
        <w:t>项目移交的技术状态保障承诺</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项目的移交范围</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对项目接收方人员的培训</w:t>
      </w:r>
    </w:p>
    <w:p>
      <w:pPr>
        <w:spacing w:line="360" w:lineRule="auto"/>
        <w:ind w:firstLine="480" w:firstLineChars="200"/>
        <w:rPr>
          <w:rFonts w:hint="eastAsia" w:ascii="宋体" w:hAnsi="宋体" w:cs="宋体"/>
          <w:sz w:val="24"/>
          <w:szCs w:val="22"/>
        </w:rPr>
      </w:pPr>
      <w:r>
        <w:rPr>
          <w:rFonts w:hint="eastAsia" w:ascii="宋体" w:hAnsi="宋体" w:cs="宋体"/>
          <w:sz w:val="24"/>
          <w:szCs w:val="24"/>
          <w:lang w:val="en-US" w:eastAsia="zh-CN"/>
        </w:rPr>
        <w:t>4、</w:t>
      </w:r>
      <w:r>
        <w:rPr>
          <w:rFonts w:hint="eastAsia" w:ascii="宋体" w:hAnsi="宋体" w:cs="宋体"/>
          <w:sz w:val="24"/>
          <w:szCs w:val="24"/>
        </w:rPr>
        <w:t>项目后期维护保障承诺</w:t>
      </w:r>
    </w:p>
    <w:p>
      <w:pPr>
        <w:widowControl/>
        <w:spacing w:before="80" w:after="80" w:line="360" w:lineRule="auto"/>
        <w:ind w:firstLine="426" w:firstLineChars="177"/>
        <w:jc w:val="left"/>
        <w:rPr>
          <w:rFonts w:ascii="宋体" w:hAnsi="宋体" w:cs="宋体"/>
        </w:rPr>
      </w:pPr>
      <w:r>
        <w:rPr>
          <w:rFonts w:hint="eastAsia" w:ascii="宋体" w:hAnsi="宋体" w:cs="宋体"/>
          <w:b/>
          <w:bCs/>
          <w:sz w:val="24"/>
        </w:rPr>
        <w:t>（请按照以上所列顺序编制，有格式的按照提供的格式做，未提供格式的自拟格式）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文鼎CS中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86</w:t>
                          </w:r>
                          <w:r>
                            <w:rPr>
                              <w:kern w:val="0"/>
                              <w:szCs w:val="21"/>
                            </w:rPr>
                            <w:fldChar w:fldCharType="end"/>
                          </w:r>
                          <w:r>
                            <w:rPr>
                              <w:rFonts w:hint="eastAsia"/>
                              <w:kern w:val="0"/>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6"/>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86</w:t>
                    </w:r>
                    <w:r>
                      <w:rPr>
                        <w:kern w:val="0"/>
                        <w:szCs w:val="21"/>
                      </w:rPr>
                      <w:fldChar w:fldCharType="end"/>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1180465</wp:posOffset>
              </wp:positionH>
              <wp:positionV relativeFrom="page">
                <wp:posOffset>683895</wp:posOffset>
              </wp:positionV>
              <wp:extent cx="5467350" cy="165100"/>
              <wp:effectExtent l="0" t="0" r="0" b="635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467350" cy="165100"/>
                      </a:xfrm>
                      <a:prstGeom prst="rect">
                        <a:avLst/>
                      </a:prstGeom>
                      <a:noFill/>
                      <a:ln>
                        <a:noFill/>
                      </a:ln>
                      <a:effectLst/>
                    </wps:spPr>
                    <wps:txbx>
                      <w:txbxContent>
                        <w:p>
                          <w:pPr>
                            <w:tabs>
                              <w:tab w:val="left" w:pos="4576"/>
                            </w:tabs>
                            <w:spacing w:line="245" w:lineRule="exact"/>
                            <w:ind w:left="20"/>
                            <w:rPr>
                              <w:rFonts w:ascii="宋体" w:hAnsi="宋体" w:cs="宋体"/>
                              <w:sz w:val="20"/>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2.95pt;margin-top:53.85pt;height:13pt;width:430.5pt;mso-position-horizontal-relative:page;mso-position-vertical-relative:page;z-index:-251657216;mso-width-relative:page;mso-height-relative:page;" filled="f" stroked="f" coordsize="21600,21600" o:gfxdata="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ZxMutkAAAAMAQAADwAAAAAA&#10;AAABACAAAAAiAAAAZHJzL2Rvd25yZXYueG1sUEsBAhQAFAAAAAgAh07iQJ0yn6kSAgAAFQQAAA4A&#10;AAAAAAAAAQAgAAAAKAEAAGRycy9lMm9Eb2MueG1sUEsFBgAAAAAGAAYAWQEAAKwFAAAAAA==&#10;">
              <v:fill on="f" focussize="0,0"/>
              <v:stroke on="f"/>
              <v:imagedata o:title=""/>
              <o:lock v:ext="edit" aspectratio="f"/>
              <v:textbox inset="0mm,0mm,0mm,0mm">
                <w:txbxContent>
                  <w:p>
                    <w:pPr>
                      <w:tabs>
                        <w:tab w:val="left" w:pos="4576"/>
                      </w:tabs>
                      <w:spacing w:line="245" w:lineRule="exact"/>
                      <w:ind w:left="20"/>
                      <w:rPr>
                        <w:rFonts w:ascii="宋体" w:hAnsi="宋体" w:cs="宋体"/>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35EBB"/>
    <w:multiLevelType w:val="singleLevel"/>
    <w:tmpl w:val="83835EBB"/>
    <w:lvl w:ilvl="0" w:tentative="0">
      <w:start w:val="1"/>
      <w:numFmt w:val="decimal"/>
      <w:suff w:val="nothing"/>
      <w:lvlText w:val="（%1）"/>
      <w:lvlJc w:val="left"/>
    </w:lvl>
  </w:abstractNum>
  <w:abstractNum w:abstractNumId="1">
    <w:nsid w:val="BC297F3D"/>
    <w:multiLevelType w:val="singleLevel"/>
    <w:tmpl w:val="BC297F3D"/>
    <w:lvl w:ilvl="0" w:tentative="0">
      <w:start w:val="1"/>
      <w:numFmt w:val="decimal"/>
      <w:suff w:val="nothing"/>
      <w:lvlText w:val="（%1）"/>
      <w:lvlJc w:val="left"/>
    </w:lvl>
  </w:abstractNum>
  <w:abstractNum w:abstractNumId="2">
    <w:nsid w:val="E41C014B"/>
    <w:multiLevelType w:val="singleLevel"/>
    <w:tmpl w:val="E41C014B"/>
    <w:lvl w:ilvl="0" w:tentative="0">
      <w:start w:val="6"/>
      <w:numFmt w:val="chineseCounting"/>
      <w:suff w:val="nothing"/>
      <w:lvlText w:val="%1、"/>
      <w:lvlJc w:val="left"/>
      <w:rPr>
        <w:rFonts w:hint="eastAsia"/>
      </w:rPr>
    </w:lvl>
  </w:abstractNum>
  <w:abstractNum w:abstractNumId="3">
    <w:nsid w:val="E5D309DB"/>
    <w:multiLevelType w:val="singleLevel"/>
    <w:tmpl w:val="E5D309DB"/>
    <w:lvl w:ilvl="0" w:tentative="0">
      <w:start w:val="1"/>
      <w:numFmt w:val="decimal"/>
      <w:suff w:val="nothing"/>
      <w:lvlText w:val="（%1）"/>
      <w:lvlJc w:val="left"/>
    </w:lvl>
  </w:abstractNum>
  <w:abstractNum w:abstractNumId="4">
    <w:nsid w:val="FC0D1F6B"/>
    <w:multiLevelType w:val="singleLevel"/>
    <w:tmpl w:val="FC0D1F6B"/>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lvlText w:val="（%1）"/>
      <w:lvlJc w:val="left"/>
      <w:pPr>
        <w:ind w:left="1145" w:hanging="720"/>
      </w:pPr>
    </w:lvl>
    <w:lvl w:ilvl="1" w:tentative="0">
      <w:start w:val="1"/>
      <w:numFmt w:val="lowerLetter"/>
      <w:lvlRestart w:val="0"/>
      <w:lvlText w:val="%2)"/>
      <w:lvlJc w:val="left"/>
      <w:pPr>
        <w:ind w:left="1265" w:hanging="420"/>
      </w:pPr>
    </w:lvl>
    <w:lvl w:ilvl="2" w:tentative="0">
      <w:start w:val="1"/>
      <w:numFmt w:val="lowerRoman"/>
      <w:lvlRestart w:val="0"/>
      <w:lvlText w:val="%3."/>
      <w:lvlJc w:val="right"/>
      <w:pPr>
        <w:ind w:left="1685" w:hanging="420"/>
      </w:pPr>
    </w:lvl>
    <w:lvl w:ilvl="3" w:tentative="0">
      <w:start w:val="1"/>
      <w:numFmt w:val="decimal"/>
      <w:lvlRestart w:val="0"/>
      <w:lvlText w:val="%4."/>
      <w:lvlJc w:val="left"/>
      <w:pPr>
        <w:ind w:left="2105" w:hanging="420"/>
      </w:pPr>
    </w:lvl>
    <w:lvl w:ilvl="4" w:tentative="0">
      <w:start w:val="1"/>
      <w:numFmt w:val="lowerLetter"/>
      <w:lvlRestart w:val="0"/>
      <w:lvlText w:val="%5)"/>
      <w:lvlJc w:val="left"/>
      <w:pPr>
        <w:ind w:left="2525" w:hanging="420"/>
      </w:pPr>
    </w:lvl>
    <w:lvl w:ilvl="5" w:tentative="0">
      <w:start w:val="1"/>
      <w:numFmt w:val="lowerRoman"/>
      <w:lvlRestart w:val="0"/>
      <w:lvlText w:val="%6."/>
      <w:lvlJc w:val="right"/>
      <w:pPr>
        <w:ind w:left="2945" w:hanging="420"/>
      </w:pPr>
    </w:lvl>
    <w:lvl w:ilvl="6" w:tentative="0">
      <w:start w:val="1"/>
      <w:numFmt w:val="decimal"/>
      <w:lvlRestart w:val="0"/>
      <w:lvlText w:val="%7."/>
      <w:lvlJc w:val="left"/>
      <w:pPr>
        <w:ind w:left="3365" w:hanging="420"/>
      </w:pPr>
    </w:lvl>
    <w:lvl w:ilvl="7" w:tentative="0">
      <w:start w:val="1"/>
      <w:numFmt w:val="lowerLetter"/>
      <w:lvlRestart w:val="0"/>
      <w:lvlText w:val="%8)"/>
      <w:lvlJc w:val="left"/>
      <w:pPr>
        <w:ind w:left="3785" w:hanging="420"/>
      </w:pPr>
    </w:lvl>
    <w:lvl w:ilvl="8" w:tentative="0">
      <w:start w:val="1"/>
      <w:numFmt w:val="lowerRoman"/>
      <w:lvlRestart w:val="0"/>
      <w:lvlText w:val="%9."/>
      <w:lvlJc w:val="right"/>
      <w:pPr>
        <w:ind w:left="4205" w:hanging="420"/>
      </w:pPr>
    </w:lvl>
  </w:abstractNum>
  <w:abstractNum w:abstractNumId="6">
    <w:nsid w:val="0000000E"/>
    <w:multiLevelType w:val="multilevel"/>
    <w:tmpl w:val="0000000E"/>
    <w:lvl w:ilvl="0" w:tentative="0">
      <w:start w:val="1"/>
      <w:numFmt w:val="decimal"/>
      <w:lvlText w:val="%1."/>
      <w:lvlJc w:val="left"/>
      <w:pPr>
        <w:tabs>
          <w:tab w:val="left" w:pos="1095"/>
        </w:tabs>
        <w:ind w:left="1095"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30"/>
        </w:tabs>
        <w:ind w:left="1130" w:hanging="420"/>
      </w:pPr>
      <w:rPr>
        <w:rFonts w:hint="eastAsia"/>
        <w:lang w:val="en-US"/>
      </w:rPr>
    </w:lvl>
    <w:lvl w:ilvl="5" w:tentative="0">
      <w:start w:val="1"/>
      <w:numFmt w:val="decimal"/>
      <w:lvlText w:val="%6."/>
      <w:lvlJc w:val="left"/>
      <w:pPr>
        <w:tabs>
          <w:tab w:val="left" w:pos="2670"/>
        </w:tabs>
        <w:ind w:left="2670" w:hanging="420"/>
      </w:pPr>
      <w:rPr>
        <w:rFonts w:hint="eastAsia"/>
      </w:r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7">
    <w:nsid w:val="00000011"/>
    <w:multiLevelType w:val="multilevel"/>
    <w:tmpl w:val="00000011"/>
    <w:lvl w:ilvl="0" w:tentative="0">
      <w:start w:val="1"/>
      <w:numFmt w:val="decimal"/>
      <w:pStyle w:val="488"/>
      <w:lvlText w:val="%1."/>
      <w:lvlJc w:val="left"/>
      <w:pPr>
        <w:tabs>
          <w:tab w:val="left" w:pos="900"/>
        </w:tabs>
        <w:ind w:left="900" w:hanging="420"/>
      </w:pPr>
      <w:rPr>
        <w:rFonts w:hint="default" w:ascii="Times New Roman"/>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8">
    <w:nsid w:val="00000013"/>
    <w:multiLevelType w:val="multilevel"/>
    <w:tmpl w:val="00000013"/>
    <w:lvl w:ilvl="0" w:tentative="0">
      <w:start w:val="1"/>
      <w:numFmt w:val="decimal"/>
      <w:lvlText w:val="%1."/>
      <w:lvlJc w:val="left"/>
      <w:pPr>
        <w:tabs>
          <w:tab w:val="left" w:pos="210"/>
        </w:tabs>
        <w:ind w:left="210" w:hanging="210"/>
      </w:pPr>
      <w:rPr>
        <w:rFonts w:hint="default" w:ascii="Times New Roman"/>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9">
    <w:nsid w:val="00000019"/>
    <w:multiLevelType w:val="singleLevel"/>
    <w:tmpl w:val="00000019"/>
    <w:lvl w:ilvl="0" w:tentative="0">
      <w:start w:val="1"/>
      <w:numFmt w:val="decimal"/>
      <w:lvlText w:val="%1．"/>
      <w:lvlJc w:val="left"/>
      <w:pPr>
        <w:tabs>
          <w:tab w:val="left" w:pos="3360"/>
        </w:tabs>
        <w:ind w:left="3360" w:hanging="420"/>
      </w:pPr>
      <w:rPr>
        <w:rFonts w:hint="eastAsia"/>
      </w:rPr>
    </w:lvl>
  </w:abstractNum>
  <w:abstractNum w:abstractNumId="10">
    <w:nsid w:val="077F6799"/>
    <w:multiLevelType w:val="singleLevel"/>
    <w:tmpl w:val="077F6799"/>
    <w:lvl w:ilvl="0" w:tentative="0">
      <w:start w:val="1"/>
      <w:numFmt w:val="decimal"/>
      <w:suff w:val="nothing"/>
      <w:lvlText w:val="（%1）"/>
      <w:lvlJc w:val="left"/>
    </w:lvl>
  </w:abstractNum>
  <w:abstractNum w:abstractNumId="11">
    <w:nsid w:val="085007CF"/>
    <w:multiLevelType w:val="multilevel"/>
    <w:tmpl w:val="085007CF"/>
    <w:lvl w:ilvl="0" w:tentative="0">
      <w:start w:val="1"/>
      <w:numFmt w:val="decimal"/>
      <w:pStyle w:val="465"/>
      <w:lvlText w:val="%1."/>
      <w:lvlJc w:val="left"/>
      <w:pPr>
        <w:tabs>
          <w:tab w:val="left" w:pos="630"/>
        </w:tabs>
        <w:ind w:left="630" w:hanging="420"/>
      </w:pPr>
    </w:lvl>
    <w:lvl w:ilvl="1" w:tentative="0">
      <w:start w:val="1"/>
      <w:numFmt w:val="decimalEnclosedCircle"/>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2">
    <w:nsid w:val="0AC37941"/>
    <w:multiLevelType w:val="multilevel"/>
    <w:tmpl w:val="0AC37941"/>
    <w:lvl w:ilvl="0" w:tentative="0">
      <w:start w:val="1"/>
      <w:numFmt w:val="chineseCountingThousand"/>
      <w:lvlText w:val="附件%1"/>
      <w:lvlJc w:val="left"/>
      <w:pPr>
        <w:tabs>
          <w:tab w:val="left" w:pos="1694"/>
        </w:tabs>
        <w:ind w:left="1694" w:hanging="1134"/>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BD5093D"/>
    <w:multiLevelType w:val="multilevel"/>
    <w:tmpl w:val="0BD5093D"/>
    <w:lvl w:ilvl="0" w:tentative="0">
      <w:start w:val="1"/>
      <w:numFmt w:val="decimal"/>
      <w:lvlText w:val="%1、"/>
      <w:lvlJc w:val="left"/>
      <w:pPr>
        <w:tabs>
          <w:tab w:val="left" w:pos="360"/>
        </w:tabs>
        <w:ind w:left="360" w:hanging="360"/>
      </w:pPr>
      <w:rPr>
        <w:rFonts w:hint="eastAsia"/>
      </w:rPr>
    </w:lvl>
    <w:lvl w:ilvl="1" w:tentative="0">
      <w:start w:val="1"/>
      <w:numFmt w:val="japaneseCounting"/>
      <w:lvlText w:val="第%2章"/>
      <w:lvlJc w:val="left"/>
      <w:pPr>
        <w:tabs>
          <w:tab w:val="left" w:pos="1635"/>
        </w:tabs>
        <w:ind w:left="1635" w:hanging="121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AB898"/>
    <w:multiLevelType w:val="singleLevel"/>
    <w:tmpl w:val="126AB898"/>
    <w:lvl w:ilvl="0" w:tentative="0">
      <w:start w:val="1"/>
      <w:numFmt w:val="decimal"/>
      <w:suff w:val="nothing"/>
      <w:lvlText w:val="（%1）"/>
      <w:lvlJc w:val="left"/>
    </w:lvl>
  </w:abstractNum>
  <w:abstractNum w:abstractNumId="15">
    <w:nsid w:val="14FE7A25"/>
    <w:multiLevelType w:val="multilevel"/>
    <w:tmpl w:val="14FE7A25"/>
    <w:lvl w:ilvl="0" w:tentative="0">
      <w:start w:val="1"/>
      <w:numFmt w:val="lowerRoman"/>
      <w:lvlText w:val="%1."/>
      <w:lvlJc w:val="right"/>
      <w:pPr>
        <w:ind w:left="1426" w:hanging="420"/>
      </w:pPr>
    </w:lvl>
    <w:lvl w:ilvl="1" w:tentative="0">
      <w:start w:val="1"/>
      <w:numFmt w:val="lowerLetter"/>
      <w:lvlText w:val="%2)"/>
      <w:lvlJc w:val="left"/>
      <w:pPr>
        <w:ind w:left="1846" w:hanging="420"/>
      </w:pPr>
    </w:lvl>
    <w:lvl w:ilvl="2" w:tentative="0">
      <w:start w:val="1"/>
      <w:numFmt w:val="lowerRoman"/>
      <w:lvlText w:val="%3."/>
      <w:lvlJc w:val="right"/>
      <w:pPr>
        <w:ind w:left="2266" w:hanging="420"/>
      </w:pPr>
    </w:lvl>
    <w:lvl w:ilvl="3" w:tentative="0">
      <w:start w:val="1"/>
      <w:numFmt w:val="decimal"/>
      <w:lvlText w:val="%4."/>
      <w:lvlJc w:val="left"/>
      <w:pPr>
        <w:ind w:left="2686" w:hanging="420"/>
      </w:pPr>
    </w:lvl>
    <w:lvl w:ilvl="4" w:tentative="0">
      <w:start w:val="1"/>
      <w:numFmt w:val="lowerLetter"/>
      <w:lvlText w:val="%5)"/>
      <w:lvlJc w:val="left"/>
      <w:pPr>
        <w:ind w:left="3106" w:hanging="420"/>
      </w:pPr>
    </w:lvl>
    <w:lvl w:ilvl="5" w:tentative="0">
      <w:start w:val="1"/>
      <w:numFmt w:val="lowerRoman"/>
      <w:lvlText w:val="%6."/>
      <w:lvlJc w:val="right"/>
      <w:pPr>
        <w:ind w:left="3526" w:hanging="420"/>
      </w:pPr>
    </w:lvl>
    <w:lvl w:ilvl="6" w:tentative="0">
      <w:start w:val="1"/>
      <w:numFmt w:val="decimal"/>
      <w:lvlText w:val="%7."/>
      <w:lvlJc w:val="left"/>
      <w:pPr>
        <w:ind w:left="3946" w:hanging="420"/>
      </w:pPr>
    </w:lvl>
    <w:lvl w:ilvl="7" w:tentative="0">
      <w:start w:val="1"/>
      <w:numFmt w:val="lowerLetter"/>
      <w:lvlText w:val="%8)"/>
      <w:lvlJc w:val="left"/>
      <w:pPr>
        <w:ind w:left="4366" w:hanging="420"/>
      </w:pPr>
    </w:lvl>
    <w:lvl w:ilvl="8" w:tentative="0">
      <w:start w:val="1"/>
      <w:numFmt w:val="lowerRoman"/>
      <w:lvlText w:val="%9."/>
      <w:lvlJc w:val="right"/>
      <w:pPr>
        <w:ind w:left="4786" w:hanging="420"/>
      </w:pPr>
    </w:lvl>
  </w:abstractNum>
  <w:abstractNum w:abstractNumId="16">
    <w:nsid w:val="18496E55"/>
    <w:multiLevelType w:val="multilevel"/>
    <w:tmpl w:val="18496E55"/>
    <w:lvl w:ilvl="0" w:tentative="0">
      <w:start w:val="1"/>
      <w:numFmt w:val="lowerRoman"/>
      <w:lvlText w:val="%1."/>
      <w:lvlJc w:val="right"/>
      <w:pPr>
        <w:ind w:left="1426" w:hanging="420"/>
      </w:pPr>
    </w:lvl>
    <w:lvl w:ilvl="1" w:tentative="0">
      <w:start w:val="1"/>
      <w:numFmt w:val="lowerLetter"/>
      <w:lvlText w:val="%2)"/>
      <w:lvlJc w:val="left"/>
      <w:pPr>
        <w:ind w:left="1846" w:hanging="420"/>
      </w:pPr>
    </w:lvl>
    <w:lvl w:ilvl="2" w:tentative="0">
      <w:start w:val="1"/>
      <w:numFmt w:val="lowerRoman"/>
      <w:lvlText w:val="%3."/>
      <w:lvlJc w:val="right"/>
      <w:pPr>
        <w:ind w:left="2266" w:hanging="420"/>
      </w:pPr>
    </w:lvl>
    <w:lvl w:ilvl="3" w:tentative="0">
      <w:start w:val="1"/>
      <w:numFmt w:val="decimal"/>
      <w:lvlText w:val="%4."/>
      <w:lvlJc w:val="left"/>
      <w:pPr>
        <w:ind w:left="2686" w:hanging="420"/>
      </w:pPr>
    </w:lvl>
    <w:lvl w:ilvl="4" w:tentative="0">
      <w:start w:val="1"/>
      <w:numFmt w:val="lowerLetter"/>
      <w:lvlText w:val="%5)"/>
      <w:lvlJc w:val="left"/>
      <w:pPr>
        <w:ind w:left="3106" w:hanging="420"/>
      </w:pPr>
    </w:lvl>
    <w:lvl w:ilvl="5" w:tentative="0">
      <w:start w:val="1"/>
      <w:numFmt w:val="lowerRoman"/>
      <w:lvlText w:val="%6."/>
      <w:lvlJc w:val="right"/>
      <w:pPr>
        <w:ind w:left="3526" w:hanging="420"/>
      </w:pPr>
    </w:lvl>
    <w:lvl w:ilvl="6" w:tentative="0">
      <w:start w:val="1"/>
      <w:numFmt w:val="decimal"/>
      <w:lvlText w:val="%7."/>
      <w:lvlJc w:val="left"/>
      <w:pPr>
        <w:ind w:left="3946" w:hanging="420"/>
      </w:pPr>
    </w:lvl>
    <w:lvl w:ilvl="7" w:tentative="0">
      <w:start w:val="1"/>
      <w:numFmt w:val="lowerLetter"/>
      <w:lvlText w:val="%8)"/>
      <w:lvlJc w:val="left"/>
      <w:pPr>
        <w:ind w:left="4366" w:hanging="420"/>
      </w:pPr>
    </w:lvl>
    <w:lvl w:ilvl="8" w:tentative="0">
      <w:start w:val="1"/>
      <w:numFmt w:val="lowerRoman"/>
      <w:lvlText w:val="%9."/>
      <w:lvlJc w:val="right"/>
      <w:pPr>
        <w:ind w:left="4786" w:hanging="420"/>
      </w:pPr>
    </w:lvl>
  </w:abstractNum>
  <w:abstractNum w:abstractNumId="17">
    <w:nsid w:val="18D02AF5"/>
    <w:multiLevelType w:val="singleLevel"/>
    <w:tmpl w:val="18D02AF5"/>
    <w:lvl w:ilvl="0" w:tentative="0">
      <w:start w:val="1"/>
      <w:numFmt w:val="decimal"/>
      <w:pStyle w:val="393"/>
      <w:lvlText w:val="（%1）"/>
      <w:lvlJc w:val="left"/>
      <w:pPr>
        <w:tabs>
          <w:tab w:val="left" w:pos="1996"/>
        </w:tabs>
        <w:ind w:left="1996" w:hanging="720"/>
      </w:pPr>
      <w:rPr>
        <w:rFonts w:hint="eastAsia"/>
        <w:b w:val="0"/>
        <w:color w:val="000000"/>
      </w:rPr>
    </w:lvl>
  </w:abstractNum>
  <w:abstractNum w:abstractNumId="18">
    <w:nsid w:val="1E2727F5"/>
    <w:multiLevelType w:val="singleLevel"/>
    <w:tmpl w:val="1E2727F5"/>
    <w:lvl w:ilvl="0" w:tentative="0">
      <w:start w:val="1"/>
      <w:numFmt w:val="ideographTraditional"/>
      <w:suff w:val="nothing"/>
      <w:lvlText w:val="%1、"/>
      <w:lvlJc w:val="left"/>
      <w:rPr>
        <w:rFonts w:hint="eastAsia"/>
      </w:rPr>
    </w:lvl>
  </w:abstractNum>
  <w:abstractNum w:abstractNumId="19">
    <w:nsid w:val="2DBAC8D5"/>
    <w:multiLevelType w:val="singleLevel"/>
    <w:tmpl w:val="2DBAC8D5"/>
    <w:lvl w:ilvl="0" w:tentative="0">
      <w:start w:val="6"/>
      <w:numFmt w:val="chineseCounting"/>
      <w:suff w:val="space"/>
      <w:lvlText w:val="（%1）"/>
      <w:lvlJc w:val="left"/>
      <w:rPr>
        <w:rFonts w:hint="eastAsia"/>
      </w:rPr>
    </w:lvl>
  </w:abstractNum>
  <w:abstractNum w:abstractNumId="20">
    <w:nsid w:val="34DF7A8A"/>
    <w:multiLevelType w:val="multilevel"/>
    <w:tmpl w:val="34DF7A8A"/>
    <w:lvl w:ilvl="0" w:tentative="0">
      <w:start w:val="1"/>
      <w:numFmt w:val="lowerLetter"/>
      <w:lvlText w:val="(%1)"/>
      <w:lvlJc w:val="left"/>
      <w:pPr>
        <w:ind w:left="1270" w:hanging="420"/>
      </w:pPr>
      <w:rPr>
        <w:rFonts w:hint="eastAsia"/>
        <w:color w:val="auto"/>
      </w:rPr>
    </w:lvl>
    <w:lvl w:ilvl="1" w:tentative="0">
      <w:start w:val="1"/>
      <w:numFmt w:val="lowerLetter"/>
      <w:lvlText w:val="%2)"/>
      <w:lvlJc w:val="left"/>
      <w:pPr>
        <w:ind w:left="1691" w:hanging="420"/>
      </w:pPr>
      <w:rPr>
        <w:rFonts w:hint="eastAsia"/>
      </w:rPr>
    </w:lvl>
    <w:lvl w:ilvl="2" w:tentative="0">
      <w:start w:val="1"/>
      <w:numFmt w:val="lowerRoman"/>
      <w:lvlText w:val="%3."/>
      <w:lvlJc w:val="right"/>
      <w:pPr>
        <w:ind w:left="2111" w:hanging="420"/>
      </w:pPr>
      <w:rPr>
        <w:rFonts w:hint="eastAsia"/>
      </w:rPr>
    </w:lvl>
    <w:lvl w:ilvl="3" w:tentative="0">
      <w:start w:val="1"/>
      <w:numFmt w:val="decimal"/>
      <w:lvlText w:val="%4."/>
      <w:lvlJc w:val="left"/>
      <w:pPr>
        <w:ind w:left="2531" w:hanging="420"/>
      </w:pPr>
      <w:rPr>
        <w:rFonts w:hint="eastAsia"/>
      </w:rPr>
    </w:lvl>
    <w:lvl w:ilvl="4" w:tentative="0">
      <w:start w:val="1"/>
      <w:numFmt w:val="lowerLetter"/>
      <w:lvlText w:val="%5)"/>
      <w:lvlJc w:val="left"/>
      <w:pPr>
        <w:ind w:left="2951" w:hanging="420"/>
      </w:pPr>
      <w:rPr>
        <w:rFonts w:hint="eastAsia"/>
      </w:rPr>
    </w:lvl>
    <w:lvl w:ilvl="5" w:tentative="0">
      <w:start w:val="1"/>
      <w:numFmt w:val="lowerRoman"/>
      <w:lvlText w:val="%6."/>
      <w:lvlJc w:val="right"/>
      <w:pPr>
        <w:ind w:left="3371" w:hanging="420"/>
      </w:pPr>
      <w:rPr>
        <w:rFonts w:hint="eastAsia"/>
      </w:rPr>
    </w:lvl>
    <w:lvl w:ilvl="6" w:tentative="0">
      <w:start w:val="1"/>
      <w:numFmt w:val="decimal"/>
      <w:lvlText w:val="%7."/>
      <w:lvlJc w:val="left"/>
      <w:pPr>
        <w:ind w:left="3791" w:hanging="420"/>
      </w:pPr>
      <w:rPr>
        <w:rFonts w:hint="eastAsia"/>
      </w:rPr>
    </w:lvl>
    <w:lvl w:ilvl="7" w:tentative="0">
      <w:start w:val="1"/>
      <w:numFmt w:val="lowerLetter"/>
      <w:lvlText w:val="%8)"/>
      <w:lvlJc w:val="left"/>
      <w:pPr>
        <w:ind w:left="4211" w:hanging="420"/>
      </w:pPr>
      <w:rPr>
        <w:rFonts w:hint="eastAsia"/>
      </w:rPr>
    </w:lvl>
    <w:lvl w:ilvl="8" w:tentative="0">
      <w:start w:val="1"/>
      <w:numFmt w:val="lowerRoman"/>
      <w:lvlText w:val="%9."/>
      <w:lvlJc w:val="right"/>
      <w:pPr>
        <w:ind w:left="4631" w:hanging="420"/>
      </w:pPr>
      <w:rPr>
        <w:rFonts w:hint="eastAsia"/>
      </w:rPr>
    </w:lvl>
  </w:abstractNum>
  <w:abstractNum w:abstractNumId="21">
    <w:nsid w:val="389224EE"/>
    <w:multiLevelType w:val="singleLevel"/>
    <w:tmpl w:val="389224EE"/>
    <w:lvl w:ilvl="0" w:tentative="0">
      <w:start w:val="1"/>
      <w:numFmt w:val="decimal"/>
      <w:suff w:val="nothing"/>
      <w:lvlText w:val="（%1）"/>
      <w:lvlJc w:val="left"/>
    </w:lvl>
  </w:abstractNum>
  <w:abstractNum w:abstractNumId="22">
    <w:nsid w:val="3E8FEF02"/>
    <w:multiLevelType w:val="singleLevel"/>
    <w:tmpl w:val="3E8FEF02"/>
    <w:lvl w:ilvl="0" w:tentative="0">
      <w:start w:val="1"/>
      <w:numFmt w:val="decimal"/>
      <w:suff w:val="nothing"/>
      <w:lvlText w:val="（%1）"/>
      <w:lvlJc w:val="left"/>
    </w:lvl>
  </w:abstractNum>
  <w:abstractNum w:abstractNumId="23">
    <w:nsid w:val="41AC75AA"/>
    <w:multiLevelType w:val="singleLevel"/>
    <w:tmpl w:val="41AC75AA"/>
    <w:lvl w:ilvl="0" w:tentative="0">
      <w:start w:val="1"/>
      <w:numFmt w:val="decimal"/>
      <w:suff w:val="nothing"/>
      <w:lvlText w:val="%1．"/>
      <w:lvlJc w:val="left"/>
      <w:pPr>
        <w:ind w:left="0" w:firstLine="400"/>
      </w:pPr>
      <w:rPr>
        <w:rFonts w:hint="default"/>
      </w:rPr>
    </w:lvl>
  </w:abstractNum>
  <w:abstractNum w:abstractNumId="24">
    <w:nsid w:val="41DC48F5"/>
    <w:multiLevelType w:val="multilevel"/>
    <w:tmpl w:val="41DC48F5"/>
    <w:lvl w:ilvl="0" w:tentative="0">
      <w:start w:val="1"/>
      <w:numFmt w:val="decimal"/>
      <w:pStyle w:val="382"/>
      <w:lvlText w:val="%1．"/>
      <w:lvlJc w:val="left"/>
      <w:pPr>
        <w:tabs>
          <w:tab w:val="left" w:pos="898"/>
        </w:tabs>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25">
    <w:nsid w:val="44A75E49"/>
    <w:multiLevelType w:val="singleLevel"/>
    <w:tmpl w:val="44A75E49"/>
    <w:lvl w:ilvl="0" w:tentative="0">
      <w:start w:val="4"/>
      <w:numFmt w:val="chineseCounting"/>
      <w:suff w:val="nothing"/>
      <w:lvlText w:val="%1、"/>
      <w:lvlJc w:val="left"/>
      <w:rPr>
        <w:rFonts w:hint="eastAsia"/>
      </w:rPr>
    </w:lvl>
  </w:abstractNum>
  <w:abstractNum w:abstractNumId="26">
    <w:nsid w:val="477F1D9D"/>
    <w:multiLevelType w:val="multilevel"/>
    <w:tmpl w:val="477F1D9D"/>
    <w:lvl w:ilvl="0" w:tentative="0">
      <w:start w:val="1"/>
      <w:numFmt w:val="decimal"/>
      <w:pStyle w:val="495"/>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japaneseCounting"/>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7BA7DC7"/>
    <w:multiLevelType w:val="multilevel"/>
    <w:tmpl w:val="47BA7DC7"/>
    <w:lvl w:ilvl="0" w:tentative="0">
      <w:start w:val="1"/>
      <w:numFmt w:val="lowerRoman"/>
      <w:lvlText w:val="%1."/>
      <w:lvlJc w:val="right"/>
      <w:pPr>
        <w:ind w:left="1426" w:hanging="420"/>
      </w:pPr>
      <w:rPr>
        <w:b w:val="0"/>
        <w:bCs w:val="0"/>
      </w:rPr>
    </w:lvl>
    <w:lvl w:ilvl="1" w:tentative="0">
      <w:start w:val="1"/>
      <w:numFmt w:val="lowerLetter"/>
      <w:lvlText w:val="%2)"/>
      <w:lvlJc w:val="left"/>
      <w:pPr>
        <w:ind w:left="1846" w:hanging="420"/>
      </w:pPr>
    </w:lvl>
    <w:lvl w:ilvl="2" w:tentative="0">
      <w:start w:val="1"/>
      <w:numFmt w:val="lowerRoman"/>
      <w:lvlText w:val="%3."/>
      <w:lvlJc w:val="right"/>
      <w:pPr>
        <w:ind w:left="2266" w:hanging="420"/>
      </w:pPr>
    </w:lvl>
    <w:lvl w:ilvl="3" w:tentative="0">
      <w:start w:val="1"/>
      <w:numFmt w:val="decimal"/>
      <w:lvlText w:val="%4."/>
      <w:lvlJc w:val="left"/>
      <w:pPr>
        <w:ind w:left="2686" w:hanging="420"/>
      </w:pPr>
    </w:lvl>
    <w:lvl w:ilvl="4" w:tentative="0">
      <w:start w:val="1"/>
      <w:numFmt w:val="lowerLetter"/>
      <w:lvlText w:val="%5)"/>
      <w:lvlJc w:val="left"/>
      <w:pPr>
        <w:ind w:left="3106" w:hanging="420"/>
      </w:pPr>
    </w:lvl>
    <w:lvl w:ilvl="5" w:tentative="0">
      <w:start w:val="1"/>
      <w:numFmt w:val="lowerRoman"/>
      <w:lvlText w:val="%6."/>
      <w:lvlJc w:val="right"/>
      <w:pPr>
        <w:ind w:left="3526" w:hanging="420"/>
      </w:pPr>
    </w:lvl>
    <w:lvl w:ilvl="6" w:tentative="0">
      <w:start w:val="1"/>
      <w:numFmt w:val="decimal"/>
      <w:lvlText w:val="%7."/>
      <w:lvlJc w:val="left"/>
      <w:pPr>
        <w:ind w:left="3946" w:hanging="420"/>
      </w:pPr>
    </w:lvl>
    <w:lvl w:ilvl="7" w:tentative="0">
      <w:start w:val="1"/>
      <w:numFmt w:val="lowerLetter"/>
      <w:lvlText w:val="%8)"/>
      <w:lvlJc w:val="left"/>
      <w:pPr>
        <w:ind w:left="4366" w:hanging="420"/>
      </w:pPr>
    </w:lvl>
    <w:lvl w:ilvl="8" w:tentative="0">
      <w:start w:val="1"/>
      <w:numFmt w:val="lowerRoman"/>
      <w:lvlText w:val="%9."/>
      <w:lvlJc w:val="right"/>
      <w:pPr>
        <w:ind w:left="4786" w:hanging="420"/>
      </w:pPr>
    </w:lvl>
  </w:abstractNum>
  <w:abstractNum w:abstractNumId="28">
    <w:nsid w:val="4ECFA171"/>
    <w:multiLevelType w:val="singleLevel"/>
    <w:tmpl w:val="4ECFA171"/>
    <w:lvl w:ilvl="0" w:tentative="0">
      <w:start w:val="1"/>
      <w:numFmt w:val="decimal"/>
      <w:suff w:val="nothing"/>
      <w:lvlText w:val="（%1）"/>
      <w:lvlJc w:val="left"/>
    </w:lvl>
  </w:abstractNum>
  <w:abstractNum w:abstractNumId="29">
    <w:nsid w:val="4F02533F"/>
    <w:multiLevelType w:val="multilevel"/>
    <w:tmpl w:val="4F02533F"/>
    <w:lvl w:ilvl="0" w:tentative="0">
      <w:start w:val="1"/>
      <w:numFmt w:val="decimal"/>
      <w:pStyle w:val="50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510B6456"/>
    <w:multiLevelType w:val="singleLevel"/>
    <w:tmpl w:val="510B6456"/>
    <w:lvl w:ilvl="0" w:tentative="0">
      <w:start w:val="1"/>
      <w:numFmt w:val="decimal"/>
      <w:pStyle w:val="360"/>
      <w:lvlText w:val="%1．"/>
      <w:lvlJc w:val="left"/>
      <w:pPr>
        <w:tabs>
          <w:tab w:val="left" w:pos="552"/>
        </w:tabs>
        <w:ind w:left="552" w:hanging="420"/>
      </w:pPr>
      <w:rPr>
        <w:rFonts w:hint="eastAsia"/>
      </w:rPr>
    </w:lvl>
  </w:abstractNum>
  <w:abstractNum w:abstractNumId="31">
    <w:nsid w:val="55D508C8"/>
    <w:multiLevelType w:val="multilevel"/>
    <w:tmpl w:val="55D508C8"/>
    <w:lvl w:ilvl="0" w:tentative="0">
      <w:start w:val="1"/>
      <w:numFmt w:val="lowerRoman"/>
      <w:lvlText w:val="%1."/>
      <w:lvlJc w:val="right"/>
      <w:pPr>
        <w:ind w:left="1426" w:hanging="420"/>
      </w:pPr>
    </w:lvl>
    <w:lvl w:ilvl="1" w:tentative="0">
      <w:start w:val="1"/>
      <w:numFmt w:val="lowerLetter"/>
      <w:lvlText w:val="%2)"/>
      <w:lvlJc w:val="left"/>
      <w:pPr>
        <w:ind w:left="1846" w:hanging="420"/>
      </w:pPr>
    </w:lvl>
    <w:lvl w:ilvl="2" w:tentative="0">
      <w:start w:val="1"/>
      <w:numFmt w:val="lowerRoman"/>
      <w:lvlText w:val="%3."/>
      <w:lvlJc w:val="right"/>
      <w:pPr>
        <w:ind w:left="2266" w:hanging="420"/>
      </w:pPr>
    </w:lvl>
    <w:lvl w:ilvl="3" w:tentative="0">
      <w:start w:val="1"/>
      <w:numFmt w:val="decimal"/>
      <w:lvlText w:val="%4."/>
      <w:lvlJc w:val="left"/>
      <w:pPr>
        <w:ind w:left="2686" w:hanging="420"/>
      </w:pPr>
    </w:lvl>
    <w:lvl w:ilvl="4" w:tentative="0">
      <w:start w:val="1"/>
      <w:numFmt w:val="lowerLetter"/>
      <w:lvlText w:val="%5)"/>
      <w:lvlJc w:val="left"/>
      <w:pPr>
        <w:ind w:left="3106" w:hanging="420"/>
      </w:pPr>
    </w:lvl>
    <w:lvl w:ilvl="5" w:tentative="0">
      <w:start w:val="1"/>
      <w:numFmt w:val="lowerRoman"/>
      <w:lvlText w:val="%6."/>
      <w:lvlJc w:val="right"/>
      <w:pPr>
        <w:ind w:left="3526" w:hanging="420"/>
      </w:pPr>
    </w:lvl>
    <w:lvl w:ilvl="6" w:tentative="0">
      <w:start w:val="1"/>
      <w:numFmt w:val="decimal"/>
      <w:lvlText w:val="%7."/>
      <w:lvlJc w:val="left"/>
      <w:pPr>
        <w:ind w:left="3946" w:hanging="420"/>
      </w:pPr>
    </w:lvl>
    <w:lvl w:ilvl="7" w:tentative="0">
      <w:start w:val="1"/>
      <w:numFmt w:val="lowerLetter"/>
      <w:lvlText w:val="%8)"/>
      <w:lvlJc w:val="left"/>
      <w:pPr>
        <w:ind w:left="4366" w:hanging="420"/>
      </w:pPr>
    </w:lvl>
    <w:lvl w:ilvl="8" w:tentative="0">
      <w:start w:val="1"/>
      <w:numFmt w:val="lowerRoman"/>
      <w:lvlText w:val="%9."/>
      <w:lvlJc w:val="right"/>
      <w:pPr>
        <w:ind w:left="4786" w:hanging="420"/>
      </w:pPr>
    </w:lvl>
  </w:abstractNum>
  <w:abstractNum w:abstractNumId="32">
    <w:nsid w:val="59182794"/>
    <w:multiLevelType w:val="multilevel"/>
    <w:tmpl w:val="59182794"/>
    <w:lvl w:ilvl="0" w:tentative="0">
      <w:start w:val="1"/>
      <w:numFmt w:val="japaneseCounting"/>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decimalEnclosedCircle"/>
      <w:lvlText w:val="%8"/>
      <w:lvlJc w:val="left"/>
      <w:pPr>
        <w:tabs>
          <w:tab w:val="left" w:pos="3300"/>
        </w:tabs>
        <w:ind w:left="3300" w:hanging="360"/>
      </w:pPr>
      <w:rPr>
        <w:rFonts w:hint="default"/>
      </w:rPr>
    </w:lvl>
    <w:lvl w:ilvl="8" w:tentative="0">
      <w:start w:val="1"/>
      <w:numFmt w:val="lowerRoman"/>
      <w:lvlText w:val="%9."/>
      <w:lvlJc w:val="right"/>
      <w:pPr>
        <w:tabs>
          <w:tab w:val="left" w:pos="3780"/>
        </w:tabs>
        <w:ind w:left="3780" w:hanging="420"/>
      </w:pPr>
    </w:lvl>
  </w:abstractNum>
  <w:abstractNum w:abstractNumId="33">
    <w:nsid w:val="60171179"/>
    <w:multiLevelType w:val="multilevel"/>
    <w:tmpl w:val="60171179"/>
    <w:lvl w:ilvl="0" w:tentative="0">
      <w:start w:val="1"/>
      <w:numFmt w:val="lowerRoman"/>
      <w:lvlText w:val="%1."/>
      <w:lvlJc w:val="righ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4">
    <w:nsid w:val="630C1BC3"/>
    <w:multiLevelType w:val="multilevel"/>
    <w:tmpl w:val="630C1BC3"/>
    <w:lvl w:ilvl="0" w:tentative="0">
      <w:start w:val="1"/>
      <w:numFmt w:val="decimal"/>
      <w:pStyle w:val="486"/>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29"/>
        </w:tabs>
        <w:ind w:left="1129"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35">
    <w:nsid w:val="636789D2"/>
    <w:multiLevelType w:val="singleLevel"/>
    <w:tmpl w:val="636789D2"/>
    <w:lvl w:ilvl="0" w:tentative="0">
      <w:start w:val="1"/>
      <w:numFmt w:val="decimal"/>
      <w:suff w:val="nothing"/>
      <w:lvlText w:val="（%1）"/>
      <w:lvlJc w:val="left"/>
    </w:lvl>
  </w:abstractNum>
  <w:abstractNum w:abstractNumId="36">
    <w:nsid w:val="666030AB"/>
    <w:multiLevelType w:val="multilevel"/>
    <w:tmpl w:val="666030AB"/>
    <w:lvl w:ilvl="0" w:tentative="0">
      <w:start w:val="1"/>
      <w:numFmt w:val="decimal"/>
      <w:lvlText w:val="（%1）"/>
      <w:lvlJc w:val="left"/>
      <w:pPr>
        <w:tabs>
          <w:tab w:val="left" w:pos="1854"/>
        </w:tabs>
        <w:ind w:left="1854" w:hanging="720"/>
      </w:pPr>
      <w:rPr>
        <w:rFonts w:hint="eastAsia"/>
      </w:rPr>
    </w:lvl>
    <w:lvl w:ilvl="1" w:tentative="0">
      <w:start w:val="2"/>
      <w:numFmt w:val="decimal"/>
      <w:lvlText w:val="%2."/>
      <w:lvlJc w:val="left"/>
      <w:pPr>
        <w:tabs>
          <w:tab w:val="left" w:pos="1914"/>
        </w:tabs>
        <w:ind w:left="1914" w:hanging="360"/>
      </w:pPr>
      <w:rPr>
        <w:rFonts w:hint="default"/>
      </w:rPr>
    </w:lvl>
    <w:lvl w:ilvl="2" w:tentative="0">
      <w:start w:val="1"/>
      <w:numFmt w:val="lowerRoman"/>
      <w:lvlText w:val="%3."/>
      <w:lvlJc w:val="right"/>
      <w:pPr>
        <w:tabs>
          <w:tab w:val="left" w:pos="2394"/>
        </w:tabs>
        <w:ind w:left="2394" w:hanging="420"/>
      </w:pPr>
    </w:lvl>
    <w:lvl w:ilvl="3" w:tentative="0">
      <w:start w:val="1"/>
      <w:numFmt w:val="decimal"/>
      <w:lvlText w:val="%4."/>
      <w:lvlJc w:val="left"/>
      <w:pPr>
        <w:tabs>
          <w:tab w:val="left" w:pos="2814"/>
        </w:tabs>
        <w:ind w:left="2814" w:hanging="420"/>
      </w:pPr>
    </w:lvl>
    <w:lvl w:ilvl="4" w:tentative="0">
      <w:start w:val="1"/>
      <w:numFmt w:val="lowerLetter"/>
      <w:lvlText w:val="%5)"/>
      <w:lvlJc w:val="left"/>
      <w:pPr>
        <w:tabs>
          <w:tab w:val="left" w:pos="3234"/>
        </w:tabs>
        <w:ind w:left="3234" w:hanging="420"/>
      </w:pPr>
    </w:lvl>
    <w:lvl w:ilvl="5" w:tentative="0">
      <w:start w:val="1"/>
      <w:numFmt w:val="lowerRoman"/>
      <w:lvlText w:val="%6."/>
      <w:lvlJc w:val="right"/>
      <w:pPr>
        <w:tabs>
          <w:tab w:val="left" w:pos="3654"/>
        </w:tabs>
        <w:ind w:left="3654" w:hanging="420"/>
      </w:pPr>
    </w:lvl>
    <w:lvl w:ilvl="6" w:tentative="0">
      <w:start w:val="1"/>
      <w:numFmt w:val="decimal"/>
      <w:lvlText w:val="%7."/>
      <w:lvlJc w:val="left"/>
      <w:pPr>
        <w:tabs>
          <w:tab w:val="left" w:pos="4074"/>
        </w:tabs>
        <w:ind w:left="4074" w:hanging="420"/>
      </w:pPr>
    </w:lvl>
    <w:lvl w:ilvl="7" w:tentative="0">
      <w:start w:val="1"/>
      <w:numFmt w:val="lowerLetter"/>
      <w:lvlText w:val="%8)"/>
      <w:lvlJc w:val="left"/>
      <w:pPr>
        <w:tabs>
          <w:tab w:val="left" w:pos="4494"/>
        </w:tabs>
        <w:ind w:left="4494" w:hanging="420"/>
      </w:pPr>
    </w:lvl>
    <w:lvl w:ilvl="8" w:tentative="0">
      <w:start w:val="1"/>
      <w:numFmt w:val="lowerRoman"/>
      <w:lvlText w:val="%9."/>
      <w:lvlJc w:val="right"/>
      <w:pPr>
        <w:tabs>
          <w:tab w:val="left" w:pos="4914"/>
        </w:tabs>
        <w:ind w:left="4914" w:hanging="420"/>
      </w:pPr>
    </w:lvl>
  </w:abstractNum>
  <w:abstractNum w:abstractNumId="37">
    <w:nsid w:val="691E62C6"/>
    <w:multiLevelType w:val="multilevel"/>
    <w:tmpl w:val="691E62C6"/>
    <w:lvl w:ilvl="0" w:tentative="0">
      <w:start w:val="2"/>
      <w:numFmt w:val="japaneseCounting"/>
      <w:pStyle w:val="35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389"/>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8">
    <w:nsid w:val="6A0631B8"/>
    <w:multiLevelType w:val="singleLevel"/>
    <w:tmpl w:val="6A0631B8"/>
    <w:lvl w:ilvl="0" w:tentative="0">
      <w:start w:val="1"/>
      <w:numFmt w:val="lowerLetter"/>
      <w:lvlText w:val="%1．"/>
      <w:lvlJc w:val="left"/>
    </w:lvl>
  </w:abstractNum>
  <w:abstractNum w:abstractNumId="39">
    <w:nsid w:val="71C85C1D"/>
    <w:multiLevelType w:val="singleLevel"/>
    <w:tmpl w:val="71C85C1D"/>
    <w:lvl w:ilvl="0" w:tentative="0">
      <w:start w:val="1"/>
      <w:numFmt w:val="decimal"/>
      <w:suff w:val="nothing"/>
      <w:lvlText w:val="（%1）"/>
      <w:lvlJc w:val="left"/>
    </w:lvl>
  </w:abstractNum>
  <w:abstractNum w:abstractNumId="40">
    <w:nsid w:val="71D54D18"/>
    <w:multiLevelType w:val="multilevel"/>
    <w:tmpl w:val="71D54D18"/>
    <w:lvl w:ilvl="0" w:tentative="0">
      <w:start w:val="1"/>
      <w:numFmt w:val="upperLetter"/>
      <w:pStyle w:val="4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A4340BD"/>
    <w:multiLevelType w:val="multilevel"/>
    <w:tmpl w:val="7A4340BD"/>
    <w:lvl w:ilvl="0" w:tentative="0">
      <w:start w:val="1"/>
      <w:numFmt w:val="japaneseCounting"/>
      <w:pStyle w:val="2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color w:val="auto"/>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ED9285A"/>
    <w:multiLevelType w:val="singleLevel"/>
    <w:tmpl w:val="7ED9285A"/>
    <w:lvl w:ilvl="0" w:tentative="0">
      <w:start w:val="1"/>
      <w:numFmt w:val="decimal"/>
      <w:lvlText w:val="(%1)"/>
      <w:lvlJc w:val="left"/>
      <w:pPr>
        <w:tabs>
          <w:tab w:val="left" w:pos="855"/>
        </w:tabs>
        <w:ind w:left="855" w:hanging="855"/>
      </w:pPr>
      <w:rPr>
        <w:rFonts w:hint="default"/>
      </w:rPr>
    </w:lvl>
  </w:abstractNum>
  <w:num w:numId="1">
    <w:abstractNumId w:val="41"/>
  </w:num>
  <w:num w:numId="2">
    <w:abstractNumId w:val="40"/>
  </w:num>
  <w:num w:numId="3">
    <w:abstractNumId w:val="37"/>
  </w:num>
  <w:num w:numId="4">
    <w:abstractNumId w:val="30"/>
  </w:num>
  <w:num w:numId="5">
    <w:abstractNumId w:val="24"/>
  </w:num>
  <w:num w:numId="6">
    <w:abstractNumId w:val="17"/>
  </w:num>
  <w:num w:numId="7">
    <w:abstractNumId w:val="11"/>
  </w:num>
  <w:num w:numId="8">
    <w:abstractNumId w:val="34"/>
  </w:num>
  <w:num w:numId="9">
    <w:abstractNumId w:val="7"/>
  </w:num>
  <w:num w:numId="10">
    <w:abstractNumId w:val="26"/>
  </w:num>
  <w:num w:numId="11">
    <w:abstractNumId w:val="29"/>
  </w:num>
  <w:num w:numId="12">
    <w:abstractNumId w:val="8"/>
  </w:num>
  <w:num w:numId="13">
    <w:abstractNumId w:val="9"/>
  </w:num>
  <w:num w:numId="14">
    <w:abstractNumId w:val="32"/>
  </w:num>
  <w:num w:numId="15">
    <w:abstractNumId w:val="19"/>
  </w:num>
  <w:num w:numId="16">
    <w:abstractNumId w:val="6"/>
  </w:num>
  <w:num w:numId="17">
    <w:abstractNumId w:val="36"/>
  </w:num>
  <w:num w:numId="18">
    <w:abstractNumId w:val="23"/>
  </w:num>
  <w:num w:numId="19">
    <w:abstractNumId w:val="25"/>
  </w:num>
  <w:num w:numId="20">
    <w:abstractNumId w:val="2"/>
  </w:num>
  <w:num w:numId="21">
    <w:abstractNumId w:val="13"/>
  </w:num>
  <w:num w:numId="22">
    <w:abstractNumId w:val="1"/>
  </w:num>
  <w:num w:numId="23">
    <w:abstractNumId w:val="3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18"/>
  </w:num>
  <w:num w:numId="30">
    <w:abstractNumId w:val="16"/>
  </w:num>
  <w:num w:numId="31">
    <w:abstractNumId w:val="15"/>
  </w:num>
  <w:num w:numId="32">
    <w:abstractNumId w:val="27"/>
  </w:num>
  <w:num w:numId="33">
    <w:abstractNumId w:val="31"/>
  </w:num>
  <w:num w:numId="34">
    <w:abstractNumId w:val="1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0"/>
  </w:num>
  <w:num w:numId="38">
    <w:abstractNumId w:val="39"/>
  </w:num>
  <w:num w:numId="39">
    <w:abstractNumId w:val="14"/>
  </w:num>
  <w:num w:numId="40">
    <w:abstractNumId w:val="21"/>
  </w:num>
  <w:num w:numId="41">
    <w:abstractNumId w:val="4"/>
  </w:num>
  <w:num w:numId="42">
    <w:abstractNumId w:val="38"/>
  </w:num>
  <w:num w:numId="43">
    <w:abstractNumId w:val="12"/>
  </w:num>
  <w:num w:numId="44">
    <w:abstractNumId w:val="42"/>
  </w:num>
  <w:num w:numId="45">
    <w:abstractNumId w:val="33"/>
  </w:num>
  <w:num w:numId="4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A5"/>
    <w:rsid w:val="000A788F"/>
    <w:rsid w:val="00193D9D"/>
    <w:rsid w:val="004D01AD"/>
    <w:rsid w:val="0069120C"/>
    <w:rsid w:val="00733553"/>
    <w:rsid w:val="0079775D"/>
    <w:rsid w:val="008435A5"/>
    <w:rsid w:val="00853DF2"/>
    <w:rsid w:val="0087214B"/>
    <w:rsid w:val="00A6598C"/>
    <w:rsid w:val="00A72A61"/>
    <w:rsid w:val="00B6531F"/>
    <w:rsid w:val="00BC11A2"/>
    <w:rsid w:val="00C31A26"/>
    <w:rsid w:val="00D3524E"/>
    <w:rsid w:val="00DD2D4A"/>
    <w:rsid w:val="00E336F9"/>
    <w:rsid w:val="00E94892"/>
    <w:rsid w:val="00F0560D"/>
    <w:rsid w:val="00F15BF3"/>
    <w:rsid w:val="00F35668"/>
    <w:rsid w:val="0109418D"/>
    <w:rsid w:val="018D35AA"/>
    <w:rsid w:val="02141CDC"/>
    <w:rsid w:val="02BB2A5F"/>
    <w:rsid w:val="02C32E80"/>
    <w:rsid w:val="02C86CB3"/>
    <w:rsid w:val="03CA663A"/>
    <w:rsid w:val="0426369E"/>
    <w:rsid w:val="060E7921"/>
    <w:rsid w:val="06A22525"/>
    <w:rsid w:val="0707345D"/>
    <w:rsid w:val="08055C43"/>
    <w:rsid w:val="080B2965"/>
    <w:rsid w:val="08C57AB7"/>
    <w:rsid w:val="0975037D"/>
    <w:rsid w:val="09D552C4"/>
    <w:rsid w:val="0A9953F5"/>
    <w:rsid w:val="0AA2792E"/>
    <w:rsid w:val="0ABF5B0D"/>
    <w:rsid w:val="0C615A53"/>
    <w:rsid w:val="0C6D76FF"/>
    <w:rsid w:val="0D0135D9"/>
    <w:rsid w:val="0D2F1BE1"/>
    <w:rsid w:val="0D895998"/>
    <w:rsid w:val="0DFC254E"/>
    <w:rsid w:val="0ECA38F5"/>
    <w:rsid w:val="0F3064C0"/>
    <w:rsid w:val="0F715375"/>
    <w:rsid w:val="0FE7109A"/>
    <w:rsid w:val="10273DD8"/>
    <w:rsid w:val="10DD2AD6"/>
    <w:rsid w:val="117D294F"/>
    <w:rsid w:val="11CF75A4"/>
    <w:rsid w:val="11F23FB0"/>
    <w:rsid w:val="12184B96"/>
    <w:rsid w:val="13343FFB"/>
    <w:rsid w:val="14F404DC"/>
    <w:rsid w:val="16316DF9"/>
    <w:rsid w:val="16972A6D"/>
    <w:rsid w:val="17693047"/>
    <w:rsid w:val="17A57965"/>
    <w:rsid w:val="17E71540"/>
    <w:rsid w:val="18AA2367"/>
    <w:rsid w:val="18E024D1"/>
    <w:rsid w:val="193B2CF8"/>
    <w:rsid w:val="193F2890"/>
    <w:rsid w:val="1A212E44"/>
    <w:rsid w:val="1B2D45E8"/>
    <w:rsid w:val="1B870097"/>
    <w:rsid w:val="1C3363FB"/>
    <w:rsid w:val="1CA82781"/>
    <w:rsid w:val="1CC820B2"/>
    <w:rsid w:val="1CF85145"/>
    <w:rsid w:val="1D745B1B"/>
    <w:rsid w:val="1E672E12"/>
    <w:rsid w:val="1E685C33"/>
    <w:rsid w:val="1E9869A4"/>
    <w:rsid w:val="1EB76752"/>
    <w:rsid w:val="1F0E7A53"/>
    <w:rsid w:val="1F3C4DBD"/>
    <w:rsid w:val="1F4F02BE"/>
    <w:rsid w:val="1F6D6E3E"/>
    <w:rsid w:val="1FC24D7F"/>
    <w:rsid w:val="1FDB43FF"/>
    <w:rsid w:val="206D31CE"/>
    <w:rsid w:val="207E4F78"/>
    <w:rsid w:val="224F5063"/>
    <w:rsid w:val="2260178A"/>
    <w:rsid w:val="22B431AD"/>
    <w:rsid w:val="2310376A"/>
    <w:rsid w:val="23E6494D"/>
    <w:rsid w:val="24393120"/>
    <w:rsid w:val="25082181"/>
    <w:rsid w:val="25401675"/>
    <w:rsid w:val="25487E12"/>
    <w:rsid w:val="257B7297"/>
    <w:rsid w:val="26024F68"/>
    <w:rsid w:val="26FA7E0D"/>
    <w:rsid w:val="27646924"/>
    <w:rsid w:val="27D40E07"/>
    <w:rsid w:val="28A60B87"/>
    <w:rsid w:val="28DD1231"/>
    <w:rsid w:val="29365BE9"/>
    <w:rsid w:val="294152BD"/>
    <w:rsid w:val="29415A3E"/>
    <w:rsid w:val="296658F6"/>
    <w:rsid w:val="2A5921F1"/>
    <w:rsid w:val="2B6E3E42"/>
    <w:rsid w:val="2B887DCF"/>
    <w:rsid w:val="2B945FBD"/>
    <w:rsid w:val="2BA0569D"/>
    <w:rsid w:val="2BA61F6F"/>
    <w:rsid w:val="2BD45D17"/>
    <w:rsid w:val="2C41089E"/>
    <w:rsid w:val="2E5E0E48"/>
    <w:rsid w:val="2F0226E3"/>
    <w:rsid w:val="2F237CBB"/>
    <w:rsid w:val="30E24552"/>
    <w:rsid w:val="31806E59"/>
    <w:rsid w:val="31C66CEE"/>
    <w:rsid w:val="32000C9B"/>
    <w:rsid w:val="32162EB0"/>
    <w:rsid w:val="331066D4"/>
    <w:rsid w:val="331665BB"/>
    <w:rsid w:val="335F3A0F"/>
    <w:rsid w:val="33D52C97"/>
    <w:rsid w:val="344259BC"/>
    <w:rsid w:val="34932264"/>
    <w:rsid w:val="349B12C0"/>
    <w:rsid w:val="355353C4"/>
    <w:rsid w:val="3554319E"/>
    <w:rsid w:val="361D30F3"/>
    <w:rsid w:val="371502D8"/>
    <w:rsid w:val="383A5A62"/>
    <w:rsid w:val="3A227A3F"/>
    <w:rsid w:val="3BBB3F49"/>
    <w:rsid w:val="3BEC597A"/>
    <w:rsid w:val="3C0206E2"/>
    <w:rsid w:val="3C0F4889"/>
    <w:rsid w:val="3D431EA6"/>
    <w:rsid w:val="3D495591"/>
    <w:rsid w:val="3D6E42C0"/>
    <w:rsid w:val="3D8A2F58"/>
    <w:rsid w:val="3D8D122A"/>
    <w:rsid w:val="3DB61204"/>
    <w:rsid w:val="3FA421D7"/>
    <w:rsid w:val="404A00DA"/>
    <w:rsid w:val="41642729"/>
    <w:rsid w:val="4201585C"/>
    <w:rsid w:val="42776990"/>
    <w:rsid w:val="42F802F2"/>
    <w:rsid w:val="439B11D8"/>
    <w:rsid w:val="43F33A90"/>
    <w:rsid w:val="44200AB4"/>
    <w:rsid w:val="44613E7E"/>
    <w:rsid w:val="44D41A48"/>
    <w:rsid w:val="45221D5A"/>
    <w:rsid w:val="45555C44"/>
    <w:rsid w:val="455E5E58"/>
    <w:rsid w:val="46057350"/>
    <w:rsid w:val="4656164C"/>
    <w:rsid w:val="4666475D"/>
    <w:rsid w:val="46FE5833"/>
    <w:rsid w:val="4868593D"/>
    <w:rsid w:val="487E7066"/>
    <w:rsid w:val="48A24F20"/>
    <w:rsid w:val="48F407C9"/>
    <w:rsid w:val="4942331C"/>
    <w:rsid w:val="4A992643"/>
    <w:rsid w:val="4ADE10F3"/>
    <w:rsid w:val="4B1B6DF1"/>
    <w:rsid w:val="4C0B031A"/>
    <w:rsid w:val="4CEA2869"/>
    <w:rsid w:val="4CF96D3C"/>
    <w:rsid w:val="4D0158E6"/>
    <w:rsid w:val="4D805B5B"/>
    <w:rsid w:val="4E027D8D"/>
    <w:rsid w:val="4E2860FB"/>
    <w:rsid w:val="4E7711AB"/>
    <w:rsid w:val="4EE74196"/>
    <w:rsid w:val="4F02470F"/>
    <w:rsid w:val="4F2A2ACC"/>
    <w:rsid w:val="511A0776"/>
    <w:rsid w:val="514B2B13"/>
    <w:rsid w:val="52AA25E1"/>
    <w:rsid w:val="532C4441"/>
    <w:rsid w:val="537576DE"/>
    <w:rsid w:val="53E07CAF"/>
    <w:rsid w:val="543B11F7"/>
    <w:rsid w:val="54CF299F"/>
    <w:rsid w:val="55545CF5"/>
    <w:rsid w:val="564724B6"/>
    <w:rsid w:val="56CD4CB1"/>
    <w:rsid w:val="575945A2"/>
    <w:rsid w:val="577C48D6"/>
    <w:rsid w:val="5784107A"/>
    <w:rsid w:val="57B1229D"/>
    <w:rsid w:val="57B5451A"/>
    <w:rsid w:val="58592A92"/>
    <w:rsid w:val="588F0F34"/>
    <w:rsid w:val="591F0C6D"/>
    <w:rsid w:val="59822716"/>
    <w:rsid w:val="59B943C3"/>
    <w:rsid w:val="59EC7D4C"/>
    <w:rsid w:val="5A1262C7"/>
    <w:rsid w:val="5AF13DDB"/>
    <w:rsid w:val="5AF957E6"/>
    <w:rsid w:val="5B256E9A"/>
    <w:rsid w:val="5B4D045E"/>
    <w:rsid w:val="5BD619E1"/>
    <w:rsid w:val="5C6C2C38"/>
    <w:rsid w:val="5CBB785F"/>
    <w:rsid w:val="5D6A06EF"/>
    <w:rsid w:val="5E877D00"/>
    <w:rsid w:val="5E933E40"/>
    <w:rsid w:val="5F0A25E4"/>
    <w:rsid w:val="605B5E67"/>
    <w:rsid w:val="605C2308"/>
    <w:rsid w:val="60AB543A"/>
    <w:rsid w:val="60CC7A55"/>
    <w:rsid w:val="60FE5114"/>
    <w:rsid w:val="621B7563"/>
    <w:rsid w:val="624B3433"/>
    <w:rsid w:val="62C0734E"/>
    <w:rsid w:val="62E337E3"/>
    <w:rsid w:val="632B2967"/>
    <w:rsid w:val="633A5F69"/>
    <w:rsid w:val="64BB7E1E"/>
    <w:rsid w:val="64CD34E2"/>
    <w:rsid w:val="64F94DBD"/>
    <w:rsid w:val="6659385E"/>
    <w:rsid w:val="667C3FBC"/>
    <w:rsid w:val="66A23814"/>
    <w:rsid w:val="670C6236"/>
    <w:rsid w:val="672C1AAF"/>
    <w:rsid w:val="67B643C0"/>
    <w:rsid w:val="67D5071D"/>
    <w:rsid w:val="68F55918"/>
    <w:rsid w:val="68FA0BD4"/>
    <w:rsid w:val="69A7617F"/>
    <w:rsid w:val="69D32932"/>
    <w:rsid w:val="6A1E5566"/>
    <w:rsid w:val="6A995E1F"/>
    <w:rsid w:val="6AA15487"/>
    <w:rsid w:val="6B880713"/>
    <w:rsid w:val="6B98294F"/>
    <w:rsid w:val="6D5312DC"/>
    <w:rsid w:val="6DAF704E"/>
    <w:rsid w:val="6DE52AB0"/>
    <w:rsid w:val="6E127CCA"/>
    <w:rsid w:val="6E325A80"/>
    <w:rsid w:val="6E486C2F"/>
    <w:rsid w:val="6EA924E7"/>
    <w:rsid w:val="6EB538AC"/>
    <w:rsid w:val="6EC12E3C"/>
    <w:rsid w:val="6ED3602B"/>
    <w:rsid w:val="6EE30AC8"/>
    <w:rsid w:val="6F1445F5"/>
    <w:rsid w:val="6F453189"/>
    <w:rsid w:val="6FB45C72"/>
    <w:rsid w:val="703C0854"/>
    <w:rsid w:val="709278E6"/>
    <w:rsid w:val="70C772FC"/>
    <w:rsid w:val="711E280A"/>
    <w:rsid w:val="71D746E5"/>
    <w:rsid w:val="71FD3F9A"/>
    <w:rsid w:val="7365262E"/>
    <w:rsid w:val="73910201"/>
    <w:rsid w:val="746B7A02"/>
    <w:rsid w:val="749854FA"/>
    <w:rsid w:val="74C91304"/>
    <w:rsid w:val="74DB7BB8"/>
    <w:rsid w:val="74F87B0C"/>
    <w:rsid w:val="750E3F68"/>
    <w:rsid w:val="7512501B"/>
    <w:rsid w:val="753F4B81"/>
    <w:rsid w:val="75985CDA"/>
    <w:rsid w:val="75B85EF6"/>
    <w:rsid w:val="76F1507F"/>
    <w:rsid w:val="77663A66"/>
    <w:rsid w:val="7809004D"/>
    <w:rsid w:val="79195210"/>
    <w:rsid w:val="798B6D48"/>
    <w:rsid w:val="79AD3A18"/>
    <w:rsid w:val="79E73835"/>
    <w:rsid w:val="7B096A2F"/>
    <w:rsid w:val="7B731DF0"/>
    <w:rsid w:val="7BE31687"/>
    <w:rsid w:val="7BF25EF3"/>
    <w:rsid w:val="7C2E23F4"/>
    <w:rsid w:val="7C767FC4"/>
    <w:rsid w:val="7CB14EEC"/>
    <w:rsid w:val="7D481AE2"/>
    <w:rsid w:val="7E3B1D79"/>
    <w:rsid w:val="7EC074D9"/>
    <w:rsid w:val="7F4347DE"/>
    <w:rsid w:val="7F755DD7"/>
    <w:rsid w:val="7FCE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41"/>
    <w:qFormat/>
    <w:uiPriority w:val="0"/>
    <w:pPr>
      <w:keepNext/>
      <w:jc w:val="center"/>
      <w:outlineLvl w:val="0"/>
    </w:pPr>
    <w:rPr>
      <w:rFonts w:ascii="楷体_GB2312" w:eastAsia="楷体_GB2312"/>
      <w:b/>
      <w:sz w:val="28"/>
    </w:rPr>
  </w:style>
  <w:style w:type="paragraph" w:styleId="4">
    <w:name w:val="heading 2"/>
    <w:basedOn w:val="1"/>
    <w:next w:val="5"/>
    <w:link w:val="97"/>
    <w:qFormat/>
    <w:uiPriority w:val="0"/>
    <w:pPr>
      <w:keepNext/>
      <w:jc w:val="center"/>
      <w:outlineLvl w:val="1"/>
    </w:pPr>
    <w:rPr>
      <w:rFonts w:ascii="楷体_GB2312" w:eastAsia="楷体_GB2312"/>
      <w:b/>
      <w:bCs/>
      <w:sz w:val="18"/>
    </w:rPr>
  </w:style>
  <w:style w:type="paragraph" w:styleId="6">
    <w:name w:val="heading 3"/>
    <w:basedOn w:val="1"/>
    <w:next w:val="1"/>
    <w:link w:val="202"/>
    <w:qFormat/>
    <w:uiPriority w:val="0"/>
    <w:pPr>
      <w:keepNext/>
      <w:jc w:val="center"/>
      <w:outlineLvl w:val="2"/>
    </w:pPr>
    <w:rPr>
      <w:rFonts w:eastAsia="楷体_GB2312"/>
      <w:b/>
      <w:bCs/>
      <w:sz w:val="15"/>
    </w:rPr>
  </w:style>
  <w:style w:type="paragraph" w:styleId="7">
    <w:name w:val="heading 4"/>
    <w:basedOn w:val="1"/>
    <w:next w:val="1"/>
    <w:link w:val="118"/>
    <w:qFormat/>
    <w:uiPriority w:val="0"/>
    <w:pPr>
      <w:keepNext/>
      <w:jc w:val="center"/>
      <w:outlineLvl w:val="3"/>
    </w:pPr>
    <w:rPr>
      <w:rFonts w:eastAsia="楷体_GB2312"/>
      <w:b/>
      <w:bCs/>
      <w:sz w:val="13"/>
    </w:rPr>
  </w:style>
  <w:style w:type="paragraph" w:styleId="8">
    <w:name w:val="heading 5"/>
    <w:basedOn w:val="1"/>
    <w:next w:val="1"/>
    <w:link w:val="268"/>
    <w:qFormat/>
    <w:uiPriority w:val="0"/>
    <w:pPr>
      <w:keepNext/>
      <w:tabs>
        <w:tab w:val="left" w:pos="360"/>
      </w:tabs>
      <w:ind w:left="360" w:hanging="360"/>
      <w:outlineLvl w:val="4"/>
    </w:pPr>
    <w:rPr>
      <w:rFonts w:ascii="楷体_GB2312" w:eastAsia="楷体_GB2312"/>
      <w:bCs/>
      <w:sz w:val="28"/>
    </w:rPr>
  </w:style>
  <w:style w:type="paragraph" w:styleId="9">
    <w:name w:val="heading 6"/>
    <w:basedOn w:val="1"/>
    <w:next w:val="1"/>
    <w:link w:val="182"/>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szCs w:val="24"/>
    </w:rPr>
  </w:style>
  <w:style w:type="paragraph" w:styleId="10">
    <w:name w:val="heading 7"/>
    <w:basedOn w:val="1"/>
    <w:next w:val="1"/>
    <w:link w:val="176"/>
    <w:qFormat/>
    <w:uiPriority w:val="0"/>
    <w:pPr>
      <w:keepNext/>
      <w:keepLines/>
      <w:tabs>
        <w:tab w:val="left" w:pos="1296"/>
      </w:tabs>
      <w:adjustRightInd w:val="0"/>
      <w:spacing w:before="240" w:after="64" w:line="320" w:lineRule="atLeast"/>
      <w:ind w:left="1296" w:hanging="1296"/>
      <w:textAlignment w:val="baseline"/>
      <w:outlineLvl w:val="6"/>
    </w:pPr>
    <w:rPr>
      <w:b/>
      <w:sz w:val="24"/>
      <w:szCs w:val="24"/>
    </w:rPr>
  </w:style>
  <w:style w:type="paragraph" w:styleId="11">
    <w:name w:val="heading 8"/>
    <w:basedOn w:val="1"/>
    <w:next w:val="1"/>
    <w:link w:val="75"/>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2">
    <w:name w:val="heading 9"/>
    <w:basedOn w:val="1"/>
    <w:next w:val="1"/>
    <w:link w:val="146"/>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4"/>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spacing w:line="360" w:lineRule="auto"/>
      <w:ind w:firstLine="420" w:firstLineChars="200"/>
      <w:pPrChange w:id="0" w:author="Windows 用户" w:date="2020-07-20T13:59:00Z">
        <w:pPr>
          <w:widowControl w:val="0"/>
          <w:ind w:left="840" w:leftChars="400"/>
          <w:jc w:val="both"/>
        </w:pPr>
      </w:pPrChange>
    </w:pPr>
    <w:rPr>
      <w:sz w:val="24"/>
      <w:szCs w:val="24"/>
      <w:rPrChange w:id="1" w:author="Windows 用户" w:date="2020-07-20T13:59:00Z">
        <w:rPr>
          <w:rFonts w:eastAsia="宋体"/>
          <w:kern w:val="2"/>
          <w:sz w:val="21"/>
          <w:lang w:val="en-US" w:eastAsia="zh-CN" w:bidi="ar-SA"/>
        </w:rPr>
      </w:rPrChange>
    </w:rPr>
  </w:style>
  <w:style w:type="paragraph" w:styleId="5">
    <w:name w:val="Normal Indent"/>
    <w:basedOn w:val="1"/>
    <w:link w:val="232"/>
    <w:qFormat/>
    <w:uiPriority w:val="0"/>
    <w:pPr>
      <w:ind w:firstLine="420"/>
    </w:pPr>
    <w:rPr>
      <w:rFonts w:asciiTheme="minorHAnsi" w:hAnsiTheme="minorHAnsi" w:eastAsiaTheme="minorEastAsia" w:cstheme="minorBidi"/>
      <w:szCs w:val="22"/>
    </w:rPr>
  </w:style>
  <w:style w:type="paragraph" w:styleId="13">
    <w:name w:val="table of authorities"/>
    <w:basedOn w:val="1"/>
    <w:next w:val="1"/>
    <w:semiHidden/>
    <w:qFormat/>
    <w:uiPriority w:val="0"/>
    <w:pPr>
      <w:ind w:left="420" w:leftChars="200"/>
    </w:pPr>
  </w:style>
  <w:style w:type="paragraph" w:styleId="14">
    <w:name w:val="index 8"/>
    <w:basedOn w:val="1"/>
    <w:next w:val="1"/>
    <w:qFormat/>
    <w:uiPriority w:val="0"/>
    <w:pPr>
      <w:ind w:left="1400" w:leftChars="1400"/>
    </w:pPr>
  </w:style>
  <w:style w:type="paragraph" w:styleId="15">
    <w:name w:val="caption"/>
    <w:basedOn w:val="1"/>
    <w:next w:val="1"/>
    <w:qFormat/>
    <w:uiPriority w:val="0"/>
    <w:rPr>
      <w:rFonts w:ascii="Arial" w:hAnsi="Arial" w:eastAsia="黑体" w:cs="Arial"/>
      <w:sz w:val="20"/>
    </w:rPr>
  </w:style>
  <w:style w:type="paragraph" w:styleId="16">
    <w:name w:val="index 5"/>
    <w:basedOn w:val="1"/>
    <w:next w:val="1"/>
    <w:qFormat/>
    <w:uiPriority w:val="0"/>
    <w:pPr>
      <w:ind w:left="800" w:leftChars="800"/>
    </w:pPr>
  </w:style>
  <w:style w:type="paragraph" w:styleId="17">
    <w:name w:val="Document Map"/>
    <w:basedOn w:val="1"/>
    <w:link w:val="163"/>
    <w:qFormat/>
    <w:uiPriority w:val="0"/>
    <w:pPr>
      <w:shd w:val="clear" w:color="auto" w:fill="000080"/>
    </w:pPr>
    <w:rPr>
      <w:rFonts w:asciiTheme="minorHAnsi" w:hAnsiTheme="minorHAnsi" w:eastAsiaTheme="minorEastAsia" w:cstheme="minorBidi"/>
      <w:szCs w:val="22"/>
    </w:rPr>
  </w:style>
  <w:style w:type="paragraph" w:styleId="18">
    <w:name w:val="toa heading"/>
    <w:basedOn w:val="1"/>
    <w:next w:val="13"/>
    <w:semiHidden/>
    <w:qFormat/>
    <w:uiPriority w:val="0"/>
    <w:pPr>
      <w:keepNext/>
      <w:spacing w:before="120" w:after="120" w:line="240" w:lineRule="exact"/>
      <w:jc w:val="center"/>
    </w:pPr>
    <w:rPr>
      <w:b/>
      <w:bCs/>
      <w:caps/>
      <w:kern w:val="0"/>
      <w:sz w:val="24"/>
      <w:lang w:val="en-GB"/>
    </w:rPr>
  </w:style>
  <w:style w:type="paragraph" w:styleId="19">
    <w:name w:val="annotation text"/>
    <w:basedOn w:val="1"/>
    <w:link w:val="301"/>
    <w:unhideWhenUsed/>
    <w:qFormat/>
    <w:uiPriority w:val="0"/>
    <w:pPr>
      <w:jc w:val="left"/>
    </w:pPr>
  </w:style>
  <w:style w:type="paragraph" w:styleId="20">
    <w:name w:val="index 6"/>
    <w:basedOn w:val="1"/>
    <w:next w:val="1"/>
    <w:qFormat/>
    <w:uiPriority w:val="0"/>
    <w:pPr>
      <w:ind w:left="1000" w:leftChars="1000"/>
    </w:pPr>
  </w:style>
  <w:style w:type="paragraph" w:styleId="21">
    <w:name w:val="Salutation"/>
    <w:basedOn w:val="1"/>
    <w:next w:val="1"/>
    <w:link w:val="158"/>
    <w:qFormat/>
    <w:uiPriority w:val="0"/>
    <w:pPr>
      <w:adjustRightInd w:val="0"/>
      <w:spacing w:after="20" w:line="288" w:lineRule="auto"/>
      <w:ind w:firstLine="420"/>
      <w:textAlignment w:val="baseline"/>
    </w:pPr>
    <w:rPr>
      <w:rFonts w:asciiTheme="minorHAnsi" w:hAnsiTheme="minorHAnsi" w:eastAsiaTheme="minorEastAsia" w:cstheme="minorBidi"/>
      <w:sz w:val="28"/>
      <w:szCs w:val="24"/>
    </w:rPr>
  </w:style>
  <w:style w:type="paragraph" w:styleId="22">
    <w:name w:val="Body Text 3"/>
    <w:basedOn w:val="1"/>
    <w:link w:val="81"/>
    <w:qFormat/>
    <w:uiPriority w:val="0"/>
    <w:pPr>
      <w:adjustRightInd w:val="0"/>
      <w:spacing w:after="20" w:line="288" w:lineRule="auto"/>
      <w:jc w:val="center"/>
      <w:textAlignment w:val="baseline"/>
    </w:pPr>
    <w:rPr>
      <w:rFonts w:asciiTheme="minorHAnsi" w:hAnsiTheme="minorHAnsi" w:eastAsiaTheme="minorEastAsia" w:cstheme="minorBidi"/>
      <w:b/>
      <w:bCs/>
      <w:sz w:val="24"/>
      <w:szCs w:val="24"/>
    </w:rPr>
  </w:style>
  <w:style w:type="paragraph" w:styleId="23">
    <w:name w:val="Closing"/>
    <w:basedOn w:val="1"/>
    <w:link w:val="180"/>
    <w:qFormat/>
    <w:uiPriority w:val="0"/>
    <w:pPr>
      <w:adjustRightInd w:val="0"/>
      <w:spacing w:after="20" w:line="288" w:lineRule="auto"/>
      <w:ind w:left="100" w:leftChars="2100" w:firstLine="420"/>
      <w:textAlignment w:val="baseline"/>
    </w:pPr>
    <w:rPr>
      <w:rFonts w:asciiTheme="minorHAnsi" w:hAnsiTheme="minorHAnsi" w:eastAsiaTheme="minorEastAsia" w:cstheme="minorBidi"/>
      <w:sz w:val="28"/>
      <w:szCs w:val="24"/>
    </w:rPr>
  </w:style>
  <w:style w:type="paragraph" w:styleId="24">
    <w:name w:val="List Bullet 3"/>
    <w:basedOn w:val="1"/>
    <w:qFormat/>
    <w:uiPriority w:val="0"/>
    <w:pPr>
      <w:tabs>
        <w:tab w:val="left" w:pos="425"/>
        <w:tab w:val="left" w:pos="630"/>
        <w:tab w:val="left" w:pos="1620"/>
      </w:tabs>
      <w:ind w:left="630" w:hanging="420"/>
    </w:pPr>
    <w:rPr>
      <w:szCs w:val="24"/>
    </w:rPr>
  </w:style>
  <w:style w:type="paragraph" w:styleId="25">
    <w:name w:val="Body Text"/>
    <w:basedOn w:val="1"/>
    <w:link w:val="270"/>
    <w:qFormat/>
    <w:uiPriority w:val="0"/>
    <w:rPr>
      <w:rFonts w:ascii="华文中宋" w:eastAsia="华文中宋" w:hAnsiTheme="minorHAnsi" w:cstheme="minorBidi"/>
      <w:bCs/>
      <w:sz w:val="28"/>
      <w:szCs w:val="22"/>
    </w:rPr>
  </w:style>
  <w:style w:type="paragraph" w:styleId="26">
    <w:name w:val="Body Text Indent"/>
    <w:basedOn w:val="1"/>
    <w:link w:val="153"/>
    <w:qFormat/>
    <w:uiPriority w:val="0"/>
    <w:pPr>
      <w:ind w:firstLine="576"/>
    </w:pPr>
    <w:rPr>
      <w:rFonts w:asciiTheme="minorHAnsi" w:hAnsiTheme="minorHAnsi" w:eastAsiaTheme="minorEastAsia" w:cstheme="minorBidi"/>
      <w:b/>
      <w:sz w:val="30"/>
      <w:szCs w:val="22"/>
    </w:rPr>
  </w:style>
  <w:style w:type="paragraph" w:styleId="27">
    <w:name w:val="Block Text"/>
    <w:basedOn w:val="1"/>
    <w:qFormat/>
    <w:uiPriority w:val="0"/>
    <w:pPr>
      <w:adjustRightInd w:val="0"/>
      <w:ind w:left="420" w:right="33"/>
      <w:jc w:val="left"/>
      <w:textAlignment w:val="baseline"/>
    </w:pPr>
    <w:rPr>
      <w:kern w:val="0"/>
      <w:sz w:val="24"/>
    </w:rPr>
  </w:style>
  <w:style w:type="paragraph" w:styleId="28">
    <w:name w:val="List Bullet 2"/>
    <w:basedOn w:val="1"/>
    <w:qFormat/>
    <w:uiPriority w:val="0"/>
    <w:pPr>
      <w:numPr>
        <w:ilvl w:val="0"/>
        <w:numId w:val="1"/>
      </w:numPr>
      <w:tabs>
        <w:tab w:val="left" w:pos="780"/>
        <w:tab w:val="left" w:pos="900"/>
        <w:tab w:val="clear" w:pos="855"/>
      </w:tabs>
      <w:ind w:left="780"/>
    </w:pPr>
    <w:rPr>
      <w:szCs w:val="24"/>
    </w:rPr>
  </w:style>
  <w:style w:type="paragraph" w:styleId="29">
    <w:name w:val="index 4"/>
    <w:basedOn w:val="1"/>
    <w:next w:val="1"/>
    <w:qFormat/>
    <w:uiPriority w:val="0"/>
    <w:pPr>
      <w:ind w:left="600" w:leftChars="600"/>
    </w:pPr>
  </w:style>
  <w:style w:type="paragraph" w:styleId="30">
    <w:name w:val="Plain Text"/>
    <w:basedOn w:val="1"/>
    <w:link w:val="122"/>
    <w:qFormat/>
    <w:uiPriority w:val="0"/>
    <w:rPr>
      <w:rFonts w:ascii="宋体" w:hAnsi="Courier New" w:eastAsiaTheme="minorEastAsia" w:cstheme="minorBidi"/>
      <w:szCs w:val="21"/>
    </w:rPr>
  </w:style>
  <w:style w:type="paragraph" w:styleId="31">
    <w:name w:val="List Bullet 5"/>
    <w:basedOn w:val="1"/>
    <w:qFormat/>
    <w:uiPriority w:val="0"/>
    <w:pPr>
      <w:widowControl/>
      <w:tabs>
        <w:tab w:val="left" w:pos="552"/>
        <w:tab w:val="left" w:pos="2040"/>
      </w:tabs>
      <w:spacing w:line="360" w:lineRule="exact"/>
      <w:ind w:left="552" w:hanging="420"/>
    </w:pPr>
    <w:rPr>
      <w:rFonts w:eastAsia="楷体_GB2312"/>
      <w:sz w:val="24"/>
    </w:rPr>
  </w:style>
  <w:style w:type="paragraph" w:styleId="32">
    <w:name w:val="index 3"/>
    <w:basedOn w:val="1"/>
    <w:next w:val="1"/>
    <w:qFormat/>
    <w:uiPriority w:val="0"/>
    <w:pPr>
      <w:ind w:left="400" w:leftChars="400"/>
    </w:pPr>
  </w:style>
  <w:style w:type="paragraph" w:styleId="33">
    <w:name w:val="Date"/>
    <w:basedOn w:val="1"/>
    <w:next w:val="1"/>
    <w:link w:val="123"/>
    <w:qFormat/>
    <w:uiPriority w:val="0"/>
    <w:rPr>
      <w:rFonts w:eastAsia="黑体" w:asciiTheme="minorHAnsi" w:hAnsiTheme="minorHAnsi" w:cstheme="minorBidi"/>
      <w:b/>
      <w:sz w:val="36"/>
      <w:szCs w:val="22"/>
    </w:rPr>
  </w:style>
  <w:style w:type="paragraph" w:styleId="34">
    <w:name w:val="Body Text Indent 2"/>
    <w:basedOn w:val="1"/>
    <w:link w:val="218"/>
    <w:qFormat/>
    <w:uiPriority w:val="0"/>
    <w:pPr>
      <w:ind w:left="900"/>
    </w:pPr>
    <w:rPr>
      <w:rFonts w:ascii="楷体_GB2312" w:eastAsia="楷体_GB2312" w:hAnsiTheme="minorHAnsi" w:cstheme="minorBidi"/>
      <w:b/>
      <w:sz w:val="28"/>
      <w:szCs w:val="22"/>
    </w:rPr>
  </w:style>
  <w:style w:type="paragraph" w:styleId="35">
    <w:name w:val="Balloon Text"/>
    <w:basedOn w:val="1"/>
    <w:link w:val="279"/>
    <w:qFormat/>
    <w:uiPriority w:val="0"/>
    <w:rPr>
      <w:rFonts w:asciiTheme="minorHAnsi" w:hAnsiTheme="minorHAnsi" w:eastAsiaTheme="minorEastAsia" w:cstheme="minorBidi"/>
      <w:sz w:val="18"/>
      <w:szCs w:val="18"/>
    </w:rPr>
  </w:style>
  <w:style w:type="paragraph" w:styleId="36">
    <w:name w:val="footer"/>
    <w:basedOn w:val="1"/>
    <w:link w:val="24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37">
    <w:name w:val="header"/>
    <w:basedOn w:val="1"/>
    <w:link w:val="12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38">
    <w:name w:val="toc 1"/>
    <w:basedOn w:val="1"/>
    <w:next w:val="1"/>
    <w:unhideWhenUsed/>
    <w:qFormat/>
    <w:uiPriority w:val="39"/>
    <w:pPr>
      <w:tabs>
        <w:tab w:val="right" w:leader="dot" w:pos="8296"/>
      </w:tabs>
    </w:pPr>
  </w:style>
  <w:style w:type="paragraph" w:styleId="39">
    <w:name w:val="Subtitle"/>
    <w:basedOn w:val="1"/>
    <w:next w:val="1"/>
    <w:link w:val="214"/>
    <w:qFormat/>
    <w:uiPriority w:val="0"/>
    <w:pPr>
      <w:spacing w:before="240" w:after="60" w:line="312" w:lineRule="auto"/>
      <w:jc w:val="center"/>
      <w:outlineLvl w:val="1"/>
    </w:pPr>
    <w:rPr>
      <w:rFonts w:ascii="幼圆" w:hAnsi="幼圆" w:eastAsia="Times New Roman" w:cstheme="minorBidi"/>
      <w:b/>
      <w:bCs/>
      <w:kern w:val="28"/>
      <w:sz w:val="32"/>
      <w:szCs w:val="32"/>
    </w:rPr>
  </w:style>
  <w:style w:type="paragraph" w:styleId="40">
    <w:name w:val="List"/>
    <w:basedOn w:val="1"/>
    <w:qFormat/>
    <w:uiPriority w:val="0"/>
    <w:pPr>
      <w:numPr>
        <w:ilvl w:val="0"/>
        <w:numId w:val="2"/>
      </w:numPr>
      <w:tabs>
        <w:tab w:val="left" w:pos="420"/>
        <w:tab w:val="clear" w:pos="360"/>
      </w:tabs>
      <w:autoSpaceDE w:val="0"/>
      <w:autoSpaceDN w:val="0"/>
      <w:adjustRightInd w:val="0"/>
      <w:spacing w:after="20" w:line="288" w:lineRule="auto"/>
      <w:textAlignment w:val="baseline"/>
    </w:pPr>
    <w:rPr>
      <w:kern w:val="0"/>
      <w:lang w:val="en-GB"/>
    </w:rPr>
  </w:style>
  <w:style w:type="paragraph" w:styleId="41">
    <w:name w:val="footnote text"/>
    <w:basedOn w:val="1"/>
    <w:link w:val="261"/>
    <w:qFormat/>
    <w:uiPriority w:val="0"/>
    <w:pPr>
      <w:adjustRightInd w:val="0"/>
      <w:spacing w:after="60" w:line="360" w:lineRule="exact"/>
      <w:ind w:firstLine="425"/>
      <w:jc w:val="left"/>
      <w:textAlignment w:val="baseline"/>
    </w:pPr>
    <w:rPr>
      <w:rFonts w:asciiTheme="minorHAnsi" w:hAnsiTheme="minorHAnsi" w:eastAsiaTheme="minorEastAsia" w:cstheme="minorBidi"/>
      <w:sz w:val="18"/>
      <w:szCs w:val="18"/>
    </w:rPr>
  </w:style>
  <w:style w:type="paragraph" w:styleId="42">
    <w:name w:val="Body Text Indent 3"/>
    <w:basedOn w:val="1"/>
    <w:link w:val="193"/>
    <w:qFormat/>
    <w:uiPriority w:val="0"/>
    <w:pPr>
      <w:ind w:left="359" w:leftChars="171" w:firstLine="359" w:firstLineChars="171"/>
    </w:pPr>
    <w:rPr>
      <w:rFonts w:asciiTheme="minorHAnsi" w:hAnsiTheme="minorHAnsi" w:eastAsiaTheme="minorEastAsia" w:cstheme="minorBidi"/>
      <w:szCs w:val="22"/>
    </w:rPr>
  </w:style>
  <w:style w:type="paragraph" w:styleId="43">
    <w:name w:val="index 7"/>
    <w:basedOn w:val="1"/>
    <w:next w:val="1"/>
    <w:qFormat/>
    <w:uiPriority w:val="0"/>
    <w:pPr>
      <w:ind w:left="1200" w:leftChars="1200"/>
    </w:pPr>
  </w:style>
  <w:style w:type="paragraph" w:styleId="44">
    <w:name w:val="index 9"/>
    <w:basedOn w:val="1"/>
    <w:next w:val="1"/>
    <w:qFormat/>
    <w:uiPriority w:val="0"/>
    <w:pPr>
      <w:ind w:left="1600" w:leftChars="1600"/>
    </w:pPr>
  </w:style>
  <w:style w:type="paragraph" w:styleId="45">
    <w:name w:val="toc 2"/>
    <w:basedOn w:val="1"/>
    <w:next w:val="1"/>
    <w:unhideWhenUsed/>
    <w:qFormat/>
    <w:uiPriority w:val="39"/>
    <w:pPr>
      <w:ind w:left="420" w:leftChars="200"/>
    </w:pPr>
  </w:style>
  <w:style w:type="paragraph" w:styleId="46">
    <w:name w:val="Body Text 2"/>
    <w:basedOn w:val="1"/>
    <w:link w:val="147"/>
    <w:qFormat/>
    <w:uiPriority w:val="0"/>
    <w:pPr>
      <w:spacing w:after="120" w:line="480" w:lineRule="auto"/>
    </w:pPr>
    <w:rPr>
      <w:rFonts w:asciiTheme="minorHAnsi" w:hAnsiTheme="minorHAnsi" w:eastAsiaTheme="minorEastAsia" w:cstheme="minorBidi"/>
      <w:szCs w:val="22"/>
    </w:rPr>
  </w:style>
  <w:style w:type="paragraph" w:styleId="47">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cstheme="minorBidi"/>
      <w:szCs w:val="22"/>
    </w:rPr>
  </w:style>
  <w:style w:type="paragraph" w:styleId="48">
    <w:name w:val="Normal (Web)"/>
    <w:basedOn w:val="1"/>
    <w:link w:val="112"/>
    <w:qFormat/>
    <w:uiPriority w:val="0"/>
    <w:pPr>
      <w:spacing w:before="100" w:beforeAutospacing="1" w:after="100" w:afterAutospacing="1"/>
      <w:jc w:val="left"/>
    </w:pPr>
    <w:rPr>
      <w:rFonts w:asciiTheme="minorHAnsi" w:hAnsiTheme="minorHAnsi" w:eastAsiaTheme="minorEastAsia" w:cstheme="minorBidi"/>
      <w:sz w:val="24"/>
      <w:szCs w:val="22"/>
    </w:rPr>
  </w:style>
  <w:style w:type="paragraph" w:styleId="49">
    <w:name w:val="index 1"/>
    <w:basedOn w:val="1"/>
    <w:next w:val="1"/>
    <w:qFormat/>
    <w:uiPriority w:val="0"/>
  </w:style>
  <w:style w:type="paragraph" w:styleId="50">
    <w:name w:val="index 2"/>
    <w:basedOn w:val="1"/>
    <w:next w:val="1"/>
    <w:qFormat/>
    <w:uiPriority w:val="0"/>
    <w:pPr>
      <w:ind w:left="200" w:leftChars="200"/>
    </w:pPr>
  </w:style>
  <w:style w:type="paragraph" w:styleId="51">
    <w:name w:val="Title"/>
    <w:basedOn w:val="1"/>
    <w:link w:val="143"/>
    <w:qFormat/>
    <w:uiPriority w:val="0"/>
    <w:pPr>
      <w:adjustRightInd w:val="0"/>
      <w:spacing w:before="240" w:after="60" w:line="288" w:lineRule="auto"/>
      <w:ind w:firstLine="420"/>
      <w:jc w:val="center"/>
      <w:textAlignment w:val="baseline"/>
      <w:outlineLvl w:val="0"/>
    </w:pPr>
    <w:rPr>
      <w:rFonts w:ascii="Arial" w:hAnsi="Arial" w:cs="Arial" w:eastAsiaTheme="minorEastAsia"/>
      <w:b/>
      <w:bCs/>
      <w:sz w:val="32"/>
      <w:szCs w:val="32"/>
    </w:rPr>
  </w:style>
  <w:style w:type="paragraph" w:styleId="52">
    <w:name w:val="annotation subject"/>
    <w:basedOn w:val="19"/>
    <w:next w:val="19"/>
    <w:link w:val="222"/>
    <w:qFormat/>
    <w:uiPriority w:val="0"/>
    <w:rPr>
      <w:rFonts w:asciiTheme="minorHAnsi" w:hAnsiTheme="minorHAnsi" w:eastAsiaTheme="minorEastAsia" w:cstheme="minorBidi"/>
      <w:b/>
      <w:bCs/>
      <w:szCs w:val="24"/>
    </w:rPr>
  </w:style>
  <w:style w:type="paragraph" w:styleId="53">
    <w:name w:val="Body Text First Indent 2"/>
    <w:basedOn w:val="26"/>
    <w:link w:val="134"/>
    <w:semiHidden/>
    <w:unhideWhenUsed/>
    <w:qFormat/>
    <w:uiPriority w:val="0"/>
    <w:pPr>
      <w:spacing w:after="120"/>
      <w:ind w:left="420" w:leftChars="200" w:firstLine="420" w:firstLineChars="200"/>
    </w:pPr>
    <w:rPr>
      <w:rFonts w:ascii="仿宋_GB2312" w:eastAsia="仿宋_GB2312"/>
      <w:b w:val="0"/>
      <w:sz w:val="28"/>
    </w:rPr>
  </w:style>
  <w:style w:type="table" w:styleId="55">
    <w:name w:val="Table Grid"/>
    <w:basedOn w:val="5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auto"/>
      <w:u w:val="none"/>
    </w:rPr>
  </w:style>
  <w:style w:type="character" w:styleId="60">
    <w:name w:val="Emphasis"/>
    <w:qFormat/>
    <w:uiPriority w:val="0"/>
    <w:rPr>
      <w:i/>
    </w:rPr>
  </w:style>
  <w:style w:type="character" w:styleId="61">
    <w:name w:val="HTML Typewriter"/>
    <w:qFormat/>
    <w:uiPriority w:val="0"/>
    <w:rPr>
      <w:rFonts w:ascii="宋体" w:hAnsi="宋体" w:eastAsia="宋体" w:cs="宋体"/>
      <w:sz w:val="24"/>
      <w:szCs w:val="24"/>
    </w:rPr>
  </w:style>
  <w:style w:type="character" w:styleId="62">
    <w:name w:val="Hyperlink"/>
    <w:qFormat/>
    <w:uiPriority w:val="99"/>
    <w:rPr>
      <w:color w:val="auto"/>
      <w:u w:val="none"/>
    </w:rPr>
  </w:style>
  <w:style w:type="character" w:styleId="63">
    <w:name w:val="annotation reference"/>
    <w:qFormat/>
    <w:uiPriority w:val="0"/>
    <w:rPr>
      <w:sz w:val="21"/>
      <w:szCs w:val="21"/>
    </w:rPr>
  </w:style>
  <w:style w:type="character" w:styleId="64">
    <w:name w:val="footnote reference"/>
    <w:qFormat/>
    <w:uiPriority w:val="0"/>
    <w:rPr>
      <w:rFonts w:ascii="宋体" w:hAnsi="宋体" w:eastAsia="宋体"/>
      <w:vertAlign w:val="superscript"/>
    </w:rPr>
  </w:style>
  <w:style w:type="character" w:customStyle="1" w:styleId="65">
    <w:name w:val="标题 1 Char"/>
    <w:basedOn w:val="56"/>
    <w:qFormat/>
    <w:uiPriority w:val="9"/>
    <w:rPr>
      <w:rFonts w:ascii="Times New Roman" w:hAnsi="Times New Roman" w:eastAsia="宋体" w:cs="Times New Roman"/>
      <w:b/>
      <w:bCs/>
      <w:kern w:val="44"/>
      <w:sz w:val="44"/>
      <w:szCs w:val="44"/>
    </w:rPr>
  </w:style>
  <w:style w:type="character" w:customStyle="1" w:styleId="66">
    <w:name w:val="标题 2 Char"/>
    <w:basedOn w:val="56"/>
    <w:semiHidden/>
    <w:qFormat/>
    <w:uiPriority w:val="9"/>
    <w:rPr>
      <w:rFonts w:asciiTheme="majorHAnsi" w:hAnsiTheme="majorHAnsi" w:eastAsiaTheme="majorEastAsia" w:cstheme="majorBidi"/>
      <w:b/>
      <w:bCs/>
      <w:sz w:val="32"/>
      <w:szCs w:val="32"/>
    </w:rPr>
  </w:style>
  <w:style w:type="character" w:customStyle="1" w:styleId="67">
    <w:name w:val="标题 3 Char"/>
    <w:basedOn w:val="56"/>
    <w:semiHidden/>
    <w:qFormat/>
    <w:uiPriority w:val="9"/>
    <w:rPr>
      <w:rFonts w:ascii="Times New Roman" w:hAnsi="Times New Roman" w:eastAsia="宋体" w:cs="Times New Roman"/>
      <w:b/>
      <w:bCs/>
      <w:sz w:val="32"/>
      <w:szCs w:val="32"/>
    </w:rPr>
  </w:style>
  <w:style w:type="character" w:customStyle="1" w:styleId="68">
    <w:name w:val="标题 4 Char"/>
    <w:basedOn w:val="56"/>
    <w:semiHidden/>
    <w:qFormat/>
    <w:uiPriority w:val="9"/>
    <w:rPr>
      <w:rFonts w:asciiTheme="majorHAnsi" w:hAnsiTheme="majorHAnsi" w:eastAsiaTheme="majorEastAsia" w:cstheme="majorBidi"/>
      <w:b/>
      <w:bCs/>
      <w:sz w:val="28"/>
      <w:szCs w:val="28"/>
    </w:rPr>
  </w:style>
  <w:style w:type="character" w:customStyle="1" w:styleId="69">
    <w:name w:val="标题 5 Char"/>
    <w:basedOn w:val="56"/>
    <w:semiHidden/>
    <w:qFormat/>
    <w:uiPriority w:val="9"/>
    <w:rPr>
      <w:rFonts w:ascii="Times New Roman" w:hAnsi="Times New Roman" w:eastAsia="宋体" w:cs="Times New Roman"/>
      <w:b/>
      <w:bCs/>
      <w:sz w:val="28"/>
      <w:szCs w:val="28"/>
    </w:rPr>
  </w:style>
  <w:style w:type="character" w:customStyle="1" w:styleId="70">
    <w:name w:val="标题 6 Char"/>
    <w:basedOn w:val="56"/>
    <w:semiHidden/>
    <w:qFormat/>
    <w:uiPriority w:val="9"/>
    <w:rPr>
      <w:rFonts w:asciiTheme="majorHAnsi" w:hAnsiTheme="majorHAnsi" w:eastAsiaTheme="majorEastAsia" w:cstheme="majorBidi"/>
      <w:b/>
      <w:bCs/>
      <w:sz w:val="24"/>
      <w:szCs w:val="24"/>
    </w:rPr>
  </w:style>
  <w:style w:type="character" w:customStyle="1" w:styleId="71">
    <w:name w:val="标题 7 Char"/>
    <w:basedOn w:val="56"/>
    <w:semiHidden/>
    <w:qFormat/>
    <w:uiPriority w:val="9"/>
    <w:rPr>
      <w:rFonts w:ascii="Times New Roman" w:hAnsi="Times New Roman" w:eastAsia="宋体" w:cs="Times New Roman"/>
      <w:b/>
      <w:bCs/>
      <w:sz w:val="24"/>
      <w:szCs w:val="24"/>
    </w:rPr>
  </w:style>
  <w:style w:type="character" w:customStyle="1" w:styleId="72">
    <w:name w:val="标题 8 Char"/>
    <w:basedOn w:val="56"/>
    <w:semiHidden/>
    <w:qFormat/>
    <w:uiPriority w:val="9"/>
    <w:rPr>
      <w:rFonts w:asciiTheme="majorHAnsi" w:hAnsiTheme="majorHAnsi" w:eastAsiaTheme="majorEastAsia" w:cstheme="majorBidi"/>
      <w:sz w:val="24"/>
      <w:szCs w:val="24"/>
    </w:rPr>
  </w:style>
  <w:style w:type="character" w:customStyle="1" w:styleId="73">
    <w:name w:val="标题 9 Char"/>
    <w:basedOn w:val="56"/>
    <w:semiHidden/>
    <w:qFormat/>
    <w:uiPriority w:val="9"/>
    <w:rPr>
      <w:rFonts w:asciiTheme="majorHAnsi" w:hAnsiTheme="majorHAnsi" w:eastAsiaTheme="majorEastAsia" w:cstheme="majorBidi"/>
      <w:szCs w:val="21"/>
    </w:rPr>
  </w:style>
  <w:style w:type="character" w:customStyle="1" w:styleId="74">
    <w:name w:val="Char Char26"/>
    <w:qFormat/>
    <w:uiPriority w:val="0"/>
    <w:rPr>
      <w:rFonts w:ascii="仿宋_GB2312" w:eastAsia="仿宋_GB2312"/>
      <w:sz w:val="28"/>
    </w:rPr>
  </w:style>
  <w:style w:type="character" w:customStyle="1" w:styleId="75">
    <w:name w:val="标题 8 字符1"/>
    <w:link w:val="11"/>
    <w:qFormat/>
    <w:uiPriority w:val="0"/>
    <w:rPr>
      <w:rFonts w:ascii="Arial" w:hAnsi="Arial" w:eastAsia="黑体" w:cs="Times New Roman"/>
      <w:sz w:val="24"/>
      <w:szCs w:val="24"/>
    </w:rPr>
  </w:style>
  <w:style w:type="character" w:customStyle="1" w:styleId="76">
    <w:name w:val="Char Char30"/>
    <w:qFormat/>
    <w:uiPriority w:val="0"/>
    <w:rPr>
      <w:b/>
      <w:kern w:val="2"/>
      <w:sz w:val="24"/>
      <w:szCs w:val="24"/>
    </w:rPr>
  </w:style>
  <w:style w:type="character" w:customStyle="1" w:styleId="77">
    <w:name w:val="Char Char171"/>
    <w:qFormat/>
    <w:uiPriority w:val="0"/>
    <w:rPr>
      <w:kern w:val="2"/>
      <w:sz w:val="18"/>
      <w:szCs w:val="18"/>
    </w:rPr>
  </w:style>
  <w:style w:type="character" w:customStyle="1" w:styleId="78">
    <w:name w:val="明显引用 Char1"/>
    <w:qFormat/>
    <w:uiPriority w:val="30"/>
    <w:rPr>
      <w:b/>
      <w:bCs/>
      <w:i/>
      <w:iCs/>
      <w:color w:val="4F81BD"/>
      <w:kern w:val="2"/>
      <w:sz w:val="21"/>
      <w:szCs w:val="24"/>
    </w:rPr>
  </w:style>
  <w:style w:type="character" w:customStyle="1" w:styleId="79">
    <w:name w:val="Char Char Char"/>
    <w:qFormat/>
    <w:uiPriority w:val="0"/>
    <w:rPr>
      <w:rFonts w:ascii="宋体" w:hAnsi="宋体" w:eastAsia="宋体"/>
      <w:b/>
      <w:sz w:val="24"/>
      <w:lang w:val="en-US" w:eastAsia="zh-CN" w:bidi="ar-SA"/>
    </w:rPr>
  </w:style>
  <w:style w:type="character" w:customStyle="1" w:styleId="80">
    <w:name w:val="明显参考1"/>
    <w:qFormat/>
    <w:uiPriority w:val="0"/>
    <w:rPr>
      <w:b/>
      <w:bCs/>
      <w:smallCaps/>
      <w:color w:val="C0504D"/>
      <w:spacing w:val="5"/>
      <w:u w:val="single"/>
    </w:rPr>
  </w:style>
  <w:style w:type="character" w:customStyle="1" w:styleId="81">
    <w:name w:val="正文文本 3 字符"/>
    <w:link w:val="22"/>
    <w:qFormat/>
    <w:uiPriority w:val="0"/>
    <w:rPr>
      <w:b/>
      <w:bCs/>
      <w:sz w:val="24"/>
      <w:szCs w:val="24"/>
    </w:rPr>
  </w:style>
  <w:style w:type="character" w:customStyle="1" w:styleId="82">
    <w:name w:val="Char Char20"/>
    <w:qFormat/>
    <w:uiPriority w:val="0"/>
    <w:rPr>
      <w:rFonts w:ascii="宋体" w:hAnsi="宋体"/>
      <w:sz w:val="24"/>
      <w:szCs w:val="24"/>
    </w:rPr>
  </w:style>
  <w:style w:type="character" w:customStyle="1" w:styleId="83">
    <w:name w:val="Char Char261"/>
    <w:qFormat/>
    <w:uiPriority w:val="0"/>
    <w:rPr>
      <w:rFonts w:ascii="仿宋_GB2312" w:eastAsia="仿宋_GB2312"/>
      <w:sz w:val="28"/>
    </w:rPr>
  </w:style>
  <w:style w:type="character" w:customStyle="1" w:styleId="84">
    <w:name w:val="Char Char21"/>
    <w:qFormat/>
    <w:uiPriority w:val="0"/>
    <w:rPr>
      <w:rFonts w:ascii="Arial" w:hAnsi="Arial" w:cs="Arial"/>
      <w:b/>
      <w:bCs/>
      <w:kern w:val="2"/>
      <w:sz w:val="32"/>
      <w:szCs w:val="32"/>
    </w:rPr>
  </w:style>
  <w:style w:type="character" w:customStyle="1" w:styleId="85">
    <w:name w:val="副标题 Char3"/>
    <w:qFormat/>
    <w:uiPriority w:val="0"/>
    <w:rPr>
      <w:rFonts w:ascii="Cambria" w:hAnsi="Cambria" w:cs="Times New Roman"/>
      <w:b/>
      <w:bCs/>
      <w:kern w:val="28"/>
      <w:sz w:val="32"/>
      <w:szCs w:val="32"/>
    </w:rPr>
  </w:style>
  <w:style w:type="character" w:customStyle="1" w:styleId="86">
    <w:name w:val="Variable"/>
    <w:qFormat/>
    <w:uiPriority w:val="0"/>
    <w:rPr>
      <w:i/>
    </w:rPr>
  </w:style>
  <w:style w:type="character" w:customStyle="1" w:styleId="87">
    <w:name w:val="Char Char291"/>
    <w:qFormat/>
    <w:uiPriority w:val="0"/>
    <w:rPr>
      <w:rFonts w:ascii="Arial" w:hAnsi="Arial" w:eastAsia="黑体"/>
      <w:kern w:val="2"/>
      <w:sz w:val="24"/>
      <w:szCs w:val="24"/>
    </w:rPr>
  </w:style>
  <w:style w:type="character" w:customStyle="1" w:styleId="88">
    <w:name w:val="标题4 Char Char"/>
    <w:link w:val="89"/>
    <w:qFormat/>
    <w:uiPriority w:val="0"/>
    <w:rPr>
      <w:rFonts w:ascii="Arial" w:hAnsi="Arial"/>
      <w:b/>
      <w:bCs/>
      <w:sz w:val="24"/>
      <w:szCs w:val="32"/>
    </w:rPr>
  </w:style>
  <w:style w:type="paragraph" w:customStyle="1" w:styleId="89">
    <w:name w:val="标题4"/>
    <w:basedOn w:val="4"/>
    <w:next w:val="29"/>
    <w:link w:val="88"/>
    <w:qFormat/>
    <w:uiPriority w:val="0"/>
    <w:pPr>
      <w:keepLines/>
      <w:spacing w:before="260" w:after="260" w:line="413" w:lineRule="auto"/>
      <w:jc w:val="both"/>
    </w:pPr>
    <w:rPr>
      <w:rFonts w:ascii="Arial" w:hAnsi="Arial" w:eastAsiaTheme="minorEastAsia" w:cstheme="minorBidi"/>
      <w:sz w:val="24"/>
      <w:szCs w:val="32"/>
    </w:rPr>
  </w:style>
  <w:style w:type="character" w:customStyle="1" w:styleId="90">
    <w:name w:val="明显强调1"/>
    <w:qFormat/>
    <w:uiPriority w:val="0"/>
    <w:rPr>
      <w:b/>
      <w:bCs/>
      <w:i/>
      <w:iCs/>
      <w:color w:val="4F81BD"/>
    </w:rPr>
  </w:style>
  <w:style w:type="character" w:customStyle="1" w:styleId="91">
    <w:name w:val="正文首行缩进 2 Char1"/>
    <w:qFormat/>
    <w:uiPriority w:val="0"/>
    <w:rPr>
      <w:b/>
      <w:kern w:val="2"/>
      <w:sz w:val="30"/>
    </w:rPr>
  </w:style>
  <w:style w:type="character" w:customStyle="1" w:styleId="92">
    <w:name w:val="Char Char22"/>
    <w:qFormat/>
    <w:uiPriority w:val="0"/>
  </w:style>
  <w:style w:type="character" w:customStyle="1" w:styleId="93">
    <w:name w:val="Char Char37"/>
    <w:qFormat/>
    <w:uiPriority w:val="0"/>
    <w:rPr>
      <w:rFonts w:eastAsia="华文细黑"/>
      <w:b/>
      <w:bCs/>
      <w:kern w:val="2"/>
      <w:sz w:val="21"/>
      <w:szCs w:val="24"/>
      <w:lang w:val="en-US" w:eastAsia="zh-CN" w:bidi="ar-SA"/>
    </w:rPr>
  </w:style>
  <w:style w:type="character" w:customStyle="1" w:styleId="94">
    <w:name w:val="标题 9 字符"/>
    <w:qFormat/>
    <w:uiPriority w:val="0"/>
    <w:rPr>
      <w:rFonts w:ascii="Cambria" w:hAnsi="Cambria" w:eastAsia="宋体" w:cs="Times New Roman"/>
      <w:kern w:val="2"/>
      <w:sz w:val="21"/>
      <w:szCs w:val="21"/>
    </w:rPr>
  </w:style>
  <w:style w:type="character" w:customStyle="1" w:styleId="95">
    <w:name w:val="引用 Char3"/>
    <w:qFormat/>
    <w:uiPriority w:val="99"/>
    <w:rPr>
      <w:i/>
      <w:iCs/>
      <w:color w:val="000000"/>
      <w:kern w:val="2"/>
      <w:sz w:val="21"/>
    </w:rPr>
  </w:style>
  <w:style w:type="character" w:customStyle="1" w:styleId="96">
    <w:name w:val="font31"/>
    <w:qFormat/>
    <w:uiPriority w:val="0"/>
    <w:rPr>
      <w:rFonts w:hint="eastAsia" w:ascii="宋体" w:hAnsi="宋体" w:eastAsia="宋体" w:cs="宋体"/>
      <w:b/>
      <w:color w:val="000000"/>
      <w:sz w:val="24"/>
      <w:szCs w:val="24"/>
      <w:u w:val="none"/>
    </w:rPr>
  </w:style>
  <w:style w:type="character" w:customStyle="1" w:styleId="97">
    <w:name w:val="标题 2 字符1"/>
    <w:link w:val="4"/>
    <w:qFormat/>
    <w:uiPriority w:val="0"/>
    <w:rPr>
      <w:rFonts w:ascii="楷体_GB2312" w:hAnsi="Times New Roman" w:eastAsia="楷体_GB2312" w:cs="Times New Roman"/>
      <w:b/>
      <w:bCs/>
      <w:sz w:val="18"/>
      <w:szCs w:val="20"/>
    </w:rPr>
  </w:style>
  <w:style w:type="character" w:customStyle="1" w:styleId="98">
    <w:name w:val="Char Char231"/>
    <w:qFormat/>
    <w:uiPriority w:val="0"/>
    <w:rPr>
      <w:b/>
      <w:bCs/>
      <w:kern w:val="2"/>
      <w:sz w:val="24"/>
      <w:szCs w:val="24"/>
    </w:rPr>
  </w:style>
  <w:style w:type="character" w:customStyle="1" w:styleId="99">
    <w:name w:val="列出段落 字符"/>
    <w:link w:val="100"/>
    <w:qFormat/>
    <w:uiPriority w:val="34"/>
    <w:rPr>
      <w:rFonts w:ascii="Calibri" w:hAnsi="Calibri"/>
      <w:kern w:val="2"/>
      <w:sz w:val="21"/>
      <w:szCs w:val="22"/>
    </w:rPr>
  </w:style>
  <w:style w:type="paragraph" w:styleId="100">
    <w:name w:val="List Paragraph"/>
    <w:basedOn w:val="1"/>
    <w:link w:val="99"/>
    <w:qFormat/>
    <w:uiPriority w:val="34"/>
    <w:pPr>
      <w:ind w:firstLine="420" w:firstLineChars="200"/>
    </w:pPr>
    <w:rPr>
      <w:rFonts w:ascii="Calibri" w:hAnsi="Calibri" w:eastAsiaTheme="minorEastAsia" w:cstheme="minorBidi"/>
      <w:szCs w:val="22"/>
    </w:rPr>
  </w:style>
  <w:style w:type="character" w:customStyle="1" w:styleId="101">
    <w:name w:val="Sample"/>
    <w:qFormat/>
    <w:uiPriority w:val="0"/>
    <w:rPr>
      <w:rFonts w:ascii="华文细黑" w:hAnsi="华文细黑"/>
    </w:rPr>
  </w:style>
  <w:style w:type="character" w:customStyle="1" w:styleId="102">
    <w:name w:val="Char Char201"/>
    <w:qFormat/>
    <w:uiPriority w:val="0"/>
    <w:rPr>
      <w:rFonts w:ascii="宋体" w:hAnsi="宋体"/>
      <w:sz w:val="24"/>
      <w:szCs w:val="24"/>
    </w:rPr>
  </w:style>
  <w:style w:type="character" w:customStyle="1" w:styleId="103">
    <w:name w:val="明显引用 Char3"/>
    <w:qFormat/>
    <w:uiPriority w:val="99"/>
    <w:rPr>
      <w:b/>
      <w:bCs/>
      <w:i/>
      <w:iCs/>
      <w:color w:val="4F81BD"/>
      <w:kern w:val="2"/>
      <w:sz w:val="21"/>
    </w:rPr>
  </w:style>
  <w:style w:type="character" w:customStyle="1" w:styleId="104">
    <w:name w:val="Typewriter"/>
    <w:qFormat/>
    <w:uiPriority w:val="0"/>
    <w:rPr>
      <w:rFonts w:ascii="华文细黑" w:hAnsi="华文细黑"/>
      <w:sz w:val="20"/>
    </w:rPr>
  </w:style>
  <w:style w:type="character" w:customStyle="1" w:styleId="105">
    <w:name w:val="标题 3 字符"/>
    <w:qFormat/>
    <w:uiPriority w:val="0"/>
    <w:rPr>
      <w:b/>
      <w:bCs/>
      <w:kern w:val="2"/>
      <w:sz w:val="32"/>
      <w:szCs w:val="32"/>
    </w:rPr>
  </w:style>
  <w:style w:type="character" w:customStyle="1" w:styleId="106">
    <w:name w:val="不明显参考1"/>
    <w:qFormat/>
    <w:uiPriority w:val="0"/>
    <w:rPr>
      <w:smallCaps/>
      <w:color w:val="C0504D"/>
      <w:u w:val="single"/>
    </w:rPr>
  </w:style>
  <w:style w:type="character" w:customStyle="1" w:styleId="107">
    <w:name w:val="标题 8 字符"/>
    <w:qFormat/>
    <w:uiPriority w:val="0"/>
    <w:rPr>
      <w:rFonts w:ascii="Cambria" w:hAnsi="Cambria" w:eastAsia="宋体" w:cs="Times New Roman"/>
      <w:kern w:val="2"/>
      <w:sz w:val="24"/>
      <w:szCs w:val="24"/>
    </w:rPr>
  </w:style>
  <w:style w:type="character" w:customStyle="1" w:styleId="108">
    <w:name w:val="标题 6 字符"/>
    <w:qFormat/>
    <w:uiPriority w:val="0"/>
    <w:rPr>
      <w:rFonts w:ascii="Cambria" w:hAnsi="Cambria" w:eastAsia="宋体" w:cs="Times New Roman"/>
      <w:b/>
      <w:bCs/>
      <w:kern w:val="2"/>
      <w:sz w:val="24"/>
      <w:szCs w:val="24"/>
    </w:rPr>
  </w:style>
  <w:style w:type="character" w:customStyle="1" w:styleId="109">
    <w:name w:val="HTML 预设格式 Char1"/>
    <w:qFormat/>
    <w:uiPriority w:val="0"/>
    <w:rPr>
      <w:rFonts w:ascii="Courier New" w:hAnsi="Courier New" w:cs="Courier New"/>
      <w:kern w:val="2"/>
    </w:rPr>
  </w:style>
  <w:style w:type="character" w:customStyle="1" w:styleId="110">
    <w:name w:val="标题 1 字符"/>
    <w:qFormat/>
    <w:uiPriority w:val="0"/>
    <w:rPr>
      <w:b/>
      <w:bCs/>
      <w:kern w:val="44"/>
      <w:sz w:val="44"/>
      <w:szCs w:val="44"/>
    </w:rPr>
  </w:style>
  <w:style w:type="character" w:customStyle="1" w:styleId="111">
    <w:name w:val="Char Char18"/>
    <w:qFormat/>
    <w:uiPriority w:val="0"/>
    <w:rPr>
      <w:rFonts w:ascii="宋体" w:hAnsi="Courier New"/>
      <w:kern w:val="2"/>
      <w:sz w:val="21"/>
      <w:szCs w:val="21"/>
    </w:rPr>
  </w:style>
  <w:style w:type="character" w:customStyle="1" w:styleId="112">
    <w:name w:val="普通(网站) 字符"/>
    <w:link w:val="48"/>
    <w:qFormat/>
    <w:uiPriority w:val="0"/>
    <w:rPr>
      <w:sz w:val="24"/>
    </w:rPr>
  </w:style>
  <w:style w:type="character" w:customStyle="1" w:styleId="113">
    <w:name w:val="Char Char15"/>
    <w:qFormat/>
    <w:uiPriority w:val="0"/>
    <w:rPr>
      <w:rFonts w:ascii="仿宋_GB2312" w:eastAsia="仿宋_GB2312"/>
      <w:sz w:val="32"/>
    </w:rPr>
  </w:style>
  <w:style w:type="character" w:customStyle="1" w:styleId="114">
    <w:name w:val="Char Char29"/>
    <w:qFormat/>
    <w:uiPriority w:val="0"/>
    <w:rPr>
      <w:rFonts w:ascii="Arial" w:hAnsi="Arial" w:eastAsia="黑体"/>
      <w:kern w:val="2"/>
      <w:sz w:val="24"/>
      <w:szCs w:val="24"/>
    </w:rPr>
  </w:style>
  <w:style w:type="character" w:customStyle="1" w:styleId="115">
    <w:name w:val="Char Char91"/>
    <w:qFormat/>
    <w:uiPriority w:val="0"/>
    <w:rPr>
      <w:kern w:val="2"/>
      <w:sz w:val="30"/>
      <w:szCs w:val="24"/>
    </w:rPr>
  </w:style>
  <w:style w:type="character" w:customStyle="1" w:styleId="116">
    <w:name w:val="文档结构图 Char1"/>
    <w:qFormat/>
    <w:uiPriority w:val="0"/>
    <w:rPr>
      <w:rFonts w:ascii="华文细黑"/>
      <w:kern w:val="2"/>
      <w:sz w:val="18"/>
      <w:szCs w:val="18"/>
    </w:rPr>
  </w:style>
  <w:style w:type="character" w:customStyle="1" w:styleId="117">
    <w:name w:val="Char Char7"/>
    <w:qFormat/>
    <w:uiPriority w:val="0"/>
    <w:rPr>
      <w:rFonts w:ascii="幼圆" w:hAnsi="幼圆" w:eastAsia="Times New Roman"/>
      <w:b/>
      <w:bCs/>
      <w:kern w:val="28"/>
      <w:sz w:val="32"/>
      <w:szCs w:val="32"/>
      <w:lang w:val="en-US" w:eastAsia="zh-CN"/>
    </w:rPr>
  </w:style>
  <w:style w:type="character" w:customStyle="1" w:styleId="118">
    <w:name w:val="标题 4 字符"/>
    <w:link w:val="7"/>
    <w:qFormat/>
    <w:uiPriority w:val="0"/>
    <w:rPr>
      <w:rFonts w:ascii="Times New Roman" w:hAnsi="Times New Roman" w:eastAsia="楷体_GB2312" w:cs="Times New Roman"/>
      <w:b/>
      <w:bCs/>
      <w:sz w:val="13"/>
      <w:szCs w:val="20"/>
    </w:rPr>
  </w:style>
  <w:style w:type="character" w:customStyle="1" w:styleId="119">
    <w:name w:val="HTML 预设格式 字符"/>
    <w:link w:val="47"/>
    <w:qFormat/>
    <w:uiPriority w:val="0"/>
    <w:rPr>
      <w:rFonts w:ascii="黑体" w:hAnsi="Courier New" w:eastAsia="黑体"/>
    </w:rPr>
  </w:style>
  <w:style w:type="character" w:customStyle="1" w:styleId="120">
    <w:name w:val="Char Char271"/>
    <w:qFormat/>
    <w:uiPriority w:val="0"/>
    <w:rPr>
      <w:rFonts w:ascii="楷体_GB2312" w:eastAsia="楷体_GB2312"/>
      <w:kern w:val="2"/>
      <w:sz w:val="24"/>
      <w:szCs w:val="24"/>
    </w:rPr>
  </w:style>
  <w:style w:type="character" w:customStyle="1" w:styleId="121">
    <w:name w:val="Char Char41"/>
    <w:qFormat/>
    <w:uiPriority w:val="0"/>
    <w:rPr>
      <w:rFonts w:ascii="华文细黑" w:hAnsi="华文细黑" w:eastAsia="幼圆" w:cs="Tahoma"/>
      <w:b/>
      <w:kern w:val="2"/>
      <w:sz w:val="28"/>
      <w:szCs w:val="32"/>
      <w:lang w:val="en-US" w:eastAsia="zh-CN" w:bidi="ar-SA"/>
    </w:rPr>
  </w:style>
  <w:style w:type="character" w:customStyle="1" w:styleId="122">
    <w:name w:val="纯文本 字符"/>
    <w:link w:val="30"/>
    <w:qFormat/>
    <w:uiPriority w:val="0"/>
    <w:rPr>
      <w:rFonts w:ascii="宋体" w:hAnsi="Courier New"/>
      <w:szCs w:val="21"/>
    </w:rPr>
  </w:style>
  <w:style w:type="character" w:customStyle="1" w:styleId="123">
    <w:name w:val="日期 字符1"/>
    <w:link w:val="33"/>
    <w:qFormat/>
    <w:uiPriority w:val="0"/>
    <w:rPr>
      <w:rFonts w:eastAsia="黑体"/>
      <w:b/>
      <w:sz w:val="36"/>
    </w:rPr>
  </w:style>
  <w:style w:type="character" w:customStyle="1" w:styleId="124">
    <w:name w:val="Char Char35"/>
    <w:qFormat/>
    <w:uiPriority w:val="0"/>
    <w:rPr>
      <w:rFonts w:ascii="黑体" w:eastAsia="黑体"/>
      <w:b/>
      <w:bCs/>
      <w:kern w:val="44"/>
      <w:sz w:val="44"/>
      <w:szCs w:val="44"/>
    </w:rPr>
  </w:style>
  <w:style w:type="character" w:customStyle="1" w:styleId="125">
    <w:name w:val="正文文本 Char1"/>
    <w:qFormat/>
    <w:uiPriority w:val="0"/>
    <w:rPr>
      <w:kern w:val="2"/>
      <w:sz w:val="21"/>
      <w:szCs w:val="22"/>
    </w:rPr>
  </w:style>
  <w:style w:type="character" w:customStyle="1" w:styleId="126">
    <w:name w:val="正文文本 字符"/>
    <w:qFormat/>
    <w:uiPriority w:val="0"/>
    <w:rPr>
      <w:rFonts w:ascii="Times New Roman" w:hAnsi="Times New Roman"/>
    </w:rPr>
  </w:style>
  <w:style w:type="character" w:customStyle="1" w:styleId="127">
    <w:name w:val="页眉 字符1"/>
    <w:link w:val="37"/>
    <w:qFormat/>
    <w:uiPriority w:val="0"/>
    <w:rPr>
      <w:sz w:val="18"/>
    </w:rPr>
  </w:style>
  <w:style w:type="character" w:customStyle="1" w:styleId="128">
    <w:name w:val="Char Char331"/>
    <w:qFormat/>
    <w:uiPriority w:val="0"/>
    <w:rPr>
      <w:rFonts w:ascii="黑体" w:eastAsia="黑体"/>
      <w:b/>
      <w:bCs/>
      <w:kern w:val="2"/>
      <w:sz w:val="32"/>
      <w:szCs w:val="32"/>
      <w:lang w:val="en-US" w:eastAsia="zh-CN" w:bidi="ar-SA"/>
    </w:rPr>
  </w:style>
  <w:style w:type="character" w:customStyle="1" w:styleId="129">
    <w:name w:val="Char Char81"/>
    <w:qFormat/>
    <w:uiPriority w:val="0"/>
    <w:rPr>
      <w:kern w:val="2"/>
      <w:sz w:val="28"/>
      <w:szCs w:val="24"/>
    </w:rPr>
  </w:style>
  <w:style w:type="character" w:customStyle="1" w:styleId="130">
    <w:name w:val="标题 Char2"/>
    <w:qFormat/>
    <w:uiPriority w:val="10"/>
    <w:rPr>
      <w:rFonts w:ascii="Cambria" w:hAnsi="Cambria" w:eastAsia="宋体" w:cs="Times New Roman"/>
      <w:b/>
      <w:bCs/>
      <w:sz w:val="32"/>
      <w:szCs w:val="32"/>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标题5 Char Char"/>
    <w:link w:val="133"/>
    <w:qFormat/>
    <w:uiPriority w:val="0"/>
    <w:rPr>
      <w:rFonts w:ascii="Tahoma" w:hAnsi="Tahoma"/>
      <w:b/>
      <w:bCs/>
      <w:sz w:val="24"/>
      <w:szCs w:val="32"/>
    </w:rPr>
  </w:style>
  <w:style w:type="paragraph" w:customStyle="1" w:styleId="133">
    <w:name w:val="标题5"/>
    <w:basedOn w:val="6"/>
    <w:link w:val="132"/>
    <w:qFormat/>
    <w:uiPriority w:val="0"/>
    <w:pPr>
      <w:keepLines/>
      <w:spacing w:before="260" w:after="260" w:line="413" w:lineRule="auto"/>
      <w:jc w:val="both"/>
    </w:pPr>
    <w:rPr>
      <w:rFonts w:ascii="Tahoma" w:hAnsi="Tahoma" w:eastAsiaTheme="minorEastAsia" w:cstheme="minorBidi"/>
      <w:sz w:val="24"/>
      <w:szCs w:val="32"/>
    </w:rPr>
  </w:style>
  <w:style w:type="character" w:customStyle="1" w:styleId="134">
    <w:name w:val="正文首行缩进 2 字符"/>
    <w:link w:val="53"/>
    <w:qFormat/>
    <w:uiPriority w:val="0"/>
    <w:rPr>
      <w:rFonts w:ascii="仿宋_GB2312" w:eastAsia="仿宋_GB2312"/>
      <w:sz w:val="28"/>
    </w:rPr>
  </w:style>
  <w:style w:type="character" w:customStyle="1" w:styleId="135">
    <w:name w:val="批注文字 Char"/>
    <w:qFormat/>
    <w:uiPriority w:val="0"/>
    <w:rPr>
      <w:kern w:val="2"/>
      <w:sz w:val="21"/>
      <w:szCs w:val="24"/>
    </w:rPr>
  </w:style>
  <w:style w:type="character" w:customStyle="1" w:styleId="136">
    <w:name w:val="Char Char3"/>
    <w:qFormat/>
    <w:uiPriority w:val="0"/>
    <w:rPr>
      <w:rFonts w:ascii="幼圆" w:hAnsi="华文细黑" w:eastAsia="幼圆" w:cs="Tahoma"/>
      <w:b/>
      <w:bCs/>
      <w:kern w:val="2"/>
      <w:sz w:val="24"/>
      <w:szCs w:val="24"/>
      <w:lang w:val="en-US" w:eastAsia="zh-CN" w:bidi="ar-SA"/>
    </w:rPr>
  </w:style>
  <w:style w:type="character" w:customStyle="1" w:styleId="137">
    <w:name w:val="批注文字 字符"/>
    <w:qFormat/>
    <w:uiPriority w:val="0"/>
    <w:rPr>
      <w:kern w:val="2"/>
      <w:sz w:val="21"/>
      <w:szCs w:val="22"/>
    </w:rPr>
  </w:style>
  <w:style w:type="character" w:customStyle="1" w:styleId="138">
    <w:name w:val="批注框文本 字符"/>
    <w:qFormat/>
    <w:uiPriority w:val="0"/>
    <w:rPr>
      <w:rFonts w:ascii="宋体" w:hAnsi="Times New Roman"/>
      <w:sz w:val="18"/>
      <w:szCs w:val="18"/>
    </w:rPr>
  </w:style>
  <w:style w:type="character" w:customStyle="1" w:styleId="139">
    <w:name w:val="批注文字 字符1"/>
    <w:qFormat/>
    <w:uiPriority w:val="0"/>
    <w:rPr>
      <w:kern w:val="2"/>
      <w:sz w:val="21"/>
    </w:rPr>
  </w:style>
  <w:style w:type="character" w:customStyle="1" w:styleId="140">
    <w:name w:val="Char Char141"/>
    <w:qFormat/>
    <w:uiPriority w:val="0"/>
    <w:rPr>
      <w:rFonts w:ascii="仿宋_GB2312" w:eastAsia="仿宋_GB2312"/>
      <w:sz w:val="28"/>
    </w:rPr>
  </w:style>
  <w:style w:type="character" w:customStyle="1" w:styleId="141">
    <w:name w:val="标题 1 字符1"/>
    <w:link w:val="3"/>
    <w:qFormat/>
    <w:uiPriority w:val="0"/>
    <w:rPr>
      <w:rFonts w:ascii="楷体_GB2312" w:hAnsi="Times New Roman" w:eastAsia="楷体_GB2312" w:cs="Times New Roman"/>
      <w:b/>
      <w:sz w:val="28"/>
      <w:szCs w:val="20"/>
    </w:rPr>
  </w:style>
  <w:style w:type="character" w:customStyle="1" w:styleId="142">
    <w:name w:val="Char Char5"/>
    <w:qFormat/>
    <w:uiPriority w:val="0"/>
    <w:rPr>
      <w:rFonts w:ascii="黑体" w:eastAsia="黑体"/>
      <w:b/>
      <w:bCs/>
      <w:kern w:val="2"/>
      <w:sz w:val="28"/>
      <w:szCs w:val="28"/>
    </w:rPr>
  </w:style>
  <w:style w:type="character" w:customStyle="1" w:styleId="143">
    <w:name w:val="标题 字符1"/>
    <w:link w:val="51"/>
    <w:qFormat/>
    <w:uiPriority w:val="0"/>
    <w:rPr>
      <w:rFonts w:ascii="Arial" w:hAnsi="Arial" w:cs="Arial"/>
      <w:b/>
      <w:bCs/>
      <w:sz w:val="32"/>
      <w:szCs w:val="32"/>
    </w:rPr>
  </w:style>
  <w:style w:type="character" w:customStyle="1" w:styleId="144">
    <w:name w:val="引用 字符1"/>
    <w:link w:val="145"/>
    <w:qFormat/>
    <w:uiPriority w:val="0"/>
    <w:rPr>
      <w:i/>
      <w:iCs/>
      <w:color w:val="000000"/>
    </w:rPr>
  </w:style>
  <w:style w:type="paragraph" w:styleId="145">
    <w:name w:val="Quote"/>
    <w:basedOn w:val="1"/>
    <w:next w:val="1"/>
    <w:link w:val="144"/>
    <w:qFormat/>
    <w:uiPriority w:val="0"/>
    <w:rPr>
      <w:rFonts w:asciiTheme="minorHAnsi" w:hAnsiTheme="minorHAnsi" w:eastAsiaTheme="minorEastAsia" w:cstheme="minorBidi"/>
      <w:i/>
      <w:iCs/>
      <w:color w:val="000000"/>
      <w:szCs w:val="22"/>
    </w:rPr>
  </w:style>
  <w:style w:type="character" w:customStyle="1" w:styleId="146">
    <w:name w:val="标题 9 字符1"/>
    <w:link w:val="12"/>
    <w:qFormat/>
    <w:uiPriority w:val="0"/>
    <w:rPr>
      <w:rFonts w:ascii="Arial" w:hAnsi="Arial" w:eastAsia="黑体" w:cs="Times New Roman"/>
      <w:szCs w:val="24"/>
    </w:rPr>
  </w:style>
  <w:style w:type="character" w:customStyle="1" w:styleId="147">
    <w:name w:val="正文文本 2 字符"/>
    <w:link w:val="46"/>
    <w:qFormat/>
    <w:uiPriority w:val="0"/>
  </w:style>
  <w:style w:type="character" w:customStyle="1" w:styleId="148">
    <w:name w:val="Char Char25"/>
    <w:qFormat/>
    <w:uiPriority w:val="0"/>
    <w:rPr>
      <w:sz w:val="18"/>
      <w:szCs w:val="18"/>
    </w:rPr>
  </w:style>
  <w:style w:type="character" w:customStyle="1" w:styleId="149">
    <w:name w:val="Char Char17"/>
    <w:qFormat/>
    <w:uiPriority w:val="0"/>
    <w:rPr>
      <w:kern w:val="2"/>
      <w:sz w:val="18"/>
      <w:szCs w:val="18"/>
    </w:rPr>
  </w:style>
  <w:style w:type="character" w:customStyle="1" w:styleId="150">
    <w:name w:val="副标题 Char2"/>
    <w:qFormat/>
    <w:uiPriority w:val="11"/>
    <w:rPr>
      <w:rFonts w:ascii="Cambria" w:hAnsi="Cambria" w:eastAsia="宋体" w:cs="Times New Roman"/>
      <w:b/>
      <w:bCs/>
      <w:kern w:val="28"/>
      <w:sz w:val="32"/>
      <w:szCs w:val="32"/>
    </w:rPr>
  </w:style>
  <w:style w:type="character" w:customStyle="1" w:styleId="151">
    <w:name w:val="正文文本缩进 Char1"/>
    <w:qFormat/>
    <w:uiPriority w:val="0"/>
    <w:rPr>
      <w:rFonts w:ascii="仿宋_GB2312" w:eastAsia="仿宋_GB2312"/>
      <w:sz w:val="28"/>
    </w:rPr>
  </w:style>
  <w:style w:type="character" w:customStyle="1" w:styleId="152">
    <w:name w:val="日期 字符"/>
    <w:qFormat/>
    <w:uiPriority w:val="0"/>
    <w:rPr>
      <w:rFonts w:ascii="宋体" w:hAnsi="Times New Roman"/>
      <w:sz w:val="28"/>
    </w:rPr>
  </w:style>
  <w:style w:type="character" w:customStyle="1" w:styleId="153">
    <w:name w:val="正文文本缩进 字符"/>
    <w:link w:val="26"/>
    <w:qFormat/>
    <w:uiPriority w:val="0"/>
    <w:rPr>
      <w:b/>
      <w:sz w:val="30"/>
    </w:rPr>
  </w:style>
  <w:style w:type="character" w:customStyle="1" w:styleId="154">
    <w:name w:val="标题 Char1"/>
    <w:qFormat/>
    <w:uiPriority w:val="10"/>
    <w:rPr>
      <w:rFonts w:ascii="Cambria" w:hAnsi="Cambria" w:eastAsia="宋体" w:cs="Times New Roman"/>
      <w:b/>
      <w:bCs/>
      <w:sz w:val="32"/>
      <w:szCs w:val="32"/>
    </w:rPr>
  </w:style>
  <w:style w:type="character" w:customStyle="1" w:styleId="155">
    <w:name w:val="表格正文 Char"/>
    <w:link w:val="156"/>
    <w:qFormat/>
    <w:uiPriority w:val="0"/>
    <w:rPr>
      <w:szCs w:val="24"/>
    </w:rPr>
  </w:style>
  <w:style w:type="paragraph" w:customStyle="1" w:styleId="156">
    <w:name w:val="表格正文"/>
    <w:basedOn w:val="1"/>
    <w:link w:val="155"/>
    <w:qFormat/>
    <w:uiPriority w:val="0"/>
    <w:rPr>
      <w:rFonts w:asciiTheme="minorHAnsi" w:hAnsiTheme="minorHAnsi" w:eastAsiaTheme="minorEastAsia" w:cstheme="minorBidi"/>
      <w:szCs w:val="24"/>
    </w:rPr>
  </w:style>
  <w:style w:type="character" w:customStyle="1" w:styleId="157">
    <w:name w:val="批注主题 Char2"/>
    <w:qFormat/>
    <w:uiPriority w:val="0"/>
    <w:rPr>
      <w:kern w:val="2"/>
      <w:sz w:val="21"/>
    </w:rPr>
  </w:style>
  <w:style w:type="character" w:customStyle="1" w:styleId="158">
    <w:name w:val="称呼 字符"/>
    <w:link w:val="21"/>
    <w:qFormat/>
    <w:uiPriority w:val="0"/>
    <w:rPr>
      <w:sz w:val="28"/>
      <w:szCs w:val="24"/>
    </w:rPr>
  </w:style>
  <w:style w:type="character" w:customStyle="1" w:styleId="159">
    <w:name w:val="Char Char34"/>
    <w:qFormat/>
    <w:uiPriority w:val="0"/>
    <w:rPr>
      <w:rFonts w:ascii="Arial" w:hAnsi="Arial" w:eastAsia="黑体"/>
      <w:b/>
      <w:bCs/>
      <w:kern w:val="2"/>
      <w:sz w:val="32"/>
      <w:szCs w:val="32"/>
    </w:rPr>
  </w:style>
  <w:style w:type="character" w:customStyle="1" w:styleId="160">
    <w:name w:val="Char Char251"/>
    <w:qFormat/>
    <w:uiPriority w:val="0"/>
    <w:rPr>
      <w:sz w:val="18"/>
      <w:szCs w:val="18"/>
    </w:rPr>
  </w:style>
  <w:style w:type="character" w:customStyle="1" w:styleId="161">
    <w:name w:val="Char Char16"/>
    <w:qFormat/>
    <w:uiPriority w:val="0"/>
    <w:rPr>
      <w:b/>
      <w:bCs/>
      <w:kern w:val="2"/>
      <w:sz w:val="21"/>
      <w:szCs w:val="24"/>
    </w:rPr>
  </w:style>
  <w:style w:type="character" w:customStyle="1" w:styleId="162">
    <w:name w:val="Char Char31"/>
    <w:qFormat/>
    <w:uiPriority w:val="0"/>
    <w:rPr>
      <w:rFonts w:ascii="Arial" w:hAnsi="Arial" w:eastAsia="黑体"/>
      <w:b/>
      <w:kern w:val="2"/>
      <w:sz w:val="24"/>
      <w:szCs w:val="24"/>
    </w:rPr>
  </w:style>
  <w:style w:type="character" w:customStyle="1" w:styleId="163">
    <w:name w:val="文档结构图 字符"/>
    <w:link w:val="17"/>
    <w:qFormat/>
    <w:uiPriority w:val="0"/>
    <w:rPr>
      <w:shd w:val="clear" w:color="auto" w:fill="000080"/>
    </w:rPr>
  </w:style>
  <w:style w:type="character" w:customStyle="1" w:styleId="164">
    <w:name w:val="CITE"/>
    <w:qFormat/>
    <w:uiPriority w:val="0"/>
    <w:rPr>
      <w:i/>
    </w:rPr>
  </w:style>
  <w:style w:type="character" w:customStyle="1" w:styleId="165">
    <w:name w:val="Char Char351"/>
    <w:qFormat/>
    <w:uiPriority w:val="0"/>
    <w:rPr>
      <w:rFonts w:ascii="黑体" w:eastAsia="黑体"/>
      <w:b/>
      <w:bCs/>
      <w:kern w:val="44"/>
      <w:sz w:val="44"/>
      <w:szCs w:val="44"/>
    </w:rPr>
  </w:style>
  <w:style w:type="character" w:customStyle="1" w:styleId="166">
    <w:name w:val="引用 Char1"/>
    <w:qFormat/>
    <w:uiPriority w:val="29"/>
    <w:rPr>
      <w:i/>
      <w:iCs/>
      <w:color w:val="000000"/>
      <w:kern w:val="2"/>
      <w:sz w:val="21"/>
      <w:szCs w:val="24"/>
    </w:rPr>
  </w:style>
  <w:style w:type="character" w:customStyle="1" w:styleId="167">
    <w:name w:val="明显引用 字符"/>
    <w:qFormat/>
    <w:uiPriority w:val="0"/>
    <w:rPr>
      <w:b/>
      <w:bCs/>
      <w:i/>
      <w:iCs/>
      <w:color w:val="4F81BD"/>
      <w:kern w:val="2"/>
      <w:sz w:val="21"/>
      <w:szCs w:val="22"/>
    </w:rPr>
  </w:style>
  <w:style w:type="character" w:customStyle="1" w:styleId="168">
    <w:name w:val="明显引用 Char2"/>
    <w:qFormat/>
    <w:uiPriority w:val="30"/>
    <w:rPr>
      <w:rFonts w:ascii="Times New Roman" w:hAnsi="Times New Roman" w:eastAsia="宋体" w:cs="Times New Roman"/>
      <w:b/>
      <w:bCs/>
      <w:i/>
      <w:iCs/>
      <w:color w:val="4F81BD"/>
      <w:szCs w:val="24"/>
    </w:rPr>
  </w:style>
  <w:style w:type="character" w:customStyle="1" w:styleId="169">
    <w:name w:val="正文文本缩进 Char3"/>
    <w:qFormat/>
    <w:uiPriority w:val="0"/>
    <w:rPr>
      <w:b/>
      <w:kern w:val="2"/>
      <w:sz w:val="30"/>
    </w:rPr>
  </w:style>
  <w:style w:type="character" w:customStyle="1" w:styleId="170">
    <w:name w:val="正文文本 3 Char1"/>
    <w:qFormat/>
    <w:uiPriority w:val="0"/>
    <w:rPr>
      <w:kern w:val="2"/>
      <w:sz w:val="16"/>
      <w:szCs w:val="16"/>
    </w:rPr>
  </w:style>
  <w:style w:type="character" w:customStyle="1" w:styleId="171">
    <w:name w:val="标题 31"/>
    <w:qFormat/>
    <w:uiPriority w:val="0"/>
    <w:rPr>
      <w:rFonts w:hint="eastAsia" w:ascii="黑体" w:hAnsi="ˎ̥" w:eastAsia="黑体"/>
      <w:sz w:val="28"/>
    </w:rPr>
  </w:style>
  <w:style w:type="character" w:customStyle="1" w:styleId="172">
    <w:name w:val="Keyboard"/>
    <w:qFormat/>
    <w:uiPriority w:val="0"/>
    <w:rPr>
      <w:rFonts w:ascii="华文细黑" w:hAnsi="华文细黑"/>
      <w:b/>
      <w:sz w:val="20"/>
    </w:rPr>
  </w:style>
  <w:style w:type="character" w:customStyle="1" w:styleId="173">
    <w:name w:val="日期 Char1"/>
    <w:qFormat/>
    <w:uiPriority w:val="0"/>
    <w:rPr>
      <w:kern w:val="2"/>
      <w:sz w:val="21"/>
      <w:szCs w:val="22"/>
    </w:rPr>
  </w:style>
  <w:style w:type="character" w:customStyle="1" w:styleId="174">
    <w:name w:val="Char Char Char Char Char Char Char Char Char Char"/>
    <w:qFormat/>
    <w:uiPriority w:val="0"/>
    <w:rPr>
      <w:rFonts w:eastAsia="宋体"/>
      <w:b/>
      <w:bCs/>
      <w:sz w:val="32"/>
      <w:szCs w:val="44"/>
      <w:lang w:val="en-US" w:eastAsia="zh-CN" w:bidi="ar-SA"/>
    </w:rPr>
  </w:style>
  <w:style w:type="character" w:customStyle="1" w:styleId="175">
    <w:name w:val="Char Char28"/>
    <w:qFormat/>
    <w:uiPriority w:val="0"/>
    <w:rPr>
      <w:rFonts w:ascii="Arial" w:hAnsi="Arial" w:eastAsia="黑体"/>
      <w:kern w:val="2"/>
      <w:sz w:val="21"/>
      <w:szCs w:val="24"/>
    </w:rPr>
  </w:style>
  <w:style w:type="character" w:customStyle="1" w:styleId="176">
    <w:name w:val="标题 7 字符1"/>
    <w:link w:val="10"/>
    <w:qFormat/>
    <w:uiPriority w:val="0"/>
    <w:rPr>
      <w:rFonts w:ascii="Times New Roman" w:hAnsi="Times New Roman" w:eastAsia="宋体" w:cs="Times New Roman"/>
      <w:b/>
      <w:sz w:val="24"/>
      <w:szCs w:val="24"/>
    </w:rPr>
  </w:style>
  <w:style w:type="character" w:customStyle="1" w:styleId="177">
    <w:name w:val="Char Char301"/>
    <w:qFormat/>
    <w:uiPriority w:val="0"/>
    <w:rPr>
      <w:b/>
      <w:kern w:val="2"/>
      <w:sz w:val="24"/>
      <w:szCs w:val="24"/>
    </w:rPr>
  </w:style>
  <w:style w:type="character" w:customStyle="1" w:styleId="178">
    <w:name w:val="标题 Char3"/>
    <w:qFormat/>
    <w:uiPriority w:val="0"/>
    <w:rPr>
      <w:rFonts w:ascii="Cambria" w:hAnsi="Cambria" w:cs="Times New Roman"/>
      <w:b/>
      <w:bCs/>
      <w:kern w:val="2"/>
      <w:sz w:val="32"/>
      <w:szCs w:val="32"/>
    </w:rPr>
  </w:style>
  <w:style w:type="character" w:customStyle="1" w:styleId="179">
    <w:name w:val="标题 7 字符"/>
    <w:qFormat/>
    <w:uiPriority w:val="0"/>
    <w:rPr>
      <w:b/>
      <w:bCs/>
      <w:kern w:val="2"/>
      <w:sz w:val="24"/>
      <w:szCs w:val="24"/>
    </w:rPr>
  </w:style>
  <w:style w:type="character" w:customStyle="1" w:styleId="180">
    <w:name w:val="结束语 字符"/>
    <w:link w:val="23"/>
    <w:qFormat/>
    <w:uiPriority w:val="0"/>
    <w:rPr>
      <w:sz w:val="28"/>
      <w:szCs w:val="24"/>
    </w:rPr>
  </w:style>
  <w:style w:type="character" w:customStyle="1" w:styleId="181">
    <w:name w:val="Char Char"/>
    <w:qFormat/>
    <w:uiPriority w:val="0"/>
    <w:rPr>
      <w:rFonts w:eastAsia="宋体"/>
      <w:b/>
      <w:bCs/>
      <w:sz w:val="32"/>
      <w:szCs w:val="44"/>
      <w:lang w:val="en-US" w:eastAsia="zh-CN" w:bidi="ar-SA"/>
    </w:rPr>
  </w:style>
  <w:style w:type="character" w:customStyle="1" w:styleId="182">
    <w:name w:val="标题 6 字符1"/>
    <w:link w:val="9"/>
    <w:qFormat/>
    <w:uiPriority w:val="0"/>
    <w:rPr>
      <w:rFonts w:ascii="Arial" w:hAnsi="Arial" w:eastAsia="黑体" w:cs="Times New Roman"/>
      <w:b/>
      <w:sz w:val="24"/>
      <w:szCs w:val="24"/>
    </w:rPr>
  </w:style>
  <w:style w:type="character" w:customStyle="1" w:styleId="183">
    <w:name w:val="页脚 字符"/>
    <w:qFormat/>
    <w:uiPriority w:val="0"/>
    <w:rPr>
      <w:kern w:val="2"/>
      <w:sz w:val="18"/>
      <w:szCs w:val="18"/>
    </w:rPr>
  </w:style>
  <w:style w:type="character" w:customStyle="1" w:styleId="184">
    <w:name w:val="副标题 Char1"/>
    <w:qFormat/>
    <w:uiPriority w:val="0"/>
    <w:rPr>
      <w:rFonts w:ascii="幼圆" w:hAnsi="幼圆" w:cs="Cambria"/>
      <w:b/>
      <w:bCs/>
      <w:kern w:val="28"/>
      <w:sz w:val="32"/>
      <w:szCs w:val="32"/>
    </w:rPr>
  </w:style>
  <w:style w:type="character" w:customStyle="1" w:styleId="185">
    <w:name w:val="Comment"/>
    <w:qFormat/>
    <w:uiPriority w:val="0"/>
    <w:rPr>
      <w:vanish/>
    </w:rPr>
  </w:style>
  <w:style w:type="character" w:customStyle="1" w:styleId="186">
    <w:name w:val="表格正文 Char Char"/>
    <w:qFormat/>
    <w:uiPriority w:val="0"/>
    <w:rPr>
      <w:kern w:val="2"/>
      <w:sz w:val="21"/>
      <w:szCs w:val="24"/>
    </w:rPr>
  </w:style>
  <w:style w:type="character" w:customStyle="1" w:styleId="187">
    <w:name w:val="普通(网站) Char Char"/>
    <w:qFormat/>
    <w:uiPriority w:val="0"/>
    <w:rPr>
      <w:rFonts w:ascii="宋体" w:hAnsi="宋体"/>
      <w:sz w:val="24"/>
      <w:szCs w:val="24"/>
    </w:rPr>
  </w:style>
  <w:style w:type="character" w:customStyle="1" w:styleId="188">
    <w:name w:val="Char Char8"/>
    <w:qFormat/>
    <w:uiPriority w:val="0"/>
    <w:rPr>
      <w:kern w:val="2"/>
      <w:sz w:val="28"/>
      <w:szCs w:val="24"/>
    </w:rPr>
  </w:style>
  <w:style w:type="character" w:customStyle="1" w:styleId="189">
    <w:name w:val="称呼 Char1"/>
    <w:qFormat/>
    <w:uiPriority w:val="0"/>
    <w:rPr>
      <w:kern w:val="2"/>
      <w:sz w:val="21"/>
    </w:rPr>
  </w:style>
  <w:style w:type="character" w:customStyle="1" w:styleId="190">
    <w:name w:val="case31"/>
    <w:qFormat/>
    <w:uiPriority w:val="0"/>
    <w:rPr>
      <w:rFonts w:hint="default"/>
      <w:sz w:val="21"/>
      <w:szCs w:val="21"/>
    </w:rPr>
  </w:style>
  <w:style w:type="character" w:customStyle="1" w:styleId="191">
    <w:name w:val="书籍标题2"/>
    <w:qFormat/>
    <w:uiPriority w:val="0"/>
    <w:rPr>
      <w:b/>
      <w:bCs/>
      <w:smallCaps/>
      <w:spacing w:val="5"/>
    </w:rPr>
  </w:style>
  <w:style w:type="character" w:customStyle="1" w:styleId="192">
    <w:name w:val="Char Char211"/>
    <w:qFormat/>
    <w:uiPriority w:val="0"/>
    <w:rPr>
      <w:rFonts w:ascii="Arial" w:hAnsi="Arial" w:cs="Arial"/>
      <w:b/>
      <w:bCs/>
      <w:kern w:val="2"/>
      <w:sz w:val="32"/>
      <w:szCs w:val="32"/>
    </w:rPr>
  </w:style>
  <w:style w:type="character" w:customStyle="1" w:styleId="193">
    <w:name w:val="正文文本缩进 3 字符"/>
    <w:link w:val="42"/>
    <w:qFormat/>
    <w:uiPriority w:val="0"/>
  </w:style>
  <w:style w:type="character" w:customStyle="1" w:styleId="194">
    <w:name w:val="Char Char12"/>
    <w:qFormat/>
    <w:uiPriority w:val="0"/>
    <w:rPr>
      <w:rFonts w:eastAsia="宋体"/>
      <w:kern w:val="2"/>
      <w:sz w:val="18"/>
      <w:szCs w:val="18"/>
      <w:lang w:val="en-US" w:eastAsia="zh-CN" w:bidi="ar-SA"/>
    </w:rPr>
  </w:style>
  <w:style w:type="character" w:customStyle="1" w:styleId="195">
    <w:name w:val="Char Char13"/>
    <w:qFormat/>
    <w:uiPriority w:val="0"/>
    <w:rPr>
      <w:kern w:val="2"/>
      <w:sz w:val="28"/>
      <w:szCs w:val="24"/>
    </w:rPr>
  </w:style>
  <w:style w:type="character" w:customStyle="1" w:styleId="196">
    <w:name w:val="Char Char36"/>
    <w:qFormat/>
    <w:uiPriority w:val="0"/>
    <w:rPr>
      <w:rFonts w:ascii="幼圆" w:hAnsi="华文细黑" w:eastAsia="幼圆" w:cs="Tahoma"/>
      <w:b/>
      <w:bCs/>
      <w:kern w:val="2"/>
      <w:sz w:val="24"/>
      <w:szCs w:val="24"/>
      <w:lang w:val="en-US" w:eastAsia="zh-CN" w:bidi="ar-SA"/>
    </w:rPr>
  </w:style>
  <w:style w:type="character" w:customStyle="1" w:styleId="197">
    <w:name w:val="标题 2 字符"/>
    <w:qFormat/>
    <w:uiPriority w:val="0"/>
    <w:rPr>
      <w:rFonts w:ascii="Cambria" w:hAnsi="Cambria" w:eastAsia="宋体" w:cs="Times New Roman"/>
      <w:b/>
      <w:bCs/>
      <w:kern w:val="2"/>
      <w:sz w:val="32"/>
      <w:szCs w:val="32"/>
    </w:rPr>
  </w:style>
  <w:style w:type="character" w:customStyle="1" w:styleId="198">
    <w:name w:val="Char Char110"/>
    <w:qFormat/>
    <w:uiPriority w:val="0"/>
    <w:rPr>
      <w:rFonts w:ascii="幼圆" w:hAnsi="Tahoma" w:eastAsia="幼圆" w:cs="Tahoma"/>
      <w:b/>
      <w:bCs/>
      <w:kern w:val="2"/>
      <w:sz w:val="32"/>
      <w:szCs w:val="32"/>
      <w:lang w:val="en-US" w:eastAsia="zh-CN" w:bidi="ar-SA"/>
    </w:rPr>
  </w:style>
  <w:style w:type="character" w:customStyle="1" w:styleId="199">
    <w:name w:val="font01"/>
    <w:qFormat/>
    <w:uiPriority w:val="0"/>
    <w:rPr>
      <w:rFonts w:hint="eastAsia" w:ascii="宋体" w:hAnsi="宋体" w:eastAsia="宋体" w:cs="宋体"/>
      <w:color w:val="000000"/>
      <w:sz w:val="21"/>
      <w:szCs w:val="21"/>
      <w:u w:val="none"/>
    </w:rPr>
  </w:style>
  <w:style w:type="character" w:customStyle="1" w:styleId="200">
    <w:name w:val="Char Char23"/>
    <w:qFormat/>
    <w:uiPriority w:val="0"/>
    <w:rPr>
      <w:b/>
      <w:bCs/>
      <w:kern w:val="2"/>
      <w:sz w:val="24"/>
      <w:szCs w:val="24"/>
    </w:rPr>
  </w:style>
  <w:style w:type="character" w:customStyle="1" w:styleId="201">
    <w:name w:val="Char Char181"/>
    <w:qFormat/>
    <w:uiPriority w:val="0"/>
    <w:rPr>
      <w:rFonts w:ascii="宋体" w:hAnsi="Courier New"/>
      <w:kern w:val="2"/>
      <w:sz w:val="21"/>
      <w:szCs w:val="21"/>
    </w:rPr>
  </w:style>
  <w:style w:type="character" w:customStyle="1" w:styleId="202">
    <w:name w:val="标题 3 字符1"/>
    <w:link w:val="6"/>
    <w:qFormat/>
    <w:uiPriority w:val="0"/>
    <w:rPr>
      <w:rFonts w:ascii="Times New Roman" w:hAnsi="Times New Roman" w:eastAsia="楷体_GB2312" w:cs="Times New Roman"/>
      <w:b/>
      <w:bCs/>
      <w:sz w:val="15"/>
      <w:szCs w:val="20"/>
    </w:rPr>
  </w:style>
  <w:style w:type="character" w:customStyle="1" w:styleId="203">
    <w:name w:val="正文首行缩进两字 Char"/>
    <w:link w:val="204"/>
    <w:qFormat/>
    <w:uiPriority w:val="0"/>
    <w:rPr>
      <w:sz w:val="24"/>
      <w:szCs w:val="24"/>
    </w:rPr>
  </w:style>
  <w:style w:type="paragraph" w:customStyle="1" w:styleId="204">
    <w:name w:val="正文首行缩进两字"/>
    <w:link w:val="203"/>
    <w:qFormat/>
    <w:uiPriority w:val="0"/>
    <w:pPr>
      <w:spacing w:afterLines="50" w:line="300" w:lineRule="auto"/>
      <w:ind w:left="240" w:leftChars="100" w:right="24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205">
    <w:name w:val="Char Char4"/>
    <w:qFormat/>
    <w:uiPriority w:val="0"/>
    <w:rPr>
      <w:rFonts w:ascii="华文细黑" w:hAnsi="华文细黑" w:eastAsia="幼圆" w:cs="Tahoma"/>
      <w:b/>
      <w:kern w:val="2"/>
      <w:sz w:val="28"/>
      <w:szCs w:val="32"/>
      <w:lang w:val="en-US" w:eastAsia="zh-CN" w:bidi="ar-SA"/>
    </w:rPr>
  </w:style>
  <w:style w:type="character" w:customStyle="1" w:styleId="206">
    <w:name w:val="批注文字 Char Char"/>
    <w:qFormat/>
    <w:uiPriority w:val="0"/>
    <w:rPr>
      <w:rFonts w:ascii="华文细黑" w:hAnsi="Cambria" w:eastAsia="华文细黑" w:cs="Cambria"/>
      <w:sz w:val="28"/>
      <w:szCs w:val="20"/>
    </w:rPr>
  </w:style>
  <w:style w:type="character" w:customStyle="1" w:styleId="207">
    <w:name w:val="Char Char2"/>
    <w:semiHidden/>
    <w:qFormat/>
    <w:uiPriority w:val="0"/>
    <w:rPr>
      <w:rFonts w:eastAsia="华文细黑"/>
      <w:kern w:val="2"/>
      <w:sz w:val="21"/>
      <w:szCs w:val="24"/>
      <w:lang w:val="en-US" w:eastAsia="zh-CN" w:bidi="ar-SA"/>
    </w:rPr>
  </w:style>
  <w:style w:type="character" w:customStyle="1" w:styleId="208">
    <w:name w:val="脚注文本 Char1"/>
    <w:qFormat/>
    <w:uiPriority w:val="0"/>
    <w:rPr>
      <w:kern w:val="2"/>
      <w:sz w:val="18"/>
      <w:szCs w:val="18"/>
    </w:rPr>
  </w:style>
  <w:style w:type="character" w:customStyle="1" w:styleId="209">
    <w:name w:val="不明显强调2"/>
    <w:qFormat/>
    <w:uiPriority w:val="0"/>
    <w:rPr>
      <w:i/>
      <w:iCs/>
      <w:color w:val="808080"/>
    </w:rPr>
  </w:style>
  <w:style w:type="character" w:customStyle="1" w:styleId="210">
    <w:name w:val="正文文本缩进 Char"/>
    <w:qFormat/>
    <w:uiPriority w:val="0"/>
    <w:rPr>
      <w:rFonts w:ascii="仿宋_GB2312" w:eastAsia="仿宋_GB2312"/>
      <w:sz w:val="28"/>
      <w:lang w:val="en-US" w:eastAsia="zh-CN" w:bidi="ar-SA"/>
    </w:rPr>
  </w:style>
  <w:style w:type="character" w:customStyle="1" w:styleId="211">
    <w:name w:val="明显引用 字符1"/>
    <w:link w:val="212"/>
    <w:qFormat/>
    <w:uiPriority w:val="0"/>
    <w:rPr>
      <w:b/>
      <w:bCs/>
      <w:i/>
      <w:iCs/>
      <w:color w:val="4F81BD"/>
    </w:rPr>
  </w:style>
  <w:style w:type="paragraph" w:styleId="212">
    <w:name w:val="Intense Quote"/>
    <w:basedOn w:val="1"/>
    <w:next w:val="1"/>
    <w:link w:val="211"/>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213">
    <w:name w:val="引用 Char2"/>
    <w:qFormat/>
    <w:uiPriority w:val="29"/>
    <w:rPr>
      <w:rFonts w:ascii="Times New Roman" w:hAnsi="Times New Roman" w:eastAsia="宋体" w:cs="Times New Roman"/>
      <w:i/>
      <w:iCs/>
      <w:color w:val="000000"/>
      <w:szCs w:val="24"/>
    </w:rPr>
  </w:style>
  <w:style w:type="character" w:customStyle="1" w:styleId="214">
    <w:name w:val="副标题 字符1"/>
    <w:link w:val="39"/>
    <w:qFormat/>
    <w:uiPriority w:val="0"/>
    <w:rPr>
      <w:rFonts w:ascii="幼圆" w:hAnsi="幼圆" w:eastAsia="Times New Roman"/>
      <w:b/>
      <w:bCs/>
      <w:kern w:val="28"/>
      <w:sz w:val="32"/>
      <w:szCs w:val="32"/>
    </w:rPr>
  </w:style>
  <w:style w:type="character" w:customStyle="1" w:styleId="215">
    <w:name w:val="批注主题 字符"/>
    <w:qFormat/>
    <w:uiPriority w:val="0"/>
    <w:rPr>
      <w:rFonts w:ascii="宋体" w:hAnsi="Times New Roman"/>
      <w:b/>
      <w:bCs/>
      <w:sz w:val="28"/>
    </w:rPr>
  </w:style>
  <w:style w:type="character" w:customStyle="1" w:styleId="216">
    <w:name w:val="Char Char10"/>
    <w:qFormat/>
    <w:uiPriority w:val="0"/>
    <w:rPr>
      <w:rFonts w:ascii="黑体" w:hAnsi="Courier New" w:eastAsia="黑体"/>
    </w:rPr>
  </w:style>
  <w:style w:type="character" w:customStyle="1" w:styleId="217">
    <w:name w:val="text_list1"/>
    <w:qFormat/>
    <w:uiPriority w:val="0"/>
    <w:rPr>
      <w:rFonts w:hint="default" w:ascii="Arial" w:hAnsi="Arial" w:cs="Arial"/>
      <w:color w:val="000000"/>
      <w:spacing w:val="272"/>
      <w:sz w:val="16"/>
      <w:szCs w:val="16"/>
    </w:rPr>
  </w:style>
  <w:style w:type="character" w:customStyle="1" w:styleId="218">
    <w:name w:val="正文文本缩进 2 字符"/>
    <w:link w:val="34"/>
    <w:qFormat/>
    <w:uiPriority w:val="0"/>
    <w:rPr>
      <w:rFonts w:ascii="楷体_GB2312" w:eastAsia="楷体_GB2312"/>
      <w:b/>
      <w:sz w:val="28"/>
    </w:rPr>
  </w:style>
  <w:style w:type="character" w:customStyle="1" w:styleId="219">
    <w:name w:val="Char Char9"/>
    <w:qFormat/>
    <w:uiPriority w:val="0"/>
    <w:rPr>
      <w:kern w:val="2"/>
      <w:sz w:val="30"/>
      <w:szCs w:val="24"/>
    </w:rPr>
  </w:style>
  <w:style w:type="character" w:customStyle="1" w:styleId="220">
    <w:name w:val="textcontents"/>
    <w:qFormat/>
    <w:uiPriority w:val="0"/>
    <w:rPr>
      <w:rFonts w:cs="Cambria"/>
    </w:rPr>
  </w:style>
  <w:style w:type="character" w:customStyle="1" w:styleId="221">
    <w:name w:val="批注主题 Char1"/>
    <w:qFormat/>
    <w:uiPriority w:val="0"/>
    <w:rPr>
      <w:rFonts w:eastAsia="宋体"/>
      <w:b/>
      <w:bCs/>
      <w:kern w:val="2"/>
      <w:sz w:val="21"/>
      <w:szCs w:val="24"/>
      <w:lang w:val="en-US" w:eastAsia="zh-CN" w:bidi="ar-SA"/>
    </w:rPr>
  </w:style>
  <w:style w:type="character" w:customStyle="1" w:styleId="222">
    <w:name w:val="批注主题 字符1"/>
    <w:link w:val="52"/>
    <w:qFormat/>
    <w:uiPriority w:val="0"/>
    <w:rPr>
      <w:b/>
      <w:bCs/>
      <w:szCs w:val="24"/>
    </w:rPr>
  </w:style>
  <w:style w:type="character" w:customStyle="1" w:styleId="223">
    <w:name w:val="Char Char33"/>
    <w:qFormat/>
    <w:uiPriority w:val="0"/>
    <w:rPr>
      <w:rFonts w:ascii="黑体" w:eastAsia="黑体"/>
      <w:b/>
      <w:bCs/>
      <w:kern w:val="2"/>
      <w:sz w:val="32"/>
      <w:szCs w:val="32"/>
      <w:lang w:val="en-US" w:eastAsia="zh-CN" w:bidi="ar-SA"/>
    </w:rPr>
  </w:style>
  <w:style w:type="character" w:customStyle="1" w:styleId="224">
    <w:name w:val="Char Char6"/>
    <w:qFormat/>
    <w:uiPriority w:val="0"/>
    <w:rPr>
      <w:kern w:val="2"/>
      <w:sz w:val="21"/>
      <w:szCs w:val="24"/>
    </w:rPr>
  </w:style>
  <w:style w:type="character" w:customStyle="1" w:styleId="225">
    <w:name w:val="Para head"/>
    <w:qFormat/>
    <w:uiPriority w:val="0"/>
    <w:rPr>
      <w:rFonts w:ascii="Arial" w:hAnsi="Arial" w:eastAsia="Times New Roman"/>
      <w:sz w:val="20"/>
    </w:rPr>
  </w:style>
  <w:style w:type="character" w:customStyle="1" w:styleId="226">
    <w:name w:val="Char Char32"/>
    <w:qFormat/>
    <w:uiPriority w:val="0"/>
    <w:rPr>
      <w:rFonts w:ascii="黑体" w:eastAsia="黑体"/>
      <w:b/>
      <w:bCs/>
      <w:kern w:val="2"/>
      <w:sz w:val="28"/>
      <w:szCs w:val="28"/>
    </w:rPr>
  </w:style>
  <w:style w:type="character" w:customStyle="1" w:styleId="227">
    <w:name w:val="Char Char19"/>
    <w:qFormat/>
    <w:uiPriority w:val="0"/>
    <w:rPr>
      <w:rFonts w:ascii="仿宋_GB2312" w:eastAsia="仿宋_GB2312"/>
      <w:sz w:val="28"/>
    </w:rPr>
  </w:style>
  <w:style w:type="character" w:customStyle="1" w:styleId="228">
    <w:name w:val="Char Char14"/>
    <w:qFormat/>
    <w:uiPriority w:val="0"/>
    <w:rPr>
      <w:rFonts w:ascii="仿宋_GB2312" w:eastAsia="仿宋_GB2312"/>
      <w:sz w:val="28"/>
    </w:rPr>
  </w:style>
  <w:style w:type="character" w:customStyle="1" w:styleId="229">
    <w:name w:val="书籍标题1"/>
    <w:qFormat/>
    <w:uiPriority w:val="0"/>
    <w:rPr>
      <w:b/>
      <w:bCs/>
      <w:smallCaps/>
      <w:spacing w:val="5"/>
    </w:rPr>
  </w:style>
  <w:style w:type="character" w:customStyle="1" w:styleId="230">
    <w:name w:val="Char Char24"/>
    <w:qFormat/>
    <w:uiPriority w:val="0"/>
    <w:rPr>
      <w:kern w:val="2"/>
      <w:sz w:val="18"/>
      <w:szCs w:val="18"/>
    </w:rPr>
  </w:style>
  <w:style w:type="character" w:customStyle="1" w:styleId="231">
    <w:name w:val="Char Char281"/>
    <w:qFormat/>
    <w:uiPriority w:val="0"/>
    <w:rPr>
      <w:rFonts w:ascii="Arial" w:hAnsi="Arial" w:eastAsia="黑体"/>
      <w:kern w:val="2"/>
      <w:sz w:val="21"/>
      <w:szCs w:val="24"/>
    </w:rPr>
  </w:style>
  <w:style w:type="character" w:customStyle="1" w:styleId="232">
    <w:name w:val="正文缩进 字符"/>
    <w:link w:val="5"/>
    <w:qFormat/>
    <w:uiPriority w:val="0"/>
  </w:style>
  <w:style w:type="character" w:customStyle="1" w:styleId="233">
    <w:name w:val="页眉 字符"/>
    <w:qFormat/>
    <w:uiPriority w:val="0"/>
    <w:rPr>
      <w:kern w:val="2"/>
      <w:sz w:val="18"/>
      <w:szCs w:val="18"/>
    </w:rPr>
  </w:style>
  <w:style w:type="character" w:customStyle="1" w:styleId="234">
    <w:name w:val="不明显强调1"/>
    <w:qFormat/>
    <w:uiPriority w:val="0"/>
    <w:rPr>
      <w:i/>
      <w:iCs/>
      <w:color w:val="808080"/>
    </w:rPr>
  </w:style>
  <w:style w:type="character" w:customStyle="1" w:styleId="235">
    <w:name w:val="Char Char1"/>
    <w:qFormat/>
    <w:uiPriority w:val="0"/>
    <w:rPr>
      <w:rFonts w:ascii="幼圆" w:hAnsi="Tahoma" w:eastAsia="幼圆" w:cs="Tahoma"/>
      <w:b/>
      <w:bCs/>
      <w:kern w:val="2"/>
      <w:sz w:val="32"/>
      <w:szCs w:val="32"/>
      <w:lang w:val="en-US" w:eastAsia="zh-CN" w:bidi="ar-SA"/>
    </w:rPr>
  </w:style>
  <w:style w:type="character" w:customStyle="1" w:styleId="236">
    <w:name w:val="Char Char Char1"/>
    <w:qFormat/>
    <w:uiPriority w:val="0"/>
    <w:rPr>
      <w:rFonts w:ascii="宋体" w:hAnsi="宋体" w:eastAsia="宋体"/>
      <w:b/>
      <w:sz w:val="24"/>
      <w:lang w:val="en-US" w:eastAsia="zh-CN" w:bidi="ar-SA"/>
    </w:rPr>
  </w:style>
  <w:style w:type="character" w:customStyle="1" w:styleId="237">
    <w:name w:val="itm1"/>
    <w:qFormat/>
    <w:uiPriority w:val="0"/>
    <w:rPr>
      <w:rFonts w:hint="eastAsia" w:ascii="宋体" w:hAnsi="宋体" w:eastAsia="宋体"/>
      <w:sz w:val="21"/>
      <w:szCs w:val="21"/>
    </w:rPr>
  </w:style>
  <w:style w:type="character" w:customStyle="1" w:styleId="238">
    <w:name w:val="标题 5 字符"/>
    <w:qFormat/>
    <w:uiPriority w:val="0"/>
    <w:rPr>
      <w:b/>
      <w:bCs/>
      <w:kern w:val="2"/>
      <w:sz w:val="28"/>
      <w:szCs w:val="28"/>
    </w:rPr>
  </w:style>
  <w:style w:type="character" w:customStyle="1" w:styleId="239">
    <w:name w:val="不明显参考2"/>
    <w:qFormat/>
    <w:uiPriority w:val="0"/>
    <w:rPr>
      <w:smallCaps/>
      <w:color w:val="C0504D"/>
      <w:u w:val="single"/>
    </w:rPr>
  </w:style>
  <w:style w:type="character" w:customStyle="1" w:styleId="240">
    <w:name w:val="Char Char341"/>
    <w:qFormat/>
    <w:uiPriority w:val="0"/>
    <w:rPr>
      <w:rFonts w:ascii="Arial" w:hAnsi="Arial" w:eastAsia="黑体"/>
      <w:b/>
      <w:bCs/>
      <w:kern w:val="2"/>
      <w:sz w:val="32"/>
      <w:szCs w:val="32"/>
    </w:rPr>
  </w:style>
  <w:style w:type="character" w:customStyle="1" w:styleId="241">
    <w:name w:val="Char Char121"/>
    <w:qFormat/>
    <w:uiPriority w:val="0"/>
    <w:rPr>
      <w:rFonts w:eastAsia="宋体"/>
      <w:kern w:val="2"/>
      <w:sz w:val="18"/>
      <w:szCs w:val="18"/>
      <w:lang w:val="en-US" w:eastAsia="zh-CN" w:bidi="ar-SA"/>
    </w:rPr>
  </w:style>
  <w:style w:type="character" w:customStyle="1" w:styleId="242">
    <w:name w:val="Char Char212"/>
    <w:semiHidden/>
    <w:qFormat/>
    <w:uiPriority w:val="0"/>
    <w:rPr>
      <w:rFonts w:eastAsia="华文细黑"/>
      <w:kern w:val="2"/>
      <w:sz w:val="21"/>
      <w:szCs w:val="24"/>
      <w:lang w:val="en-US" w:eastAsia="zh-CN" w:bidi="ar-SA"/>
    </w:rPr>
  </w:style>
  <w:style w:type="character" w:customStyle="1" w:styleId="243">
    <w:name w:val="Char Char191"/>
    <w:qFormat/>
    <w:uiPriority w:val="0"/>
    <w:rPr>
      <w:rFonts w:ascii="仿宋_GB2312" w:eastAsia="仿宋_GB2312"/>
      <w:sz w:val="28"/>
    </w:rPr>
  </w:style>
  <w:style w:type="character" w:customStyle="1" w:styleId="244">
    <w:name w:val="引用 字符"/>
    <w:qFormat/>
    <w:uiPriority w:val="0"/>
    <w:rPr>
      <w:i/>
      <w:iCs/>
      <w:color w:val="000000"/>
      <w:kern w:val="2"/>
      <w:sz w:val="21"/>
      <w:szCs w:val="22"/>
    </w:rPr>
  </w:style>
  <w:style w:type="character" w:customStyle="1" w:styleId="245">
    <w:name w:val="文档结构图 Char"/>
    <w:qFormat/>
    <w:uiPriority w:val="0"/>
    <w:rPr>
      <w:rFonts w:ascii="宋体"/>
      <w:kern w:val="2"/>
      <w:sz w:val="18"/>
      <w:szCs w:val="18"/>
    </w:rPr>
  </w:style>
  <w:style w:type="character" w:customStyle="1" w:styleId="246">
    <w:name w:val="Definition"/>
    <w:qFormat/>
    <w:uiPriority w:val="0"/>
    <w:rPr>
      <w:i/>
    </w:rPr>
  </w:style>
  <w:style w:type="character" w:customStyle="1" w:styleId="247">
    <w:name w:val="HTML Markup"/>
    <w:qFormat/>
    <w:uiPriority w:val="0"/>
    <w:rPr>
      <w:vanish/>
      <w:color w:val="FF0000"/>
    </w:rPr>
  </w:style>
  <w:style w:type="character" w:customStyle="1" w:styleId="248">
    <w:name w:val="页眉 Char"/>
    <w:qFormat/>
    <w:uiPriority w:val="99"/>
    <w:rPr>
      <w:kern w:val="2"/>
      <w:sz w:val="18"/>
      <w:szCs w:val="18"/>
    </w:rPr>
  </w:style>
  <w:style w:type="character" w:customStyle="1" w:styleId="249">
    <w:name w:val="页脚 字符1"/>
    <w:link w:val="36"/>
    <w:qFormat/>
    <w:uiPriority w:val="99"/>
    <w:rPr>
      <w:sz w:val="18"/>
    </w:rPr>
  </w:style>
  <w:style w:type="character" w:customStyle="1" w:styleId="250">
    <w:name w:val="Char Char210"/>
    <w:qFormat/>
    <w:uiPriority w:val="0"/>
    <w:rPr>
      <w:rFonts w:eastAsia="华文细黑"/>
      <w:b/>
      <w:bCs/>
      <w:kern w:val="2"/>
      <w:sz w:val="21"/>
      <w:szCs w:val="24"/>
      <w:lang w:val="en-US" w:eastAsia="zh-CN" w:bidi="ar-SA"/>
    </w:rPr>
  </w:style>
  <w:style w:type="character" w:customStyle="1" w:styleId="251">
    <w:name w:val="结束语 Char1"/>
    <w:qFormat/>
    <w:uiPriority w:val="0"/>
    <w:rPr>
      <w:kern w:val="2"/>
      <w:sz w:val="21"/>
    </w:rPr>
  </w:style>
  <w:style w:type="character" w:customStyle="1" w:styleId="252">
    <w:name w:val="item_01 Char"/>
    <w:link w:val="253"/>
    <w:qFormat/>
    <w:uiPriority w:val="0"/>
    <w:rPr>
      <w:rFonts w:ascii="Times New Roman" w:hAnsi="Times New Roman" w:eastAsia="楷体_GB2312"/>
      <w:color w:val="000000"/>
      <w:sz w:val="24"/>
      <w:szCs w:val="24"/>
    </w:rPr>
  </w:style>
  <w:style w:type="paragraph" w:customStyle="1" w:styleId="253">
    <w:name w:val="item_01"/>
    <w:basedOn w:val="7"/>
    <w:link w:val="252"/>
    <w:qFormat/>
    <w:uiPriority w:val="0"/>
    <w:rPr>
      <w:rFonts w:cstheme="minorBidi"/>
      <w:b w:val="0"/>
      <w:bCs w:val="0"/>
      <w:color w:val="000000"/>
      <w:sz w:val="24"/>
      <w:szCs w:val="24"/>
    </w:rPr>
  </w:style>
  <w:style w:type="character" w:customStyle="1" w:styleId="254">
    <w:name w:val="明显强调2"/>
    <w:qFormat/>
    <w:uiPriority w:val="0"/>
    <w:rPr>
      <w:b/>
      <w:bCs/>
      <w:i/>
      <w:iCs/>
      <w:color w:val="4F81BD"/>
    </w:rPr>
  </w:style>
  <w:style w:type="character" w:customStyle="1" w:styleId="255">
    <w:name w:val="l15 Char"/>
    <w:link w:val="256"/>
    <w:qFormat/>
    <w:uiPriority w:val="0"/>
    <w:rPr>
      <w:color w:val="000000"/>
      <w:sz w:val="23"/>
      <w:szCs w:val="23"/>
    </w:rPr>
  </w:style>
  <w:style w:type="paragraph" w:customStyle="1" w:styleId="256">
    <w:name w:val="l15"/>
    <w:basedOn w:val="1"/>
    <w:link w:val="255"/>
    <w:qFormat/>
    <w:uiPriority w:val="0"/>
    <w:pPr>
      <w:widowControl/>
      <w:spacing w:before="100" w:beforeAutospacing="1" w:after="100" w:afterAutospacing="1" w:line="300" w:lineRule="atLeast"/>
      <w:jc w:val="left"/>
    </w:pPr>
    <w:rPr>
      <w:rFonts w:asciiTheme="minorHAnsi" w:hAnsiTheme="minorHAnsi" w:eastAsiaTheme="minorEastAsia" w:cstheme="minorBidi"/>
      <w:color w:val="000000"/>
      <w:sz w:val="23"/>
      <w:szCs w:val="23"/>
    </w:rPr>
  </w:style>
  <w:style w:type="character" w:customStyle="1" w:styleId="257">
    <w:name w:val="Char Char151"/>
    <w:qFormat/>
    <w:uiPriority w:val="0"/>
    <w:rPr>
      <w:rFonts w:ascii="仿宋_GB2312" w:eastAsia="仿宋_GB2312"/>
      <w:sz w:val="32"/>
    </w:rPr>
  </w:style>
  <w:style w:type="character" w:customStyle="1" w:styleId="258">
    <w:name w:val="Char Char241"/>
    <w:qFormat/>
    <w:uiPriority w:val="0"/>
    <w:rPr>
      <w:kern w:val="2"/>
      <w:sz w:val="18"/>
      <w:szCs w:val="18"/>
    </w:rPr>
  </w:style>
  <w:style w:type="character" w:customStyle="1" w:styleId="259">
    <w:name w:val="Char Char101"/>
    <w:qFormat/>
    <w:uiPriority w:val="0"/>
    <w:rPr>
      <w:rFonts w:ascii="黑体" w:hAnsi="Courier New" w:eastAsia="黑体"/>
    </w:rPr>
  </w:style>
  <w:style w:type="character" w:customStyle="1" w:styleId="260">
    <w:name w:val="Char Char161"/>
    <w:qFormat/>
    <w:uiPriority w:val="0"/>
    <w:rPr>
      <w:b/>
      <w:bCs/>
      <w:kern w:val="2"/>
      <w:sz w:val="21"/>
      <w:szCs w:val="24"/>
    </w:rPr>
  </w:style>
  <w:style w:type="character" w:customStyle="1" w:styleId="261">
    <w:name w:val="脚注文本 字符"/>
    <w:link w:val="41"/>
    <w:qFormat/>
    <w:uiPriority w:val="0"/>
    <w:rPr>
      <w:sz w:val="18"/>
      <w:szCs w:val="18"/>
    </w:rPr>
  </w:style>
  <w:style w:type="character" w:customStyle="1" w:styleId="262">
    <w:name w:val="标题 字符"/>
    <w:qFormat/>
    <w:uiPriority w:val="0"/>
    <w:rPr>
      <w:rFonts w:ascii="Cambria" w:hAnsi="Cambria" w:cs="Times New Roman"/>
      <w:b/>
      <w:bCs/>
      <w:kern w:val="2"/>
      <w:sz w:val="32"/>
      <w:szCs w:val="32"/>
    </w:rPr>
  </w:style>
  <w:style w:type="character" w:customStyle="1" w:styleId="263">
    <w:name w:val="Char Char311"/>
    <w:qFormat/>
    <w:uiPriority w:val="0"/>
    <w:rPr>
      <w:rFonts w:ascii="Arial" w:hAnsi="Arial" w:eastAsia="黑体"/>
      <w:b/>
      <w:kern w:val="2"/>
      <w:sz w:val="24"/>
      <w:szCs w:val="24"/>
    </w:rPr>
  </w:style>
  <w:style w:type="character" w:customStyle="1" w:styleId="264">
    <w:name w:val="CODE"/>
    <w:qFormat/>
    <w:uiPriority w:val="0"/>
    <w:rPr>
      <w:rFonts w:ascii="华文细黑" w:hAnsi="华文细黑"/>
      <w:sz w:val="20"/>
    </w:rPr>
  </w:style>
  <w:style w:type="character" w:customStyle="1" w:styleId="265">
    <w:name w:val="Char Char51"/>
    <w:qFormat/>
    <w:uiPriority w:val="0"/>
    <w:rPr>
      <w:rFonts w:ascii="黑体" w:eastAsia="黑体"/>
      <w:b/>
      <w:bCs/>
      <w:kern w:val="2"/>
      <w:sz w:val="28"/>
      <w:szCs w:val="28"/>
    </w:rPr>
  </w:style>
  <w:style w:type="character" w:customStyle="1" w:styleId="266">
    <w:name w:val="Char Char27"/>
    <w:qFormat/>
    <w:uiPriority w:val="0"/>
    <w:rPr>
      <w:rFonts w:ascii="楷体_GB2312" w:eastAsia="楷体_GB2312"/>
      <w:kern w:val="2"/>
      <w:sz w:val="24"/>
      <w:szCs w:val="24"/>
    </w:rPr>
  </w:style>
  <w:style w:type="character" w:customStyle="1" w:styleId="267">
    <w:name w:val="Char Char111"/>
    <w:qFormat/>
    <w:uiPriority w:val="0"/>
    <w:rPr>
      <w:rFonts w:ascii="楷体_GB2312" w:eastAsia="楷体_GB2312"/>
      <w:b/>
      <w:kern w:val="2"/>
      <w:sz w:val="28"/>
      <w:szCs w:val="24"/>
    </w:rPr>
  </w:style>
  <w:style w:type="character" w:customStyle="1" w:styleId="268">
    <w:name w:val="标题 5 字符1"/>
    <w:link w:val="8"/>
    <w:qFormat/>
    <w:uiPriority w:val="0"/>
    <w:rPr>
      <w:rFonts w:ascii="楷体_GB2312" w:hAnsi="Times New Roman" w:eastAsia="楷体_GB2312" w:cs="Times New Roman"/>
      <w:bCs/>
      <w:sz w:val="28"/>
      <w:szCs w:val="20"/>
    </w:rPr>
  </w:style>
  <w:style w:type="character" w:customStyle="1" w:styleId="269">
    <w:name w:val="Char Char221"/>
    <w:qFormat/>
    <w:uiPriority w:val="0"/>
  </w:style>
  <w:style w:type="character" w:customStyle="1" w:styleId="270">
    <w:name w:val="正文文本 字符1"/>
    <w:link w:val="25"/>
    <w:qFormat/>
    <w:uiPriority w:val="0"/>
    <w:rPr>
      <w:rFonts w:ascii="华文中宋" w:eastAsia="华文中宋"/>
      <w:bCs/>
      <w:sz w:val="28"/>
    </w:rPr>
  </w:style>
  <w:style w:type="character" w:customStyle="1" w:styleId="271">
    <w:name w:val="Char Char321"/>
    <w:qFormat/>
    <w:uiPriority w:val="0"/>
    <w:rPr>
      <w:rFonts w:ascii="黑体" w:eastAsia="黑体"/>
      <w:b/>
      <w:bCs/>
      <w:kern w:val="2"/>
      <w:sz w:val="28"/>
      <w:szCs w:val="28"/>
    </w:rPr>
  </w:style>
  <w:style w:type="character" w:customStyle="1" w:styleId="272">
    <w:name w:val="样式 标题 3 + (中文) 黑体 小四 非加粗 段前: 7.8 磅 段后: 0 磅 行距: 固定值 20 磅 Char"/>
    <w:qFormat/>
    <w:uiPriority w:val="0"/>
    <w:rPr>
      <w:rFonts w:ascii="幼圆" w:hAnsi="华文细黑" w:eastAsia="幼圆" w:cs="华文细黑"/>
      <w:b/>
      <w:bCs/>
      <w:kern w:val="2"/>
      <w:sz w:val="24"/>
      <w:lang w:val="en-US" w:eastAsia="zh-CN" w:bidi="ar-SA"/>
    </w:rPr>
  </w:style>
  <w:style w:type="character" w:customStyle="1" w:styleId="273">
    <w:name w:val="Char Char61"/>
    <w:qFormat/>
    <w:uiPriority w:val="0"/>
    <w:rPr>
      <w:kern w:val="2"/>
      <w:sz w:val="21"/>
      <w:szCs w:val="24"/>
    </w:rPr>
  </w:style>
  <w:style w:type="character" w:customStyle="1" w:styleId="274">
    <w:name w:val="明显参考2"/>
    <w:qFormat/>
    <w:uiPriority w:val="0"/>
    <w:rPr>
      <w:b/>
      <w:bCs/>
      <w:smallCaps/>
      <w:color w:val="C0504D"/>
      <w:spacing w:val="5"/>
      <w:u w:val="single"/>
    </w:rPr>
  </w:style>
  <w:style w:type="character" w:customStyle="1" w:styleId="275">
    <w:name w:val="font21"/>
    <w:qFormat/>
    <w:uiPriority w:val="0"/>
    <w:rPr>
      <w:rFonts w:hint="eastAsia" w:ascii="宋体" w:hAnsi="宋体" w:eastAsia="宋体" w:cs="宋体"/>
      <w:color w:val="000000"/>
      <w:sz w:val="21"/>
      <w:szCs w:val="21"/>
      <w:u w:val="none"/>
    </w:rPr>
  </w:style>
  <w:style w:type="character" w:customStyle="1" w:styleId="276">
    <w:name w:val="Char Char131"/>
    <w:qFormat/>
    <w:uiPriority w:val="0"/>
    <w:rPr>
      <w:kern w:val="2"/>
      <w:sz w:val="28"/>
      <w:szCs w:val="24"/>
    </w:rPr>
  </w:style>
  <w:style w:type="character" w:customStyle="1" w:styleId="277">
    <w:name w:val="Char Char71"/>
    <w:qFormat/>
    <w:uiPriority w:val="0"/>
    <w:rPr>
      <w:rFonts w:ascii="幼圆" w:hAnsi="幼圆" w:eastAsia="Times New Roman"/>
      <w:b/>
      <w:bCs/>
      <w:kern w:val="28"/>
      <w:sz w:val="32"/>
      <w:szCs w:val="32"/>
      <w:lang w:val="en-US" w:eastAsia="zh-CN"/>
    </w:rPr>
  </w:style>
  <w:style w:type="character" w:customStyle="1" w:styleId="278">
    <w:name w:val="Char Char11"/>
    <w:qFormat/>
    <w:uiPriority w:val="0"/>
    <w:rPr>
      <w:rFonts w:ascii="楷体_GB2312" w:eastAsia="楷体_GB2312"/>
      <w:b/>
      <w:kern w:val="2"/>
      <w:sz w:val="28"/>
      <w:szCs w:val="24"/>
    </w:rPr>
  </w:style>
  <w:style w:type="character" w:customStyle="1" w:styleId="279">
    <w:name w:val="批注框文本 字符1"/>
    <w:link w:val="35"/>
    <w:qFormat/>
    <w:uiPriority w:val="0"/>
    <w:rPr>
      <w:sz w:val="18"/>
      <w:szCs w:val="18"/>
    </w:rPr>
  </w:style>
  <w:style w:type="character" w:customStyle="1" w:styleId="280">
    <w:name w:val="批注框文本 Char1"/>
    <w:qFormat/>
    <w:uiPriority w:val="0"/>
    <w:rPr>
      <w:kern w:val="2"/>
      <w:sz w:val="18"/>
      <w:szCs w:val="18"/>
    </w:rPr>
  </w:style>
  <w:style w:type="paragraph" w:customStyle="1" w:styleId="281">
    <w:name w:val="标题0"/>
    <w:basedOn w:val="51"/>
    <w:next w:val="51"/>
    <w:qFormat/>
    <w:uiPriority w:val="0"/>
    <w:rPr>
      <w:sz w:val="52"/>
    </w:rPr>
  </w:style>
  <w:style w:type="paragraph" w:customStyle="1" w:styleId="282">
    <w:name w:val="_Style 228"/>
    <w:basedOn w:val="1"/>
    <w:next w:val="100"/>
    <w:qFormat/>
    <w:uiPriority w:val="34"/>
    <w:pPr>
      <w:ind w:firstLine="420" w:firstLineChars="200"/>
    </w:pPr>
    <w:rPr>
      <w:rFonts w:ascii="Calibri" w:hAnsi="Calibri"/>
      <w:szCs w:val="22"/>
    </w:rPr>
  </w:style>
  <w:style w:type="paragraph" w:customStyle="1" w:styleId="283">
    <w:name w:val="font5"/>
    <w:basedOn w:val="1"/>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84">
    <w:name w:val="正文文本 2 Char"/>
    <w:basedOn w:val="56"/>
    <w:semiHidden/>
    <w:qFormat/>
    <w:uiPriority w:val="99"/>
    <w:rPr>
      <w:rFonts w:ascii="Times New Roman" w:hAnsi="Times New Roman" w:eastAsia="宋体" w:cs="Times New Roman"/>
      <w:szCs w:val="20"/>
    </w:rPr>
  </w:style>
  <w:style w:type="paragraph" w:customStyle="1" w:styleId="285">
    <w:name w:val="默认段落字体 Para Char Char Char"/>
    <w:basedOn w:val="1"/>
    <w:qFormat/>
    <w:uiPriority w:val="0"/>
    <w:rPr>
      <w:szCs w:val="24"/>
    </w:rPr>
  </w:style>
  <w:style w:type="character" w:customStyle="1" w:styleId="286">
    <w:name w:val="HTML 预设格式 Char"/>
    <w:basedOn w:val="56"/>
    <w:semiHidden/>
    <w:qFormat/>
    <w:uiPriority w:val="99"/>
    <w:rPr>
      <w:rFonts w:ascii="Courier New" w:hAnsi="Courier New" w:eastAsia="宋体" w:cs="Courier New"/>
      <w:sz w:val="20"/>
      <w:szCs w:val="20"/>
    </w:rPr>
  </w:style>
  <w:style w:type="paragraph" w:customStyle="1" w:styleId="287">
    <w:name w:val="Char Char Char Char Char Char Char Char Char Char Char Char Char Char Char Char1"/>
    <w:basedOn w:val="1"/>
    <w:qFormat/>
    <w:uiPriority w:val="0"/>
    <w:pPr>
      <w:tabs>
        <w:tab w:val="left" w:pos="360"/>
      </w:tabs>
    </w:pPr>
    <w:rPr>
      <w:sz w:val="24"/>
      <w:szCs w:val="24"/>
    </w:rPr>
  </w:style>
  <w:style w:type="paragraph" w:customStyle="1" w:styleId="288">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character" w:customStyle="1" w:styleId="289">
    <w:name w:val="副标题 Char"/>
    <w:basedOn w:val="56"/>
    <w:qFormat/>
    <w:uiPriority w:val="11"/>
    <w:rPr>
      <w:rFonts w:eastAsia="宋体" w:asciiTheme="majorHAnsi" w:hAnsiTheme="majorHAnsi" w:cstheme="majorBidi"/>
      <w:b/>
      <w:bCs/>
      <w:kern w:val="28"/>
      <w:sz w:val="32"/>
      <w:szCs w:val="32"/>
    </w:rPr>
  </w:style>
  <w:style w:type="character" w:customStyle="1" w:styleId="290">
    <w:name w:val="页脚 Char"/>
    <w:basedOn w:val="56"/>
    <w:semiHidden/>
    <w:qFormat/>
    <w:uiPriority w:val="99"/>
    <w:rPr>
      <w:rFonts w:ascii="Times New Roman" w:hAnsi="Times New Roman" w:eastAsia="宋体" w:cs="Times New Roman"/>
      <w:sz w:val="18"/>
      <w:szCs w:val="18"/>
    </w:rPr>
  </w:style>
  <w:style w:type="paragraph" w:customStyle="1" w:styleId="2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292">
    <w:name w:val="表格标题"/>
    <w:basedOn w:val="1"/>
    <w:qFormat/>
    <w:uiPriority w:val="0"/>
    <w:pPr>
      <w:adjustRightInd w:val="0"/>
      <w:spacing w:before="120" w:line="400" w:lineRule="exact"/>
      <w:jc w:val="center"/>
      <w:textAlignment w:val="baseline"/>
    </w:pPr>
    <w:rPr>
      <w:rFonts w:eastAsia="文鼎CS中宋"/>
      <w:spacing w:val="8"/>
      <w:kern w:val="0"/>
      <w:sz w:val="24"/>
    </w:rPr>
  </w:style>
  <w:style w:type="paragraph" w:customStyle="1" w:styleId="293">
    <w:name w:val="目录文字"/>
    <w:basedOn w:val="1"/>
    <w:qFormat/>
    <w:uiPriority w:val="0"/>
    <w:pPr>
      <w:widowControl/>
      <w:spacing w:line="480" w:lineRule="auto"/>
      <w:jc w:val="left"/>
    </w:pPr>
    <w:rPr>
      <w:rFonts w:ascii="宋体" w:hAnsi="宋体"/>
      <w:kern w:val="0"/>
      <w:sz w:val="24"/>
    </w:rPr>
  </w:style>
  <w:style w:type="character" w:customStyle="1" w:styleId="294">
    <w:name w:val="批注框文本 Char"/>
    <w:basedOn w:val="56"/>
    <w:semiHidden/>
    <w:qFormat/>
    <w:uiPriority w:val="99"/>
    <w:rPr>
      <w:rFonts w:ascii="Times New Roman" w:hAnsi="Times New Roman" w:eastAsia="宋体" w:cs="Times New Roman"/>
      <w:sz w:val="18"/>
      <w:szCs w:val="18"/>
    </w:rPr>
  </w:style>
  <w:style w:type="character" w:customStyle="1" w:styleId="295">
    <w:name w:val="正文文本缩进 2 Char"/>
    <w:basedOn w:val="56"/>
    <w:semiHidden/>
    <w:qFormat/>
    <w:uiPriority w:val="99"/>
    <w:rPr>
      <w:rFonts w:ascii="Times New Roman" w:hAnsi="Times New Roman" w:eastAsia="宋体" w:cs="Times New Roman"/>
      <w:szCs w:val="20"/>
    </w:rPr>
  </w:style>
  <w:style w:type="paragraph" w:customStyle="1" w:styleId="296">
    <w:name w:val="Char Char Char Char Char Char Char Char Char Char Char Char Char Char Char Char"/>
    <w:basedOn w:val="1"/>
    <w:qFormat/>
    <w:uiPriority w:val="0"/>
    <w:pPr>
      <w:tabs>
        <w:tab w:val="left" w:pos="360"/>
      </w:tabs>
    </w:pPr>
    <w:rPr>
      <w:sz w:val="24"/>
      <w:szCs w:val="24"/>
    </w:rPr>
  </w:style>
  <w:style w:type="character" w:customStyle="1" w:styleId="297">
    <w:name w:val="纯文本 Char"/>
    <w:basedOn w:val="56"/>
    <w:semiHidden/>
    <w:qFormat/>
    <w:uiPriority w:val="99"/>
    <w:rPr>
      <w:rFonts w:ascii="宋体" w:hAnsi="Courier New" w:eastAsia="宋体" w:cs="Courier New"/>
      <w:szCs w:val="21"/>
    </w:rPr>
  </w:style>
  <w:style w:type="paragraph" w:customStyle="1" w:styleId="298">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character" w:customStyle="1" w:styleId="299">
    <w:name w:val="文档结构图 Char2"/>
    <w:basedOn w:val="56"/>
    <w:semiHidden/>
    <w:qFormat/>
    <w:uiPriority w:val="99"/>
    <w:rPr>
      <w:rFonts w:ascii="Microsoft YaHei UI" w:hAnsi="Times New Roman" w:eastAsia="Microsoft YaHei UI" w:cs="Times New Roman"/>
      <w:sz w:val="18"/>
      <w:szCs w:val="18"/>
    </w:rPr>
  </w:style>
  <w:style w:type="paragraph" w:customStyle="1" w:styleId="300">
    <w:name w:val="表头"/>
    <w:basedOn w:val="1"/>
    <w:qFormat/>
    <w:uiPriority w:val="0"/>
    <w:pPr>
      <w:adjustRightInd w:val="0"/>
      <w:snapToGrid w:val="0"/>
      <w:spacing w:line="320" w:lineRule="atLeast"/>
      <w:jc w:val="center"/>
      <w:textAlignment w:val="baseline"/>
    </w:pPr>
    <w:rPr>
      <w:rFonts w:eastAsia="黑体"/>
      <w:spacing w:val="-10"/>
      <w:kern w:val="0"/>
    </w:rPr>
  </w:style>
  <w:style w:type="character" w:customStyle="1" w:styleId="301">
    <w:name w:val="批注文字 字符2"/>
    <w:basedOn w:val="56"/>
    <w:link w:val="19"/>
    <w:semiHidden/>
    <w:qFormat/>
    <w:uiPriority w:val="99"/>
    <w:rPr>
      <w:rFonts w:ascii="Times New Roman" w:hAnsi="Times New Roman" w:eastAsia="宋体" w:cs="Times New Roman"/>
      <w:szCs w:val="20"/>
    </w:rPr>
  </w:style>
  <w:style w:type="character" w:customStyle="1" w:styleId="302">
    <w:name w:val="批注主题 Char"/>
    <w:basedOn w:val="301"/>
    <w:semiHidden/>
    <w:qFormat/>
    <w:uiPriority w:val="99"/>
    <w:rPr>
      <w:rFonts w:ascii="Times New Roman" w:hAnsi="Times New Roman" w:eastAsia="宋体" w:cs="Times New Roman"/>
      <w:b/>
      <w:bCs/>
      <w:szCs w:val="20"/>
    </w:rPr>
  </w:style>
  <w:style w:type="paragraph" w:customStyle="1" w:styleId="303">
    <w:name w:val="TOC 标题1"/>
    <w:basedOn w:val="3"/>
    <w:next w:val="1"/>
    <w:qFormat/>
    <w:uiPriority w:val="0"/>
    <w:pPr>
      <w:keepLines/>
      <w:tabs>
        <w:tab w:val="left" w:pos="1800"/>
      </w:tabs>
      <w:spacing w:before="340" w:after="330" w:line="578" w:lineRule="auto"/>
      <w:jc w:val="both"/>
      <w:outlineLvl w:val="9"/>
    </w:pPr>
    <w:rPr>
      <w:rFonts w:ascii="Cambria" w:hAnsi="Cambria" w:eastAsia="华文细黑" w:cs="Cambria"/>
      <w:bCs/>
      <w:kern w:val="44"/>
      <w:sz w:val="44"/>
      <w:szCs w:val="44"/>
    </w:rPr>
  </w:style>
  <w:style w:type="paragraph" w:customStyle="1" w:styleId="304">
    <w:name w:val="Char Char Char Char Char Char Char Char Char Char11"/>
    <w:basedOn w:val="1"/>
    <w:qFormat/>
    <w:uiPriority w:val="0"/>
    <w:pPr>
      <w:tabs>
        <w:tab w:val="left" w:pos="1200"/>
        <w:tab w:val="left" w:pos="1800"/>
      </w:tabs>
      <w:ind w:left="1200" w:hanging="720"/>
    </w:pPr>
    <w:rPr>
      <w:sz w:val="24"/>
      <w:szCs w:val="24"/>
    </w:rPr>
  </w:style>
  <w:style w:type="character" w:customStyle="1" w:styleId="305">
    <w:name w:val="正文文本缩进 3 Char"/>
    <w:basedOn w:val="56"/>
    <w:semiHidden/>
    <w:qFormat/>
    <w:uiPriority w:val="99"/>
    <w:rPr>
      <w:rFonts w:ascii="Times New Roman" w:hAnsi="Times New Roman" w:eastAsia="宋体" w:cs="Times New Roman"/>
      <w:sz w:val="16"/>
      <w:szCs w:val="16"/>
    </w:rPr>
  </w:style>
  <w:style w:type="paragraph" w:customStyle="1" w:styleId="306">
    <w:name w:val="CM50"/>
    <w:basedOn w:val="307"/>
    <w:next w:val="307"/>
    <w:semiHidden/>
    <w:qFormat/>
    <w:uiPriority w:val="0"/>
    <w:pPr>
      <w:spacing w:line="468" w:lineRule="atLeast"/>
    </w:pPr>
    <w:rPr>
      <w:color w:val="auto"/>
    </w:rPr>
  </w:style>
  <w:style w:type="paragraph" w:customStyle="1" w:styleId="307">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308">
    <w:name w:val="页眉 Char1"/>
    <w:basedOn w:val="56"/>
    <w:semiHidden/>
    <w:qFormat/>
    <w:uiPriority w:val="99"/>
    <w:rPr>
      <w:rFonts w:ascii="Times New Roman" w:hAnsi="Times New Roman" w:eastAsia="宋体" w:cs="Times New Roman"/>
      <w:sz w:val="18"/>
      <w:szCs w:val="18"/>
    </w:rPr>
  </w:style>
  <w:style w:type="paragraph" w:customStyle="1" w:styleId="30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10">
    <w:name w:val="正文文本缩进 Char2"/>
    <w:basedOn w:val="56"/>
    <w:semiHidden/>
    <w:qFormat/>
    <w:uiPriority w:val="99"/>
    <w:rPr>
      <w:rFonts w:ascii="Times New Roman" w:hAnsi="Times New Roman" w:eastAsia="宋体" w:cs="Times New Roman"/>
      <w:szCs w:val="20"/>
    </w:rPr>
  </w:style>
  <w:style w:type="character" w:customStyle="1" w:styleId="311">
    <w:name w:val="正文文本 3 Char"/>
    <w:basedOn w:val="56"/>
    <w:semiHidden/>
    <w:qFormat/>
    <w:uiPriority w:val="99"/>
    <w:rPr>
      <w:rFonts w:ascii="Times New Roman" w:hAnsi="Times New Roman" w:eastAsia="宋体" w:cs="Times New Roman"/>
      <w:sz w:val="16"/>
      <w:szCs w:val="16"/>
    </w:rPr>
  </w:style>
  <w:style w:type="paragraph" w:customStyle="1" w:styleId="312">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13">
    <w:name w:val="CM7"/>
    <w:basedOn w:val="307"/>
    <w:next w:val="307"/>
    <w:semiHidden/>
    <w:qFormat/>
    <w:uiPriority w:val="0"/>
    <w:pPr>
      <w:spacing w:line="468" w:lineRule="atLeast"/>
    </w:pPr>
    <w:rPr>
      <w:color w:val="auto"/>
    </w:rPr>
  </w:style>
  <w:style w:type="paragraph" w:customStyle="1" w:styleId="314">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15">
    <w:name w:val="标题 Char"/>
    <w:basedOn w:val="56"/>
    <w:qFormat/>
    <w:uiPriority w:val="10"/>
    <w:rPr>
      <w:rFonts w:eastAsia="宋体" w:asciiTheme="majorHAnsi" w:hAnsiTheme="majorHAnsi" w:cstheme="majorBidi"/>
      <w:b/>
      <w:bCs/>
      <w:sz w:val="32"/>
      <w:szCs w:val="32"/>
    </w:rPr>
  </w:style>
  <w:style w:type="paragraph" w:customStyle="1" w:styleId="316">
    <w:name w:val="修订1"/>
    <w:qFormat/>
    <w:uiPriority w:val="0"/>
    <w:rPr>
      <w:rFonts w:ascii="Times New Roman" w:hAnsi="Times New Roman" w:eastAsia="宋体" w:cs="Times New Roman"/>
      <w:kern w:val="2"/>
      <w:sz w:val="21"/>
      <w:szCs w:val="20"/>
      <w:lang w:val="en-US" w:eastAsia="zh-CN" w:bidi="ar-SA"/>
    </w:rPr>
  </w:style>
  <w:style w:type="paragraph" w:customStyle="1" w:styleId="317">
    <w:name w:val="表格"/>
    <w:basedOn w:val="1"/>
    <w:qFormat/>
    <w:uiPriority w:val="0"/>
    <w:pPr>
      <w:jc w:val="center"/>
    </w:pPr>
    <w:rPr>
      <w:szCs w:val="21"/>
    </w:rPr>
  </w:style>
  <w:style w:type="character" w:customStyle="1" w:styleId="318">
    <w:name w:val="正文文本 Char"/>
    <w:basedOn w:val="56"/>
    <w:semiHidden/>
    <w:qFormat/>
    <w:uiPriority w:val="99"/>
    <w:rPr>
      <w:rFonts w:ascii="Times New Roman" w:hAnsi="Times New Roman" w:eastAsia="宋体" w:cs="Times New Roman"/>
      <w:szCs w:val="20"/>
    </w:rPr>
  </w:style>
  <w:style w:type="paragraph" w:customStyle="1" w:styleId="319">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320">
    <w:name w:val="Char Char Char Char Char Char1"/>
    <w:basedOn w:val="1"/>
    <w:qFormat/>
    <w:uiPriority w:val="0"/>
    <w:pPr>
      <w:widowControl/>
      <w:spacing w:after="160" w:line="240" w:lineRule="exact"/>
      <w:jc w:val="left"/>
    </w:pPr>
    <w:rPr>
      <w:rFonts w:ascii="黑体" w:hAnsi="Verdana" w:eastAsia="黑体"/>
      <w:kern w:val="0"/>
      <w:sz w:val="32"/>
      <w:szCs w:val="32"/>
    </w:rPr>
  </w:style>
  <w:style w:type="paragraph" w:customStyle="1" w:styleId="3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322">
    <w:name w:val="Default Paragraph Font Para Char"/>
    <w:basedOn w:val="1"/>
    <w:qFormat/>
    <w:uiPriority w:val="0"/>
    <w:pPr>
      <w:widowControl/>
      <w:spacing w:after="160" w:line="240" w:lineRule="exact"/>
      <w:jc w:val="left"/>
    </w:pPr>
    <w:rPr>
      <w:szCs w:val="24"/>
    </w:rPr>
  </w:style>
  <w:style w:type="paragraph" w:customStyle="1" w:styleId="3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character" w:customStyle="1" w:styleId="324">
    <w:name w:val="称呼 Char"/>
    <w:basedOn w:val="56"/>
    <w:semiHidden/>
    <w:qFormat/>
    <w:uiPriority w:val="99"/>
    <w:rPr>
      <w:rFonts w:ascii="Times New Roman" w:hAnsi="Times New Roman" w:eastAsia="宋体" w:cs="Times New Roman"/>
      <w:szCs w:val="20"/>
    </w:rPr>
  </w:style>
  <w:style w:type="paragraph" w:customStyle="1" w:styleId="325">
    <w:name w:val="Char Char Char Char Char Char Char Char Char Char2"/>
    <w:basedOn w:val="1"/>
    <w:qFormat/>
    <w:uiPriority w:val="0"/>
    <w:pPr>
      <w:tabs>
        <w:tab w:val="left" w:pos="1200"/>
        <w:tab w:val="left" w:pos="1800"/>
      </w:tabs>
    </w:pPr>
    <w:rPr>
      <w:sz w:val="24"/>
      <w:szCs w:val="24"/>
    </w:rPr>
  </w:style>
  <w:style w:type="character" w:customStyle="1" w:styleId="326">
    <w:name w:val="结束语 Char"/>
    <w:basedOn w:val="56"/>
    <w:semiHidden/>
    <w:qFormat/>
    <w:uiPriority w:val="99"/>
    <w:rPr>
      <w:rFonts w:ascii="Times New Roman" w:hAnsi="Times New Roman" w:eastAsia="宋体" w:cs="Times New Roman"/>
      <w:szCs w:val="20"/>
    </w:rPr>
  </w:style>
  <w:style w:type="paragraph" w:customStyle="1" w:styleId="327">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character" w:customStyle="1" w:styleId="329">
    <w:name w:val="脚注文本 Char"/>
    <w:basedOn w:val="56"/>
    <w:semiHidden/>
    <w:qFormat/>
    <w:uiPriority w:val="99"/>
    <w:rPr>
      <w:rFonts w:ascii="Times New Roman" w:hAnsi="Times New Roman" w:eastAsia="宋体" w:cs="Times New Roman"/>
      <w:sz w:val="18"/>
      <w:szCs w:val="18"/>
    </w:rPr>
  </w:style>
  <w:style w:type="character" w:customStyle="1" w:styleId="330">
    <w:name w:val="日期 Char"/>
    <w:basedOn w:val="56"/>
    <w:semiHidden/>
    <w:qFormat/>
    <w:uiPriority w:val="99"/>
    <w:rPr>
      <w:rFonts w:ascii="Times New Roman" w:hAnsi="Times New Roman" w:eastAsia="宋体" w:cs="Times New Roman"/>
      <w:szCs w:val="20"/>
    </w:rPr>
  </w:style>
  <w:style w:type="paragraph" w:customStyle="1" w:styleId="331">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32">
    <w:name w:val="_Style 5"/>
    <w:basedOn w:val="3"/>
    <w:next w:val="1"/>
    <w:qFormat/>
    <w:uiPriority w:val="0"/>
    <w:pPr>
      <w:jc w:val="both"/>
      <w:outlineLvl w:val="9"/>
    </w:pPr>
    <w:rPr>
      <w:rFonts w:ascii="Cambria" w:hAnsi="Cambria" w:eastAsia="华文细黑" w:cs="Cambria"/>
    </w:rPr>
  </w:style>
  <w:style w:type="paragraph" w:customStyle="1" w:styleId="333">
    <w:name w:val="CM111"/>
    <w:basedOn w:val="307"/>
    <w:next w:val="307"/>
    <w:semiHidden/>
    <w:qFormat/>
    <w:uiPriority w:val="0"/>
    <w:pPr>
      <w:spacing w:line="508" w:lineRule="atLeast"/>
    </w:pPr>
    <w:rPr>
      <w:color w:val="auto"/>
    </w:rPr>
  </w:style>
  <w:style w:type="paragraph" w:customStyle="1" w:styleId="334">
    <w:name w:val="列表_名词"/>
    <w:basedOn w:val="335"/>
    <w:qFormat/>
    <w:uiPriority w:val="0"/>
    <w:pPr>
      <w:tabs>
        <w:tab w:val="left" w:pos="2745"/>
      </w:tabs>
      <w:ind w:left="2745" w:hanging="420"/>
    </w:pPr>
  </w:style>
  <w:style w:type="paragraph" w:customStyle="1" w:styleId="335">
    <w:name w:val="名词解释11"/>
    <w:basedOn w:val="336"/>
    <w:qFormat/>
    <w:uiPriority w:val="0"/>
    <w:pPr>
      <w:spacing w:after="0"/>
      <w:ind w:firstLine="0"/>
    </w:pPr>
  </w:style>
  <w:style w:type="paragraph" w:customStyle="1" w:styleId="336">
    <w:name w:val="名词解释"/>
    <w:basedOn w:val="1"/>
    <w:qFormat/>
    <w:uiPriority w:val="0"/>
    <w:pPr>
      <w:adjustRightInd w:val="0"/>
      <w:spacing w:after="20" w:line="288" w:lineRule="auto"/>
      <w:ind w:left="2325" w:hanging="2325"/>
      <w:textAlignment w:val="baseline"/>
    </w:pPr>
    <w:rPr>
      <w:kern w:val="0"/>
    </w:rPr>
  </w:style>
  <w:style w:type="paragraph" w:customStyle="1" w:styleId="33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39">
    <w:name w:val="修订2"/>
    <w:qFormat/>
    <w:uiPriority w:val="0"/>
    <w:rPr>
      <w:rFonts w:ascii="Times New Roman" w:hAnsi="Times New Roman" w:eastAsia="宋体" w:cs="Times New Roman"/>
      <w:kern w:val="2"/>
      <w:sz w:val="21"/>
      <w:szCs w:val="20"/>
      <w:lang w:val="en-US" w:eastAsia="zh-CN" w:bidi="ar-SA"/>
    </w:rPr>
  </w:style>
  <w:style w:type="paragraph" w:customStyle="1" w:styleId="340">
    <w:name w:val="样式 (西文) 仿宋_GB2312 居中 行距: 1.5 倍行距"/>
    <w:basedOn w:val="1"/>
    <w:qFormat/>
    <w:uiPriority w:val="0"/>
    <w:pPr>
      <w:spacing w:line="360" w:lineRule="auto"/>
      <w:jc w:val="center"/>
    </w:pPr>
    <w:rPr>
      <w:rFonts w:ascii="华文细黑" w:hAnsi="华文细黑" w:eastAsia="华文细黑" w:cs="华文细黑"/>
      <w:kern w:val="0"/>
    </w:rPr>
  </w:style>
  <w:style w:type="character" w:customStyle="1" w:styleId="341">
    <w:name w:val="引用 Char"/>
    <w:basedOn w:val="56"/>
    <w:qFormat/>
    <w:uiPriority w:val="29"/>
    <w:rPr>
      <w:rFonts w:ascii="Times New Roman" w:hAnsi="Times New Roman" w:eastAsia="宋体" w:cs="Times New Roman"/>
      <w:i/>
      <w:iCs/>
      <w:color w:val="404040" w:themeColor="text1" w:themeTint="BF"/>
      <w:szCs w:val="20"/>
      <w14:textFill>
        <w14:solidFill>
          <w14:schemeClr w14:val="tx1">
            <w14:lumMod w14:val="75000"/>
            <w14:lumOff w14:val="25000"/>
          </w14:schemeClr>
        </w14:solidFill>
      </w14:textFill>
    </w:rPr>
  </w:style>
  <w:style w:type="paragraph" w:customStyle="1" w:styleId="342">
    <w:name w:val="Char"/>
    <w:basedOn w:val="1"/>
    <w:qFormat/>
    <w:uiPriority w:val="0"/>
    <w:pPr>
      <w:spacing w:line="240" w:lineRule="atLeast"/>
      <w:ind w:left="420" w:firstLine="420"/>
    </w:pPr>
    <w:rPr>
      <w:kern w:val="0"/>
      <w:szCs w:val="21"/>
    </w:rPr>
  </w:style>
  <w:style w:type="paragraph" w:customStyle="1" w:styleId="343">
    <w:name w:val="p0"/>
    <w:basedOn w:val="1"/>
    <w:qFormat/>
    <w:uiPriority w:val="0"/>
    <w:pPr>
      <w:widowControl/>
    </w:pPr>
    <w:rPr>
      <w:kern w:val="0"/>
      <w:szCs w:val="21"/>
    </w:rPr>
  </w:style>
  <w:style w:type="paragraph" w:customStyle="1" w:styleId="344">
    <w:name w:val="项目符号1"/>
    <w:basedOn w:val="1"/>
    <w:qFormat/>
    <w:uiPriority w:val="0"/>
    <w:pPr>
      <w:ind w:firstLine="400"/>
    </w:p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46">
    <w:name w:val="CM145"/>
    <w:basedOn w:val="307"/>
    <w:next w:val="307"/>
    <w:semiHidden/>
    <w:qFormat/>
    <w:uiPriority w:val="0"/>
    <w:pPr>
      <w:spacing w:after="127"/>
    </w:pPr>
    <w:rPr>
      <w:color w:val="auto"/>
    </w:rPr>
  </w:style>
  <w:style w:type="paragraph" w:customStyle="1" w:styleId="347">
    <w:name w:val="标准式样"/>
    <w:basedOn w:val="45"/>
    <w:qFormat/>
    <w:uiPriority w:val="0"/>
    <w:pPr>
      <w:adjustRightInd w:val="0"/>
      <w:spacing w:line="288" w:lineRule="auto"/>
      <w:ind w:left="210" w:leftChars="0" w:firstLine="420"/>
      <w:jc w:val="left"/>
      <w:textAlignment w:val="baseline"/>
    </w:pPr>
    <w:rPr>
      <w:smallCaps/>
      <w:sz w:val="20"/>
    </w:rPr>
  </w:style>
  <w:style w:type="paragraph" w:customStyle="1" w:styleId="34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49">
    <w:name w:val="Definition List"/>
    <w:basedOn w:val="1"/>
    <w:next w:val="350"/>
    <w:qFormat/>
    <w:uiPriority w:val="0"/>
    <w:pPr>
      <w:autoSpaceDE w:val="0"/>
      <w:autoSpaceDN w:val="0"/>
      <w:adjustRightInd w:val="0"/>
      <w:ind w:left="360"/>
      <w:jc w:val="left"/>
    </w:pPr>
    <w:rPr>
      <w:kern w:val="0"/>
      <w:sz w:val="24"/>
    </w:rPr>
  </w:style>
  <w:style w:type="paragraph" w:customStyle="1" w:styleId="350">
    <w:name w:val="Definition Term"/>
    <w:basedOn w:val="1"/>
    <w:next w:val="349"/>
    <w:qFormat/>
    <w:uiPriority w:val="0"/>
    <w:pPr>
      <w:autoSpaceDE w:val="0"/>
      <w:autoSpaceDN w:val="0"/>
      <w:adjustRightInd w:val="0"/>
      <w:jc w:val="left"/>
    </w:pPr>
    <w:rPr>
      <w:kern w:val="0"/>
      <w:sz w:val="24"/>
    </w:rPr>
  </w:style>
  <w:style w:type="paragraph" w:customStyle="1" w:styleId="351">
    <w:name w:val="标准文字"/>
    <w:basedOn w:val="1"/>
    <w:qFormat/>
    <w:uiPriority w:val="0"/>
    <w:pPr>
      <w:adjustRightInd w:val="0"/>
      <w:spacing w:after="20" w:line="360" w:lineRule="auto"/>
      <w:ind w:firstLine="420"/>
      <w:textAlignment w:val="baseline"/>
    </w:pPr>
    <w:rPr>
      <w:szCs w:val="24"/>
    </w:rPr>
  </w:style>
  <w:style w:type="paragraph" w:customStyle="1" w:styleId="352">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353">
    <w:name w:val="样式 纯文本 + 楷体_GB2312 小四 行距: 固定值 20 磅1"/>
    <w:basedOn w:val="30"/>
    <w:qFormat/>
    <w:uiPriority w:val="0"/>
    <w:pPr>
      <w:spacing w:line="400" w:lineRule="exact"/>
      <w:ind w:firstLine="200" w:firstLineChars="200"/>
    </w:pPr>
    <w:rPr>
      <w:rFonts w:ascii="楷体_GB2312" w:eastAsia="楷体_GB2312"/>
      <w:sz w:val="24"/>
      <w:szCs w:val="20"/>
    </w:rPr>
  </w:style>
  <w:style w:type="paragraph" w:customStyle="1" w:styleId="354">
    <w:name w:val="Address"/>
    <w:basedOn w:val="1"/>
    <w:next w:val="1"/>
    <w:qFormat/>
    <w:uiPriority w:val="0"/>
    <w:pPr>
      <w:autoSpaceDE w:val="0"/>
      <w:autoSpaceDN w:val="0"/>
      <w:adjustRightInd w:val="0"/>
      <w:jc w:val="left"/>
    </w:pPr>
    <w:rPr>
      <w:i/>
      <w:kern w:val="0"/>
      <w:sz w:val="24"/>
    </w:rPr>
  </w:style>
  <w:style w:type="paragraph" w:customStyle="1" w:styleId="35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56">
    <w:name w:val="函数注释2"/>
    <w:basedOn w:val="1"/>
    <w:qFormat/>
    <w:uiPriority w:val="0"/>
    <w:pPr>
      <w:adjustRightInd w:val="0"/>
      <w:spacing w:after="20" w:line="288" w:lineRule="auto"/>
      <w:ind w:left="1680" w:firstLine="420"/>
      <w:textAlignment w:val="baseline"/>
    </w:pPr>
    <w:rPr>
      <w:szCs w:val="24"/>
    </w:rPr>
  </w:style>
  <w:style w:type="paragraph" w:customStyle="1" w:styleId="357">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58">
    <w:name w:val="菲页(卷)"/>
    <w:basedOn w:val="3"/>
    <w:next w:val="359"/>
    <w:qFormat/>
    <w:uiPriority w:val="0"/>
    <w:pPr>
      <w:widowControl/>
      <w:numPr>
        <w:ilvl w:val="0"/>
        <w:numId w:val="3"/>
      </w:numPr>
      <w:tabs>
        <w:tab w:val="left" w:pos="1800"/>
        <w:tab w:val="clear" w:pos="1200"/>
      </w:tabs>
      <w:ind w:left="432" w:hanging="432"/>
      <w:outlineLvl w:val="1"/>
    </w:pPr>
    <w:rPr>
      <w:rFonts w:ascii="黑体" w:eastAsia="黑体"/>
      <w:b w:val="0"/>
      <w:kern w:val="0"/>
      <w:sz w:val="52"/>
    </w:rPr>
  </w:style>
  <w:style w:type="paragraph" w:customStyle="1" w:styleId="35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360">
    <w:name w:val="默认段落字体 Para Char"/>
    <w:basedOn w:val="1"/>
    <w:qFormat/>
    <w:uiPriority w:val="0"/>
    <w:pPr>
      <w:numPr>
        <w:ilvl w:val="0"/>
        <w:numId w:val="4"/>
      </w:numPr>
    </w:pPr>
    <w:rPr>
      <w:sz w:val="24"/>
      <w:szCs w:val="24"/>
    </w:rPr>
  </w:style>
  <w:style w:type="paragraph" w:customStyle="1" w:styleId="36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62">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363">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kern w:val="0"/>
      <w:sz w:val="16"/>
      <w:szCs w:val="20"/>
      <w:lang w:val="en-US" w:eastAsia="zh-CN" w:bidi="ar-SA"/>
    </w:rPr>
  </w:style>
  <w:style w:type="paragraph" w:customStyle="1" w:styleId="364">
    <w:name w:val="默认段落字体 Para Char Char Char Char Char Char Char"/>
    <w:basedOn w:val="1"/>
    <w:qFormat/>
    <w:uiPriority w:val="0"/>
    <w:rPr>
      <w:rFonts w:eastAsia="华文细黑" w:cs="Cambria"/>
      <w:sz w:val="24"/>
    </w:rPr>
  </w:style>
  <w:style w:type="paragraph" w:customStyle="1" w:styleId="36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66">
    <w:name w:val="Char3"/>
    <w:basedOn w:val="1"/>
    <w:qFormat/>
    <w:uiPriority w:val="0"/>
    <w:rPr>
      <w:rFonts w:ascii="仿宋_GB2312" w:eastAsia="仿宋_GB2312"/>
      <w:b/>
      <w:sz w:val="32"/>
      <w:szCs w:val="32"/>
    </w:rPr>
  </w:style>
  <w:style w:type="paragraph" w:customStyle="1" w:styleId="367">
    <w:name w:val="目录"/>
    <w:basedOn w:val="1"/>
    <w:next w:val="1"/>
    <w:qFormat/>
    <w:uiPriority w:val="0"/>
    <w:pPr>
      <w:adjustRightInd w:val="0"/>
      <w:spacing w:before="360" w:after="360" w:line="360" w:lineRule="auto"/>
      <w:ind w:firstLine="420"/>
      <w:jc w:val="center"/>
      <w:textAlignment w:val="baseline"/>
    </w:pPr>
    <w:rPr>
      <w:b/>
      <w:spacing w:val="200"/>
      <w:sz w:val="36"/>
    </w:rPr>
  </w:style>
  <w:style w:type="paragraph" w:customStyle="1" w:styleId="368">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36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70">
    <w:name w:val="CM6"/>
    <w:basedOn w:val="307"/>
    <w:next w:val="307"/>
    <w:semiHidden/>
    <w:qFormat/>
    <w:uiPriority w:val="0"/>
    <w:pPr>
      <w:spacing w:line="468" w:lineRule="atLeast"/>
    </w:pPr>
    <w:rPr>
      <w:color w:val="auto"/>
    </w:rPr>
  </w:style>
  <w:style w:type="paragraph" w:customStyle="1" w:styleId="371">
    <w:name w:val="CM103"/>
    <w:basedOn w:val="307"/>
    <w:next w:val="307"/>
    <w:semiHidden/>
    <w:qFormat/>
    <w:uiPriority w:val="0"/>
    <w:pPr>
      <w:spacing w:line="526" w:lineRule="atLeast"/>
    </w:pPr>
    <w:rPr>
      <w:color w:val="auto"/>
    </w:rPr>
  </w:style>
  <w:style w:type="paragraph" w:customStyle="1" w:styleId="372">
    <w:name w:val="01_02"/>
    <w:basedOn w:val="1"/>
    <w:semiHidden/>
    <w:qFormat/>
    <w:uiPriority w:val="0"/>
    <w:pPr>
      <w:snapToGrid w:val="0"/>
      <w:spacing w:line="360" w:lineRule="auto"/>
    </w:pPr>
    <w:rPr>
      <w:rFonts w:ascii="黑体" w:eastAsia="黑体"/>
      <w:sz w:val="36"/>
      <w:szCs w:val="36"/>
    </w:rPr>
  </w:style>
  <w:style w:type="paragraph" w:customStyle="1" w:styleId="373">
    <w:name w:val="CM146"/>
    <w:basedOn w:val="307"/>
    <w:next w:val="307"/>
    <w:semiHidden/>
    <w:qFormat/>
    <w:uiPriority w:val="0"/>
    <w:pPr>
      <w:spacing w:after="62"/>
    </w:pPr>
    <w:rPr>
      <w:color w:val="auto"/>
    </w:rPr>
  </w:style>
  <w:style w:type="paragraph" w:customStyle="1" w:styleId="374">
    <w:name w:val="List Paragraph1"/>
    <w:qFormat/>
    <w:uiPriority w:val="34"/>
    <w:pPr>
      <w:ind w:firstLine="420" w:firstLineChars="200"/>
    </w:pPr>
    <w:rPr>
      <w:rFonts w:ascii="Times New Roman" w:hAnsi="Times New Roman" w:eastAsia="宋体" w:cs="Times New Roman"/>
      <w:kern w:val="0"/>
      <w:sz w:val="20"/>
      <w:szCs w:val="20"/>
      <w:lang w:val="en-US" w:eastAsia="zh-CN" w:bidi="ar-SA"/>
    </w:rPr>
  </w:style>
  <w:style w:type="paragraph" w:customStyle="1" w:styleId="375">
    <w:name w:val="样式 段前: 0.5 行 段后: 0.5 行"/>
    <w:basedOn w:val="1"/>
    <w:qFormat/>
    <w:uiPriority w:val="0"/>
    <w:pPr>
      <w:spacing w:before="100" w:beforeAutospacing="1" w:after="100" w:afterAutospacing="1"/>
      <w:ind w:firstLine="200" w:firstLineChars="200"/>
    </w:pPr>
    <w:rPr>
      <w:rFonts w:cs="宋体"/>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78">
    <w:name w:val="chapter"/>
    <w:basedOn w:val="1"/>
    <w:qFormat/>
    <w:uiPriority w:val="0"/>
    <w:pPr>
      <w:topLinePunct/>
      <w:adjustRightInd w:val="0"/>
      <w:snapToGrid w:val="0"/>
      <w:spacing w:before="156" w:beforeLines="50" w:after="156" w:afterLines="50" w:line="300" w:lineRule="auto"/>
      <w:jc w:val="center"/>
    </w:pPr>
    <w:rPr>
      <w:rFonts w:eastAsia="楷体_GB2312"/>
      <w:b/>
      <w:bCs/>
      <w:color w:val="000000"/>
      <w:sz w:val="30"/>
    </w:rPr>
  </w:style>
  <w:style w:type="paragraph" w:customStyle="1" w:styleId="37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38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382">
    <w:name w:val="项目编号1"/>
    <w:basedOn w:val="1"/>
    <w:next w:val="1"/>
    <w:qFormat/>
    <w:uiPriority w:val="0"/>
    <w:pPr>
      <w:numPr>
        <w:ilvl w:val="0"/>
        <w:numId w:val="5"/>
      </w:numPr>
      <w:tabs>
        <w:tab w:val="left" w:pos="2460"/>
        <w:tab w:val="clear" w:pos="898"/>
      </w:tabs>
      <w:spacing w:line="360" w:lineRule="auto"/>
      <w:jc w:val="left"/>
    </w:pPr>
    <w:rPr>
      <w:rFonts w:ascii="宋体"/>
      <w:sz w:val="24"/>
      <w:szCs w:val="24"/>
    </w:rPr>
  </w:style>
  <w:style w:type="paragraph" w:customStyle="1" w:styleId="383">
    <w:name w:val="CM120"/>
    <w:basedOn w:val="307"/>
    <w:next w:val="307"/>
    <w:semiHidden/>
    <w:qFormat/>
    <w:uiPriority w:val="0"/>
    <w:pPr>
      <w:spacing w:after="765"/>
    </w:pPr>
    <w:rPr>
      <w:color w:val="auto"/>
    </w:rPr>
  </w:style>
  <w:style w:type="paragraph" w:customStyle="1" w:styleId="384">
    <w:name w:val="正文(缩进)"/>
    <w:basedOn w:val="1"/>
    <w:qFormat/>
    <w:uiPriority w:val="0"/>
    <w:pPr>
      <w:widowControl/>
      <w:spacing w:line="360" w:lineRule="auto"/>
      <w:ind w:firstLine="200" w:firstLineChars="200"/>
    </w:pPr>
    <w:rPr>
      <w:rFonts w:eastAsia="仿宋_GB2312"/>
      <w:sz w:val="24"/>
    </w:rPr>
  </w:style>
  <w:style w:type="paragraph" w:customStyle="1" w:styleId="385">
    <w:name w:val="02_01"/>
    <w:basedOn w:val="1"/>
    <w:semiHidden/>
    <w:qFormat/>
    <w:uiPriority w:val="0"/>
    <w:pPr>
      <w:jc w:val="center"/>
    </w:pPr>
    <w:rPr>
      <w:rFonts w:ascii="黑体" w:eastAsia="黑体"/>
      <w:sz w:val="36"/>
      <w:szCs w:val="36"/>
    </w:rPr>
  </w:style>
  <w:style w:type="paragraph" w:customStyle="1" w:styleId="386">
    <w:name w:val="CM128"/>
    <w:basedOn w:val="307"/>
    <w:next w:val="307"/>
    <w:semiHidden/>
    <w:qFormat/>
    <w:uiPriority w:val="0"/>
    <w:pPr>
      <w:spacing w:after="660"/>
    </w:pPr>
    <w:rPr>
      <w:color w:val="auto"/>
    </w:rPr>
  </w:style>
  <w:style w:type="paragraph" w:customStyle="1" w:styleId="387">
    <w:name w:val="Char Char Char Char Char Char Char Char Char Char1"/>
    <w:basedOn w:val="1"/>
    <w:qFormat/>
    <w:uiPriority w:val="0"/>
    <w:pPr>
      <w:tabs>
        <w:tab w:val="left" w:pos="425"/>
      </w:tabs>
      <w:ind w:left="425" w:hanging="425"/>
    </w:pPr>
    <w:rPr>
      <w:sz w:val="28"/>
    </w:rPr>
  </w:style>
  <w:style w:type="paragraph" w:customStyle="1" w:styleId="388">
    <w:name w:val="CM94"/>
    <w:basedOn w:val="307"/>
    <w:next w:val="307"/>
    <w:semiHidden/>
    <w:qFormat/>
    <w:uiPriority w:val="0"/>
    <w:pPr>
      <w:spacing w:line="548" w:lineRule="atLeast"/>
    </w:pPr>
    <w:rPr>
      <w:color w:val="auto"/>
    </w:rPr>
  </w:style>
  <w:style w:type="paragraph" w:customStyle="1" w:styleId="389">
    <w:name w:val="样式一"/>
    <w:basedOn w:val="1"/>
    <w:qFormat/>
    <w:uiPriority w:val="0"/>
    <w:pPr>
      <w:numPr>
        <w:ilvl w:val="2"/>
        <w:numId w:val="3"/>
      </w:numPr>
      <w:tabs>
        <w:tab w:val="left" w:pos="1080"/>
      </w:tabs>
      <w:autoSpaceDE w:val="0"/>
      <w:autoSpaceDN w:val="0"/>
      <w:adjustRightInd w:val="0"/>
      <w:spacing w:before="100" w:after="100" w:line="360" w:lineRule="exact"/>
      <w:textAlignment w:val="baseline"/>
    </w:pPr>
    <w:rPr>
      <w:rFonts w:ascii="宋体" w:hAnsi="宋体" w:eastAsia="黑体"/>
      <w:kern w:val="0"/>
      <w:sz w:val="24"/>
      <w:lang w:val="en-GB"/>
    </w:rPr>
  </w:style>
  <w:style w:type="paragraph" w:customStyle="1" w:styleId="390">
    <w:name w:val="CM138"/>
    <w:basedOn w:val="307"/>
    <w:next w:val="307"/>
    <w:semiHidden/>
    <w:qFormat/>
    <w:uiPriority w:val="0"/>
    <w:pPr>
      <w:spacing w:after="118"/>
    </w:pPr>
    <w:rPr>
      <w:color w:val="auto"/>
    </w:rPr>
  </w:style>
  <w:style w:type="paragraph" w:customStyle="1" w:styleId="391">
    <w:name w:val="Char Char Char1 Char Char Char1"/>
    <w:basedOn w:val="1"/>
    <w:qFormat/>
    <w:uiPriority w:val="0"/>
    <w:pPr>
      <w:ind w:firstLine="200" w:firstLineChars="200"/>
    </w:pPr>
    <w:rPr>
      <w:rFonts w:ascii="Tahoma" w:hAnsi="Tahoma"/>
      <w:sz w:val="24"/>
    </w:rPr>
  </w:style>
  <w:style w:type="paragraph" w:customStyle="1" w:styleId="392">
    <w:name w:val="font11"/>
    <w:basedOn w:val="1"/>
    <w:qFormat/>
    <w:uiPriority w:val="0"/>
    <w:pPr>
      <w:widowControl/>
      <w:spacing w:before="100" w:beforeAutospacing="1" w:after="100" w:afterAutospacing="1"/>
      <w:jc w:val="left"/>
    </w:pPr>
    <w:rPr>
      <w:b/>
      <w:bCs/>
      <w:kern w:val="0"/>
      <w:sz w:val="18"/>
      <w:szCs w:val="18"/>
    </w:rPr>
  </w:style>
  <w:style w:type="paragraph" w:customStyle="1" w:styleId="393">
    <w:name w:val="默认段落字体 Para Char Char Char1 Char"/>
    <w:basedOn w:val="1"/>
    <w:qFormat/>
    <w:uiPriority w:val="0"/>
    <w:pPr>
      <w:numPr>
        <w:ilvl w:val="0"/>
        <w:numId w:val="6"/>
      </w:numPr>
      <w:spacing w:line="360" w:lineRule="auto"/>
      <w:ind w:left="420" w:firstLine="420"/>
    </w:pPr>
    <w:rPr>
      <w:kern w:val="0"/>
      <w:sz w:val="24"/>
      <w:szCs w:val="21"/>
    </w:rPr>
  </w:style>
  <w:style w:type="paragraph" w:customStyle="1" w:styleId="39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395">
    <w:name w:val="char06_01"/>
    <w:basedOn w:val="1"/>
    <w:qFormat/>
    <w:uiPriority w:val="0"/>
    <w:pPr>
      <w:spacing w:line="360" w:lineRule="auto"/>
    </w:pPr>
    <w:rPr>
      <w:rFonts w:ascii="楷体_GB2312" w:hAnsi="宋体" w:eastAsia="楷体_GB2312"/>
      <w:b/>
      <w:color w:val="000000"/>
      <w:sz w:val="24"/>
    </w:rPr>
  </w:style>
  <w:style w:type="paragraph" w:customStyle="1" w:styleId="39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397">
    <w:name w:val="样式 标题 3 + (中文) 黑体 小四 非加粗 段前: 7.8 磅 段后: 0 磅 行距: 固定值 20 磅"/>
    <w:basedOn w:val="6"/>
    <w:qFormat/>
    <w:uiPriority w:val="0"/>
    <w:pPr>
      <w:keepLines/>
      <w:tabs>
        <w:tab w:val="left" w:pos="7200"/>
      </w:tabs>
      <w:spacing w:line="400" w:lineRule="exact"/>
      <w:jc w:val="left"/>
    </w:pPr>
    <w:rPr>
      <w:rFonts w:ascii="华文细黑" w:hAnsi="华文细黑" w:eastAsia="幼圆" w:cs="华文细黑"/>
      <w:bCs w:val="0"/>
      <w:sz w:val="30"/>
    </w:rPr>
  </w:style>
  <w:style w:type="paragraph" w:customStyle="1" w:styleId="3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9">
    <w:name w:val="CM83"/>
    <w:basedOn w:val="307"/>
    <w:next w:val="307"/>
    <w:semiHidden/>
    <w:qFormat/>
    <w:uiPriority w:val="0"/>
    <w:pPr>
      <w:spacing w:line="391" w:lineRule="atLeast"/>
    </w:pPr>
    <w:rPr>
      <w:color w:val="auto"/>
    </w:rPr>
  </w:style>
  <w:style w:type="paragraph" w:customStyle="1" w:styleId="400">
    <w:name w:val="xl71"/>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401">
    <w:name w:val="列表2"/>
    <w:basedOn w:val="1"/>
    <w:qFormat/>
    <w:uiPriority w:val="0"/>
    <w:pPr>
      <w:tabs>
        <w:tab w:val="left" w:pos="1470"/>
      </w:tabs>
      <w:adjustRightInd w:val="0"/>
      <w:spacing w:after="20" w:line="288" w:lineRule="auto"/>
      <w:ind w:left="1469" w:hanging="420"/>
      <w:textAlignment w:val="baseline"/>
    </w:pPr>
    <w:rPr>
      <w:szCs w:val="24"/>
    </w:rPr>
  </w:style>
  <w:style w:type="paragraph" w:customStyle="1" w:styleId="402">
    <w:name w:val="普通文字"/>
    <w:basedOn w:val="1"/>
    <w:next w:val="1"/>
    <w:qFormat/>
    <w:uiPriority w:val="0"/>
    <w:rPr>
      <w:rFonts w:ascii="宋体"/>
      <w:kern w:val="0"/>
      <w:sz w:val="24"/>
      <w:u w:color="000000"/>
    </w:rPr>
  </w:style>
  <w:style w:type="paragraph" w:customStyle="1" w:styleId="403">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404">
    <w:name w:val="4-正文1"/>
    <w:basedOn w:val="1"/>
    <w:qFormat/>
    <w:uiPriority w:val="0"/>
    <w:pPr>
      <w:adjustRightInd w:val="0"/>
      <w:snapToGrid w:val="0"/>
      <w:spacing w:beforeLines="50" w:afterLines="50" w:line="360" w:lineRule="auto"/>
      <w:ind w:firstLine="200" w:firstLineChars="200"/>
    </w:pPr>
    <w:rPr>
      <w:kern w:val="0"/>
      <w:sz w:val="24"/>
      <w:szCs w:val="24"/>
    </w:rPr>
  </w:style>
  <w:style w:type="paragraph" w:customStyle="1" w:styleId="405">
    <w:name w:val="CM126"/>
    <w:basedOn w:val="307"/>
    <w:next w:val="307"/>
    <w:semiHidden/>
    <w:qFormat/>
    <w:uiPriority w:val="0"/>
    <w:pPr>
      <w:spacing w:after="170"/>
    </w:pPr>
    <w:rPr>
      <w:color w:val="auto"/>
    </w:rPr>
  </w:style>
  <w:style w:type="paragraph" w:customStyle="1" w:styleId="406">
    <w:name w:val="fujian"/>
    <w:basedOn w:val="407"/>
    <w:qFormat/>
    <w:uiPriority w:val="0"/>
  </w:style>
  <w:style w:type="paragraph" w:customStyle="1" w:styleId="407">
    <w:name w:val="01_03"/>
    <w:basedOn w:val="372"/>
    <w:semiHidden/>
    <w:qFormat/>
    <w:uiPriority w:val="0"/>
    <w:rPr>
      <w:sz w:val="24"/>
      <w:szCs w:val="24"/>
    </w:rPr>
  </w:style>
  <w:style w:type="paragraph" w:customStyle="1" w:styleId="408">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9">
    <w:name w:val="CM122"/>
    <w:basedOn w:val="307"/>
    <w:next w:val="307"/>
    <w:semiHidden/>
    <w:qFormat/>
    <w:uiPriority w:val="0"/>
    <w:pPr>
      <w:spacing w:after="733"/>
    </w:pPr>
    <w:rPr>
      <w:color w:val="auto"/>
    </w:rPr>
  </w:style>
  <w:style w:type="paragraph" w:customStyle="1" w:styleId="410">
    <w:name w:val="font6"/>
    <w:basedOn w:val="1"/>
    <w:qFormat/>
    <w:uiPriority w:val="0"/>
    <w:pPr>
      <w:widowControl/>
      <w:spacing w:before="100" w:beforeAutospacing="1" w:after="100" w:afterAutospacing="1"/>
      <w:jc w:val="left"/>
    </w:pPr>
    <w:rPr>
      <w:rFonts w:hint="eastAsia" w:ascii="宋体" w:hAnsi="宋体"/>
      <w:b/>
      <w:bCs/>
      <w:kern w:val="0"/>
      <w:sz w:val="20"/>
    </w:rPr>
  </w:style>
  <w:style w:type="character" w:customStyle="1" w:styleId="411">
    <w:name w:val="明显引用 Char"/>
    <w:basedOn w:val="56"/>
    <w:qFormat/>
    <w:uiPriority w:val="30"/>
    <w:rPr>
      <w:rFonts w:ascii="Times New Roman" w:hAnsi="Times New Roman" w:eastAsia="宋体" w:cs="Times New Roman"/>
      <w:i/>
      <w:iCs/>
      <w:color w:val="5B9BD5" w:themeColor="accent1"/>
      <w:szCs w:val="20"/>
      <w14:textFill>
        <w14:solidFill>
          <w14:schemeClr w14:val="accent1"/>
        </w14:solidFill>
      </w14:textFill>
    </w:rPr>
  </w:style>
  <w:style w:type="paragraph" w:customStyle="1" w:styleId="412">
    <w:name w:val="CM121"/>
    <w:basedOn w:val="307"/>
    <w:next w:val="307"/>
    <w:semiHidden/>
    <w:qFormat/>
    <w:uiPriority w:val="0"/>
    <w:pPr>
      <w:spacing w:after="470"/>
    </w:pPr>
    <w:rPr>
      <w:color w:val="auto"/>
    </w:rPr>
  </w:style>
  <w:style w:type="paragraph" w:customStyle="1" w:styleId="41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41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415">
    <w:name w:val="样式 标题 2 + Times New Roman 四号 非加粗 段前: 5 磅 段后: 0 磅 行距: 固定值 20..."/>
    <w:basedOn w:val="4"/>
    <w:qFormat/>
    <w:uiPriority w:val="0"/>
    <w:pPr>
      <w:keepLines/>
      <w:tabs>
        <w:tab w:val="left" w:pos="567"/>
      </w:tabs>
      <w:spacing w:before="100" w:line="400" w:lineRule="exact"/>
      <w:jc w:val="both"/>
    </w:pPr>
    <w:rPr>
      <w:rFonts w:ascii="Cambria" w:hAnsi="Cambria" w:eastAsia="幼圆" w:cs="华文细黑"/>
      <w:b w:val="0"/>
      <w:bCs w:val="0"/>
      <w:color w:val="FF0000"/>
      <w:sz w:val="30"/>
    </w:rPr>
  </w:style>
  <w:style w:type="paragraph" w:customStyle="1" w:styleId="416">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417">
    <w:name w:val="列出段落1"/>
    <w:qFormat/>
    <w:uiPriority w:val="34"/>
    <w:pPr>
      <w:ind w:firstLine="420" w:firstLineChars="200"/>
    </w:pPr>
    <w:rPr>
      <w:rFonts w:ascii="Times New Roman" w:hAnsi="Times New Roman" w:eastAsia="宋体" w:cs="Times New Roman"/>
      <w:kern w:val="0"/>
      <w:sz w:val="20"/>
      <w:szCs w:val="20"/>
      <w:lang w:val="en-US" w:eastAsia="zh-CN" w:bidi="ar-SA"/>
    </w:rPr>
  </w:style>
  <w:style w:type="paragraph" w:customStyle="1" w:styleId="418">
    <w:name w:val="item"/>
    <w:basedOn w:val="419"/>
    <w:qFormat/>
    <w:uiPriority w:val="0"/>
  </w:style>
  <w:style w:type="paragraph" w:customStyle="1" w:styleId="419">
    <w:name w:val="char04_02"/>
    <w:basedOn w:val="6"/>
    <w:semiHidden/>
    <w:qFormat/>
    <w:uiPriority w:val="0"/>
    <w:pPr>
      <w:spacing w:before="120"/>
    </w:pPr>
    <w:rPr>
      <w:color w:val="000000"/>
    </w:rPr>
  </w:style>
  <w:style w:type="paragraph" w:customStyle="1" w:styleId="420">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1">
    <w:name w:val="Char11"/>
    <w:basedOn w:val="1"/>
    <w:qFormat/>
    <w:uiPriority w:val="0"/>
    <w:rPr>
      <w:rFonts w:ascii="仿宋_GB2312" w:eastAsia="仿宋_GB2312"/>
      <w:b/>
      <w:sz w:val="32"/>
      <w:szCs w:val="32"/>
    </w:rPr>
  </w:style>
  <w:style w:type="paragraph" w:customStyle="1" w:styleId="422">
    <w:name w:val="样式 标题 1 + 黑体 三号 非加粗 居中 段前: 6 磅 段后: 6 磅 行距: 固定值 20 磅"/>
    <w:basedOn w:val="3"/>
    <w:qFormat/>
    <w:uiPriority w:val="0"/>
    <w:pPr>
      <w:keepLines/>
      <w:tabs>
        <w:tab w:val="left" w:pos="1800"/>
      </w:tabs>
      <w:spacing w:before="120" w:after="120" w:line="400" w:lineRule="exact"/>
    </w:pPr>
    <w:rPr>
      <w:rFonts w:ascii="幼圆" w:hAnsi="幼圆" w:eastAsia="幼圆" w:cs="华文细黑"/>
      <w:b w:val="0"/>
      <w:sz w:val="32"/>
    </w:rPr>
  </w:style>
  <w:style w:type="paragraph" w:customStyle="1" w:styleId="423">
    <w:name w:val="Javis"/>
    <w:basedOn w:val="1"/>
    <w:qFormat/>
    <w:uiPriority w:val="0"/>
    <w:pPr>
      <w:ind w:right="210" w:rightChars="100"/>
    </w:pPr>
    <w:rPr>
      <w:rFonts w:cs="宋体"/>
      <w:sz w:val="24"/>
    </w:rPr>
  </w:style>
  <w:style w:type="paragraph" w:customStyle="1" w:styleId="42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42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426">
    <w:name w:val="Char Char Char1 Char Char Char2"/>
    <w:basedOn w:val="1"/>
    <w:qFormat/>
    <w:uiPriority w:val="0"/>
    <w:pPr>
      <w:ind w:firstLine="200" w:firstLineChars="200"/>
    </w:pPr>
    <w:rPr>
      <w:rFonts w:ascii="Tahoma" w:hAnsi="Tahoma"/>
      <w:sz w:val="24"/>
    </w:rPr>
  </w:style>
  <w:style w:type="paragraph" w:customStyle="1" w:styleId="42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28">
    <w:name w:val="表格文字"/>
    <w:basedOn w:val="1"/>
    <w:qFormat/>
    <w:uiPriority w:val="0"/>
    <w:pPr>
      <w:adjustRightInd w:val="0"/>
      <w:spacing w:line="288" w:lineRule="auto"/>
      <w:jc w:val="left"/>
      <w:textAlignment w:val="baseline"/>
    </w:pPr>
    <w:rPr>
      <w:kern w:val="0"/>
    </w:rPr>
  </w:style>
  <w:style w:type="paragraph" w:customStyle="1" w:styleId="429">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430">
    <w:name w:val="Char2"/>
    <w:basedOn w:val="1"/>
    <w:qFormat/>
    <w:uiPriority w:val="0"/>
    <w:rPr>
      <w:rFonts w:ascii="仿宋_GB2312" w:eastAsia="仿宋_GB2312"/>
      <w:b/>
      <w:sz w:val="32"/>
      <w:szCs w:val="32"/>
    </w:rPr>
  </w:style>
  <w:style w:type="paragraph" w:customStyle="1" w:styleId="431">
    <w:name w:val="Char Char Char Char2"/>
    <w:basedOn w:val="1"/>
    <w:qFormat/>
    <w:uiPriority w:val="0"/>
    <w:pPr>
      <w:widowControl/>
      <w:tabs>
        <w:tab w:val="left" w:pos="510"/>
        <w:tab w:val="left" w:pos="1095"/>
      </w:tabs>
      <w:spacing w:after="120" w:line="360" w:lineRule="auto"/>
      <w:ind w:left="560" w:firstLine="480" w:firstLineChars="200"/>
      <w:jc w:val="left"/>
    </w:pPr>
    <w:rPr>
      <w:rFonts w:ascii="Verdana" w:hAnsi="Verdana"/>
      <w:kern w:val="0"/>
      <w:sz w:val="24"/>
      <w:szCs w:val="24"/>
    </w:rPr>
  </w:style>
  <w:style w:type="paragraph" w:customStyle="1" w:styleId="432">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szCs w:val="24"/>
    </w:rPr>
  </w:style>
  <w:style w:type="paragraph" w:customStyle="1" w:styleId="43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434">
    <w:name w:val="Char Char Char Char Char Char2"/>
    <w:basedOn w:val="1"/>
    <w:qFormat/>
    <w:uiPriority w:val="0"/>
    <w:pPr>
      <w:widowControl/>
      <w:spacing w:after="160" w:line="240" w:lineRule="exact"/>
      <w:jc w:val="left"/>
    </w:pPr>
    <w:rPr>
      <w:rFonts w:ascii="黑体" w:hAnsi="Verdana" w:eastAsia="黑体"/>
      <w:kern w:val="0"/>
      <w:sz w:val="32"/>
      <w:szCs w:val="32"/>
    </w:rPr>
  </w:style>
  <w:style w:type="paragraph" w:customStyle="1" w:styleId="435">
    <w:name w:val="char06_02"/>
    <w:basedOn w:val="1"/>
    <w:semiHidden/>
    <w:qFormat/>
    <w:uiPriority w:val="0"/>
    <w:pPr>
      <w:spacing w:line="360" w:lineRule="auto"/>
    </w:pPr>
    <w:rPr>
      <w:rFonts w:ascii="楷体_GB2312" w:eastAsia="楷体_GB2312"/>
      <w:b/>
      <w:bCs/>
      <w:color w:val="000000"/>
      <w:sz w:val="24"/>
    </w:rPr>
  </w:style>
  <w:style w:type="paragraph" w:customStyle="1" w:styleId="436">
    <w:name w:val="菲页1"/>
    <w:basedOn w:val="4"/>
    <w:qFormat/>
    <w:uiPriority w:val="0"/>
    <w:pPr>
      <w:keepLines/>
      <w:widowControl/>
      <w:tabs>
        <w:tab w:val="left" w:pos="567"/>
      </w:tabs>
      <w:spacing w:before="260" w:after="260" w:line="416" w:lineRule="auto"/>
    </w:pPr>
    <w:rPr>
      <w:rFonts w:ascii="黑体" w:hAnsi="宋体" w:eastAsia="黑体"/>
      <w:b w:val="0"/>
      <w:bCs w:val="0"/>
      <w:kern w:val="0"/>
      <w:sz w:val="52"/>
    </w:rPr>
  </w:style>
  <w:style w:type="paragraph" w:customStyle="1" w:styleId="43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438">
    <w:name w:val="xl72"/>
    <w:basedOn w:val="1"/>
    <w:qFormat/>
    <w:uiPriority w:val="0"/>
    <w:pPr>
      <w:widowControl/>
      <w:pBdr>
        <w:top w:val="single" w:color="auto" w:sz="4" w:space="0"/>
        <w:bottom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43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440">
    <w:name w:val="TOC 标题2"/>
    <w:basedOn w:val="3"/>
    <w:next w:val="1"/>
    <w:qFormat/>
    <w:uiPriority w:val="0"/>
    <w:pPr>
      <w:keepLines/>
      <w:tabs>
        <w:tab w:val="left" w:pos="1800"/>
      </w:tabs>
      <w:spacing w:before="340" w:after="330" w:line="578" w:lineRule="auto"/>
      <w:jc w:val="both"/>
      <w:outlineLvl w:val="9"/>
    </w:pPr>
    <w:rPr>
      <w:rFonts w:ascii="Cambria" w:hAnsi="Cambria" w:eastAsia="华文细黑" w:cs="Cambria"/>
      <w:bCs/>
      <w:kern w:val="44"/>
      <w:sz w:val="44"/>
      <w:szCs w:val="44"/>
    </w:rPr>
  </w:style>
  <w:style w:type="paragraph" w:customStyle="1" w:styleId="441">
    <w:name w:val="重点"/>
    <w:basedOn w:val="1"/>
    <w:qFormat/>
    <w:uiPriority w:val="0"/>
    <w:pPr>
      <w:shd w:val="pct10" w:color="auto" w:fill="auto"/>
      <w:adjustRightInd w:val="0"/>
      <w:spacing w:after="20" w:line="288" w:lineRule="auto"/>
      <w:ind w:firstLine="420"/>
      <w:textAlignment w:val="baseline"/>
    </w:pPr>
    <w:rPr>
      <w:rFonts w:eastAsia="黑体"/>
      <w:b/>
      <w:szCs w:val="24"/>
    </w:rPr>
  </w:style>
  <w:style w:type="paragraph" w:customStyle="1" w:styleId="442">
    <w:name w:val="空半行"/>
    <w:basedOn w:val="1"/>
    <w:qFormat/>
    <w:uiPriority w:val="0"/>
    <w:pPr>
      <w:adjustRightInd w:val="0"/>
      <w:spacing w:line="120" w:lineRule="exact"/>
      <w:textAlignment w:val="baseline"/>
    </w:pPr>
    <w:rPr>
      <w:rFonts w:ascii="Cambria" w:hAnsi="Cambria" w:eastAsia="Tahoma" w:cs="Cambria"/>
      <w:color w:val="FFFFFF"/>
      <w:kern w:val="0"/>
      <w:sz w:val="30"/>
    </w:rPr>
  </w:style>
  <w:style w:type="paragraph" w:customStyle="1" w:styleId="4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44">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44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47">
    <w:name w:val="flNote"/>
    <w:basedOn w:val="1"/>
    <w:qFormat/>
    <w:uiPriority w:val="0"/>
    <w:pPr>
      <w:adjustRightInd w:val="0"/>
      <w:spacing w:before="320" w:after="160" w:line="360" w:lineRule="atLeast"/>
      <w:jc w:val="center"/>
      <w:textAlignment w:val="baseline"/>
    </w:pPr>
    <w:rPr>
      <w:rFonts w:ascii="Tahoma" w:hAnsi="Cambria" w:eastAsia="幼圆" w:cs="Cambria"/>
      <w:kern w:val="0"/>
      <w:sz w:val="30"/>
    </w:rPr>
  </w:style>
  <w:style w:type="paragraph" w:customStyle="1" w:styleId="448">
    <w:name w:val="font13"/>
    <w:basedOn w:val="1"/>
    <w:qFormat/>
    <w:uiPriority w:val="0"/>
    <w:pPr>
      <w:widowControl/>
      <w:spacing w:before="100" w:beforeAutospacing="1" w:after="100" w:afterAutospacing="1"/>
      <w:jc w:val="left"/>
    </w:pPr>
    <w:rPr>
      <w:i/>
      <w:iCs/>
      <w:kern w:val="0"/>
      <w:sz w:val="36"/>
      <w:szCs w:val="36"/>
    </w:rPr>
  </w:style>
  <w:style w:type="paragraph" w:customStyle="1" w:styleId="449">
    <w:name w:val="CM55"/>
    <w:basedOn w:val="307"/>
    <w:next w:val="307"/>
    <w:semiHidden/>
    <w:qFormat/>
    <w:uiPriority w:val="0"/>
    <w:pPr>
      <w:spacing w:line="468" w:lineRule="atLeast"/>
    </w:pPr>
    <w:rPr>
      <w:color w:val="auto"/>
    </w:rPr>
  </w:style>
  <w:style w:type="paragraph" w:customStyle="1" w:styleId="450">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451">
    <w:name w:val="CM64"/>
    <w:basedOn w:val="307"/>
    <w:next w:val="307"/>
    <w:semiHidden/>
    <w:qFormat/>
    <w:uiPriority w:val="0"/>
    <w:pPr>
      <w:spacing w:line="468" w:lineRule="atLeast"/>
    </w:pPr>
    <w:rPr>
      <w:color w:val="auto"/>
    </w:rPr>
  </w:style>
  <w:style w:type="paragraph" w:customStyle="1" w:styleId="452">
    <w:name w:val="Char Char1 Char Char Char Char"/>
    <w:basedOn w:val="17"/>
    <w:qFormat/>
    <w:uiPriority w:val="0"/>
    <w:pPr>
      <w:adjustRightInd w:val="0"/>
      <w:spacing w:line="436" w:lineRule="exact"/>
      <w:ind w:left="357"/>
      <w:jc w:val="left"/>
      <w:outlineLvl w:val="3"/>
    </w:pPr>
    <w:rPr>
      <w:rFonts w:ascii="Tahoma" w:hAnsi="Tahoma"/>
      <w:b/>
      <w:sz w:val="24"/>
      <w:szCs w:val="24"/>
    </w:rPr>
  </w:style>
  <w:style w:type="paragraph" w:customStyle="1" w:styleId="453">
    <w:name w:val="表中"/>
    <w:basedOn w:val="1"/>
    <w:qFormat/>
    <w:uiPriority w:val="0"/>
    <w:pPr>
      <w:adjustRightInd w:val="0"/>
      <w:spacing w:line="360" w:lineRule="atLeast"/>
      <w:jc w:val="center"/>
      <w:textAlignment w:val="baseline"/>
    </w:pPr>
    <w:rPr>
      <w:kern w:val="0"/>
    </w:rPr>
  </w:style>
  <w:style w:type="paragraph" w:customStyle="1" w:styleId="4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455">
    <w:name w:val="font7"/>
    <w:basedOn w:val="1"/>
    <w:qFormat/>
    <w:uiPriority w:val="0"/>
    <w:pPr>
      <w:widowControl/>
      <w:spacing w:before="100" w:beforeAutospacing="1" w:after="100" w:afterAutospacing="1"/>
      <w:jc w:val="left"/>
    </w:pPr>
    <w:rPr>
      <w:b/>
      <w:bCs/>
      <w:i/>
      <w:iCs/>
      <w:kern w:val="0"/>
      <w:sz w:val="20"/>
    </w:rPr>
  </w:style>
  <w:style w:type="paragraph" w:customStyle="1" w:styleId="45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457">
    <w:name w:val="菲页2"/>
    <w:basedOn w:val="6"/>
    <w:qFormat/>
    <w:uiPriority w:val="0"/>
    <w:pPr>
      <w:keepLines/>
      <w:widowControl/>
      <w:spacing w:before="120" w:after="120" w:line="360" w:lineRule="auto"/>
      <w:ind w:left="720" w:hanging="720"/>
    </w:pPr>
    <w:rPr>
      <w:rFonts w:ascii="黑体" w:hAnsi="宋体" w:eastAsia="黑体"/>
      <w:b w:val="0"/>
      <w:bCs w:val="0"/>
      <w:kern w:val="0"/>
      <w:sz w:val="44"/>
    </w:rPr>
  </w:style>
  <w:style w:type="paragraph" w:customStyle="1" w:styleId="458">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59">
    <w:name w:val="CM125"/>
    <w:basedOn w:val="307"/>
    <w:next w:val="307"/>
    <w:semiHidden/>
    <w:qFormat/>
    <w:uiPriority w:val="0"/>
    <w:pPr>
      <w:spacing w:after="70"/>
    </w:pPr>
    <w:rPr>
      <w:color w:val="auto"/>
    </w:rPr>
  </w:style>
  <w:style w:type="paragraph" w:customStyle="1" w:styleId="460">
    <w:name w:val="图形"/>
    <w:basedOn w:val="1"/>
    <w:qFormat/>
    <w:uiPriority w:val="0"/>
    <w:pPr>
      <w:adjustRightInd w:val="0"/>
      <w:spacing w:after="20" w:line="288" w:lineRule="auto"/>
      <w:ind w:firstLine="420"/>
      <w:jc w:val="center"/>
      <w:textAlignment w:val="baseline"/>
    </w:pPr>
    <w:rPr>
      <w:szCs w:val="24"/>
    </w:rPr>
  </w:style>
  <w:style w:type="paragraph" w:customStyle="1" w:styleId="461">
    <w:name w:val="1"/>
    <w:basedOn w:val="1"/>
    <w:qFormat/>
    <w:uiPriority w:val="0"/>
    <w:pPr>
      <w:spacing w:line="360" w:lineRule="auto"/>
      <w:ind w:firstLine="200" w:firstLineChars="200"/>
    </w:pPr>
    <w:rPr>
      <w:rFonts w:ascii="华文细黑" w:hAnsi="华文细黑" w:eastAsia="华文细黑" w:cs="华文细黑"/>
      <w:sz w:val="24"/>
      <w:szCs w:val="24"/>
    </w:rPr>
  </w:style>
  <w:style w:type="paragraph" w:customStyle="1" w:styleId="462">
    <w:name w:val="Char Char Char1 Char Char Char"/>
    <w:basedOn w:val="1"/>
    <w:qFormat/>
    <w:uiPriority w:val="0"/>
    <w:pPr>
      <w:ind w:firstLine="200" w:firstLineChars="200"/>
    </w:pPr>
    <w:rPr>
      <w:rFonts w:ascii="Tahoma" w:hAnsi="Tahoma"/>
      <w:sz w:val="24"/>
    </w:rPr>
  </w:style>
  <w:style w:type="paragraph" w:customStyle="1" w:styleId="4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464">
    <w:name w:val="样式 左侧:  1.27 厘米 段前: 6 磅 段后: 7.8 磅"/>
    <w:basedOn w:val="1"/>
    <w:qFormat/>
    <w:uiPriority w:val="0"/>
    <w:pPr>
      <w:spacing w:before="120" w:after="156"/>
      <w:ind w:left="720"/>
    </w:pPr>
    <w:rPr>
      <w:rFonts w:cs="宋体"/>
      <w:sz w:val="24"/>
    </w:rPr>
  </w:style>
  <w:style w:type="paragraph" w:customStyle="1" w:styleId="465">
    <w:name w:val="简介正文"/>
    <w:basedOn w:val="1"/>
    <w:qFormat/>
    <w:uiPriority w:val="0"/>
    <w:pPr>
      <w:numPr>
        <w:ilvl w:val="0"/>
        <w:numId w:val="7"/>
      </w:numPr>
      <w:adjustRightInd w:val="0"/>
      <w:spacing w:after="20" w:line="520" w:lineRule="exact"/>
      <w:ind w:left="1701" w:hanging="1701"/>
      <w:textAlignment w:val="baseline"/>
    </w:pPr>
    <w:rPr>
      <w:sz w:val="24"/>
    </w:rPr>
  </w:style>
  <w:style w:type="paragraph" w:styleId="466">
    <w:name w:val="No Spacing"/>
    <w:qFormat/>
    <w:uiPriority w:val="0"/>
    <w:pPr>
      <w:widowControl w:val="0"/>
      <w:jc w:val="both"/>
    </w:pPr>
    <w:rPr>
      <w:rFonts w:ascii="仿宋_GB2312" w:hAnsi="仿宋_GB2312" w:eastAsia="华文细黑" w:cs="Cambria"/>
      <w:kern w:val="2"/>
      <w:sz w:val="21"/>
      <w:szCs w:val="22"/>
      <w:lang w:val="en-US" w:eastAsia="zh-CN" w:bidi="ar-SA"/>
    </w:rPr>
  </w:style>
  <w:style w:type="paragraph" w:customStyle="1" w:styleId="4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468">
    <w:name w:val="01"/>
    <w:basedOn w:val="1"/>
    <w:qFormat/>
    <w:uiPriority w:val="0"/>
    <w:pPr>
      <w:topLinePunct/>
      <w:adjustRightInd w:val="0"/>
      <w:snapToGrid w:val="0"/>
      <w:spacing w:before="156" w:beforeLines="50" w:after="156" w:afterLines="50" w:line="300" w:lineRule="auto"/>
      <w:jc w:val="center"/>
    </w:pPr>
    <w:rPr>
      <w:rFonts w:eastAsia="楷体_GB2312"/>
      <w:b/>
      <w:bCs/>
      <w:color w:val="000000"/>
      <w:sz w:val="30"/>
    </w:rPr>
  </w:style>
  <w:style w:type="paragraph" w:customStyle="1" w:styleId="46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47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3"/>
      <w:szCs w:val="13"/>
    </w:rPr>
  </w:style>
  <w:style w:type="paragraph" w:customStyle="1" w:styleId="471">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72">
    <w:name w:val="函数注释1"/>
    <w:basedOn w:val="1"/>
    <w:qFormat/>
    <w:uiPriority w:val="0"/>
    <w:pPr>
      <w:adjustRightInd w:val="0"/>
      <w:spacing w:after="20" w:line="320" w:lineRule="exact"/>
      <w:ind w:left="1678" w:right="210" w:hanging="1049"/>
      <w:jc w:val="left"/>
      <w:textAlignment w:val="baseline"/>
    </w:pPr>
    <w:rPr>
      <w:kern w:val="0"/>
    </w:rPr>
  </w:style>
  <w:style w:type="paragraph" w:customStyle="1" w:styleId="473">
    <w:name w:val="回信地址"/>
    <w:basedOn w:val="1"/>
    <w:qFormat/>
    <w:uiPriority w:val="0"/>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rPr>
  </w:style>
  <w:style w:type="paragraph" w:customStyle="1" w:styleId="474">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rPr>
  </w:style>
  <w:style w:type="paragraph" w:customStyle="1" w:styleId="475">
    <w:name w:val="font9"/>
    <w:basedOn w:val="1"/>
    <w:qFormat/>
    <w:uiPriority w:val="0"/>
    <w:pPr>
      <w:widowControl/>
      <w:spacing w:before="100" w:beforeAutospacing="1" w:after="100" w:afterAutospacing="1"/>
      <w:jc w:val="left"/>
    </w:pPr>
    <w:rPr>
      <w:b/>
      <w:bCs/>
      <w:kern w:val="0"/>
      <w:sz w:val="20"/>
    </w:rPr>
  </w:style>
  <w:style w:type="paragraph" w:customStyle="1" w:styleId="476">
    <w:name w:val="CM124"/>
    <w:basedOn w:val="307"/>
    <w:next w:val="307"/>
    <w:semiHidden/>
    <w:qFormat/>
    <w:uiPriority w:val="0"/>
    <w:pPr>
      <w:spacing w:after="613"/>
    </w:pPr>
    <w:rPr>
      <w:color w:val="auto"/>
    </w:rPr>
  </w:style>
  <w:style w:type="paragraph" w:customStyle="1" w:styleId="477">
    <w:name w:val="CM119"/>
    <w:basedOn w:val="307"/>
    <w:next w:val="307"/>
    <w:semiHidden/>
    <w:qFormat/>
    <w:uiPriority w:val="0"/>
    <w:pPr>
      <w:spacing w:after="295"/>
    </w:pPr>
    <w:rPr>
      <w:color w:val="auto"/>
    </w:rPr>
  </w:style>
  <w:style w:type="paragraph" w:customStyle="1" w:styleId="478">
    <w:name w:val="CM123"/>
    <w:basedOn w:val="307"/>
    <w:next w:val="307"/>
    <w:semiHidden/>
    <w:qFormat/>
    <w:uiPriority w:val="0"/>
    <w:pPr>
      <w:spacing w:after="548"/>
    </w:pPr>
    <w:rPr>
      <w:color w:val="auto"/>
    </w:rPr>
  </w:style>
  <w:style w:type="paragraph" w:customStyle="1" w:styleId="479">
    <w:name w:val="Char Char Char Char1"/>
    <w:basedOn w:val="17"/>
    <w:qFormat/>
    <w:uiPriority w:val="0"/>
    <w:pPr>
      <w:adjustRightInd w:val="0"/>
      <w:snapToGrid w:val="0"/>
      <w:spacing w:line="360" w:lineRule="auto"/>
    </w:pPr>
    <w:rPr>
      <w:rFonts w:ascii="Tahoma" w:hAnsi="Tahoma"/>
      <w:sz w:val="24"/>
      <w:szCs w:val="24"/>
    </w:rPr>
  </w:style>
  <w:style w:type="paragraph" w:customStyle="1" w:styleId="48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81">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482">
    <w:name w:val="CM57"/>
    <w:basedOn w:val="307"/>
    <w:next w:val="307"/>
    <w:semiHidden/>
    <w:qFormat/>
    <w:uiPriority w:val="0"/>
    <w:pPr>
      <w:spacing w:line="468" w:lineRule="atLeast"/>
    </w:pPr>
    <w:rPr>
      <w:color w:val="auto"/>
    </w:rPr>
  </w:style>
  <w:style w:type="paragraph" w:customStyle="1" w:styleId="483">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8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485">
    <w:name w:val="*正文"/>
    <w:basedOn w:val="1"/>
    <w:qFormat/>
    <w:uiPriority w:val="99"/>
    <w:pPr>
      <w:spacing w:beforeLines="50" w:afterLines="50" w:line="300" w:lineRule="auto"/>
      <w:ind w:firstLine="640" w:firstLineChars="200"/>
    </w:pPr>
    <w:rPr>
      <w:kern w:val="0"/>
      <w:sz w:val="20"/>
    </w:rPr>
  </w:style>
  <w:style w:type="paragraph" w:customStyle="1" w:styleId="486">
    <w:name w:val="Char Char Char Char"/>
    <w:basedOn w:val="1"/>
    <w:qFormat/>
    <w:uiPriority w:val="0"/>
    <w:pPr>
      <w:widowControl/>
      <w:numPr>
        <w:ilvl w:val="0"/>
        <w:numId w:val="8"/>
      </w:numPr>
      <w:tabs>
        <w:tab w:val="left" w:pos="1095"/>
        <w:tab w:val="clear" w:pos="510"/>
      </w:tabs>
      <w:spacing w:after="120" w:line="360" w:lineRule="auto"/>
      <w:ind w:left="560" w:firstLine="480" w:firstLineChars="200"/>
      <w:jc w:val="left"/>
    </w:pPr>
    <w:rPr>
      <w:rFonts w:ascii="Verdana" w:hAnsi="Verdana"/>
      <w:kern w:val="0"/>
      <w:sz w:val="24"/>
      <w:szCs w:val="24"/>
    </w:rPr>
  </w:style>
  <w:style w:type="paragraph" w:customStyle="1" w:styleId="48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488">
    <w:name w:val="题注4"/>
    <w:basedOn w:val="1"/>
    <w:next w:val="15"/>
    <w:qFormat/>
    <w:uiPriority w:val="0"/>
    <w:pPr>
      <w:framePr w:hSpace="180" w:wrap="around" w:vAnchor="text" w:hAnchor="margin" w:y="514"/>
      <w:numPr>
        <w:ilvl w:val="0"/>
        <w:numId w:val="9"/>
      </w:numPr>
      <w:ind w:left="0" w:firstLine="0"/>
      <w:jc w:val="center"/>
    </w:pPr>
    <w:rPr>
      <w:b/>
      <w:color w:val="000000"/>
      <w:szCs w:val="21"/>
      <w:lang w:val="en-GB"/>
    </w:rPr>
  </w:style>
  <w:style w:type="paragraph" w:customStyle="1" w:styleId="489">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9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4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492">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49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494">
    <w:name w:val="Char Char Char Char Char Char Char Char Char Char Char Char Char Char Char Char2"/>
    <w:basedOn w:val="1"/>
    <w:qFormat/>
    <w:uiPriority w:val="0"/>
    <w:pPr>
      <w:tabs>
        <w:tab w:val="left" w:pos="360"/>
      </w:tabs>
    </w:pPr>
    <w:rPr>
      <w:sz w:val="24"/>
      <w:szCs w:val="24"/>
    </w:rPr>
  </w:style>
  <w:style w:type="paragraph" w:customStyle="1" w:styleId="495">
    <w:name w:val="样式2"/>
    <w:basedOn w:val="3"/>
    <w:qFormat/>
    <w:uiPriority w:val="0"/>
    <w:pPr>
      <w:keepLines/>
      <w:numPr>
        <w:ilvl w:val="0"/>
        <w:numId w:val="10"/>
      </w:numPr>
      <w:tabs>
        <w:tab w:val="left" w:pos="425"/>
        <w:tab w:val="left" w:pos="1800"/>
        <w:tab w:val="clear" w:pos="420"/>
      </w:tabs>
      <w:spacing w:before="340" w:after="330" w:line="578" w:lineRule="auto"/>
      <w:ind w:left="425" w:hanging="425"/>
      <w:jc w:val="both"/>
    </w:pPr>
    <w:rPr>
      <w:rFonts w:ascii="Times New Roman" w:eastAsia="黑体"/>
      <w:bCs/>
      <w:kern w:val="44"/>
      <w:sz w:val="32"/>
      <w:szCs w:val="44"/>
    </w:rPr>
  </w:style>
  <w:style w:type="paragraph" w:customStyle="1" w:styleId="496">
    <w:name w:val="Char Char Char Char Char Char Char Char Char Char12"/>
    <w:basedOn w:val="1"/>
    <w:qFormat/>
    <w:uiPriority w:val="0"/>
    <w:pPr>
      <w:tabs>
        <w:tab w:val="left" w:pos="425"/>
      </w:tabs>
      <w:ind w:left="425" w:hanging="425"/>
    </w:pPr>
    <w:rPr>
      <w:sz w:val="28"/>
    </w:rPr>
  </w:style>
  <w:style w:type="paragraph" w:customStyle="1" w:styleId="49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kern w:val="0"/>
      <w:sz w:val="16"/>
      <w:szCs w:val="20"/>
      <w:lang w:val="en-US" w:eastAsia="zh-CN" w:bidi="ar-SA"/>
    </w:rPr>
  </w:style>
  <w:style w:type="paragraph" w:customStyle="1" w:styleId="4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3"/>
      <w:szCs w:val="13"/>
    </w:rPr>
  </w:style>
  <w:style w:type="paragraph" w:customStyle="1" w:styleId="499">
    <w:name w:val="Char Char Char Char Char 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00">
    <w:name w:val="项目编号3"/>
    <w:basedOn w:val="1"/>
    <w:next w:val="1"/>
    <w:qFormat/>
    <w:uiPriority w:val="0"/>
    <w:pPr>
      <w:numPr>
        <w:ilvl w:val="0"/>
        <w:numId w:val="11"/>
      </w:numPr>
      <w:tabs>
        <w:tab w:val="left" w:pos="810"/>
        <w:tab w:val="clear" w:pos="780"/>
      </w:tabs>
      <w:spacing w:line="360" w:lineRule="auto"/>
      <w:ind w:left="0" w:firstLine="200" w:firstLineChars="200"/>
      <w:jc w:val="left"/>
    </w:pPr>
    <w:rPr>
      <w:rFonts w:ascii="宋体"/>
      <w:sz w:val="24"/>
      <w:szCs w:val="24"/>
    </w:rPr>
  </w:style>
  <w:style w:type="paragraph" w:customStyle="1" w:styleId="501">
    <w:name w:val="程序代码"/>
    <w:basedOn w:val="1"/>
    <w:qFormat/>
    <w:uiPriority w:val="0"/>
    <w:pPr>
      <w:adjustRightInd w:val="0"/>
      <w:spacing w:after="20" w:line="288" w:lineRule="auto"/>
      <w:ind w:left="839" w:firstLine="420"/>
      <w:textAlignment w:val="baseline"/>
    </w:pPr>
    <w:rPr>
      <w:rFonts w:eastAsia="仿宋_GB2312"/>
      <w:szCs w:val="24"/>
    </w:rPr>
  </w:style>
  <w:style w:type="paragraph" w:customStyle="1" w:styleId="502">
    <w:name w:val="样式1"/>
    <w:basedOn w:val="1"/>
    <w:qFormat/>
    <w:uiPriority w:val="0"/>
    <w:pPr>
      <w:spacing w:before="120" w:after="120" w:line="300" w:lineRule="auto"/>
    </w:pPr>
    <w:rPr>
      <w:rFonts w:ascii="宋体" w:hAnsi="宋体"/>
      <w:b/>
      <w:sz w:val="24"/>
    </w:rPr>
  </w:style>
  <w:style w:type="paragraph" w:customStyle="1" w:styleId="503">
    <w:name w:val="xl69"/>
    <w:basedOn w:val="1"/>
    <w:qFormat/>
    <w:uiPriority w:val="0"/>
    <w:pPr>
      <w:widowControl/>
      <w:spacing w:before="100" w:beforeAutospacing="1" w:after="100" w:afterAutospacing="1"/>
      <w:jc w:val="center"/>
    </w:pPr>
    <w:rPr>
      <w:rFonts w:ascii="微软雅黑" w:hAnsi="微软雅黑" w:eastAsia="微软雅黑" w:cs="宋体"/>
      <w:kern w:val="0"/>
      <w:sz w:val="13"/>
      <w:szCs w:val="13"/>
    </w:rPr>
  </w:style>
  <w:style w:type="paragraph" w:customStyle="1" w:styleId="504">
    <w:name w:val="Char Char1 Char Char Char Char1"/>
    <w:basedOn w:val="17"/>
    <w:qFormat/>
    <w:uiPriority w:val="0"/>
    <w:pPr>
      <w:adjustRightInd w:val="0"/>
      <w:spacing w:line="436" w:lineRule="exact"/>
      <w:ind w:left="357"/>
      <w:jc w:val="left"/>
      <w:outlineLvl w:val="3"/>
    </w:pPr>
    <w:rPr>
      <w:rFonts w:ascii="Tahoma" w:hAnsi="Tahoma"/>
      <w:b/>
      <w:sz w:val="24"/>
      <w:szCs w:val="24"/>
    </w:rPr>
  </w:style>
  <w:style w:type="paragraph" w:customStyle="1" w:styleId="50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506">
    <w:name w:val="正文2"/>
    <w:basedOn w:val="1"/>
    <w:link w:val="509"/>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507">
    <w:name w:val="彩色列表 - 强调文字颜色 11"/>
    <w:basedOn w:val="1"/>
    <w:qFormat/>
    <w:uiPriority w:val="0"/>
    <w:pPr>
      <w:ind w:firstLine="420" w:firstLineChars="200"/>
    </w:pPr>
  </w:style>
  <w:style w:type="paragraph" w:customStyle="1" w:styleId="508">
    <w:name w:val="Revision"/>
    <w:hidden/>
    <w:unhideWhenUsed/>
    <w:qFormat/>
    <w:uiPriority w:val="99"/>
    <w:rPr>
      <w:rFonts w:ascii="Times New Roman" w:hAnsi="Times New Roman" w:eastAsia="宋体" w:cs="Times New Roman"/>
      <w:kern w:val="2"/>
      <w:sz w:val="21"/>
      <w:szCs w:val="20"/>
      <w:lang w:val="en-US" w:eastAsia="zh-CN" w:bidi="ar-SA"/>
    </w:rPr>
  </w:style>
  <w:style w:type="character" w:customStyle="1" w:styleId="509">
    <w:name w:val="正文2 Char"/>
    <w:basedOn w:val="56"/>
    <w:link w:val="506"/>
    <w:qFormat/>
    <w:uiPriority w:val="0"/>
    <w:rPr>
      <w:rFonts w:ascii="Verdana" w:hAnsi="Verdana" w:eastAsia="黑体" w:cs="Times New Roman"/>
      <w:kern w:val="0"/>
      <w:szCs w:val="20"/>
      <w:lang w:eastAsia="en-US"/>
    </w:rPr>
  </w:style>
  <w:style w:type="character" w:customStyle="1" w:styleId="510">
    <w:name w:val="正文首行缩进 2 Char"/>
    <w:basedOn w:val="310"/>
    <w:semiHidden/>
    <w:qFormat/>
    <w:uiPriority w:val="99"/>
    <w:rPr>
      <w:rFonts w:ascii="Times New Roman" w:hAnsi="Times New Roman" w:eastAsia="宋体" w:cs="Times New Roman"/>
      <w:szCs w:val="20"/>
    </w:rPr>
  </w:style>
  <w:style w:type="paragraph" w:customStyle="1" w:styleId="511">
    <w:name w:val="列出段落2"/>
    <w:basedOn w:val="1"/>
    <w:qFormat/>
    <w:uiPriority w:val="99"/>
    <w:pPr>
      <w:widowControl/>
      <w:spacing w:line="360" w:lineRule="auto"/>
      <w:ind w:firstLine="420" w:firstLineChars="200"/>
    </w:pPr>
    <w:rPr>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7308</Words>
  <Characters>41661</Characters>
  <Lines>347</Lines>
  <Paragraphs>97</Paragraphs>
  <TotalTime>4</TotalTime>
  <ScaleCrop>false</ScaleCrop>
  <LinksUpToDate>false</LinksUpToDate>
  <CharactersWithSpaces>48872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2020-07-20T03:05:00Z</dcterms:created>
  <dc:creator>钱荣</dc:creator>
  <cp:lastModifiedBy>Outsider</cp:lastModifiedBy>
  <dcterms:modified xsi:type="dcterms:W3CDTF">2020-12-31T08:39:47Z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