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360" w:lineRule="auto"/>
        <w:jc w:val="both"/>
        <w:rPr>
          <w:rFonts w:hint="eastAsia" w:eastAsia="黑体"/>
          <w:b/>
          <w:sz w:val="52"/>
          <w:szCs w:val="52"/>
        </w:rPr>
      </w:pPr>
    </w:p>
    <w:p>
      <w:pPr>
        <w:topLinePunct/>
        <w:spacing w:line="360" w:lineRule="auto"/>
        <w:jc w:val="both"/>
        <w:rPr>
          <w:rFonts w:hint="eastAsia" w:eastAsia="黑体"/>
          <w:b/>
          <w:sz w:val="52"/>
          <w:szCs w:val="52"/>
        </w:rPr>
      </w:pPr>
    </w:p>
    <w:p>
      <w:pPr>
        <w:topLinePunct/>
        <w:spacing w:line="360" w:lineRule="auto"/>
        <w:jc w:val="center"/>
        <w:rPr>
          <w:rFonts w:hint="eastAsia" w:eastAsia="黑体"/>
          <w:b/>
          <w:sz w:val="52"/>
          <w:szCs w:val="52"/>
        </w:rPr>
      </w:pPr>
    </w:p>
    <w:p>
      <w:pPr>
        <w:jc w:val="center"/>
        <w:rPr>
          <w:rFonts w:hint="eastAsia" w:ascii="黑体" w:hAnsi="华文中宋" w:eastAsia="黑体"/>
          <w:bCs/>
          <w:color w:val="auto"/>
          <w:spacing w:val="20"/>
          <w:sz w:val="72"/>
          <w:szCs w:val="72"/>
          <w:highlight w:val="none"/>
        </w:rPr>
      </w:pPr>
      <w:r>
        <w:rPr>
          <w:rFonts w:hint="eastAsia" w:ascii="黑体" w:hAnsi="华文中宋" w:eastAsia="黑体"/>
          <w:bCs/>
          <w:color w:val="auto"/>
          <w:spacing w:val="20"/>
          <w:sz w:val="72"/>
          <w:szCs w:val="72"/>
          <w:highlight w:val="none"/>
        </w:rPr>
        <w:t>无 锡 市 政 府 采 购</w:t>
      </w:r>
    </w:p>
    <w:p>
      <w:pPr>
        <w:rPr>
          <w:rFonts w:hint="eastAsia" w:ascii="华文中宋" w:hAnsi="华文中宋" w:eastAsia="华文中宋"/>
          <w:bCs/>
          <w:color w:val="auto"/>
          <w:sz w:val="30"/>
          <w:highlight w:val="none"/>
        </w:rPr>
      </w:pPr>
    </w:p>
    <w:p>
      <w:pPr>
        <w:rPr>
          <w:rFonts w:hint="eastAsia" w:ascii="华文中宋" w:hAnsi="华文中宋" w:eastAsia="华文中宋"/>
          <w:bCs/>
          <w:color w:val="auto"/>
          <w:sz w:val="30"/>
          <w:highlight w:val="none"/>
        </w:rPr>
      </w:pPr>
    </w:p>
    <w:p>
      <w:pPr>
        <w:rPr>
          <w:rFonts w:hint="eastAsia" w:ascii="华文中宋" w:hAnsi="华文中宋" w:eastAsia="华文中宋"/>
          <w:bCs/>
          <w:color w:val="auto"/>
          <w:sz w:val="30"/>
          <w:highlight w:val="none"/>
        </w:rPr>
      </w:pPr>
    </w:p>
    <w:p>
      <w:pPr>
        <w:rPr>
          <w:rFonts w:hint="eastAsia" w:ascii="华文中宋" w:hAnsi="华文中宋" w:eastAsia="华文中宋"/>
          <w:bCs/>
          <w:color w:val="auto"/>
          <w:sz w:val="30"/>
          <w:highlight w:val="none"/>
        </w:rPr>
      </w:pPr>
    </w:p>
    <w:p>
      <w:pPr>
        <w:jc w:val="center"/>
        <w:rPr>
          <w:rFonts w:hint="eastAsia" w:ascii="黑体" w:hAnsi="华文中宋" w:eastAsia="黑体"/>
          <w:bCs/>
          <w:color w:val="auto"/>
          <w:spacing w:val="20"/>
          <w:sz w:val="52"/>
          <w:szCs w:val="52"/>
          <w:highlight w:val="none"/>
        </w:rPr>
      </w:pPr>
      <w:r>
        <w:rPr>
          <w:rFonts w:hint="eastAsia" w:ascii="黑体" w:hAnsi="华文中宋" w:eastAsia="黑体"/>
          <w:bCs/>
          <w:color w:val="auto"/>
          <w:spacing w:val="20"/>
          <w:sz w:val="52"/>
          <w:szCs w:val="52"/>
          <w:highlight w:val="none"/>
        </w:rPr>
        <w:t>公   开</w:t>
      </w:r>
    </w:p>
    <w:p>
      <w:pPr>
        <w:jc w:val="center"/>
        <w:rPr>
          <w:rFonts w:hint="eastAsia" w:ascii="黑体" w:hAnsi="华文中宋" w:eastAsia="黑体"/>
          <w:bCs/>
          <w:color w:val="auto"/>
          <w:spacing w:val="20"/>
          <w:sz w:val="52"/>
          <w:szCs w:val="52"/>
          <w:highlight w:val="none"/>
        </w:rPr>
      </w:pPr>
      <w:r>
        <w:rPr>
          <w:rFonts w:hint="eastAsia" w:ascii="黑体" w:hAnsi="华文中宋" w:eastAsia="黑体"/>
          <w:bCs/>
          <w:color w:val="auto"/>
          <w:spacing w:val="20"/>
          <w:sz w:val="52"/>
          <w:szCs w:val="52"/>
          <w:highlight w:val="none"/>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5.6pt;height:0pt;width:0.05pt;z-index:251660288;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YL9/61wAAAAkBAAAPAAAAAAAAAAEA&#10;IAAAACIAAABkcnMvZG93bnJldi54bWxQSwECFAAUAAAACACHTuJA1B6opdcBAACSAwAADgAAAAAA&#10;AAABACAAAAAmAQAAZHJzL2Uyb0RvYy54bWxQSwUGAAAAAAYABgBZAQAAbwUAAAAA&#10;">
                <v:fill on="f" focussize="0,0"/>
                <v:stroke color="#000000" joinstyle="round"/>
                <v:imagedata o:title=""/>
                <o:lock v:ext="edit" aspectratio="f"/>
              </v:line>
            </w:pict>
          </mc:Fallback>
        </mc:AlternateContent>
      </w:r>
      <w:r>
        <w:rPr>
          <w:rFonts w:hint="eastAsia" w:ascii="黑体" w:hAnsi="华文中宋" w:eastAsia="黑体"/>
          <w:bCs/>
          <w:color w:val="auto"/>
          <w:spacing w:val="20"/>
          <w:sz w:val="52"/>
          <w:szCs w:val="52"/>
          <w:highlight w:val="none"/>
        </w:rPr>
        <w:t>招  标  文</w:t>
      </w:r>
      <w:r>
        <w:rPr>
          <w:rFonts w:hint="eastAsia" w:ascii="黑体" w:hAnsi="华文中宋" w:eastAsia="黑体"/>
          <w:bCs/>
          <w:color w:val="auto"/>
          <w:spacing w:val="20"/>
          <w:sz w:val="52"/>
          <w:szCs w:val="52"/>
          <w:highlight w:val="none"/>
          <w:lang w:val="en-US" w:eastAsia="zh-CN"/>
        </w:rPr>
        <w:t xml:space="preserve"> </w:t>
      </w:r>
      <w:r>
        <w:rPr>
          <w:rFonts w:hint="eastAsia" w:ascii="黑体" w:hAnsi="华文中宋" w:eastAsia="黑体"/>
          <w:bCs/>
          <w:color w:val="auto"/>
          <w:spacing w:val="20"/>
          <w:sz w:val="52"/>
          <w:szCs w:val="52"/>
          <w:highlight w:val="none"/>
        </w:rPr>
        <w:t xml:space="preserve"> 件</w:t>
      </w:r>
    </w:p>
    <w:p>
      <w:pPr>
        <w:rPr>
          <w:rFonts w:hint="eastAsia"/>
          <w:b/>
          <w:sz w:val="32"/>
          <w:szCs w:val="32"/>
        </w:rPr>
      </w:pPr>
    </w:p>
    <w:p>
      <w:pPr>
        <w:ind w:left="3036" w:hanging="3036" w:hangingChars="945"/>
        <w:rPr>
          <w:b/>
          <w:sz w:val="32"/>
          <w:szCs w:val="32"/>
        </w:rPr>
      </w:pPr>
    </w:p>
    <w:p>
      <w:pPr>
        <w:pStyle w:val="2"/>
        <w:numPr>
          <w:ilvl w:val="4"/>
          <w:numId w:val="0"/>
        </w:numPr>
        <w:ind w:leftChars="0"/>
      </w:pPr>
    </w:p>
    <w:p>
      <w:pPr>
        <w:ind w:left="3036" w:hanging="3036" w:hangingChars="945"/>
        <w:rPr>
          <w:b/>
          <w:sz w:val="32"/>
          <w:szCs w:val="32"/>
        </w:rPr>
      </w:pPr>
    </w:p>
    <w:p>
      <w:pPr>
        <w:ind w:left="2398" w:leftChars="142" w:hanging="2100" w:hangingChars="700"/>
        <w:rPr>
          <w:rFonts w:hint="eastAsia" w:ascii="黑体" w:hAnsi="华文中宋" w:eastAsia="黑体"/>
          <w:bCs/>
          <w:sz w:val="30"/>
          <w:szCs w:val="30"/>
          <w:lang w:val="en-US" w:eastAsia="zh-CN"/>
        </w:rPr>
      </w:pPr>
      <w:r>
        <w:rPr>
          <w:rFonts w:hint="eastAsia" w:ascii="黑体" w:hAnsi="华文中宋" w:eastAsia="黑体"/>
          <w:bCs/>
          <w:sz w:val="30"/>
          <w:szCs w:val="30"/>
        </w:rPr>
        <w:t>采购项目编号：</w:t>
      </w:r>
      <w:r>
        <w:rPr>
          <w:rFonts w:hint="eastAsia" w:ascii="黑体" w:hAnsi="华文中宋" w:eastAsia="黑体"/>
          <w:bCs/>
          <w:sz w:val="30"/>
          <w:szCs w:val="30"/>
          <w:lang w:eastAsia="zh-CN"/>
        </w:rPr>
        <w:t>JSBZQCG2019-80</w:t>
      </w:r>
    </w:p>
    <w:p>
      <w:pPr>
        <w:ind w:left="2398" w:leftChars="142" w:hanging="2100" w:hangingChars="700"/>
        <w:jc w:val="left"/>
        <w:rPr>
          <w:rFonts w:hint="eastAsia" w:ascii="黑体" w:hAnsi="华文中宋" w:eastAsia="黑体"/>
          <w:bCs/>
          <w:sz w:val="30"/>
          <w:szCs w:val="30"/>
        </w:rPr>
      </w:pPr>
      <w:r>
        <w:rPr>
          <w:rFonts w:hint="eastAsia" w:ascii="黑体" w:hAnsi="华文中宋" w:eastAsia="黑体"/>
          <w:bCs/>
          <w:sz w:val="30"/>
          <w:szCs w:val="30"/>
        </w:rPr>
        <w:t>采购项目名称：</w:t>
      </w:r>
      <w:r>
        <w:rPr>
          <w:rFonts w:hint="eastAsia" w:ascii="黑体" w:hAnsi="华文中宋" w:eastAsia="黑体"/>
          <w:bCs/>
          <w:sz w:val="30"/>
          <w:szCs w:val="30"/>
          <w:lang w:eastAsia="zh-CN"/>
        </w:rPr>
        <w:t>无锡职业技术学院太湖校区绿化养护项目</w:t>
      </w:r>
      <w:r>
        <w:rPr>
          <w:rFonts w:hint="default" w:ascii="黑体" w:hAnsi="华文中宋" w:eastAsia="黑体"/>
          <w:bCs/>
          <w:sz w:val="30"/>
          <w:szCs w:val="30"/>
          <w:lang w:val="en-US"/>
        </w:rPr>
        <w:t xml:space="preserve"> </w:t>
      </w:r>
    </w:p>
    <w:p>
      <w:pPr>
        <w:ind w:left="2398" w:leftChars="142" w:hanging="2100" w:hangingChars="700"/>
        <w:rPr>
          <w:rFonts w:hint="eastAsia" w:ascii="黑体" w:hAnsi="华文中宋" w:eastAsia="黑体"/>
          <w:bCs/>
          <w:sz w:val="30"/>
          <w:szCs w:val="30"/>
          <w:lang w:eastAsia="zh-CN"/>
        </w:rPr>
      </w:pPr>
      <w:r>
        <w:rPr>
          <w:rFonts w:hint="eastAsia" w:ascii="黑体" w:hAnsi="华文中宋" w:eastAsia="黑体"/>
          <w:bCs/>
          <w:sz w:val="30"/>
          <w:szCs w:val="30"/>
        </w:rPr>
        <w:t xml:space="preserve">采 </w:t>
      </w:r>
      <w:r>
        <w:rPr>
          <w:rFonts w:ascii="黑体" w:hAnsi="华文中宋" w:eastAsia="黑体"/>
          <w:bCs/>
          <w:sz w:val="30"/>
          <w:szCs w:val="30"/>
        </w:rPr>
        <w:t xml:space="preserve">  </w:t>
      </w:r>
      <w:r>
        <w:rPr>
          <w:rFonts w:hint="eastAsia" w:ascii="黑体" w:hAnsi="华文中宋" w:eastAsia="黑体"/>
          <w:bCs/>
          <w:sz w:val="30"/>
          <w:szCs w:val="30"/>
        </w:rPr>
        <w:t xml:space="preserve">购 </w:t>
      </w:r>
      <w:r>
        <w:rPr>
          <w:rFonts w:ascii="黑体" w:hAnsi="华文中宋" w:eastAsia="黑体"/>
          <w:bCs/>
          <w:sz w:val="30"/>
          <w:szCs w:val="30"/>
        </w:rPr>
        <w:t xml:space="preserve">  </w:t>
      </w:r>
      <w:r>
        <w:rPr>
          <w:rFonts w:hint="eastAsia" w:ascii="黑体" w:hAnsi="华文中宋" w:eastAsia="黑体"/>
          <w:bCs/>
          <w:sz w:val="30"/>
          <w:szCs w:val="30"/>
        </w:rPr>
        <w:t>人：</w:t>
      </w:r>
      <w:r>
        <w:rPr>
          <w:rFonts w:hint="eastAsia" w:ascii="黑体" w:hAnsi="华文中宋" w:eastAsia="黑体"/>
          <w:bCs/>
          <w:sz w:val="30"/>
          <w:szCs w:val="30"/>
          <w:lang w:eastAsia="zh-CN"/>
        </w:rPr>
        <w:t>无锡职业技术学院</w:t>
      </w:r>
    </w:p>
    <w:p>
      <w:pPr>
        <w:ind w:left="2398" w:leftChars="142" w:hanging="2100" w:hangingChars="700"/>
        <w:rPr>
          <w:rFonts w:hint="eastAsia" w:eastAsia="黑体"/>
          <w:b/>
          <w:sz w:val="24"/>
          <w:lang w:eastAsia="zh-CN"/>
        </w:rPr>
      </w:pPr>
      <w:r>
        <w:rPr>
          <w:rFonts w:hint="eastAsia" w:ascii="黑体" w:hAnsi="华文中宋" w:eastAsia="黑体"/>
          <w:bCs/>
          <w:sz w:val="30"/>
          <w:szCs w:val="30"/>
        </w:rPr>
        <w:t>采购代理机构：</w:t>
      </w:r>
      <w:r>
        <w:rPr>
          <w:rFonts w:hint="eastAsia" w:ascii="黑体" w:hAnsi="华文中宋" w:eastAsia="黑体"/>
          <w:bCs/>
          <w:sz w:val="30"/>
          <w:szCs w:val="30"/>
          <w:lang w:eastAsia="zh-CN"/>
        </w:rPr>
        <w:t>江苏博智工程咨询有限公司</w:t>
      </w:r>
    </w:p>
    <w:p>
      <w:pPr>
        <w:topLinePunct/>
        <w:spacing w:line="360" w:lineRule="auto"/>
        <w:jc w:val="center"/>
        <w:rPr>
          <w:rFonts w:hint="eastAsia"/>
          <w:b/>
          <w:sz w:val="32"/>
          <w:szCs w:val="32"/>
        </w:rPr>
      </w:pPr>
    </w:p>
    <w:p>
      <w:pPr>
        <w:topLinePunct/>
        <w:spacing w:line="360" w:lineRule="auto"/>
        <w:jc w:val="center"/>
        <w:rPr>
          <w:rFonts w:hint="eastAsia"/>
          <w:b/>
          <w:sz w:val="44"/>
          <w:szCs w:val="44"/>
        </w:rPr>
      </w:pPr>
      <w:r>
        <w:rPr>
          <w:rFonts w:hint="eastAsia"/>
          <w:b/>
          <w:sz w:val="32"/>
          <w:szCs w:val="32"/>
        </w:rPr>
        <w:t>二○一九年</w:t>
      </w:r>
      <w:r>
        <w:rPr>
          <w:rFonts w:hint="eastAsia"/>
          <w:b/>
          <w:sz w:val="32"/>
          <w:szCs w:val="32"/>
          <w:lang w:val="en-US" w:eastAsia="zh-CN"/>
        </w:rPr>
        <w:t>十一</w:t>
      </w:r>
      <w:r>
        <w:rPr>
          <w:rFonts w:hint="eastAsia"/>
          <w:b/>
          <w:sz w:val="32"/>
          <w:szCs w:val="32"/>
        </w:rPr>
        <w:t>月</w:t>
      </w:r>
    </w:p>
    <w:p>
      <w:pPr>
        <w:topLinePunct/>
        <w:snapToGrid w:val="0"/>
        <w:spacing w:line="360" w:lineRule="auto"/>
        <w:jc w:val="center"/>
        <w:rPr>
          <w:b/>
          <w:sz w:val="30"/>
          <w:szCs w:val="30"/>
        </w:rPr>
      </w:pPr>
      <w:r>
        <w:rPr>
          <w:rFonts w:hint="eastAsia"/>
          <w:b/>
          <w:sz w:val="44"/>
          <w:szCs w:val="44"/>
        </w:rPr>
        <w:t>目  录</w:t>
      </w:r>
    </w:p>
    <w:p>
      <w:pPr>
        <w:spacing w:line="720" w:lineRule="auto"/>
        <w:ind w:firstLine="630" w:firstLineChars="210"/>
        <w:rPr>
          <w:rFonts w:hint="eastAsia" w:ascii="宋体" w:hAnsi="宋体"/>
          <w:bCs/>
          <w:color w:val="auto"/>
          <w:sz w:val="30"/>
          <w:szCs w:val="30"/>
          <w:highlight w:val="none"/>
        </w:rPr>
      </w:pPr>
      <w:r>
        <w:rPr>
          <w:rFonts w:hint="eastAsia" w:ascii="宋体" w:hAnsi="宋体"/>
          <w:bCs/>
          <w:color w:val="auto"/>
          <w:sz w:val="30"/>
          <w:szCs w:val="30"/>
          <w:highlight w:val="none"/>
        </w:rPr>
        <w:t>一．投标</w:t>
      </w:r>
      <w:bookmarkStart w:id="0" w:name="_Hlt529243434"/>
      <w:bookmarkEnd w:id="0"/>
      <w:r>
        <w:rPr>
          <w:rFonts w:hint="eastAsia" w:ascii="宋体" w:hAnsi="宋体"/>
          <w:bCs/>
          <w:color w:val="auto"/>
          <w:sz w:val="30"/>
          <w:szCs w:val="30"/>
          <w:highlight w:val="none"/>
        </w:rPr>
        <w:t>邀请函</w:t>
      </w:r>
    </w:p>
    <w:p>
      <w:pPr>
        <w:spacing w:line="720" w:lineRule="auto"/>
        <w:ind w:firstLine="630" w:firstLineChars="210"/>
        <w:rPr>
          <w:rFonts w:hint="eastAsia" w:ascii="宋体" w:hAnsi="宋体"/>
          <w:bCs/>
          <w:color w:val="auto"/>
          <w:sz w:val="30"/>
          <w:szCs w:val="30"/>
          <w:highlight w:val="none"/>
        </w:rPr>
      </w:pPr>
      <w:r>
        <w:rPr>
          <w:rFonts w:hint="eastAsia" w:ascii="宋体" w:hAnsi="宋体"/>
          <w:bCs/>
          <w:color w:val="auto"/>
          <w:sz w:val="30"/>
          <w:szCs w:val="30"/>
          <w:highlight w:val="none"/>
        </w:rPr>
        <w:t>二．投标供应商须知</w:t>
      </w:r>
    </w:p>
    <w:p>
      <w:pPr>
        <w:spacing w:line="720" w:lineRule="auto"/>
        <w:ind w:firstLine="630" w:firstLineChars="210"/>
        <w:rPr>
          <w:rFonts w:hint="default" w:ascii="宋体" w:hAnsi="宋体" w:eastAsia="宋体"/>
          <w:bCs/>
          <w:color w:val="auto"/>
          <w:sz w:val="30"/>
          <w:szCs w:val="30"/>
          <w:highlight w:val="none"/>
          <w:lang w:val="en-US" w:eastAsia="zh-CN"/>
        </w:rPr>
      </w:pPr>
      <w:r>
        <w:rPr>
          <w:rFonts w:hint="eastAsia" w:ascii="宋体" w:hAnsi="宋体"/>
          <w:bCs/>
          <w:color w:val="auto"/>
          <w:sz w:val="30"/>
          <w:szCs w:val="30"/>
          <w:highlight w:val="none"/>
        </w:rPr>
        <w:t>三．</w:t>
      </w:r>
      <w:r>
        <w:rPr>
          <w:rFonts w:hint="eastAsia" w:ascii="宋体" w:hAnsi="宋体"/>
          <w:bCs/>
          <w:color w:val="auto"/>
          <w:sz w:val="30"/>
          <w:szCs w:val="30"/>
          <w:highlight w:val="none"/>
          <w:lang w:val="en-US" w:eastAsia="zh-CN"/>
        </w:rPr>
        <w:t>采购需求</w:t>
      </w:r>
    </w:p>
    <w:p>
      <w:pPr>
        <w:spacing w:line="720" w:lineRule="auto"/>
        <w:ind w:firstLine="630" w:firstLineChars="210"/>
        <w:rPr>
          <w:rFonts w:hint="eastAsia" w:ascii="宋体" w:hAnsi="宋体"/>
          <w:bCs/>
          <w:color w:val="auto"/>
          <w:sz w:val="30"/>
          <w:szCs w:val="30"/>
          <w:highlight w:val="none"/>
        </w:rPr>
      </w:pPr>
      <w:r>
        <w:rPr>
          <w:rFonts w:hint="eastAsia" w:ascii="宋体" w:hAnsi="宋体"/>
          <w:bCs/>
          <w:color w:val="auto"/>
          <w:sz w:val="30"/>
          <w:szCs w:val="30"/>
          <w:highlight w:val="none"/>
        </w:rPr>
        <w:t>四. 合同书（格式文本）</w:t>
      </w:r>
    </w:p>
    <w:p>
      <w:pPr>
        <w:spacing w:line="720" w:lineRule="auto"/>
        <w:ind w:firstLine="630" w:firstLineChars="210"/>
        <w:rPr>
          <w:rFonts w:hint="eastAsia" w:ascii="宋体" w:hAnsi="宋体"/>
          <w:bCs/>
          <w:color w:val="auto"/>
          <w:sz w:val="30"/>
          <w:szCs w:val="30"/>
          <w:highlight w:val="none"/>
        </w:rPr>
      </w:pPr>
      <w:r>
        <w:rPr>
          <w:rFonts w:hint="eastAsia" w:ascii="宋体" w:hAnsi="宋体"/>
          <w:bCs/>
          <w:color w:val="auto"/>
          <w:sz w:val="30"/>
          <w:szCs w:val="30"/>
          <w:highlight w:val="none"/>
        </w:rPr>
        <w:t>五．合</w:t>
      </w:r>
      <w:bookmarkStart w:id="1" w:name="_Hlt15786867"/>
      <w:bookmarkStart w:id="2" w:name="_Hlt29808642"/>
      <w:r>
        <w:rPr>
          <w:rFonts w:hint="eastAsia" w:ascii="宋体" w:hAnsi="宋体"/>
          <w:bCs/>
          <w:color w:val="auto"/>
          <w:sz w:val="30"/>
          <w:szCs w:val="30"/>
          <w:highlight w:val="none"/>
        </w:rPr>
        <w:t>同</w:t>
      </w:r>
      <w:bookmarkEnd w:id="1"/>
      <w:bookmarkEnd w:id="2"/>
      <w:bookmarkStart w:id="3" w:name="_Hlt42398777"/>
      <w:bookmarkStart w:id="4" w:name="_Hlt42398776"/>
      <w:r>
        <w:rPr>
          <w:rFonts w:hint="eastAsia" w:ascii="宋体" w:hAnsi="宋体"/>
          <w:bCs/>
          <w:color w:val="auto"/>
          <w:sz w:val="30"/>
          <w:szCs w:val="30"/>
          <w:highlight w:val="none"/>
        </w:rPr>
        <w:t>条</w:t>
      </w:r>
      <w:bookmarkEnd w:id="3"/>
      <w:bookmarkEnd w:id="4"/>
      <w:r>
        <w:rPr>
          <w:rFonts w:hint="eastAsia" w:ascii="宋体" w:hAnsi="宋体"/>
          <w:bCs/>
          <w:color w:val="auto"/>
          <w:sz w:val="30"/>
          <w:szCs w:val="30"/>
          <w:highlight w:val="none"/>
        </w:rPr>
        <w:t>款（格式）</w:t>
      </w:r>
    </w:p>
    <w:p>
      <w:pPr>
        <w:spacing w:line="720" w:lineRule="auto"/>
        <w:ind w:firstLine="630" w:firstLineChars="210"/>
        <w:rPr>
          <w:rFonts w:hint="eastAsia" w:ascii="宋体" w:hAnsi="宋体"/>
          <w:bCs/>
          <w:color w:val="auto"/>
          <w:sz w:val="28"/>
          <w:szCs w:val="28"/>
          <w:highlight w:val="none"/>
        </w:rPr>
      </w:pPr>
      <w:r>
        <w:rPr>
          <w:rFonts w:hint="eastAsia" w:ascii="宋体" w:hAnsi="宋体"/>
          <w:bCs/>
          <w:color w:val="auto"/>
          <w:sz w:val="30"/>
          <w:szCs w:val="30"/>
          <w:highlight w:val="none"/>
        </w:rPr>
        <w:t>六. 附件（投标文件格式）</w:t>
      </w:r>
    </w:p>
    <w:p>
      <w:pPr>
        <w:widowControl/>
        <w:topLinePunct/>
        <w:snapToGrid w:val="0"/>
        <w:spacing w:line="360" w:lineRule="auto"/>
        <w:rPr>
          <w:rFonts w:eastAsia="仿宋_GB2312"/>
          <w:b/>
          <w:sz w:val="24"/>
        </w:rPr>
      </w:pPr>
    </w:p>
    <w:p>
      <w:pPr>
        <w:widowControl/>
        <w:topLinePunct/>
        <w:snapToGrid w:val="0"/>
        <w:spacing w:line="360" w:lineRule="auto"/>
        <w:rPr>
          <w:rFonts w:eastAsia="仿宋_GB2312"/>
          <w:b/>
          <w:sz w:val="24"/>
        </w:rPr>
      </w:pPr>
    </w:p>
    <w:p>
      <w:pPr>
        <w:widowControl/>
        <w:topLinePunct/>
        <w:snapToGrid w:val="0"/>
        <w:spacing w:line="360" w:lineRule="auto"/>
        <w:rPr>
          <w:rFonts w:eastAsia="仿宋_GB2312"/>
          <w:b/>
          <w:sz w:val="24"/>
        </w:rPr>
      </w:pPr>
    </w:p>
    <w:p>
      <w:pPr>
        <w:widowControl/>
        <w:topLinePunct/>
        <w:snapToGrid w:val="0"/>
        <w:spacing w:line="360" w:lineRule="auto"/>
        <w:rPr>
          <w:rFonts w:eastAsia="仿宋_GB2312"/>
          <w:b/>
          <w:sz w:val="24"/>
        </w:rPr>
      </w:pPr>
    </w:p>
    <w:p>
      <w:pPr>
        <w:widowControl/>
        <w:topLinePunct/>
        <w:spacing w:before="470"/>
        <w:rPr>
          <w:rFonts w:eastAsia="仿宋_GB2312"/>
          <w:b/>
          <w:sz w:val="24"/>
        </w:rPr>
      </w:pPr>
    </w:p>
    <w:p>
      <w:pPr>
        <w:widowControl/>
        <w:topLinePunct/>
        <w:spacing w:before="470"/>
        <w:rPr>
          <w:rFonts w:eastAsia="仿宋_GB2312"/>
          <w:b/>
          <w:sz w:val="24"/>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eastAsia="黑体"/>
          <w:b/>
          <w:bCs/>
          <w:color w:val="auto"/>
          <w:sz w:val="32"/>
          <w:szCs w:val="32"/>
          <w:highlight w:val="none"/>
        </w:rPr>
      </w:pPr>
      <w:r>
        <w:rPr>
          <w:b/>
          <w:sz w:val="24"/>
        </w:rPr>
        <w:br w:type="page"/>
      </w:r>
      <w:r>
        <w:rPr>
          <w:rFonts w:hint="eastAsia" w:ascii="黑体" w:eastAsia="黑体"/>
          <w:b/>
          <w:bCs/>
          <w:color w:val="auto"/>
          <w:sz w:val="32"/>
          <w:szCs w:val="32"/>
          <w:highlight w:val="none"/>
        </w:rPr>
        <w:t>一．投标邀请函</w:t>
      </w:r>
    </w:p>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黑体" w:eastAsia="黑体"/>
          <w:b/>
          <w:sz w:val="44"/>
          <w:szCs w:val="44"/>
        </w:rPr>
      </w:pPr>
      <w:r>
        <w:rPr>
          <w:rFonts w:hint="eastAsia" w:ascii="宋体" w:hAnsi="宋体"/>
          <w:bCs/>
          <w:color w:val="auto"/>
          <w:sz w:val="24"/>
          <w:highlight w:val="none"/>
          <w:lang w:eastAsia="zh-CN"/>
        </w:rPr>
        <w:t>江苏博智工程咨询有限公司</w:t>
      </w:r>
      <w:r>
        <w:rPr>
          <w:rFonts w:hint="eastAsia" w:ascii="宋体" w:hAnsi="宋体"/>
          <w:bCs/>
          <w:color w:val="auto"/>
          <w:sz w:val="24"/>
          <w:highlight w:val="none"/>
        </w:rPr>
        <w:t>受</w:t>
      </w:r>
      <w:r>
        <w:rPr>
          <w:rFonts w:hint="eastAsia" w:ascii="宋体" w:hAnsi="宋体"/>
          <w:sz w:val="24"/>
          <w:lang w:eastAsia="zh-CN"/>
        </w:rPr>
        <w:t>无锡职业技术学院</w:t>
      </w:r>
      <w:r>
        <w:rPr>
          <w:rFonts w:hint="eastAsia" w:ascii="宋体" w:hAnsi="宋体"/>
          <w:bCs/>
          <w:color w:val="auto"/>
          <w:sz w:val="24"/>
          <w:highlight w:val="none"/>
        </w:rPr>
        <w:t>的委托，就</w:t>
      </w:r>
      <w:r>
        <w:rPr>
          <w:rFonts w:hint="eastAsia" w:ascii="宋体" w:hAnsi="宋体"/>
          <w:bCs/>
          <w:color w:val="auto"/>
          <w:sz w:val="24"/>
          <w:highlight w:val="none"/>
          <w:lang w:val="en-US" w:eastAsia="zh-CN"/>
        </w:rPr>
        <w:t>无锡职业技术学院太湖校区绿化养护项目</w:t>
      </w:r>
      <w:r>
        <w:rPr>
          <w:rFonts w:hint="eastAsia" w:ascii="宋体" w:hAnsi="宋体"/>
          <w:bCs/>
          <w:color w:val="auto"/>
          <w:sz w:val="24"/>
          <w:highlight w:val="none"/>
        </w:rPr>
        <w:t>进行公开招标，欢迎你单位参加投标并提请注意下列附表中的相关事项：</w:t>
      </w:r>
    </w:p>
    <w:tbl>
      <w:tblPr>
        <w:tblStyle w:val="15"/>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8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序号</w:t>
            </w:r>
          </w:p>
        </w:tc>
        <w:tc>
          <w:tcPr>
            <w:tcW w:w="8106" w:type="dxa"/>
            <w:noWrap w:val="0"/>
            <w:vAlign w:val="center"/>
          </w:tcPr>
          <w:p>
            <w:pPr>
              <w:widowControl/>
              <w:topLinePunct/>
              <w:jc w:val="center"/>
              <w:rPr>
                <w:rFonts w:ascii="宋体" w:hAnsi="宋体"/>
                <w:sz w:val="24"/>
              </w:rPr>
            </w:pPr>
            <w:r>
              <w:rPr>
                <w:rFonts w:hint="eastAsia" w:ascii="宋体" w:hAnsi="宋体"/>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1</w:t>
            </w:r>
          </w:p>
        </w:tc>
        <w:tc>
          <w:tcPr>
            <w:tcW w:w="8106" w:type="dxa"/>
            <w:noWrap w:val="0"/>
            <w:vAlign w:val="center"/>
          </w:tcPr>
          <w:p>
            <w:pPr>
              <w:snapToGrid w:val="0"/>
              <w:spacing w:line="440" w:lineRule="exact"/>
              <w:ind w:left="1680" w:hanging="1680" w:hangingChars="700"/>
              <w:jc w:val="both"/>
              <w:rPr>
                <w:rFonts w:hint="eastAsia" w:ascii="宋体" w:hAnsi="宋体" w:eastAsia="宋体"/>
                <w:color w:val="auto"/>
                <w:sz w:val="24"/>
                <w:highlight w:val="none"/>
                <w:lang w:eastAsia="zh-CN"/>
              </w:rPr>
            </w:pPr>
            <w:r>
              <w:rPr>
                <w:rFonts w:hint="eastAsia" w:ascii="宋体" w:hAnsi="宋体"/>
                <w:bCs/>
                <w:color w:val="auto"/>
                <w:sz w:val="24"/>
                <w:highlight w:val="none"/>
              </w:rPr>
              <w:t>采购项目名称：</w:t>
            </w:r>
            <w:r>
              <w:rPr>
                <w:rFonts w:hint="eastAsia" w:ascii="宋体" w:hAnsi="宋体"/>
                <w:bCs/>
                <w:color w:val="auto"/>
                <w:sz w:val="24"/>
                <w:highlight w:val="none"/>
                <w:lang w:val="en-US" w:eastAsia="zh-CN"/>
              </w:rPr>
              <w:t>无锡职业技术学院太湖校区绿化养护项目</w:t>
            </w:r>
            <w:r>
              <w:rPr>
                <w:rFonts w:hint="eastAsia" w:ascii="宋体" w:hAnsi="宋体"/>
                <w:sz w:val="24"/>
                <w:lang w:val="en-US" w:eastAsia="zh-CN"/>
              </w:rPr>
              <w:t xml:space="preserve"> </w:t>
            </w:r>
          </w:p>
          <w:p>
            <w:pPr>
              <w:snapToGrid w:val="0"/>
              <w:spacing w:line="440" w:lineRule="exact"/>
              <w:ind w:left="120" w:hanging="120" w:hangingChars="50"/>
              <w:jc w:val="both"/>
              <w:rPr>
                <w:rFonts w:hint="default" w:ascii="宋体" w:hAnsi="宋体" w:eastAsia="宋体"/>
                <w:bCs/>
                <w:color w:val="auto"/>
                <w:sz w:val="24"/>
                <w:highlight w:val="none"/>
                <w:lang w:val="en-US" w:eastAsia="zh-CN"/>
              </w:rPr>
            </w:pPr>
            <w:r>
              <w:rPr>
                <w:rFonts w:hint="eastAsia" w:ascii="宋体" w:hAnsi="宋体"/>
                <w:bCs/>
                <w:color w:val="auto"/>
                <w:sz w:val="24"/>
                <w:highlight w:val="none"/>
              </w:rPr>
              <w:t>采购项目编号：</w:t>
            </w:r>
            <w:r>
              <w:rPr>
                <w:rFonts w:hint="eastAsia" w:ascii="宋体" w:hAnsi="宋体"/>
                <w:color w:val="auto"/>
                <w:sz w:val="24"/>
                <w:highlight w:val="none"/>
                <w:lang w:eastAsia="zh-CN"/>
              </w:rPr>
              <w:t>JSBZQCG2019-80</w:t>
            </w:r>
            <w:r>
              <w:rPr>
                <w:rFonts w:hint="eastAsia" w:ascii="宋体" w:hAnsi="宋体"/>
                <w:color w:val="auto"/>
                <w:sz w:val="24"/>
                <w:highlight w:val="none"/>
                <w:lang w:val="en-US" w:eastAsia="zh-CN"/>
              </w:rPr>
              <w:t xml:space="preserve"> </w:t>
            </w:r>
          </w:p>
          <w:p>
            <w:pPr>
              <w:snapToGrid w:val="0"/>
              <w:spacing w:line="440" w:lineRule="exact"/>
              <w:jc w:val="both"/>
              <w:rPr>
                <w:rFonts w:hint="eastAsia" w:ascii="宋体" w:hAnsi="宋体" w:eastAsia="宋体"/>
                <w:bCs/>
                <w:color w:val="auto"/>
                <w:sz w:val="24"/>
                <w:highlight w:val="none"/>
                <w:lang w:eastAsia="zh-CN"/>
              </w:rPr>
            </w:pPr>
            <w:r>
              <w:rPr>
                <w:rFonts w:hint="eastAsia" w:ascii="宋体" w:hAnsi="宋体"/>
                <w:bCs/>
                <w:color w:val="auto"/>
                <w:sz w:val="24"/>
                <w:highlight w:val="none"/>
              </w:rPr>
              <w:t>采 购 人：</w:t>
            </w:r>
            <w:r>
              <w:rPr>
                <w:rFonts w:hint="eastAsia" w:ascii="宋体" w:hAnsi="宋体"/>
                <w:sz w:val="24"/>
                <w:lang w:eastAsia="zh-CN"/>
              </w:rPr>
              <w:t>无锡职业技术学院</w:t>
            </w:r>
          </w:p>
          <w:p>
            <w:pPr>
              <w:widowControl/>
              <w:topLinePunct/>
              <w:spacing w:line="360" w:lineRule="auto"/>
              <w:rPr>
                <w:rFonts w:hint="eastAsia" w:ascii="宋体" w:hAnsi="宋体"/>
                <w:sz w:val="24"/>
              </w:rPr>
            </w:pPr>
            <w:r>
              <w:rPr>
                <w:rFonts w:hint="eastAsia" w:ascii="宋体" w:hAnsi="宋体"/>
                <w:bCs/>
                <w:color w:val="auto"/>
                <w:sz w:val="24"/>
                <w:highlight w:val="none"/>
              </w:rPr>
              <w:t>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2</w:t>
            </w:r>
          </w:p>
        </w:tc>
        <w:tc>
          <w:tcPr>
            <w:tcW w:w="8106" w:type="dxa"/>
            <w:noWrap w:val="0"/>
            <w:vAlign w:val="center"/>
          </w:tcPr>
          <w:p>
            <w:pPr>
              <w:snapToGrid w:val="0"/>
              <w:spacing w:line="440" w:lineRule="exact"/>
              <w:jc w:val="both"/>
              <w:rPr>
                <w:rFonts w:hint="eastAsia" w:ascii="宋体" w:hAnsi="宋体" w:eastAsia="宋体"/>
                <w:bCs/>
                <w:color w:val="auto"/>
                <w:sz w:val="24"/>
                <w:highlight w:val="none"/>
                <w:lang w:eastAsia="zh-CN"/>
              </w:rPr>
            </w:pPr>
            <w:r>
              <w:rPr>
                <w:rFonts w:hint="eastAsia" w:ascii="宋体" w:hAnsi="宋体"/>
                <w:bCs/>
                <w:color w:val="auto"/>
                <w:sz w:val="24"/>
                <w:highlight w:val="none"/>
              </w:rPr>
              <w:t>采购代理机构：</w:t>
            </w:r>
            <w:r>
              <w:rPr>
                <w:rFonts w:hint="eastAsia" w:ascii="宋体" w:hAnsi="宋体"/>
                <w:bCs/>
                <w:color w:val="auto"/>
                <w:sz w:val="24"/>
                <w:highlight w:val="none"/>
                <w:lang w:eastAsia="zh-CN"/>
              </w:rPr>
              <w:t>江苏博智工程咨询有限公司</w:t>
            </w:r>
          </w:p>
          <w:p>
            <w:pPr>
              <w:widowControl/>
              <w:topLinePunct/>
              <w:spacing w:line="360" w:lineRule="auto"/>
              <w:rPr>
                <w:rFonts w:hint="eastAsia" w:ascii="宋体" w:hAnsi="宋体" w:eastAsia="宋体"/>
                <w:sz w:val="24"/>
                <w:lang w:eastAsia="zh-CN"/>
              </w:rPr>
            </w:pPr>
            <w:r>
              <w:rPr>
                <w:rFonts w:hint="eastAsia" w:ascii="宋体" w:hAnsi="宋体"/>
                <w:bCs/>
                <w:color w:val="auto"/>
                <w:sz w:val="24"/>
                <w:highlight w:val="none"/>
              </w:rPr>
              <w:t>地        址：</w:t>
            </w:r>
            <w:r>
              <w:rPr>
                <w:rFonts w:hint="eastAsia" w:ascii="宋体" w:hAnsi="宋体"/>
                <w:bCs/>
                <w:color w:val="auto"/>
                <w:sz w:val="24"/>
                <w:highlight w:val="none"/>
                <w:lang w:eastAsia="zh-CN"/>
              </w:rPr>
              <w:t>无锡市滨湖区高浪东路999号A1栋602室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3</w:t>
            </w:r>
          </w:p>
        </w:tc>
        <w:tc>
          <w:tcPr>
            <w:tcW w:w="8106" w:type="dxa"/>
            <w:noWrap w:val="0"/>
            <w:vAlign w:val="center"/>
          </w:tcPr>
          <w:p>
            <w:pPr>
              <w:widowControl/>
              <w:topLinePunct/>
              <w:spacing w:line="360" w:lineRule="auto"/>
              <w:rPr>
                <w:rFonts w:hint="eastAsia" w:ascii="宋体" w:hAnsi="宋体"/>
                <w:sz w:val="24"/>
              </w:rPr>
            </w:pPr>
            <w:r>
              <w:rPr>
                <w:rFonts w:hint="eastAsia" w:ascii="宋体" w:hAnsi="宋体"/>
                <w:sz w:val="24"/>
              </w:rPr>
              <w:t>采购项目概况、要求：</w:t>
            </w:r>
            <w:r>
              <w:rPr>
                <w:rFonts w:ascii="宋体" w:hAnsi="宋体"/>
                <w:sz w:val="24"/>
              </w:rPr>
              <w:t xml:space="preserve"> </w:t>
            </w:r>
          </w:p>
          <w:p>
            <w:pPr>
              <w:widowControl/>
              <w:topLinePunct/>
              <w:spacing w:line="360" w:lineRule="auto"/>
              <w:rPr>
                <w:rFonts w:ascii="宋体" w:hAnsi="宋体"/>
                <w:sz w:val="24"/>
              </w:rPr>
            </w:pPr>
            <w:bookmarkStart w:id="5" w:name="_Hlk11833209"/>
            <w:r>
              <w:rPr>
                <w:rFonts w:hint="eastAsia" w:ascii="宋体" w:hAnsi="宋体"/>
                <w:sz w:val="24"/>
              </w:rPr>
              <w:t>（1）采购范围：</w:t>
            </w:r>
            <w:r>
              <w:rPr>
                <w:rFonts w:hint="eastAsia" w:ascii="宋体" w:hAnsi="宋体"/>
                <w:bCs/>
                <w:sz w:val="24"/>
              </w:rPr>
              <w:t>1.各类树木(包括常绿乔木、灌木、片植绿篱、环状植物)的修剪、浇水、除虫、施肥等养护和优化工作；2.本区域范围内绿地的养护工作(包括杂草清除，树叶、垃圾、杂物的清理，草坪的修剪和施肥等)和优化；3.重要地块的美化(如内庭院、各出入口等区域)。以上内容和范围投标单位可到现场进行查看，以保证绿化养护方案的可行性及成活率。</w:t>
            </w:r>
          </w:p>
          <w:p>
            <w:pPr>
              <w:widowControl/>
              <w:topLinePunct/>
              <w:spacing w:line="360" w:lineRule="auto"/>
              <w:rPr>
                <w:rFonts w:hint="eastAsia" w:ascii="宋体" w:hAnsi="宋体"/>
                <w:bCs/>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项目期</w:t>
            </w:r>
            <w:r>
              <w:rPr>
                <w:rFonts w:hint="eastAsia" w:ascii="宋体" w:hAnsi="宋体"/>
                <w:bCs/>
                <w:sz w:val="24"/>
              </w:rPr>
              <w:t>限：合同生效之日起三年。</w:t>
            </w:r>
          </w:p>
          <w:p>
            <w:pPr>
              <w:widowControl/>
              <w:topLinePunct/>
              <w:spacing w:line="360" w:lineRule="auto"/>
              <w:rPr>
                <w:rFonts w:hint="eastAsia" w:ascii="宋体" w:hAnsi="宋体"/>
                <w:bCs/>
                <w:sz w:val="24"/>
                <w:szCs w:val="24"/>
              </w:rPr>
            </w:pPr>
            <w:r>
              <w:rPr>
                <w:rFonts w:hint="eastAsia" w:ascii="宋体" w:hAnsi="宋体"/>
                <w:sz w:val="24"/>
              </w:rPr>
              <w:t>（</w:t>
            </w:r>
            <w:r>
              <w:rPr>
                <w:rFonts w:ascii="宋体" w:hAnsi="宋体"/>
                <w:sz w:val="24"/>
              </w:rPr>
              <w:t>3</w:t>
            </w:r>
            <w:r>
              <w:rPr>
                <w:rFonts w:hint="eastAsia" w:ascii="宋体" w:hAnsi="宋体"/>
                <w:sz w:val="24"/>
              </w:rPr>
              <w:t>）</w:t>
            </w:r>
            <w:r>
              <w:rPr>
                <w:rFonts w:hint="eastAsia" w:ascii="宋体" w:hAnsi="宋体"/>
                <w:bCs/>
                <w:sz w:val="24"/>
              </w:rPr>
              <w:t>项目边界：</w:t>
            </w:r>
            <w:r>
              <w:rPr>
                <w:rFonts w:hint="eastAsia" w:ascii="宋体" w:hAnsi="宋体"/>
                <w:bCs/>
                <w:sz w:val="24"/>
                <w:szCs w:val="24"/>
              </w:rPr>
              <w:t>绿化管理养护绿地面积148868平方米、四季草花8064×4盆、地被修复等。详见“附件一：2019年无锡职业技术学院太湖校区绿化养护面积清单”。</w:t>
            </w:r>
          </w:p>
          <w:p>
            <w:pPr>
              <w:widowControl/>
              <w:topLinePunct/>
              <w:spacing w:line="360" w:lineRule="auto"/>
              <w:rPr>
                <w:rFonts w:hint="eastAsia" w:ascii="宋体" w:hAnsi="宋体"/>
                <w:bCs/>
                <w:sz w:val="24"/>
              </w:rPr>
            </w:pPr>
            <w:r>
              <w:rPr>
                <w:rFonts w:hint="eastAsia" w:ascii="宋体" w:hAnsi="宋体"/>
                <w:bCs/>
                <w:sz w:val="24"/>
                <w:szCs w:val="24"/>
                <w:lang w:eastAsia="zh-CN"/>
              </w:rPr>
              <w:t>（</w:t>
            </w:r>
            <w:r>
              <w:rPr>
                <w:rFonts w:hint="eastAsia" w:ascii="宋体" w:hAnsi="宋体"/>
                <w:bCs/>
                <w:sz w:val="24"/>
                <w:szCs w:val="24"/>
                <w:lang w:val="en-US" w:eastAsia="zh-CN"/>
              </w:rPr>
              <w:t>4</w:t>
            </w:r>
            <w:r>
              <w:rPr>
                <w:rFonts w:hint="eastAsia" w:ascii="宋体" w:hAnsi="宋体"/>
                <w:bCs/>
                <w:sz w:val="24"/>
                <w:szCs w:val="24"/>
                <w:lang w:eastAsia="zh-CN"/>
              </w:rPr>
              <w:t>）</w:t>
            </w:r>
            <w:r>
              <w:rPr>
                <w:rFonts w:hint="eastAsia" w:ascii="宋体" w:hAnsi="宋体"/>
                <w:bCs/>
                <w:sz w:val="24"/>
              </w:rPr>
              <w:t>质量要求：达到绿化养护一级标准</w:t>
            </w:r>
          </w:p>
          <w:p>
            <w:pPr>
              <w:widowControl/>
              <w:topLinePunct/>
              <w:spacing w:line="360" w:lineRule="auto"/>
              <w:rPr>
                <w:rFonts w:hint="eastAsia"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）本项目预算金额：</w:t>
            </w:r>
            <w:r>
              <w:rPr>
                <w:rFonts w:ascii="宋体" w:hAnsi="宋体"/>
                <w:sz w:val="24"/>
                <w:u w:val="single"/>
              </w:rPr>
              <w:t xml:space="preserve"> </w:t>
            </w:r>
            <w:r>
              <w:rPr>
                <w:rFonts w:hint="eastAsia" w:ascii="宋体" w:hAnsi="宋体"/>
                <w:sz w:val="24"/>
                <w:u w:val="single"/>
                <w:lang w:val="en-US" w:eastAsia="zh-CN"/>
              </w:rPr>
              <w:t>165</w:t>
            </w:r>
            <w:r>
              <w:rPr>
                <w:rFonts w:ascii="宋体" w:hAnsi="宋体"/>
                <w:sz w:val="24"/>
                <w:u w:val="single"/>
              </w:rPr>
              <w:t xml:space="preserve"> </w:t>
            </w:r>
            <w:r>
              <w:rPr>
                <w:rFonts w:ascii="宋体" w:hAnsi="宋体"/>
                <w:sz w:val="24"/>
              </w:rPr>
              <w:t>万元</w:t>
            </w:r>
            <w:r>
              <w:rPr>
                <w:rFonts w:hint="eastAsia" w:ascii="宋体" w:hAnsi="宋体"/>
                <w:sz w:val="24"/>
              </w:rPr>
              <w:t>。</w:t>
            </w:r>
          </w:p>
          <w:p>
            <w:pPr>
              <w:widowControl/>
              <w:topLinePunct/>
              <w:spacing w:line="360" w:lineRule="auto"/>
              <w:rPr>
                <w:rFonts w:hint="eastAsia" w:ascii="宋体" w:hAnsi="宋体"/>
                <w:bCs/>
                <w:color w:val="auto"/>
                <w:sz w:val="24"/>
                <w:highlight w:val="none"/>
                <w:lang w:eastAsia="zh-CN"/>
              </w:rPr>
            </w:pPr>
            <w:r>
              <w:rPr>
                <w:rFonts w:hint="eastAsia" w:ascii="宋体" w:hAnsi="宋体"/>
                <w:sz w:val="24"/>
              </w:rPr>
              <w:t>（</w:t>
            </w:r>
            <w:r>
              <w:rPr>
                <w:rFonts w:hint="eastAsia" w:ascii="宋体" w:hAnsi="宋体"/>
                <w:sz w:val="24"/>
                <w:lang w:val="en-US" w:eastAsia="zh-CN"/>
              </w:rPr>
              <w:t>6</w:t>
            </w:r>
            <w:r>
              <w:rPr>
                <w:rFonts w:hint="eastAsia" w:ascii="宋体" w:hAnsi="宋体"/>
                <w:sz w:val="24"/>
              </w:rPr>
              <w:t>）本项目投标最高限价：</w:t>
            </w:r>
            <w:r>
              <w:rPr>
                <w:rFonts w:hint="eastAsia" w:ascii="宋体" w:hAnsi="宋体"/>
                <w:sz w:val="24"/>
                <w:highlight w:val="none"/>
                <w:u w:val="single"/>
                <w:lang w:val="en-US" w:eastAsia="zh-CN"/>
              </w:rPr>
              <w:t>165</w:t>
            </w:r>
            <w:r>
              <w:rPr>
                <w:rFonts w:ascii="宋体" w:hAnsi="宋体"/>
                <w:sz w:val="24"/>
                <w:highlight w:val="none"/>
              </w:rPr>
              <w:t>万</w:t>
            </w:r>
            <w:r>
              <w:rPr>
                <w:rFonts w:ascii="宋体" w:hAnsi="宋体"/>
                <w:sz w:val="24"/>
              </w:rPr>
              <w:t>元</w:t>
            </w:r>
            <w:r>
              <w:rPr>
                <w:rFonts w:hint="eastAsia" w:ascii="宋体" w:hAnsi="宋体"/>
                <w:sz w:val="24"/>
              </w:rPr>
              <w: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1" w:type="dxa"/>
            <w:noWrap w:val="0"/>
            <w:vAlign w:val="center"/>
          </w:tcPr>
          <w:p>
            <w:pPr>
              <w:pStyle w:val="14"/>
              <w:tabs>
                <w:tab w:val="left" w:pos="0"/>
              </w:tabs>
              <w:adjustRightInd/>
              <w:spacing w:before="0" w:beforeAutospacing="0" w:after="0" w:afterAutospacing="0" w:line="320" w:lineRule="exact"/>
              <w:ind w:left="451" w:firstLine="0"/>
              <w:textAlignment w:val="auto"/>
            </w:pPr>
            <w:r>
              <w:rPr>
                <w:rFonts w:hint="eastAsia"/>
              </w:rPr>
              <w:t>4</w:t>
            </w:r>
          </w:p>
        </w:tc>
        <w:tc>
          <w:tcPr>
            <w:tcW w:w="8106" w:type="dxa"/>
            <w:noWrap w:val="0"/>
            <w:vAlign w:val="center"/>
          </w:tcPr>
          <w:p>
            <w:pPr>
              <w:widowControl/>
              <w:topLinePunct/>
              <w:spacing w:line="360" w:lineRule="auto"/>
              <w:rPr>
                <w:rFonts w:hint="eastAsia" w:ascii="宋体" w:hAnsi="宋体"/>
                <w:sz w:val="24"/>
              </w:rPr>
            </w:pPr>
            <w:r>
              <w:rPr>
                <w:rFonts w:hint="eastAsia" w:ascii="宋体" w:hAnsi="宋体"/>
                <w:sz w:val="24"/>
              </w:rPr>
              <w:t>投标供应商条件：投标供应商参加本次政府采购活动除应当符合《中华人民共和国政府采购法》第二十二条的规定外，还必须具备以下条件：</w:t>
            </w:r>
          </w:p>
          <w:p>
            <w:pPr>
              <w:widowControl/>
              <w:topLinePunct/>
              <w:spacing w:line="360" w:lineRule="auto"/>
              <w:rPr>
                <w:rFonts w:hint="eastAsia" w:ascii="宋体" w:hAnsi="宋体"/>
                <w:bCs/>
                <w:sz w:val="24"/>
              </w:rPr>
            </w:pPr>
            <w:r>
              <w:rPr>
                <w:rFonts w:hint="eastAsia" w:ascii="宋体" w:hAnsi="宋体" w:cs="宋体"/>
                <w:kern w:val="0"/>
                <w:sz w:val="24"/>
              </w:rPr>
              <w:t>1、</w:t>
            </w:r>
            <w:r>
              <w:rPr>
                <w:rFonts w:hint="eastAsia" w:ascii="宋体" w:hAnsi="宋体"/>
                <w:bCs/>
                <w:sz w:val="24"/>
              </w:rPr>
              <w:t>符合《中华人民共和国政府采购法》第二十二条的规定；</w:t>
            </w:r>
          </w:p>
          <w:p>
            <w:pPr>
              <w:widowControl/>
              <w:topLinePunct/>
              <w:spacing w:line="360" w:lineRule="auto"/>
              <w:rPr>
                <w:rFonts w:hint="eastAsia" w:ascii="宋体" w:hAnsi="宋体"/>
                <w:bCs/>
                <w:sz w:val="24"/>
              </w:rPr>
            </w:pPr>
            <w:r>
              <w:rPr>
                <w:rFonts w:hint="eastAsia" w:ascii="宋体" w:hAnsi="宋体"/>
                <w:bCs/>
                <w:sz w:val="24"/>
              </w:rPr>
              <w:t>2、投标人最近三年内被“信用中国（www.creditchina.gov.cn）”、“中国政府采购网（www.ccgp.gov.cn）”、“信用江苏（www.jscredit.gov.cn）”网站列入失信执行人、重大税收违法案件当事人名单、政府采购严重违法失信行为记录名单的（处罚期限尚未届满的）供应商。</w:t>
            </w:r>
          </w:p>
          <w:p>
            <w:pPr>
              <w:widowControl/>
              <w:topLinePunct/>
              <w:spacing w:line="360" w:lineRule="auto"/>
              <w:rPr>
                <w:rFonts w:hint="eastAsia" w:ascii="宋体" w:hAnsi="宋体"/>
                <w:bCs/>
                <w:sz w:val="24"/>
                <w:lang w:val="en-US" w:eastAsia="zh-CN"/>
              </w:rPr>
            </w:pPr>
            <w:r>
              <w:rPr>
                <w:rFonts w:hint="eastAsia" w:ascii="宋体" w:hAnsi="宋体"/>
                <w:bCs/>
                <w:sz w:val="24"/>
                <w:lang w:val="en-US" w:eastAsia="zh-CN"/>
              </w:rPr>
              <w:t>3、</w:t>
            </w:r>
            <w:r>
              <w:rPr>
                <w:rFonts w:hint="eastAsia" w:ascii="宋体" w:hAnsi="宋体"/>
                <w:bCs/>
                <w:sz w:val="24"/>
              </w:rPr>
              <w:t>法定代表人为同一人的两个及两个以上法人，母公司、全资子公司及其控股公司不得在本项目招标中同时参加</w:t>
            </w:r>
            <w:r>
              <w:rPr>
                <w:rFonts w:hint="eastAsia" w:ascii="宋体" w:hAnsi="宋体"/>
                <w:bCs/>
                <w:sz w:val="24"/>
                <w:lang w:eastAsia="zh-CN"/>
              </w:rPr>
              <w:t>。</w:t>
            </w:r>
          </w:p>
          <w:p>
            <w:pPr>
              <w:widowControl/>
              <w:topLinePunct/>
              <w:spacing w:line="360" w:lineRule="auto"/>
              <w:rPr>
                <w:rFonts w:hint="eastAsia" w:ascii="宋体" w:hAnsi="宋体"/>
                <w:bCs/>
                <w:sz w:val="24"/>
              </w:rPr>
            </w:pPr>
            <w:r>
              <w:rPr>
                <w:rFonts w:hint="eastAsia" w:ascii="宋体" w:hAnsi="宋体"/>
                <w:bCs/>
                <w:sz w:val="24"/>
                <w:lang w:val="en-US" w:eastAsia="zh-CN"/>
              </w:rPr>
              <w:t>4</w:t>
            </w:r>
            <w:r>
              <w:rPr>
                <w:rFonts w:hint="eastAsia" w:ascii="宋体" w:hAnsi="宋体"/>
                <w:bCs/>
                <w:sz w:val="24"/>
              </w:rPr>
              <w:t>、其他资格条件：</w:t>
            </w:r>
          </w:p>
          <w:p>
            <w:pPr>
              <w:widowControl/>
              <w:topLinePunct/>
              <w:spacing w:line="360" w:lineRule="auto"/>
              <w:rPr>
                <w:rFonts w:hint="eastAsia" w:ascii="宋体" w:hAnsi="宋体"/>
                <w:bCs/>
                <w:sz w:val="24"/>
                <w:lang w:eastAsia="zh-CN"/>
              </w:rPr>
            </w:pPr>
            <w:r>
              <w:rPr>
                <w:rFonts w:hint="eastAsia" w:ascii="宋体" w:hAnsi="宋体"/>
                <w:bCs/>
                <w:sz w:val="24"/>
                <w:lang w:eastAsia="zh-CN"/>
              </w:rPr>
              <w:t>（</w:t>
            </w:r>
            <w:r>
              <w:rPr>
                <w:rFonts w:hint="eastAsia" w:ascii="宋体" w:hAnsi="宋体"/>
                <w:bCs/>
                <w:sz w:val="24"/>
                <w:lang w:val="en-US" w:eastAsia="zh-CN"/>
              </w:rPr>
              <w:t>1</w:t>
            </w:r>
            <w:r>
              <w:rPr>
                <w:rFonts w:hint="eastAsia" w:ascii="宋体" w:hAnsi="宋体"/>
                <w:bCs/>
                <w:sz w:val="24"/>
                <w:lang w:eastAsia="zh-CN"/>
              </w:rPr>
              <w:t>）供应商应为中华人民共和国境内合法注册的法人或其他组织；</w:t>
            </w:r>
          </w:p>
          <w:p>
            <w:pPr>
              <w:widowControl/>
              <w:topLinePunct/>
              <w:spacing w:line="360" w:lineRule="auto"/>
              <w:rPr>
                <w:rFonts w:hint="eastAsia" w:ascii="宋体" w:hAnsi="宋体"/>
                <w:bCs/>
                <w:sz w:val="24"/>
                <w:lang w:eastAsia="zh-CN"/>
              </w:rPr>
            </w:pPr>
            <w:r>
              <w:rPr>
                <w:rFonts w:hint="eastAsia" w:ascii="宋体" w:hAnsi="宋体"/>
                <w:bCs/>
                <w:sz w:val="24"/>
                <w:lang w:eastAsia="zh-CN"/>
              </w:rPr>
              <w:t>（</w:t>
            </w:r>
            <w:r>
              <w:rPr>
                <w:rFonts w:hint="eastAsia" w:ascii="宋体" w:hAnsi="宋体"/>
                <w:bCs/>
                <w:sz w:val="24"/>
                <w:lang w:val="en-US" w:eastAsia="zh-CN"/>
              </w:rPr>
              <w:t>2</w:t>
            </w:r>
            <w:r>
              <w:rPr>
                <w:rFonts w:hint="eastAsia" w:ascii="宋体" w:hAnsi="宋体"/>
                <w:bCs/>
                <w:sz w:val="24"/>
                <w:lang w:eastAsia="zh-CN"/>
              </w:rPr>
              <w:t>）供应商应具备独立承担该项目的能力（不允许分包、转包）；</w:t>
            </w:r>
          </w:p>
          <w:p>
            <w:pPr>
              <w:widowControl/>
              <w:topLinePunct/>
              <w:spacing w:line="360" w:lineRule="auto"/>
              <w:rPr>
                <w:rFonts w:hint="eastAsia" w:ascii="宋体" w:hAnsi="宋体"/>
                <w:bCs/>
                <w:sz w:val="24"/>
                <w:lang w:eastAsia="zh-CN"/>
              </w:rPr>
            </w:pPr>
            <w:r>
              <w:rPr>
                <w:rFonts w:hint="eastAsia" w:ascii="宋体" w:hAnsi="宋体"/>
                <w:bCs/>
                <w:sz w:val="24"/>
                <w:lang w:eastAsia="zh-CN"/>
              </w:rPr>
              <w:t>（</w:t>
            </w:r>
            <w:r>
              <w:rPr>
                <w:rFonts w:hint="eastAsia" w:ascii="宋体" w:hAnsi="宋体"/>
                <w:bCs/>
                <w:sz w:val="24"/>
                <w:lang w:val="en-US" w:eastAsia="zh-CN"/>
              </w:rPr>
              <w:t>3</w:t>
            </w:r>
            <w:r>
              <w:rPr>
                <w:rFonts w:hint="eastAsia" w:ascii="宋体" w:hAnsi="宋体"/>
                <w:bCs/>
                <w:sz w:val="24"/>
                <w:lang w:eastAsia="zh-CN"/>
              </w:rPr>
              <w:t>）供应商应具备有效期内园林绿化管理部门颁发的绿化信用管理手册；</w:t>
            </w:r>
          </w:p>
          <w:p>
            <w:pPr>
              <w:widowControl/>
              <w:topLinePunct/>
              <w:spacing w:line="360" w:lineRule="auto"/>
              <w:rPr>
                <w:rFonts w:hint="eastAsia" w:ascii="宋体" w:hAnsi="宋体"/>
                <w:bCs/>
                <w:sz w:val="24"/>
                <w:lang w:eastAsia="zh-CN"/>
              </w:rPr>
            </w:pPr>
            <w:r>
              <w:rPr>
                <w:rFonts w:hint="eastAsia" w:ascii="宋体" w:hAnsi="宋体"/>
                <w:bCs/>
                <w:sz w:val="24"/>
                <w:lang w:eastAsia="zh-CN"/>
              </w:rPr>
              <w:t>（</w:t>
            </w:r>
            <w:r>
              <w:rPr>
                <w:rFonts w:hint="eastAsia" w:ascii="宋体" w:hAnsi="宋体"/>
                <w:bCs/>
                <w:sz w:val="24"/>
                <w:lang w:val="en-US" w:eastAsia="zh-CN"/>
              </w:rPr>
              <w:t>4</w:t>
            </w:r>
            <w:r>
              <w:rPr>
                <w:rFonts w:hint="eastAsia" w:ascii="宋体" w:hAnsi="宋体"/>
                <w:bCs/>
                <w:sz w:val="24"/>
                <w:lang w:eastAsia="zh-CN"/>
              </w:rPr>
              <w:t>）项目负责人具备园林绿化</w:t>
            </w:r>
            <w:r>
              <w:rPr>
                <w:rFonts w:hint="eastAsia" w:ascii="宋体" w:hAnsi="宋体"/>
                <w:bCs/>
                <w:sz w:val="24"/>
                <w:lang w:val="en-US" w:eastAsia="zh-CN"/>
              </w:rPr>
              <w:t>中</w:t>
            </w:r>
            <w:r>
              <w:rPr>
                <w:rFonts w:hint="eastAsia" w:ascii="宋体" w:hAnsi="宋体"/>
                <w:bCs/>
                <w:sz w:val="24"/>
                <w:lang w:eastAsia="zh-CN"/>
              </w:rPr>
              <w:t>级及以上职称证书；</w:t>
            </w:r>
          </w:p>
          <w:p>
            <w:pPr>
              <w:widowControl/>
              <w:topLinePunct/>
              <w:spacing w:line="360" w:lineRule="auto"/>
              <w:rPr>
                <w:rFonts w:hint="eastAsia" w:ascii="宋体" w:hAnsi="宋体"/>
                <w:bCs/>
                <w:sz w:val="24"/>
                <w:lang w:eastAsia="zh-CN"/>
              </w:rPr>
            </w:pPr>
            <w:r>
              <w:rPr>
                <w:rFonts w:hint="eastAsia" w:ascii="宋体" w:hAnsi="宋体"/>
                <w:bCs/>
                <w:sz w:val="24"/>
                <w:lang w:eastAsia="zh-CN"/>
              </w:rPr>
              <w:t>（</w:t>
            </w:r>
            <w:r>
              <w:rPr>
                <w:rFonts w:hint="eastAsia" w:ascii="宋体" w:hAnsi="宋体"/>
                <w:bCs/>
                <w:sz w:val="24"/>
                <w:lang w:val="en-US" w:eastAsia="zh-CN"/>
              </w:rPr>
              <w:t>5</w:t>
            </w:r>
            <w:r>
              <w:rPr>
                <w:rFonts w:hint="eastAsia" w:ascii="宋体" w:hAnsi="宋体"/>
                <w:bCs/>
                <w:sz w:val="24"/>
                <w:lang w:eastAsia="zh-CN"/>
              </w:rPr>
              <w:t>）授权委托人、项目负责人应具备与企业签订的劳动合同和【《职工养老保险手册》（内附2019年</w:t>
            </w:r>
            <w:r>
              <w:rPr>
                <w:rFonts w:hint="eastAsia" w:ascii="宋体" w:hAnsi="宋体"/>
                <w:bCs/>
                <w:sz w:val="24"/>
                <w:lang w:val="en-US" w:eastAsia="zh-CN"/>
              </w:rPr>
              <w:t>5</w:t>
            </w:r>
            <w:r>
              <w:rPr>
                <w:rFonts w:hint="eastAsia" w:ascii="宋体" w:hAnsi="宋体"/>
                <w:bCs/>
                <w:sz w:val="24"/>
                <w:lang w:eastAsia="zh-CN"/>
              </w:rPr>
              <w:t>月～2019年</w:t>
            </w:r>
            <w:r>
              <w:rPr>
                <w:rFonts w:hint="eastAsia" w:ascii="宋体" w:hAnsi="宋体"/>
                <w:bCs/>
                <w:sz w:val="24"/>
                <w:lang w:val="en-US" w:eastAsia="zh-CN"/>
              </w:rPr>
              <w:t>10</w:t>
            </w:r>
            <w:r>
              <w:rPr>
                <w:rFonts w:hint="eastAsia" w:ascii="宋体" w:hAnsi="宋体"/>
                <w:bCs/>
                <w:sz w:val="24"/>
                <w:lang w:eastAsia="zh-CN"/>
              </w:rPr>
              <w:t>月的缴费清单）或由社保机构出具的2019年</w:t>
            </w:r>
            <w:r>
              <w:rPr>
                <w:rFonts w:hint="eastAsia" w:ascii="宋体" w:hAnsi="宋体"/>
                <w:bCs/>
                <w:sz w:val="24"/>
                <w:lang w:val="en-US" w:eastAsia="zh-CN"/>
              </w:rPr>
              <w:t>5</w:t>
            </w:r>
            <w:r>
              <w:rPr>
                <w:rFonts w:hint="eastAsia" w:ascii="宋体" w:hAnsi="宋体"/>
                <w:bCs/>
                <w:sz w:val="24"/>
                <w:lang w:eastAsia="zh-CN"/>
              </w:rPr>
              <w:t>月～2019年</w:t>
            </w:r>
            <w:r>
              <w:rPr>
                <w:rFonts w:hint="eastAsia" w:ascii="宋体" w:hAnsi="宋体"/>
                <w:bCs/>
                <w:sz w:val="24"/>
                <w:lang w:val="en-US" w:eastAsia="zh-CN"/>
              </w:rPr>
              <w:t>10</w:t>
            </w:r>
            <w:r>
              <w:rPr>
                <w:rFonts w:hint="eastAsia" w:ascii="宋体" w:hAnsi="宋体"/>
                <w:bCs/>
                <w:sz w:val="24"/>
                <w:lang w:eastAsia="zh-CN"/>
              </w:rPr>
              <w:t>月的缴费证明】；</w:t>
            </w:r>
          </w:p>
          <w:p>
            <w:pPr>
              <w:widowControl/>
              <w:topLinePunct/>
              <w:spacing w:line="360" w:lineRule="auto"/>
              <w:rPr>
                <w:rFonts w:hint="eastAsia" w:ascii="宋体" w:hAnsi="宋体"/>
                <w:sz w:val="24"/>
              </w:rPr>
            </w:pPr>
            <w:r>
              <w:rPr>
                <w:rFonts w:hint="eastAsia" w:ascii="宋体" w:hAnsi="宋体"/>
                <w:bCs/>
                <w:sz w:val="24"/>
                <w:lang w:eastAsia="zh-CN"/>
              </w:rPr>
              <w:t>（</w:t>
            </w:r>
            <w:r>
              <w:rPr>
                <w:rFonts w:hint="eastAsia" w:ascii="宋体" w:hAnsi="宋体"/>
                <w:bCs/>
                <w:sz w:val="24"/>
                <w:lang w:val="en-US" w:eastAsia="zh-CN"/>
              </w:rPr>
              <w:t>6</w:t>
            </w:r>
            <w:r>
              <w:rPr>
                <w:rFonts w:hint="eastAsia" w:ascii="宋体" w:hAnsi="宋体"/>
                <w:bCs/>
                <w:sz w:val="24"/>
                <w:lang w:eastAsia="zh-CN"/>
              </w:rPr>
              <w:t>）</w:t>
            </w:r>
            <w:r>
              <w:rPr>
                <w:rFonts w:hint="eastAsia" w:ascii="宋体" w:hAnsi="宋体"/>
                <w:bCs/>
                <w:sz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5</w:t>
            </w:r>
          </w:p>
        </w:tc>
        <w:tc>
          <w:tcPr>
            <w:tcW w:w="8106" w:type="dxa"/>
            <w:noWrap w:val="0"/>
            <w:vAlign w:val="center"/>
          </w:tcPr>
          <w:p>
            <w:pPr>
              <w:widowControl/>
              <w:topLinePunct/>
              <w:spacing w:line="360" w:lineRule="auto"/>
              <w:rPr>
                <w:rFonts w:hint="eastAsia" w:ascii="宋体" w:hAnsi="宋体"/>
                <w:sz w:val="24"/>
              </w:rPr>
            </w:pPr>
            <w:r>
              <w:rPr>
                <w:rFonts w:hint="eastAsia" w:ascii="宋体" w:hAnsi="宋体"/>
                <w:sz w:val="24"/>
              </w:rPr>
              <w:t>发售采购文件时间：招标公告发出之日起5个工作日内（法定假日休息），每天9:</w:t>
            </w:r>
            <w:r>
              <w:rPr>
                <w:rFonts w:hint="eastAsia" w:ascii="宋体" w:hAnsi="宋体"/>
                <w:sz w:val="24"/>
                <w:lang w:val="en-US" w:eastAsia="zh-CN"/>
              </w:rPr>
              <w:t>0</w:t>
            </w:r>
            <w:r>
              <w:rPr>
                <w:rFonts w:hint="eastAsia" w:ascii="宋体" w:hAnsi="宋体"/>
                <w:sz w:val="24"/>
              </w:rPr>
              <w:t>0-11:</w:t>
            </w:r>
            <w:r>
              <w:rPr>
                <w:rFonts w:hint="default" w:ascii="宋体" w:hAnsi="宋体"/>
                <w:sz w:val="24"/>
                <w:lang w:val="en-US" w:eastAsia="zh-CN"/>
              </w:rPr>
              <w:t>0</w:t>
            </w:r>
            <w:r>
              <w:rPr>
                <w:rFonts w:hint="eastAsia" w:ascii="宋体" w:hAnsi="宋体"/>
                <w:sz w:val="24"/>
              </w:rPr>
              <w:t>0，13:</w:t>
            </w:r>
            <w:r>
              <w:rPr>
                <w:rFonts w:hint="default" w:ascii="宋体" w:hAnsi="宋体"/>
                <w:sz w:val="24"/>
                <w:lang w:val="en-US" w:eastAsia="zh-CN"/>
              </w:rPr>
              <w:t>0</w:t>
            </w:r>
            <w:r>
              <w:rPr>
                <w:rFonts w:hint="eastAsia" w:ascii="宋体" w:hAnsi="宋体"/>
                <w:sz w:val="24"/>
              </w:rPr>
              <w:t>0-16：00；</w:t>
            </w:r>
          </w:p>
          <w:p>
            <w:pPr>
              <w:widowControl/>
              <w:topLinePunct/>
              <w:spacing w:line="360" w:lineRule="auto"/>
              <w:rPr>
                <w:rFonts w:hint="eastAsia" w:ascii="宋体" w:hAnsi="宋体"/>
                <w:sz w:val="24"/>
              </w:rPr>
            </w:pPr>
            <w:r>
              <w:rPr>
                <w:rFonts w:hint="eastAsia" w:ascii="宋体" w:hAnsi="宋体"/>
                <w:sz w:val="24"/>
              </w:rPr>
              <w:t>售价：捌佰元/份，采购文件售后不退；</w:t>
            </w:r>
          </w:p>
          <w:p>
            <w:pPr>
              <w:widowControl/>
              <w:topLinePunct/>
              <w:spacing w:line="360" w:lineRule="auto"/>
              <w:rPr>
                <w:rFonts w:hint="eastAsia" w:ascii="宋体" w:hAnsi="宋体" w:eastAsia="宋体"/>
                <w:sz w:val="24"/>
                <w:lang w:eastAsia="zh-CN"/>
              </w:rPr>
            </w:pPr>
            <w:r>
              <w:rPr>
                <w:rFonts w:hint="eastAsia" w:ascii="宋体" w:hAnsi="宋体"/>
                <w:sz w:val="24"/>
              </w:rPr>
              <w:t>发售采购文件地点：</w:t>
            </w:r>
            <w:r>
              <w:rPr>
                <w:rFonts w:hint="eastAsia" w:ascii="宋体" w:hAnsi="宋体"/>
                <w:sz w:val="24"/>
                <w:lang w:eastAsia="zh-CN"/>
              </w:rPr>
              <w:t>江苏博智工程咨询有限公司</w:t>
            </w:r>
          </w:p>
          <w:p>
            <w:pPr>
              <w:widowControl/>
              <w:topLinePunct/>
              <w:spacing w:line="360" w:lineRule="auto"/>
              <w:ind w:firstLine="2160" w:firstLineChars="900"/>
              <w:rPr>
                <w:rFonts w:hint="eastAsia" w:ascii="宋体" w:hAnsi="宋体"/>
                <w:sz w:val="24"/>
              </w:rPr>
            </w:pPr>
            <w:r>
              <w:rPr>
                <w:rFonts w:hint="eastAsia" w:ascii="宋体" w:hAnsi="宋体"/>
                <w:sz w:val="24"/>
              </w:rPr>
              <w:t>（</w:t>
            </w:r>
            <w:r>
              <w:rPr>
                <w:rFonts w:hint="eastAsia" w:ascii="宋体" w:hAnsi="宋体"/>
                <w:sz w:val="24"/>
                <w:lang w:eastAsia="zh-CN"/>
              </w:rPr>
              <w:t>无锡市滨湖区高浪东路999号A1栋602室</w:t>
            </w:r>
            <w:r>
              <w:rPr>
                <w:rFonts w:hint="eastAsia" w:ascii="宋体" w:hAnsi="宋体"/>
                <w:sz w:val="24"/>
              </w:rPr>
              <w:t>）；</w:t>
            </w:r>
          </w:p>
          <w:p>
            <w:pPr>
              <w:widowControl/>
              <w:topLinePunct/>
              <w:spacing w:line="360" w:lineRule="auto"/>
              <w:rPr>
                <w:rFonts w:ascii="宋体" w:hAnsi="宋体"/>
                <w:sz w:val="24"/>
              </w:rPr>
            </w:pPr>
            <w:r>
              <w:rPr>
                <w:rFonts w:hint="eastAsia" w:ascii="宋体" w:hAnsi="宋体"/>
                <w:sz w:val="24"/>
              </w:rPr>
              <w:t>投标供应商应承担其编制投标文件以及递交投标文件所涉及的一切费用。无论报价结果如何，采购人对上述费用不负任何责任。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6</w:t>
            </w:r>
          </w:p>
        </w:tc>
        <w:tc>
          <w:tcPr>
            <w:tcW w:w="8106" w:type="dxa"/>
            <w:noWrap w:val="0"/>
            <w:vAlign w:val="center"/>
          </w:tcPr>
          <w:p>
            <w:pPr>
              <w:widowControl/>
              <w:topLinePunct/>
              <w:spacing w:line="360" w:lineRule="auto"/>
              <w:rPr>
                <w:rFonts w:hint="eastAsia" w:ascii="宋体" w:hAnsi="宋体"/>
                <w:sz w:val="24"/>
              </w:rPr>
            </w:pPr>
            <w:r>
              <w:rPr>
                <w:rFonts w:hint="eastAsia" w:ascii="宋体" w:hAnsi="宋体"/>
                <w:sz w:val="24"/>
              </w:rPr>
              <w:t>提疑截止时间：2019年</w:t>
            </w:r>
            <w:r>
              <w:rPr>
                <w:rFonts w:hint="default" w:ascii="宋体" w:hAnsi="宋体"/>
                <w:sz w:val="24"/>
                <w:lang w:val="en-US" w:eastAsia="zh-CN"/>
              </w:rPr>
              <w:t>11</w:t>
            </w:r>
            <w:r>
              <w:rPr>
                <w:rFonts w:hint="eastAsia" w:ascii="宋体" w:hAnsi="宋体"/>
                <w:sz w:val="24"/>
              </w:rPr>
              <w:t>月日1</w:t>
            </w:r>
            <w:r>
              <w:rPr>
                <w:rFonts w:hint="eastAsia" w:ascii="宋体" w:hAnsi="宋体"/>
                <w:sz w:val="24"/>
                <w:lang w:val="en-US" w:eastAsia="zh-CN"/>
              </w:rPr>
              <w:t>0:00前</w:t>
            </w:r>
            <w:r>
              <w:rPr>
                <w:rFonts w:hint="eastAsia" w:ascii="宋体" w:hAnsi="宋体"/>
                <w:sz w:val="24"/>
              </w:rPr>
              <w:t>，以书面形式和电子邮件形式发送给采购代理机构。</w:t>
            </w:r>
          </w:p>
          <w:p>
            <w:pPr>
              <w:widowControl/>
              <w:topLinePunct/>
              <w:spacing w:line="360" w:lineRule="auto"/>
              <w:rPr>
                <w:rFonts w:ascii="宋体" w:hAnsi="宋体"/>
                <w:sz w:val="24"/>
              </w:rPr>
            </w:pPr>
            <w:r>
              <w:rPr>
                <w:rFonts w:hint="eastAsia" w:ascii="宋体" w:hAnsi="宋体"/>
                <w:sz w:val="24"/>
              </w:rPr>
              <w:t>传真：0510-</w:t>
            </w:r>
            <w:r>
              <w:rPr>
                <w:rFonts w:hint="eastAsia" w:ascii="宋体" w:hAnsi="宋体"/>
                <w:sz w:val="24"/>
                <w:lang w:eastAsia="zh-CN"/>
              </w:rPr>
              <w:t>82820918</w:t>
            </w:r>
            <w:r>
              <w:rPr>
                <w:rFonts w:hint="eastAsia" w:ascii="宋体" w:hAnsi="宋体"/>
                <w:sz w:val="24"/>
                <w:lang w:val="en-US" w:eastAsia="zh-CN"/>
              </w:rPr>
              <w:t xml:space="preserve">       </w:t>
            </w:r>
            <w:r>
              <w:rPr>
                <w:rFonts w:hint="eastAsia" w:ascii="宋体" w:hAnsi="宋体"/>
                <w:sz w:val="24"/>
              </w:rPr>
              <w:t>邮箱：</w:t>
            </w:r>
            <w:r>
              <w:rPr>
                <w:rFonts w:hint="eastAsia" w:ascii="宋体" w:hAnsi="宋体"/>
                <w:sz w:val="24"/>
                <w:lang w:val="en-US" w:eastAsia="zh-CN"/>
              </w:rPr>
              <w:t>2463450259@qq</w:t>
            </w:r>
            <w:r>
              <w:rPr>
                <w:rFonts w:hint="eastAsia" w:ascii="宋体" w:hAnsi="宋体"/>
                <w:sz w:val="24"/>
              </w:rPr>
              <w:t>.com</w:t>
            </w:r>
          </w:p>
          <w:p>
            <w:pPr>
              <w:widowControl/>
              <w:topLinePunct/>
              <w:spacing w:line="360" w:lineRule="auto"/>
              <w:rPr>
                <w:rFonts w:ascii="宋体" w:hAnsi="宋体"/>
                <w:sz w:val="24"/>
              </w:rPr>
            </w:pPr>
            <w:r>
              <w:rPr>
                <w:rFonts w:hint="eastAsia" w:ascii="宋体" w:hAnsi="宋体"/>
                <w:sz w:val="24"/>
              </w:rPr>
              <w:t>答疑时间：2019年</w:t>
            </w:r>
            <w:r>
              <w:rPr>
                <w:rFonts w:hint="default" w:ascii="宋体" w:hAnsi="宋体"/>
                <w:sz w:val="24"/>
                <w:lang w:val="en-US" w:eastAsia="zh-CN"/>
              </w:rPr>
              <w:t>11</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日1</w:t>
            </w:r>
            <w:r>
              <w:rPr>
                <w:rFonts w:hint="eastAsia" w:ascii="宋体" w:hAnsi="宋体"/>
                <w:sz w:val="24"/>
                <w:lang w:val="en-US" w:eastAsia="zh-CN"/>
              </w:rPr>
              <w:t>6:00</w:t>
            </w:r>
            <w:r>
              <w:rPr>
                <w:rFonts w:hint="eastAsia" w:ascii="宋体" w:hAnsi="宋体"/>
                <w:sz w:val="24"/>
              </w:rPr>
              <w:t>前，以书面传真形式或电子邮件形式发送给各报名投标供应商；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7</w:t>
            </w:r>
          </w:p>
        </w:tc>
        <w:tc>
          <w:tcPr>
            <w:tcW w:w="8106" w:type="dxa"/>
            <w:noWrap w:val="0"/>
            <w:vAlign w:val="center"/>
          </w:tcPr>
          <w:p>
            <w:pPr>
              <w:widowControl/>
              <w:topLinePunct/>
              <w:spacing w:line="360" w:lineRule="auto"/>
              <w:rPr>
                <w:rFonts w:hint="eastAsia" w:hAnsi="宋体"/>
                <w:bCs/>
                <w:sz w:val="24"/>
              </w:rPr>
            </w:pPr>
            <w:r>
              <w:rPr>
                <w:rFonts w:hint="eastAsia" w:hAnsi="宋体"/>
                <w:bCs/>
                <w:sz w:val="24"/>
              </w:rPr>
              <w:t>(1)投标供应商投标前须交纳投标</w:t>
            </w:r>
            <w:r>
              <w:rPr>
                <w:rFonts w:hint="eastAsia" w:hAnsi="宋体"/>
                <w:bCs/>
                <w:sz w:val="24"/>
                <w:highlight w:val="none"/>
              </w:rPr>
              <w:t>保证金</w:t>
            </w:r>
            <w:r>
              <w:rPr>
                <w:rFonts w:hint="eastAsia" w:hAnsi="宋体"/>
                <w:bCs/>
                <w:sz w:val="24"/>
                <w:highlight w:val="none"/>
                <w:u w:val="single"/>
              </w:rPr>
              <w:t xml:space="preserve"> </w:t>
            </w:r>
            <w:r>
              <w:rPr>
                <w:rFonts w:hint="eastAsia" w:hAnsi="宋体"/>
                <w:b/>
                <w:bCs w:val="0"/>
                <w:sz w:val="24"/>
                <w:highlight w:val="none"/>
                <w:u w:val="single"/>
                <w:lang w:val="en-US" w:eastAsia="zh-CN"/>
              </w:rPr>
              <w:t>壹</w:t>
            </w:r>
            <w:r>
              <w:rPr>
                <w:rFonts w:hint="eastAsia" w:hAnsi="宋体"/>
                <w:b/>
                <w:bCs w:val="0"/>
                <w:sz w:val="24"/>
                <w:highlight w:val="none"/>
                <w:u w:val="single"/>
              </w:rPr>
              <w:t>万</w:t>
            </w:r>
            <w:r>
              <w:rPr>
                <w:rFonts w:hint="eastAsia" w:hAnsi="宋体"/>
                <w:b w:val="0"/>
                <w:bCs/>
                <w:sz w:val="24"/>
                <w:highlight w:val="none"/>
                <w:u w:val="single"/>
              </w:rPr>
              <w:t xml:space="preserve"> </w:t>
            </w:r>
            <w:r>
              <w:rPr>
                <w:rFonts w:hint="eastAsia" w:hAnsi="宋体"/>
                <w:bCs/>
                <w:sz w:val="24"/>
                <w:highlight w:val="none"/>
              </w:rPr>
              <w:t>元整</w:t>
            </w:r>
            <w:r>
              <w:rPr>
                <w:rFonts w:hint="eastAsia" w:hAnsi="宋体"/>
                <w:bCs/>
                <w:sz w:val="24"/>
              </w:rPr>
              <w:t>；投标供应商应于开标前将投标保证金汇入专用帐户内：</w:t>
            </w:r>
          </w:p>
          <w:p>
            <w:pPr>
              <w:widowControl/>
              <w:topLinePunct/>
              <w:spacing w:line="360" w:lineRule="auto"/>
              <w:rPr>
                <w:rFonts w:hint="eastAsia" w:hAnsi="宋体" w:eastAsia="宋体"/>
                <w:bCs/>
                <w:sz w:val="24"/>
                <w:lang w:eastAsia="zh-CN"/>
              </w:rPr>
            </w:pPr>
            <w:r>
              <w:rPr>
                <w:rFonts w:hint="eastAsia" w:hAnsi="宋体"/>
                <w:bCs/>
                <w:sz w:val="24"/>
              </w:rPr>
              <w:t>收款单位：</w:t>
            </w:r>
            <w:r>
              <w:rPr>
                <w:rFonts w:hint="eastAsia" w:ascii="宋体" w:hAnsi="宋体" w:eastAsia="宋体" w:cs="宋体"/>
                <w:color w:val="auto"/>
                <w:sz w:val="24"/>
                <w:highlight w:val="none"/>
              </w:rPr>
              <w:t>江苏博智工程咨询有限公司无锡分公司</w:t>
            </w:r>
          </w:p>
          <w:p>
            <w:pPr>
              <w:widowControl/>
              <w:topLinePunct/>
              <w:spacing w:line="360" w:lineRule="auto"/>
              <w:rPr>
                <w:rFonts w:hint="eastAsia" w:hAnsi="宋体"/>
                <w:bCs/>
                <w:sz w:val="24"/>
              </w:rPr>
            </w:pPr>
            <w:r>
              <w:rPr>
                <w:rFonts w:hint="eastAsia" w:hAnsi="宋体"/>
                <w:bCs/>
                <w:sz w:val="24"/>
              </w:rPr>
              <w:t>开户银行：</w:t>
            </w:r>
            <w:r>
              <w:rPr>
                <w:rFonts w:hint="eastAsia" w:ascii="宋体" w:hAnsi="宋体" w:eastAsia="宋体" w:cs="宋体"/>
                <w:color w:val="auto"/>
                <w:sz w:val="24"/>
                <w:highlight w:val="none"/>
              </w:rPr>
              <w:t>招商银行股份有限公司无锡中山路支行</w:t>
            </w:r>
            <w:r>
              <w:rPr>
                <w:rFonts w:hint="eastAsia" w:hAnsi="宋体"/>
                <w:bCs/>
                <w:sz w:val="24"/>
              </w:rPr>
              <w:t xml:space="preserve"> </w:t>
            </w:r>
          </w:p>
          <w:p>
            <w:pPr>
              <w:widowControl/>
              <w:topLinePunct/>
              <w:spacing w:line="360" w:lineRule="auto"/>
              <w:rPr>
                <w:rFonts w:hint="eastAsia" w:hAnsi="宋体"/>
                <w:bCs/>
                <w:sz w:val="24"/>
              </w:rPr>
            </w:pPr>
            <w:r>
              <w:rPr>
                <w:rFonts w:hint="eastAsia" w:hAnsi="宋体"/>
                <w:bCs/>
                <w:sz w:val="24"/>
              </w:rPr>
              <w:t>账号：</w:t>
            </w:r>
            <w:r>
              <w:rPr>
                <w:rFonts w:hint="eastAsia" w:ascii="宋体" w:hAnsi="宋体" w:eastAsia="宋体" w:cs="宋体"/>
                <w:color w:val="auto"/>
                <w:sz w:val="24"/>
                <w:highlight w:val="none"/>
              </w:rPr>
              <w:t>510903781110802</w:t>
            </w:r>
          </w:p>
          <w:p>
            <w:pPr>
              <w:widowControl/>
              <w:topLinePunct/>
              <w:spacing w:line="360" w:lineRule="auto"/>
              <w:rPr>
                <w:rFonts w:hint="eastAsia" w:hAnsi="宋体"/>
                <w:bCs/>
                <w:sz w:val="24"/>
              </w:rPr>
            </w:pPr>
            <w:r>
              <w:rPr>
                <w:rFonts w:hint="eastAsia" w:hAnsi="宋体"/>
                <w:bCs/>
                <w:sz w:val="24"/>
              </w:rPr>
              <w:t>交纳时间以投标保证金专用账户实际收到的时间为准，投标保证金有效期与投标有效期一致。（友情提示：为确保投标保证金能按时到帐，请各投标供应商按要求提前将投标保证金汇入专用账户内以免造成投标无效。）</w:t>
            </w:r>
          </w:p>
          <w:p>
            <w:pPr>
              <w:widowControl/>
              <w:topLinePunct/>
              <w:spacing w:line="360" w:lineRule="auto"/>
              <w:rPr>
                <w:rFonts w:hint="eastAsia" w:hAnsi="宋体"/>
                <w:bCs/>
                <w:sz w:val="24"/>
              </w:rPr>
            </w:pPr>
            <w:r>
              <w:rPr>
                <w:rFonts w:hint="eastAsia" w:hAnsi="宋体"/>
                <w:bCs/>
                <w:sz w:val="24"/>
              </w:rPr>
              <w:t>(2)投标保证金通过银行柜面转账、网银转账、电汇方式从企业法人的基本账户转出。</w:t>
            </w:r>
          </w:p>
          <w:p>
            <w:pPr>
              <w:widowControl/>
              <w:topLinePunct/>
              <w:spacing w:line="360" w:lineRule="auto"/>
              <w:rPr>
                <w:rFonts w:hint="eastAsia" w:hAnsi="宋体"/>
                <w:bCs/>
                <w:sz w:val="24"/>
              </w:rPr>
            </w:pPr>
            <w:r>
              <w:rPr>
                <w:rFonts w:hint="eastAsia" w:hAnsi="宋体"/>
                <w:bCs/>
                <w:sz w:val="24"/>
              </w:rPr>
              <w:t>(3)对于未能按要求提交投标保证金的投标，采购人将视为不响应</w:t>
            </w:r>
            <w:r>
              <w:rPr>
                <w:rFonts w:hint="eastAsia" w:hAnsi="宋体"/>
                <w:bCs/>
                <w:sz w:val="24"/>
                <w:lang w:eastAsia="zh-CN"/>
              </w:rPr>
              <w:t>采购文件</w:t>
            </w:r>
            <w:r>
              <w:rPr>
                <w:rFonts w:hint="eastAsia" w:hAnsi="宋体"/>
                <w:bCs/>
                <w:sz w:val="24"/>
              </w:rPr>
              <w:t>而予以拒绝。</w:t>
            </w:r>
          </w:p>
          <w:p>
            <w:pPr>
              <w:widowControl/>
              <w:topLinePunct/>
              <w:spacing w:line="360" w:lineRule="auto"/>
              <w:rPr>
                <w:rFonts w:ascii="宋体" w:hAnsi="宋体"/>
                <w:b/>
                <w:sz w:val="24"/>
              </w:rPr>
            </w:pPr>
            <w:r>
              <w:rPr>
                <w:rFonts w:hint="eastAsia" w:hAnsi="宋体"/>
                <w:bCs/>
                <w:sz w:val="24"/>
              </w:rPr>
              <w:t>(4)以个人、企业的办事处、分公司、子公司名义或他人账户、投标供应商企业的其他账户缴纳的投标保证金无效。不得使用其它形式支付。凡提供无法承兑的转账支票或电汇支付不成功的投标供应商，视为没有实质性响应</w:t>
            </w:r>
            <w:r>
              <w:rPr>
                <w:rFonts w:hint="eastAsia" w:hAnsi="宋体"/>
                <w:bCs/>
                <w:sz w:val="24"/>
                <w:lang w:eastAsia="zh-CN"/>
              </w:rPr>
              <w:t>采购文件</w:t>
            </w:r>
            <w:r>
              <w:rPr>
                <w:rFonts w:hint="eastAsia" w:hAnsi="宋体"/>
                <w:bCs/>
                <w:sz w:val="24"/>
              </w:rPr>
              <w:t>的要求，一律作无效投标处理。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8</w:t>
            </w:r>
          </w:p>
        </w:tc>
        <w:tc>
          <w:tcPr>
            <w:tcW w:w="8106" w:type="dxa"/>
            <w:noWrap w:val="0"/>
            <w:vAlign w:val="center"/>
          </w:tcPr>
          <w:p>
            <w:pPr>
              <w:widowControl/>
              <w:topLinePunct/>
              <w:spacing w:line="360" w:lineRule="auto"/>
              <w:rPr>
                <w:rFonts w:ascii="宋体" w:hAnsi="宋体"/>
                <w:sz w:val="24"/>
              </w:rPr>
            </w:pPr>
            <w:r>
              <w:rPr>
                <w:rFonts w:hint="eastAsia" w:ascii="宋体" w:hAnsi="宋体"/>
                <w:sz w:val="24"/>
              </w:rPr>
              <w:t>投标有效期：中标通知书发出之日起90天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9</w:t>
            </w:r>
          </w:p>
        </w:tc>
        <w:tc>
          <w:tcPr>
            <w:tcW w:w="8106" w:type="dxa"/>
            <w:noWrap w:val="0"/>
            <w:vAlign w:val="center"/>
          </w:tcPr>
          <w:p>
            <w:pPr>
              <w:widowControl/>
              <w:topLinePunct/>
              <w:spacing w:line="360" w:lineRule="auto"/>
              <w:rPr>
                <w:rFonts w:hint="eastAsia" w:ascii="宋体" w:hAnsi="宋体"/>
                <w:sz w:val="24"/>
              </w:rPr>
            </w:pPr>
            <w:r>
              <w:rPr>
                <w:rFonts w:hint="eastAsia" w:ascii="宋体" w:hAnsi="宋体"/>
                <w:sz w:val="24"/>
              </w:rPr>
              <w:t>投标文件开始接受时间：2019年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r>
              <w:rPr>
                <w:rFonts w:hint="eastAsia" w:ascii="宋体" w:hAnsi="宋体"/>
                <w:sz w:val="24"/>
                <w:lang w:val="en-US" w:eastAsia="zh-CN"/>
              </w:rPr>
              <w:t>09</w:t>
            </w:r>
            <w:r>
              <w:rPr>
                <w:rFonts w:hint="eastAsia" w:ascii="宋体" w:hAnsi="宋体"/>
                <w:sz w:val="24"/>
              </w:rPr>
              <w:t>:00起</w:t>
            </w:r>
          </w:p>
          <w:p>
            <w:pPr>
              <w:widowControl/>
              <w:topLinePunct/>
              <w:spacing w:line="360" w:lineRule="auto"/>
              <w:rPr>
                <w:rFonts w:hint="eastAsia" w:ascii="宋体" w:hAnsi="宋体"/>
                <w:sz w:val="24"/>
              </w:rPr>
            </w:pPr>
            <w:r>
              <w:rPr>
                <w:rFonts w:hint="eastAsia" w:ascii="宋体" w:hAnsi="宋体"/>
                <w:sz w:val="24"/>
              </w:rPr>
              <w:t>投标文件接受截止时间：2019年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r>
              <w:rPr>
                <w:rFonts w:hint="eastAsia" w:ascii="宋体" w:hAnsi="宋体"/>
                <w:sz w:val="24"/>
                <w:lang w:val="en-US" w:eastAsia="zh-CN"/>
              </w:rPr>
              <w:t>09</w:t>
            </w:r>
            <w:r>
              <w:rPr>
                <w:rFonts w:hint="eastAsia" w:ascii="宋体" w:hAnsi="宋体"/>
                <w:sz w:val="24"/>
              </w:rPr>
              <w:t>:30止， 截止期后的投标文件恕不接受。</w:t>
            </w:r>
          </w:p>
          <w:p>
            <w:pPr>
              <w:widowControl/>
              <w:topLinePunct/>
              <w:spacing w:line="360" w:lineRule="auto"/>
              <w:rPr>
                <w:rFonts w:hint="eastAsia" w:ascii="宋体" w:hAnsi="宋体" w:eastAsia="宋体"/>
                <w:sz w:val="24"/>
                <w:lang w:eastAsia="zh-CN"/>
              </w:rPr>
            </w:pPr>
            <w:r>
              <w:rPr>
                <w:rFonts w:hint="eastAsia" w:ascii="宋体" w:hAnsi="宋体"/>
                <w:sz w:val="24"/>
              </w:rPr>
              <w:t>投标地点：</w:t>
            </w:r>
            <w:r>
              <w:rPr>
                <w:rFonts w:hint="eastAsia" w:ascii="宋体" w:hAnsi="宋体"/>
                <w:sz w:val="24"/>
                <w:lang w:eastAsia="zh-CN"/>
              </w:rPr>
              <w:t>江苏博智工程咨询有限公司</w:t>
            </w:r>
          </w:p>
          <w:p>
            <w:pPr>
              <w:widowControl/>
              <w:topLinePunct/>
              <w:spacing w:line="360" w:lineRule="auto"/>
              <w:ind w:firstLine="1200" w:firstLineChars="500"/>
              <w:rPr>
                <w:rFonts w:ascii="宋体" w:hAnsi="宋体"/>
                <w:sz w:val="24"/>
              </w:rPr>
            </w:pPr>
            <w:r>
              <w:rPr>
                <w:rFonts w:hint="eastAsia" w:ascii="宋体" w:hAnsi="宋体"/>
                <w:sz w:val="24"/>
              </w:rPr>
              <w:t>（</w:t>
            </w:r>
            <w:r>
              <w:rPr>
                <w:rFonts w:hint="eastAsia" w:ascii="宋体" w:cs="宋体"/>
                <w:sz w:val="24"/>
                <w:lang w:eastAsia="zh-CN"/>
              </w:rPr>
              <w:t>无锡市滨湖区高浪东路999号A1栋604室</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10</w:t>
            </w:r>
          </w:p>
        </w:tc>
        <w:tc>
          <w:tcPr>
            <w:tcW w:w="8106" w:type="dxa"/>
            <w:noWrap w:val="0"/>
            <w:vAlign w:val="center"/>
          </w:tcPr>
          <w:p>
            <w:pPr>
              <w:spacing w:line="360" w:lineRule="auto"/>
              <w:rPr>
                <w:rFonts w:hint="eastAsia" w:ascii="宋体" w:hAnsi="宋体"/>
                <w:sz w:val="24"/>
              </w:rPr>
            </w:pPr>
            <w:r>
              <w:rPr>
                <w:rFonts w:hint="eastAsia" w:ascii="宋体" w:hAnsi="宋体"/>
                <w:sz w:val="24"/>
              </w:rPr>
              <w:t>开标时间：2019年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r>
              <w:rPr>
                <w:rFonts w:hint="eastAsia" w:ascii="宋体" w:hAnsi="宋体"/>
                <w:sz w:val="24"/>
                <w:lang w:val="en-US" w:eastAsia="zh-CN"/>
              </w:rPr>
              <w:t>09</w:t>
            </w:r>
            <w:r>
              <w:rPr>
                <w:rFonts w:hint="eastAsia" w:ascii="宋体" w:hAnsi="宋体"/>
                <w:sz w:val="24"/>
              </w:rPr>
              <w:t>时30分</w:t>
            </w:r>
          </w:p>
          <w:p>
            <w:pPr>
              <w:widowControl/>
              <w:topLinePunct/>
              <w:spacing w:line="360" w:lineRule="auto"/>
              <w:rPr>
                <w:rFonts w:hint="eastAsia" w:ascii="宋体" w:hAnsi="宋体" w:eastAsia="宋体"/>
                <w:sz w:val="24"/>
                <w:lang w:eastAsia="zh-CN"/>
              </w:rPr>
            </w:pPr>
            <w:r>
              <w:rPr>
                <w:rFonts w:hint="eastAsia" w:ascii="宋体" w:hAnsi="宋体"/>
                <w:sz w:val="24"/>
              </w:rPr>
              <w:t>开标地点：</w:t>
            </w:r>
            <w:r>
              <w:rPr>
                <w:rFonts w:hint="eastAsia" w:ascii="宋体" w:hAnsi="宋体"/>
                <w:sz w:val="24"/>
                <w:lang w:eastAsia="zh-CN"/>
              </w:rPr>
              <w:t>江苏博智工程咨询有限公司</w:t>
            </w:r>
          </w:p>
          <w:p>
            <w:pPr>
              <w:widowControl/>
              <w:topLinePunct/>
              <w:spacing w:line="360" w:lineRule="auto"/>
              <w:ind w:firstLine="1200" w:firstLineChars="500"/>
              <w:rPr>
                <w:rFonts w:ascii="宋体" w:hAnsi="宋体"/>
                <w:sz w:val="24"/>
              </w:rPr>
            </w:pPr>
            <w:r>
              <w:rPr>
                <w:rFonts w:hint="eastAsia" w:ascii="宋体" w:hAnsi="宋体"/>
                <w:sz w:val="24"/>
              </w:rPr>
              <w:t>（</w:t>
            </w:r>
            <w:r>
              <w:rPr>
                <w:rFonts w:hint="eastAsia" w:ascii="宋体" w:cs="宋体"/>
                <w:sz w:val="24"/>
                <w:lang w:eastAsia="zh-CN"/>
              </w:rPr>
              <w:t>无锡市滨湖区高浪东</w:t>
            </w:r>
            <w:bookmarkStart w:id="17" w:name="_GoBack"/>
            <w:bookmarkEnd w:id="17"/>
            <w:r>
              <w:rPr>
                <w:rFonts w:hint="eastAsia" w:ascii="宋体" w:cs="宋体"/>
                <w:sz w:val="24"/>
                <w:lang w:eastAsia="zh-CN"/>
              </w:rPr>
              <w:t>路999号A1栋604室</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11</w:t>
            </w:r>
          </w:p>
        </w:tc>
        <w:tc>
          <w:tcPr>
            <w:tcW w:w="8106" w:type="dxa"/>
            <w:noWrap w:val="0"/>
            <w:vAlign w:val="center"/>
          </w:tcPr>
          <w:p>
            <w:pPr>
              <w:spacing w:line="360" w:lineRule="auto"/>
              <w:rPr>
                <w:rFonts w:hint="eastAsia" w:ascii="宋体" w:hAnsi="宋体"/>
                <w:sz w:val="24"/>
              </w:rPr>
            </w:pPr>
            <w:r>
              <w:rPr>
                <w:rFonts w:hint="eastAsia" w:ascii="宋体" w:hAnsi="宋体"/>
                <w:sz w:val="24"/>
              </w:rPr>
              <w:t>确定中标单位时间：2019年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日评审结束</w:t>
            </w:r>
          </w:p>
          <w:p>
            <w:pPr>
              <w:widowControl/>
              <w:topLinePunct/>
              <w:spacing w:line="360" w:lineRule="auto"/>
              <w:rPr>
                <w:rFonts w:hint="eastAsia" w:ascii="宋体" w:hAnsi="宋体" w:eastAsia="宋体"/>
                <w:sz w:val="24"/>
                <w:lang w:eastAsia="zh-CN"/>
              </w:rPr>
            </w:pPr>
            <w:r>
              <w:rPr>
                <w:rFonts w:hint="eastAsia" w:ascii="宋体" w:hAnsi="宋体"/>
                <w:sz w:val="24"/>
              </w:rPr>
              <w:t>确定中标单位地点：</w:t>
            </w:r>
            <w:r>
              <w:rPr>
                <w:rFonts w:hint="eastAsia" w:ascii="宋体" w:hAnsi="宋体"/>
                <w:sz w:val="24"/>
                <w:lang w:eastAsia="zh-CN"/>
              </w:rPr>
              <w:t>江苏博智工程咨询有限公司</w:t>
            </w:r>
          </w:p>
          <w:p>
            <w:pPr>
              <w:widowControl/>
              <w:topLinePunct/>
              <w:spacing w:line="360" w:lineRule="auto"/>
              <w:ind w:firstLine="2160" w:firstLineChars="900"/>
              <w:rPr>
                <w:rFonts w:ascii="宋体" w:hAnsi="宋体"/>
                <w:sz w:val="24"/>
              </w:rPr>
            </w:pPr>
            <w:r>
              <w:rPr>
                <w:rFonts w:hint="eastAsia" w:ascii="宋体" w:hAnsi="宋体"/>
                <w:sz w:val="24"/>
              </w:rPr>
              <w:t>（</w:t>
            </w:r>
            <w:r>
              <w:rPr>
                <w:rFonts w:hint="eastAsia" w:ascii="宋体" w:cs="宋体"/>
                <w:sz w:val="24"/>
                <w:lang w:eastAsia="zh-CN"/>
              </w:rPr>
              <w:t>无锡市滨湖区高浪东路999号A1栋604室</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12</w:t>
            </w:r>
          </w:p>
        </w:tc>
        <w:tc>
          <w:tcPr>
            <w:tcW w:w="8106" w:type="dxa"/>
            <w:noWrap w:val="0"/>
            <w:vAlign w:val="center"/>
          </w:tcPr>
          <w:p>
            <w:pPr>
              <w:widowControl/>
              <w:topLinePunct/>
              <w:spacing w:line="360" w:lineRule="auto"/>
              <w:rPr>
                <w:rFonts w:ascii="宋体" w:hAnsi="宋体"/>
                <w:sz w:val="24"/>
              </w:rPr>
            </w:pPr>
            <w:r>
              <w:rPr>
                <w:rFonts w:hint="eastAsia" w:ascii="宋体" w:hAnsi="宋体"/>
                <w:sz w:val="24"/>
              </w:rPr>
              <w:t>投标文件份数：一正四副。投标文件电子光盘一张（不可擦洗），并在光盘上清楚的标明投标人名称、光盘内容名称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301" w:type="dxa"/>
            <w:noWrap w:val="0"/>
            <w:vAlign w:val="center"/>
          </w:tcPr>
          <w:p>
            <w:pPr>
              <w:widowControl/>
              <w:topLinePunct/>
              <w:jc w:val="center"/>
              <w:rPr>
                <w:rFonts w:ascii="宋体" w:hAnsi="宋体"/>
                <w:sz w:val="24"/>
              </w:rPr>
            </w:pPr>
            <w:r>
              <w:rPr>
                <w:rFonts w:hint="eastAsia" w:ascii="宋体" w:hAnsi="宋体"/>
                <w:sz w:val="24"/>
              </w:rPr>
              <w:t>13</w:t>
            </w:r>
          </w:p>
        </w:tc>
        <w:tc>
          <w:tcPr>
            <w:tcW w:w="8106" w:type="dxa"/>
            <w:noWrap w:val="0"/>
            <w:vAlign w:val="bottom"/>
          </w:tcPr>
          <w:p>
            <w:pPr>
              <w:widowControl/>
              <w:topLinePunct/>
              <w:spacing w:line="360" w:lineRule="auto"/>
              <w:rPr>
                <w:rFonts w:ascii="宋体" w:hAnsi="宋体"/>
                <w:sz w:val="24"/>
              </w:rPr>
            </w:pPr>
            <w:r>
              <w:rPr>
                <w:rFonts w:hint="eastAsia" w:ascii="宋体" w:hAnsi="宋体"/>
                <w:bCs/>
                <w:sz w:val="24"/>
              </w:rPr>
              <w:t>本</w:t>
            </w:r>
            <w:r>
              <w:rPr>
                <w:rFonts w:hint="eastAsia" w:ascii="宋体" w:hAnsi="宋体"/>
                <w:bCs/>
                <w:sz w:val="24"/>
                <w:lang w:val="en-US" w:eastAsia="zh-CN"/>
              </w:rPr>
              <w:t>项目采购预算为</w:t>
            </w:r>
            <w:r>
              <w:rPr>
                <w:rFonts w:hint="eastAsia" w:ascii="宋体" w:hAnsi="宋体"/>
                <w:bCs/>
                <w:sz w:val="24"/>
                <w:highlight w:val="none"/>
              </w:rPr>
              <w:t>：</w:t>
            </w:r>
            <w:r>
              <w:rPr>
                <w:rFonts w:hint="eastAsia" w:ascii="宋体" w:hAnsi="宋体"/>
                <w:bCs/>
                <w:sz w:val="24"/>
                <w:highlight w:val="none"/>
                <w:lang w:val="en-US" w:eastAsia="zh-CN"/>
              </w:rPr>
              <w:t>165</w:t>
            </w:r>
            <w:r>
              <w:rPr>
                <w:rFonts w:hint="eastAsia" w:ascii="宋体" w:hAnsi="宋体"/>
                <w:bCs/>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1" w:type="dxa"/>
            <w:noWrap w:val="0"/>
            <w:vAlign w:val="center"/>
          </w:tcPr>
          <w:p>
            <w:pPr>
              <w:widowControl/>
              <w:topLinePunct/>
              <w:jc w:val="center"/>
              <w:rPr>
                <w:rFonts w:hint="eastAsia" w:ascii="宋体" w:hAnsi="宋体"/>
                <w:sz w:val="24"/>
              </w:rPr>
            </w:pPr>
            <w:r>
              <w:rPr>
                <w:rFonts w:hint="eastAsia" w:ascii="宋体" w:hAnsi="宋体"/>
                <w:sz w:val="24"/>
              </w:rPr>
              <w:t>14</w:t>
            </w:r>
          </w:p>
        </w:tc>
        <w:tc>
          <w:tcPr>
            <w:tcW w:w="8106" w:type="dxa"/>
            <w:noWrap w:val="0"/>
            <w:vAlign w:val="bottom"/>
          </w:tcPr>
          <w:p>
            <w:pPr>
              <w:widowControl/>
              <w:topLinePunct/>
              <w:spacing w:line="440" w:lineRule="exact"/>
              <w:rPr>
                <w:rFonts w:hint="eastAsia" w:ascii="宋体" w:hAnsi="宋体" w:cs="宋体"/>
                <w:sz w:val="24"/>
              </w:rPr>
            </w:pPr>
            <w:r>
              <w:rPr>
                <w:rFonts w:hint="eastAsia" w:ascii="宋体" w:hAnsi="宋体" w:cs="宋体"/>
                <w:sz w:val="24"/>
              </w:rPr>
              <w:t>有关本次采购活动程序方面的问题，可来人、来函（传真）或电话联系。</w:t>
            </w:r>
          </w:p>
          <w:p>
            <w:pPr>
              <w:widowControl/>
              <w:topLinePunct/>
              <w:spacing w:line="360" w:lineRule="auto"/>
              <w:rPr>
                <w:rFonts w:hint="eastAsia" w:ascii="宋体" w:hAnsi="宋体" w:eastAsia="宋体"/>
                <w:bCs/>
                <w:sz w:val="24"/>
                <w:lang w:eastAsia="zh-CN"/>
              </w:rPr>
            </w:pPr>
            <w:r>
              <w:rPr>
                <w:rFonts w:hint="eastAsia" w:ascii="宋体" w:hAnsi="宋体"/>
                <w:bCs/>
                <w:sz w:val="24"/>
              </w:rPr>
              <w:t>采购人：</w:t>
            </w:r>
            <w:r>
              <w:rPr>
                <w:rFonts w:hint="eastAsia" w:ascii="宋体" w:hAnsi="宋体"/>
                <w:bCs/>
                <w:sz w:val="24"/>
                <w:lang w:eastAsia="zh-CN"/>
              </w:rPr>
              <w:t>无锡职业技术学院</w:t>
            </w:r>
          </w:p>
          <w:p>
            <w:pPr>
              <w:widowControl/>
              <w:topLinePunct/>
              <w:spacing w:line="360" w:lineRule="auto"/>
              <w:rPr>
                <w:rFonts w:hint="eastAsia" w:ascii="宋体" w:hAnsi="宋体"/>
                <w:bCs/>
                <w:sz w:val="24"/>
                <w:lang w:val="en-US" w:eastAsia="zh-CN"/>
              </w:rPr>
            </w:pPr>
            <w:r>
              <w:rPr>
                <w:rFonts w:hint="eastAsia" w:ascii="宋体" w:hAnsi="宋体"/>
                <w:bCs/>
                <w:sz w:val="24"/>
              </w:rPr>
              <w:t>联系人：</w:t>
            </w:r>
            <w:r>
              <w:rPr>
                <w:rFonts w:hint="eastAsia" w:ascii="宋体" w:hAnsi="宋体"/>
                <w:bCs/>
                <w:sz w:val="24"/>
                <w:lang w:val="en-US" w:eastAsia="zh-CN"/>
              </w:rPr>
              <w:t xml:space="preserve">吴老师      </w:t>
            </w:r>
          </w:p>
          <w:p>
            <w:pPr>
              <w:widowControl/>
              <w:topLinePunct/>
              <w:spacing w:line="360" w:lineRule="auto"/>
              <w:rPr>
                <w:rFonts w:hint="eastAsia" w:ascii="宋体" w:hAnsi="宋体"/>
                <w:bCs/>
                <w:sz w:val="24"/>
              </w:rPr>
            </w:pPr>
            <w:r>
              <w:rPr>
                <w:rFonts w:hint="eastAsia" w:ascii="宋体" w:hAnsi="宋体"/>
                <w:bCs/>
                <w:sz w:val="24"/>
              </w:rPr>
              <w:t>联系电话：</w:t>
            </w:r>
            <w:r>
              <w:rPr>
                <w:rFonts w:hint="eastAsia" w:ascii="宋体" w:hAnsi="宋体" w:cs="宋体"/>
                <w:kern w:val="0"/>
                <w:sz w:val="24"/>
              </w:rPr>
              <w:t>0510-81838723</w:t>
            </w:r>
          </w:p>
          <w:p>
            <w:pPr>
              <w:widowControl/>
              <w:topLinePunct/>
              <w:spacing w:line="360" w:lineRule="auto"/>
              <w:rPr>
                <w:rFonts w:hint="eastAsia" w:ascii="宋体" w:hAnsi="宋体"/>
                <w:bCs/>
                <w:sz w:val="24"/>
              </w:rPr>
            </w:pPr>
            <w:r>
              <w:rPr>
                <w:rFonts w:hint="eastAsia" w:ascii="宋体" w:hAnsi="宋体"/>
                <w:bCs/>
                <w:sz w:val="24"/>
              </w:rPr>
              <w:t>联系地址：</w:t>
            </w:r>
            <w:r>
              <w:rPr>
                <w:rFonts w:hint="eastAsia" w:ascii="宋体" w:hAnsi="宋体" w:cs="宋体"/>
                <w:kern w:val="0"/>
                <w:sz w:val="24"/>
              </w:rPr>
              <w:t>无锡市高浪西路1600号</w:t>
            </w:r>
          </w:p>
          <w:p>
            <w:pPr>
              <w:widowControl/>
              <w:topLinePunct/>
              <w:spacing w:line="360" w:lineRule="auto"/>
              <w:rPr>
                <w:rFonts w:hint="eastAsia" w:ascii="宋体" w:hAnsi="宋体" w:eastAsia="宋体"/>
                <w:bCs/>
                <w:sz w:val="24"/>
                <w:lang w:eastAsia="zh-CN"/>
              </w:rPr>
            </w:pPr>
            <w:r>
              <w:rPr>
                <w:rFonts w:hint="eastAsia" w:ascii="宋体" w:hAnsi="宋体"/>
                <w:bCs/>
                <w:sz w:val="24"/>
              </w:rPr>
              <w:t>采购代理机构：</w:t>
            </w:r>
            <w:r>
              <w:rPr>
                <w:rFonts w:hint="eastAsia" w:ascii="宋体" w:hAnsi="宋体"/>
                <w:bCs/>
                <w:sz w:val="24"/>
                <w:lang w:eastAsia="zh-CN"/>
              </w:rPr>
              <w:t>江苏博智工程咨询有限公司</w:t>
            </w:r>
          </w:p>
          <w:p>
            <w:pPr>
              <w:widowControl/>
              <w:topLinePunct/>
              <w:spacing w:line="360" w:lineRule="auto"/>
              <w:rPr>
                <w:rFonts w:hint="eastAsia" w:ascii="宋体" w:hAnsi="宋体"/>
                <w:bCs/>
                <w:sz w:val="24"/>
              </w:rPr>
            </w:pPr>
            <w:r>
              <w:rPr>
                <w:rFonts w:hint="eastAsia" w:ascii="宋体" w:hAnsi="宋体"/>
                <w:bCs/>
                <w:sz w:val="24"/>
              </w:rPr>
              <w:t>联系人：</w:t>
            </w:r>
            <w:r>
              <w:rPr>
                <w:rFonts w:hint="eastAsia" w:ascii="宋体" w:hAnsi="宋体" w:cs="宋体"/>
                <w:kern w:val="0"/>
                <w:sz w:val="24"/>
                <w:lang w:val="en-US" w:eastAsia="zh-CN"/>
              </w:rPr>
              <w:t>郭威、王乾</w:t>
            </w:r>
          </w:p>
          <w:p>
            <w:pPr>
              <w:widowControl/>
              <w:topLinePunct/>
              <w:spacing w:line="360" w:lineRule="auto"/>
              <w:rPr>
                <w:rFonts w:hint="eastAsia" w:ascii="宋体" w:hAnsi="宋体"/>
                <w:bCs/>
                <w:sz w:val="24"/>
              </w:rPr>
            </w:pPr>
            <w:r>
              <w:rPr>
                <w:rFonts w:hint="eastAsia" w:ascii="宋体" w:hAnsi="宋体"/>
                <w:bCs/>
                <w:sz w:val="24"/>
              </w:rPr>
              <w:t>联系电话：0510-</w:t>
            </w:r>
            <w:r>
              <w:rPr>
                <w:rFonts w:hint="eastAsia" w:ascii="宋体" w:hAnsi="宋体"/>
                <w:bCs/>
                <w:sz w:val="24"/>
                <w:lang w:eastAsia="zh-CN"/>
              </w:rPr>
              <w:t>82820918</w:t>
            </w:r>
            <w:r>
              <w:rPr>
                <w:rFonts w:hint="eastAsia" w:ascii="宋体" w:hAnsi="宋体"/>
                <w:bCs/>
                <w:sz w:val="24"/>
                <w:lang w:val="en-US" w:eastAsia="zh-CN"/>
              </w:rPr>
              <w:t xml:space="preserve">    </w:t>
            </w:r>
            <w:r>
              <w:rPr>
                <w:rFonts w:hint="eastAsia" w:ascii="宋体" w:hAnsi="宋体"/>
                <w:bCs/>
                <w:sz w:val="24"/>
              </w:rPr>
              <w:t>邮箱：</w:t>
            </w:r>
            <w:r>
              <w:rPr>
                <w:rFonts w:hint="eastAsia" w:ascii="宋体" w:hAnsi="宋体"/>
                <w:bCs/>
                <w:sz w:val="24"/>
                <w:lang w:val="en-US" w:eastAsia="zh-CN"/>
              </w:rPr>
              <w:t>2463450259@qq</w:t>
            </w:r>
            <w:r>
              <w:rPr>
                <w:rFonts w:hint="eastAsia" w:ascii="宋体" w:hAnsi="宋体"/>
                <w:bCs/>
                <w:sz w:val="24"/>
              </w:rPr>
              <w:t>.com</w:t>
            </w:r>
          </w:p>
          <w:p>
            <w:pPr>
              <w:widowControl/>
              <w:topLinePunct/>
              <w:spacing w:line="360" w:lineRule="auto"/>
              <w:rPr>
                <w:rFonts w:hint="eastAsia" w:ascii="宋体" w:hAnsi="宋体" w:eastAsia="宋体"/>
                <w:bCs/>
                <w:sz w:val="24"/>
                <w:lang w:eastAsia="zh-CN"/>
              </w:rPr>
            </w:pPr>
            <w:r>
              <w:rPr>
                <w:rFonts w:hint="eastAsia" w:ascii="宋体" w:hAnsi="宋体"/>
                <w:bCs/>
                <w:sz w:val="24"/>
              </w:rPr>
              <w:t>联系地址：</w:t>
            </w:r>
            <w:r>
              <w:rPr>
                <w:rFonts w:hint="eastAsia" w:ascii="宋体" w:hAnsi="宋体"/>
                <w:bCs/>
                <w:color w:val="auto"/>
                <w:sz w:val="24"/>
                <w:highlight w:val="none"/>
                <w:lang w:eastAsia="zh-CN"/>
              </w:rPr>
              <w:t>无锡市滨湖区高浪东路999号A1栋602室</w:t>
            </w:r>
          </w:p>
          <w:p>
            <w:pPr>
              <w:widowControl/>
              <w:topLinePunct/>
              <w:spacing w:line="360" w:lineRule="auto"/>
              <w:rPr>
                <w:rFonts w:hint="eastAsia" w:ascii="宋体" w:hAnsi="宋体"/>
                <w:bCs/>
                <w:sz w:val="24"/>
              </w:rPr>
            </w:pPr>
            <w:r>
              <w:rPr>
                <w:rFonts w:hint="eastAsia" w:ascii="宋体" w:hAnsi="宋体"/>
                <w:bCs/>
                <w:sz w:val="24"/>
              </w:rPr>
              <w:t>邮政编码：214000</w:t>
            </w:r>
          </w:p>
        </w:tc>
      </w:tr>
    </w:tbl>
    <w:p>
      <w:pPr>
        <w:numPr>
          <w:ilvl w:val="0"/>
          <w:numId w:val="0"/>
        </w:numPr>
        <w:spacing w:line="360" w:lineRule="auto"/>
        <w:jc w:val="center"/>
        <w:outlineLvl w:val="0"/>
        <w:rPr>
          <w:rFonts w:hint="eastAsia" w:ascii="黑体" w:eastAsia="黑体"/>
          <w:b/>
          <w:bCs/>
          <w:color w:val="auto"/>
          <w:sz w:val="32"/>
          <w:szCs w:val="32"/>
          <w:highlight w:val="none"/>
          <w:lang w:eastAsia="zh-CN"/>
        </w:rPr>
      </w:pPr>
    </w:p>
    <w:p>
      <w:pPr>
        <w:numPr>
          <w:ilvl w:val="0"/>
          <w:numId w:val="0"/>
        </w:numPr>
        <w:spacing w:line="360" w:lineRule="auto"/>
        <w:jc w:val="center"/>
        <w:outlineLvl w:val="0"/>
        <w:rPr>
          <w:rFonts w:hint="eastAsia" w:ascii="黑体" w:eastAsia="黑体"/>
          <w:b/>
          <w:bCs/>
          <w:color w:val="auto"/>
          <w:sz w:val="32"/>
          <w:szCs w:val="32"/>
          <w:highlight w:val="none"/>
        </w:rPr>
      </w:pPr>
      <w:r>
        <w:rPr>
          <w:rFonts w:hint="eastAsia" w:ascii="黑体" w:eastAsia="黑体"/>
          <w:b/>
          <w:bCs/>
          <w:color w:val="auto"/>
          <w:sz w:val="32"/>
          <w:szCs w:val="32"/>
          <w:highlight w:val="none"/>
          <w:lang w:eastAsia="zh-CN"/>
        </w:rPr>
        <w:t>二</w:t>
      </w:r>
      <w:r>
        <w:rPr>
          <w:rFonts w:hint="eastAsia" w:ascii="黑体" w:eastAsia="黑体"/>
          <w:b/>
          <w:bCs/>
          <w:color w:val="auto"/>
          <w:sz w:val="32"/>
          <w:szCs w:val="32"/>
          <w:highlight w:val="none"/>
          <w:lang w:val="en-US" w:eastAsia="zh-CN"/>
        </w:rPr>
        <w:t>.</w:t>
      </w:r>
      <w:r>
        <w:rPr>
          <w:rFonts w:hint="eastAsia" w:ascii="黑体" w:eastAsia="黑体"/>
          <w:b/>
          <w:bCs/>
          <w:color w:val="auto"/>
          <w:sz w:val="32"/>
          <w:szCs w:val="32"/>
          <w:highlight w:val="none"/>
        </w:rPr>
        <w:t>投标供应商须知</w:t>
      </w:r>
    </w:p>
    <w:p>
      <w:pPr>
        <w:numPr>
          <w:ilvl w:val="0"/>
          <w:numId w:val="0"/>
        </w:numPr>
        <w:spacing w:line="360" w:lineRule="auto"/>
        <w:ind w:firstLine="240" w:firstLineChars="100"/>
        <w:outlineLvl w:val="0"/>
        <w:rPr>
          <w:rFonts w:ascii="黑体" w:hAnsi="宋体" w:eastAsia="黑体"/>
          <w:sz w:val="24"/>
        </w:rPr>
      </w:pPr>
      <w:r>
        <w:rPr>
          <w:rFonts w:hint="eastAsia" w:ascii="黑体" w:hAnsi="宋体" w:eastAsia="黑体"/>
          <w:sz w:val="24"/>
        </w:rPr>
        <w:t>（一）遵循原则：</w:t>
      </w:r>
    </w:p>
    <w:p>
      <w:pPr>
        <w:spacing w:line="360" w:lineRule="auto"/>
        <w:ind w:firstLine="480" w:firstLineChars="200"/>
        <w:rPr>
          <w:rFonts w:ascii="宋体" w:hAnsi="宋体"/>
          <w:sz w:val="24"/>
        </w:rPr>
      </w:pPr>
      <w:r>
        <w:rPr>
          <w:rFonts w:hint="eastAsia" w:ascii="宋体" w:hAnsi="宋体"/>
          <w:sz w:val="24"/>
        </w:rPr>
        <w:t>公开透明原则、公平竞争原则、公正原则和诚实信用原则。</w:t>
      </w:r>
    </w:p>
    <w:p>
      <w:pPr>
        <w:spacing w:line="360" w:lineRule="auto"/>
        <w:ind w:firstLine="240" w:firstLineChars="100"/>
        <w:outlineLvl w:val="0"/>
        <w:rPr>
          <w:rFonts w:ascii="黑体" w:hAnsi="宋体" w:eastAsia="黑体"/>
          <w:sz w:val="24"/>
        </w:rPr>
      </w:pPr>
      <w:r>
        <w:rPr>
          <w:rFonts w:hint="eastAsia" w:ascii="黑体" w:hAnsi="宋体" w:eastAsia="黑体"/>
          <w:sz w:val="24"/>
        </w:rPr>
        <w:t>（二）采购文件：</w:t>
      </w:r>
    </w:p>
    <w:p>
      <w:pPr>
        <w:keepNext w:val="0"/>
        <w:keepLines w:val="0"/>
        <w:pageBreakBefore w:val="0"/>
        <w:numPr>
          <w:ilvl w:val="0"/>
          <w:numId w:val="2"/>
        </w:numPr>
        <w:tabs>
          <w:tab w:val="left" w:pos="-1260"/>
          <w:tab w:val="left" w:pos="525"/>
          <w:tab w:val="left" w:pos="1050"/>
        </w:tabs>
        <w:kinsoku/>
        <w:wordWrap/>
        <w:overflowPunct/>
        <w:topLinePunct w:val="0"/>
        <w:autoSpaceDE/>
        <w:autoSpaceDN/>
        <w:bidi w:val="0"/>
        <w:adjustRightInd w:val="0"/>
        <w:snapToGrid w:val="0"/>
        <w:spacing w:line="360" w:lineRule="auto"/>
        <w:ind w:left="0" w:firstLine="628" w:firstLineChars="262"/>
        <w:textAlignment w:val="auto"/>
        <w:rPr>
          <w:rFonts w:hint="eastAsia" w:ascii="宋体" w:hAnsi="宋体"/>
          <w:bCs/>
          <w:color w:val="auto"/>
          <w:sz w:val="24"/>
          <w:highlight w:val="none"/>
        </w:rPr>
      </w:pPr>
      <w:r>
        <w:rPr>
          <w:rFonts w:hint="eastAsia" w:ascii="宋体" w:hAnsi="宋体"/>
          <w:bCs/>
          <w:color w:val="auto"/>
          <w:sz w:val="24"/>
          <w:highlight w:val="none"/>
          <w:lang w:eastAsia="zh-CN"/>
        </w:rPr>
        <w:t>采购文件</w:t>
      </w:r>
      <w:r>
        <w:rPr>
          <w:rFonts w:hint="eastAsia" w:ascii="宋体" w:hAnsi="宋体"/>
          <w:bCs/>
          <w:color w:val="auto"/>
          <w:sz w:val="24"/>
          <w:highlight w:val="none"/>
        </w:rPr>
        <w:t>包括本文件目录所列全部内容，投标供应商应仔细阅读，并在投标文件中充分响应</w:t>
      </w:r>
      <w:r>
        <w:rPr>
          <w:rFonts w:hint="eastAsia" w:ascii="宋体" w:hAnsi="宋体"/>
          <w:bCs/>
          <w:color w:val="auto"/>
          <w:sz w:val="24"/>
          <w:highlight w:val="none"/>
          <w:lang w:eastAsia="zh-CN"/>
        </w:rPr>
        <w:t>采购文件</w:t>
      </w:r>
      <w:r>
        <w:rPr>
          <w:rFonts w:hint="eastAsia" w:ascii="宋体" w:hAnsi="宋体"/>
          <w:bCs/>
          <w:color w:val="auto"/>
          <w:sz w:val="24"/>
          <w:highlight w:val="none"/>
        </w:rPr>
        <w:t>的所有要求。</w:t>
      </w:r>
    </w:p>
    <w:p>
      <w:pPr>
        <w:keepNext w:val="0"/>
        <w:keepLines w:val="0"/>
        <w:pageBreakBefore w:val="0"/>
        <w:numPr>
          <w:ilvl w:val="0"/>
          <w:numId w:val="2"/>
        </w:numPr>
        <w:tabs>
          <w:tab w:val="left" w:pos="0"/>
          <w:tab w:val="left" w:pos="525"/>
          <w:tab w:val="left" w:pos="1050"/>
        </w:tabs>
        <w:kinsoku/>
        <w:wordWrap/>
        <w:overflowPunct/>
        <w:topLinePunct w:val="0"/>
        <w:autoSpaceDE/>
        <w:autoSpaceDN/>
        <w:bidi w:val="0"/>
        <w:adjustRightInd w:val="0"/>
        <w:snapToGrid w:val="0"/>
        <w:spacing w:line="360" w:lineRule="auto"/>
        <w:ind w:left="0" w:firstLine="628" w:firstLineChars="262"/>
        <w:textAlignment w:val="auto"/>
        <w:rPr>
          <w:rFonts w:hint="eastAsia" w:ascii="宋体" w:hAnsi="宋体"/>
          <w:bCs/>
          <w:color w:val="auto"/>
          <w:sz w:val="24"/>
          <w:highlight w:val="none"/>
        </w:rPr>
      </w:pPr>
      <w:r>
        <w:rPr>
          <w:rFonts w:hint="eastAsia" w:ascii="宋体" w:hAnsi="宋体"/>
          <w:bCs/>
          <w:color w:val="auto"/>
          <w:sz w:val="24"/>
          <w:highlight w:val="none"/>
        </w:rPr>
        <w:t>投标供应商应向</w:t>
      </w:r>
      <w:r>
        <w:rPr>
          <w:rFonts w:hint="eastAsia" w:ascii="宋体" w:hAnsi="宋体"/>
          <w:bCs/>
          <w:color w:val="auto"/>
          <w:sz w:val="24"/>
          <w:highlight w:val="none"/>
          <w:lang w:eastAsia="zh-CN"/>
        </w:rPr>
        <w:t>江苏博智工程咨询有限公司</w:t>
      </w:r>
      <w:r>
        <w:rPr>
          <w:rFonts w:hint="eastAsia" w:ascii="宋体" w:hAnsi="宋体"/>
          <w:bCs/>
          <w:color w:val="auto"/>
          <w:sz w:val="24"/>
          <w:highlight w:val="none"/>
        </w:rPr>
        <w:t>购买</w:t>
      </w:r>
      <w:r>
        <w:rPr>
          <w:rFonts w:hint="eastAsia" w:ascii="宋体" w:hAnsi="宋体"/>
          <w:bCs/>
          <w:color w:val="auto"/>
          <w:sz w:val="24"/>
          <w:highlight w:val="none"/>
          <w:lang w:eastAsia="zh-CN"/>
        </w:rPr>
        <w:t>采购文件</w:t>
      </w:r>
      <w:r>
        <w:rPr>
          <w:rFonts w:hint="eastAsia" w:ascii="宋体" w:hAnsi="宋体"/>
          <w:bCs/>
          <w:color w:val="auto"/>
          <w:sz w:val="24"/>
          <w:highlight w:val="none"/>
        </w:rPr>
        <w:t>及相关资料，按</w:t>
      </w:r>
      <w:r>
        <w:rPr>
          <w:rFonts w:hint="eastAsia" w:ascii="宋体" w:hAnsi="宋体"/>
          <w:bCs/>
          <w:color w:val="auto"/>
          <w:sz w:val="24"/>
          <w:highlight w:val="none"/>
          <w:lang w:eastAsia="zh-CN"/>
        </w:rPr>
        <w:t>采购文件</w:t>
      </w:r>
      <w:r>
        <w:rPr>
          <w:rFonts w:hint="eastAsia" w:ascii="宋体" w:hAnsi="宋体"/>
          <w:bCs/>
          <w:color w:val="auto"/>
          <w:sz w:val="24"/>
          <w:highlight w:val="none"/>
        </w:rPr>
        <w:t>要求提交全部资料并对</w:t>
      </w:r>
      <w:r>
        <w:rPr>
          <w:rFonts w:hint="eastAsia" w:ascii="宋体" w:hAnsi="宋体"/>
          <w:bCs/>
          <w:color w:val="auto"/>
          <w:sz w:val="24"/>
          <w:highlight w:val="none"/>
          <w:lang w:eastAsia="zh-CN"/>
        </w:rPr>
        <w:t>采购文件</w:t>
      </w:r>
      <w:r>
        <w:rPr>
          <w:rFonts w:hint="eastAsia" w:ascii="宋体" w:hAnsi="宋体"/>
          <w:bCs/>
          <w:color w:val="auto"/>
          <w:sz w:val="24"/>
          <w:highlight w:val="none"/>
        </w:rPr>
        <w:t>各项内容作出实质性响应，否则投标无效。</w:t>
      </w:r>
    </w:p>
    <w:p>
      <w:pPr>
        <w:keepNext w:val="0"/>
        <w:keepLines w:val="0"/>
        <w:pageBreakBefore w:val="0"/>
        <w:numPr>
          <w:ilvl w:val="0"/>
          <w:numId w:val="2"/>
        </w:numPr>
        <w:tabs>
          <w:tab w:val="left" w:pos="0"/>
          <w:tab w:val="left" w:pos="525"/>
          <w:tab w:val="left" w:pos="1050"/>
        </w:tabs>
        <w:kinsoku/>
        <w:wordWrap/>
        <w:overflowPunct/>
        <w:topLinePunct w:val="0"/>
        <w:autoSpaceDE/>
        <w:autoSpaceDN/>
        <w:bidi w:val="0"/>
        <w:adjustRightInd w:val="0"/>
        <w:snapToGrid w:val="0"/>
        <w:spacing w:line="360" w:lineRule="auto"/>
        <w:ind w:left="0" w:firstLine="628" w:firstLineChars="262"/>
        <w:textAlignment w:val="auto"/>
        <w:rPr>
          <w:rFonts w:hint="eastAsia" w:ascii="宋体" w:hAnsi="宋体"/>
          <w:bCs/>
          <w:color w:val="auto"/>
          <w:sz w:val="24"/>
          <w:highlight w:val="none"/>
        </w:rPr>
      </w:pPr>
      <w:r>
        <w:rPr>
          <w:rFonts w:hint="eastAsia" w:ascii="宋体" w:hAnsi="宋体"/>
          <w:bCs/>
          <w:color w:val="auto"/>
          <w:sz w:val="24"/>
          <w:highlight w:val="none"/>
        </w:rPr>
        <w:t>投标供应商一旦参加本项目投标，即表明承诺接受了本</w:t>
      </w:r>
      <w:r>
        <w:rPr>
          <w:rFonts w:hint="eastAsia" w:ascii="宋体" w:hAnsi="宋体"/>
          <w:bCs/>
          <w:color w:val="auto"/>
          <w:sz w:val="24"/>
          <w:highlight w:val="none"/>
          <w:lang w:eastAsia="zh-CN"/>
        </w:rPr>
        <w:t>采购文件</w:t>
      </w:r>
      <w:r>
        <w:rPr>
          <w:rFonts w:hint="eastAsia" w:ascii="宋体" w:hAnsi="宋体"/>
          <w:bCs/>
          <w:color w:val="auto"/>
          <w:sz w:val="24"/>
          <w:highlight w:val="none"/>
        </w:rPr>
        <w:t>中的所有条件和规定。</w:t>
      </w:r>
    </w:p>
    <w:p>
      <w:pPr>
        <w:keepNext w:val="0"/>
        <w:keepLines w:val="0"/>
        <w:pageBreakBefore w:val="0"/>
        <w:numPr>
          <w:ilvl w:val="0"/>
          <w:numId w:val="2"/>
        </w:numPr>
        <w:tabs>
          <w:tab w:val="left" w:pos="0"/>
          <w:tab w:val="left" w:pos="525"/>
          <w:tab w:val="left" w:pos="1050"/>
        </w:tabs>
        <w:kinsoku/>
        <w:wordWrap/>
        <w:overflowPunct/>
        <w:topLinePunct w:val="0"/>
        <w:autoSpaceDE/>
        <w:autoSpaceDN/>
        <w:bidi w:val="0"/>
        <w:adjustRightInd w:val="0"/>
        <w:snapToGrid w:val="0"/>
        <w:spacing w:line="360" w:lineRule="auto"/>
        <w:ind w:left="0" w:firstLine="628" w:firstLineChars="262"/>
        <w:textAlignment w:val="auto"/>
        <w:rPr>
          <w:rFonts w:ascii="宋体" w:hAnsi="宋体"/>
          <w:sz w:val="24"/>
        </w:rPr>
      </w:pPr>
      <w:r>
        <w:rPr>
          <w:rFonts w:hint="eastAsia" w:ascii="宋体" w:hAnsi="宋体"/>
          <w:bCs/>
          <w:color w:val="auto"/>
          <w:sz w:val="24"/>
          <w:highlight w:val="none"/>
          <w:lang w:eastAsia="zh-CN"/>
        </w:rPr>
        <w:t>采购文件</w:t>
      </w:r>
      <w:r>
        <w:rPr>
          <w:rFonts w:hint="eastAsia" w:ascii="宋体" w:hAnsi="宋体"/>
          <w:bCs/>
          <w:color w:val="auto"/>
          <w:sz w:val="24"/>
          <w:highlight w:val="none"/>
        </w:rPr>
        <w:t>仅作为本次招投标使用。</w:t>
      </w:r>
    </w:p>
    <w:p>
      <w:pPr>
        <w:spacing w:line="360" w:lineRule="auto"/>
        <w:ind w:firstLine="240" w:firstLineChars="100"/>
        <w:outlineLvl w:val="0"/>
        <w:rPr>
          <w:rFonts w:ascii="黑体" w:hAnsi="宋体" w:eastAsia="黑体"/>
          <w:sz w:val="24"/>
        </w:rPr>
      </w:pPr>
      <w:r>
        <w:rPr>
          <w:rFonts w:hint="eastAsia" w:ascii="黑体" w:hAnsi="宋体" w:eastAsia="黑体"/>
          <w:sz w:val="24"/>
        </w:rPr>
        <w:t>（三）采购文件的解释：</w:t>
      </w:r>
    </w:p>
    <w:p>
      <w:pPr>
        <w:keepNext w:val="0"/>
        <w:keepLines w:val="0"/>
        <w:pageBreakBefore w:val="0"/>
        <w:numPr>
          <w:ilvl w:val="0"/>
          <w:numId w:val="0"/>
        </w:numPr>
        <w:tabs>
          <w:tab w:val="left" w:pos="525"/>
          <w:tab w:val="left" w:pos="105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投标供应商如需要对</w:t>
      </w:r>
      <w:r>
        <w:rPr>
          <w:rFonts w:hint="eastAsia" w:ascii="宋体" w:hAnsi="宋体"/>
          <w:bCs/>
          <w:color w:val="auto"/>
          <w:sz w:val="24"/>
          <w:highlight w:val="none"/>
          <w:lang w:eastAsia="zh-CN"/>
        </w:rPr>
        <w:t>采购文件</w:t>
      </w:r>
      <w:r>
        <w:rPr>
          <w:rFonts w:hint="eastAsia" w:ascii="宋体" w:hAnsi="宋体"/>
          <w:bCs/>
          <w:color w:val="auto"/>
          <w:sz w:val="24"/>
          <w:highlight w:val="none"/>
        </w:rPr>
        <w:t>要求澄清的问题，</w:t>
      </w:r>
      <w:r>
        <w:rPr>
          <w:rFonts w:hint="eastAsia" w:ascii="宋体" w:hAnsi="宋体"/>
          <w:color w:val="auto"/>
          <w:sz w:val="24"/>
          <w:highlight w:val="none"/>
        </w:rPr>
        <w:t>请以书面提出，并按“投标邀请函”第</w:t>
      </w:r>
      <w:r>
        <w:rPr>
          <w:rFonts w:hint="eastAsia" w:ascii="宋体" w:hAnsi="宋体"/>
          <w:color w:val="auto"/>
          <w:sz w:val="24"/>
          <w:highlight w:val="none"/>
          <w:lang w:val="en-US" w:eastAsia="zh-CN"/>
        </w:rPr>
        <w:t>6</w:t>
      </w:r>
      <w:r>
        <w:rPr>
          <w:rFonts w:hint="eastAsia" w:ascii="宋体" w:hAnsi="宋体"/>
          <w:color w:val="auto"/>
          <w:sz w:val="24"/>
          <w:highlight w:val="none"/>
        </w:rPr>
        <w:t>项规定的时间将电子邮件及书面文件传真（两种形式均须发送）至</w:t>
      </w:r>
      <w:r>
        <w:rPr>
          <w:rFonts w:hint="eastAsia" w:ascii="宋体" w:hAnsi="宋体"/>
          <w:bCs/>
          <w:color w:val="auto"/>
          <w:sz w:val="24"/>
          <w:highlight w:val="none"/>
          <w:lang w:eastAsia="zh-CN"/>
        </w:rPr>
        <w:t>江苏博智工程咨询有限公司</w:t>
      </w:r>
      <w:r>
        <w:rPr>
          <w:rFonts w:hint="eastAsia" w:ascii="宋体" w:hAnsi="宋体"/>
          <w:bCs/>
          <w:color w:val="auto"/>
          <w:sz w:val="24"/>
          <w:highlight w:val="none"/>
        </w:rPr>
        <w:t>。</w:t>
      </w:r>
    </w:p>
    <w:p>
      <w:pPr>
        <w:keepNext w:val="0"/>
        <w:keepLines w:val="0"/>
        <w:pageBreakBefore w:val="0"/>
        <w:tabs>
          <w:tab w:val="left" w:pos="525"/>
          <w:tab w:val="left" w:pos="105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E-mail：</w:t>
      </w:r>
      <w:r>
        <w:rPr>
          <w:rFonts w:hint="eastAsia" w:ascii="宋体" w:hAnsi="宋体"/>
          <w:bCs/>
          <w:color w:val="auto"/>
          <w:sz w:val="24"/>
          <w:highlight w:val="none"/>
          <w:lang w:val="en-US" w:eastAsia="zh-CN"/>
        </w:rPr>
        <w:t>2463450259@qq.com</w:t>
      </w:r>
      <w:r>
        <w:rPr>
          <w:rFonts w:hint="eastAsia" w:ascii="宋体" w:hAnsi="宋体"/>
          <w:bCs/>
          <w:color w:val="auto"/>
          <w:sz w:val="24"/>
          <w:highlight w:val="none"/>
        </w:rPr>
        <w:t xml:space="preserve"> </w:t>
      </w:r>
      <w:r>
        <w:rPr>
          <w:rFonts w:hint="eastAsia" w:ascii="宋体" w:hAnsi="宋体"/>
          <w:bCs/>
          <w:color w:val="auto"/>
          <w:sz w:val="24"/>
          <w:highlight w:val="none"/>
        </w:rPr>
        <w:tab/>
      </w:r>
      <w:r>
        <w:rPr>
          <w:rFonts w:hint="eastAsia" w:ascii="宋体" w:hAnsi="宋体"/>
          <w:bCs/>
          <w:color w:val="auto"/>
          <w:sz w:val="24"/>
          <w:highlight w:val="none"/>
        </w:rPr>
        <w:t>传真：0510-</w:t>
      </w:r>
      <w:r>
        <w:rPr>
          <w:rFonts w:hint="eastAsia" w:ascii="宋体" w:hAnsi="宋体"/>
          <w:bCs/>
          <w:color w:val="auto"/>
          <w:sz w:val="24"/>
          <w:highlight w:val="none"/>
          <w:lang w:val="en-US" w:eastAsia="zh-CN"/>
        </w:rPr>
        <w:t>82820918</w:t>
      </w:r>
    </w:p>
    <w:p>
      <w:pPr>
        <w:keepNext w:val="0"/>
        <w:keepLines w:val="0"/>
        <w:pageBreakBefore w:val="0"/>
        <w:numPr>
          <w:ilvl w:val="0"/>
          <w:numId w:val="0"/>
        </w:numPr>
        <w:tabs>
          <w:tab w:val="left" w:pos="525"/>
          <w:tab w:val="left" w:pos="1050"/>
        </w:tabs>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采购人、</w:t>
      </w:r>
      <w:r>
        <w:rPr>
          <w:rFonts w:hint="eastAsia" w:ascii="宋体" w:hAnsi="宋体"/>
          <w:bCs/>
          <w:color w:val="auto"/>
          <w:sz w:val="24"/>
          <w:highlight w:val="none"/>
          <w:lang w:eastAsia="zh-CN"/>
        </w:rPr>
        <w:t>江苏博智工程咨询有限公司</w:t>
      </w:r>
      <w:r>
        <w:rPr>
          <w:rFonts w:hint="eastAsia" w:ascii="宋体" w:hAnsi="宋体"/>
          <w:color w:val="auto"/>
          <w:sz w:val="24"/>
          <w:highlight w:val="none"/>
        </w:rPr>
        <w:t>将按“投标邀请函”第</w:t>
      </w:r>
      <w:r>
        <w:rPr>
          <w:rFonts w:hint="eastAsia" w:ascii="宋体" w:hAnsi="宋体"/>
          <w:color w:val="auto"/>
          <w:sz w:val="24"/>
          <w:highlight w:val="none"/>
          <w:lang w:val="en-US" w:eastAsia="zh-CN"/>
        </w:rPr>
        <w:t>6</w:t>
      </w:r>
      <w:r>
        <w:rPr>
          <w:rFonts w:hint="eastAsia" w:ascii="宋体" w:hAnsi="宋体"/>
          <w:color w:val="auto"/>
          <w:sz w:val="24"/>
          <w:highlight w:val="none"/>
        </w:rPr>
        <w:t>项规定的时间对投标供应商针对</w:t>
      </w:r>
      <w:r>
        <w:rPr>
          <w:rFonts w:hint="eastAsia" w:ascii="宋体" w:hAnsi="宋体"/>
          <w:color w:val="auto"/>
          <w:sz w:val="24"/>
          <w:highlight w:val="none"/>
          <w:lang w:eastAsia="zh-CN"/>
        </w:rPr>
        <w:t>采购文件</w:t>
      </w:r>
      <w:r>
        <w:rPr>
          <w:rFonts w:hint="eastAsia" w:ascii="宋体" w:hAnsi="宋体"/>
          <w:color w:val="auto"/>
          <w:sz w:val="24"/>
          <w:highlight w:val="none"/>
        </w:rPr>
        <w:t>书面提出的要求澄清的问题进行书面答疑</w:t>
      </w:r>
      <w:r>
        <w:rPr>
          <w:rFonts w:hint="eastAsia" w:ascii="宋体" w:hAnsi="宋体"/>
          <w:bCs/>
          <w:color w:val="auto"/>
          <w:sz w:val="24"/>
          <w:highlight w:val="none"/>
        </w:rPr>
        <w:t>。</w:t>
      </w:r>
    </w:p>
    <w:p>
      <w:pPr>
        <w:spacing w:line="360" w:lineRule="auto"/>
        <w:ind w:firstLine="480" w:firstLineChars="200"/>
        <w:outlineLvl w:val="0"/>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本文件的最终解释权归采购人。</w:t>
      </w:r>
    </w:p>
    <w:p>
      <w:pPr>
        <w:spacing w:line="360" w:lineRule="auto"/>
        <w:ind w:firstLine="240" w:firstLineChars="100"/>
        <w:outlineLvl w:val="0"/>
        <w:rPr>
          <w:rFonts w:ascii="黑体" w:hAnsi="宋体" w:eastAsia="黑体"/>
          <w:sz w:val="24"/>
        </w:rPr>
      </w:pPr>
      <w:r>
        <w:rPr>
          <w:rFonts w:hint="eastAsia" w:ascii="黑体" w:hAnsi="宋体" w:eastAsia="黑体"/>
          <w:sz w:val="24"/>
        </w:rPr>
        <w:t>（四）采购文件的补充或修正：</w:t>
      </w:r>
    </w:p>
    <w:p>
      <w:pPr>
        <w:keepNext w:val="0"/>
        <w:keepLines w:val="0"/>
        <w:pageBreakBefore w:val="0"/>
        <w:numPr>
          <w:ilvl w:val="0"/>
          <w:numId w:val="3"/>
        </w:numPr>
        <w:tabs>
          <w:tab w:val="left" w:pos="525"/>
          <w:tab w:val="left" w:pos="1050"/>
        </w:tabs>
        <w:kinsoku/>
        <w:wordWrap/>
        <w:overflowPunct/>
        <w:topLinePunct w:val="0"/>
        <w:autoSpaceDE/>
        <w:autoSpaceDN/>
        <w:bidi w:val="0"/>
        <w:adjustRightInd w:val="0"/>
        <w:snapToGrid w:val="0"/>
        <w:spacing w:line="360" w:lineRule="auto"/>
        <w:textAlignment w:val="auto"/>
        <w:rPr>
          <w:rFonts w:hint="eastAsia" w:ascii="宋体" w:hAnsi="宋体"/>
          <w:bCs/>
          <w:color w:val="auto"/>
          <w:sz w:val="24"/>
          <w:highlight w:val="none"/>
        </w:rPr>
      </w:pPr>
      <w:r>
        <w:rPr>
          <w:rFonts w:hint="eastAsia"/>
          <w:bCs/>
          <w:color w:val="auto"/>
          <w:sz w:val="24"/>
          <w:highlight w:val="none"/>
        </w:rPr>
        <w:t>采购人</w:t>
      </w:r>
      <w:r>
        <w:rPr>
          <w:bCs/>
          <w:color w:val="auto"/>
          <w:sz w:val="24"/>
          <w:highlight w:val="none"/>
        </w:rPr>
        <w:t>或者采购代理机构可以对已发出的采购文件进行必要的澄清或者修改，</w:t>
      </w:r>
      <w:r>
        <w:rPr>
          <w:color w:val="auto"/>
          <w:sz w:val="24"/>
          <w:highlight w:val="none"/>
          <w:shd w:val="clear" w:color="auto" w:fill="FFFFFF"/>
        </w:rPr>
        <w:t>但不得改变采购标的和资格条件。</w:t>
      </w:r>
      <w:r>
        <w:rPr>
          <w:bCs/>
          <w:color w:val="auto"/>
          <w:sz w:val="24"/>
          <w:highlight w:val="none"/>
        </w:rPr>
        <w:t>如需对采购文件进行澄清或修正，</w:t>
      </w:r>
      <w:r>
        <w:rPr>
          <w:rFonts w:hint="eastAsia" w:ascii="宋体" w:hAnsi="宋体"/>
          <w:bCs/>
          <w:color w:val="auto"/>
          <w:sz w:val="24"/>
          <w:highlight w:val="none"/>
          <w:lang w:eastAsia="zh-CN"/>
        </w:rPr>
        <w:t>江苏博智工程咨询有限公司</w:t>
      </w:r>
      <w:r>
        <w:rPr>
          <w:bCs/>
          <w:color w:val="auto"/>
          <w:sz w:val="24"/>
          <w:highlight w:val="none"/>
        </w:rPr>
        <w:t>将在财政部门指定的政府采购信息发布媒体上（无锡政府采购网、江苏政府采购网）发布更正公告并书面通知已报名单位，该澄清或修正的内容为采购文件的组成部分。投标供应商应在投标截止时间前关注原招标公告媒体上发布的相关更正公告。请采购文件的收受人下载此更正公告后，于投标截止日前书面回函（传真件）</w:t>
      </w:r>
      <w:r>
        <w:rPr>
          <w:rFonts w:hint="eastAsia" w:ascii="宋体" w:hAnsi="宋体"/>
          <w:bCs/>
          <w:color w:val="auto"/>
          <w:sz w:val="24"/>
          <w:highlight w:val="none"/>
          <w:lang w:eastAsia="zh-CN"/>
        </w:rPr>
        <w:t>江苏博智工程咨询有限公司</w:t>
      </w:r>
      <w:r>
        <w:rPr>
          <w:bCs/>
          <w:color w:val="auto"/>
          <w:sz w:val="24"/>
          <w:highlight w:val="none"/>
        </w:rPr>
        <w:t>，逾期不回视同收到此公告。澄清或者修改的内容为采购文件的组成部分</w:t>
      </w:r>
      <w:r>
        <w:rPr>
          <w:rFonts w:hint="eastAsia"/>
          <w:bCs/>
          <w:color w:val="auto"/>
          <w:sz w:val="24"/>
          <w:highlight w:val="none"/>
        </w:rPr>
        <w:t>。</w:t>
      </w:r>
    </w:p>
    <w:p>
      <w:pPr>
        <w:spacing w:line="360" w:lineRule="auto"/>
        <w:ind w:firstLine="480" w:firstLineChars="200"/>
        <w:rPr>
          <w:rFonts w:ascii="宋体" w:hAnsi="宋体"/>
          <w:sz w:val="24"/>
        </w:rPr>
      </w:pPr>
      <w:r>
        <w:rPr>
          <w:rFonts w:hint="eastAsia"/>
          <w:bCs/>
          <w:color w:val="auto"/>
          <w:sz w:val="24"/>
          <w:highlight w:val="none"/>
          <w:lang w:val="en-US" w:eastAsia="zh-CN"/>
        </w:rPr>
        <w:t>2.</w:t>
      </w:r>
      <w:r>
        <w:rPr>
          <w:bCs/>
          <w:color w:val="auto"/>
          <w:sz w:val="24"/>
          <w:highlight w:val="none"/>
        </w:rPr>
        <w:t>澄清或者修改的内容可能影响投标文件编制的，采购人或者采购代理机构将在投标截止时间至少15日前，以书面形式通知所有获取采购文件的潜在</w:t>
      </w:r>
      <w:r>
        <w:rPr>
          <w:rFonts w:hint="eastAsia"/>
          <w:bCs/>
          <w:color w:val="auto"/>
          <w:sz w:val="24"/>
          <w:highlight w:val="none"/>
        </w:rPr>
        <w:t>投标供应商</w:t>
      </w:r>
      <w:r>
        <w:rPr>
          <w:bCs/>
          <w:color w:val="auto"/>
          <w:sz w:val="24"/>
          <w:highlight w:val="none"/>
        </w:rPr>
        <w:t>；不</w:t>
      </w:r>
      <w:r>
        <w:rPr>
          <w:rFonts w:hint="eastAsia"/>
          <w:bCs/>
          <w:color w:val="auto"/>
          <w:sz w:val="24"/>
          <w:highlight w:val="none"/>
        </w:rPr>
        <w:t>足15日的，采购人或者采购代理机构将顺延提交投标文件的截止时间。</w:t>
      </w:r>
    </w:p>
    <w:p>
      <w:pPr>
        <w:spacing w:line="360" w:lineRule="auto"/>
        <w:ind w:firstLine="240" w:firstLineChars="100"/>
        <w:outlineLvl w:val="0"/>
        <w:rPr>
          <w:rFonts w:ascii="黑体" w:hAnsi="宋体" w:eastAsia="黑体"/>
          <w:sz w:val="24"/>
        </w:rPr>
      </w:pPr>
      <w:r>
        <w:rPr>
          <w:rFonts w:hint="eastAsia" w:ascii="黑体" w:hAnsi="宋体" w:eastAsia="黑体"/>
          <w:sz w:val="24"/>
        </w:rPr>
        <w:t>（五）投标文件的组成：</w:t>
      </w:r>
    </w:p>
    <w:p>
      <w:pPr>
        <w:spacing w:line="360" w:lineRule="auto"/>
        <w:ind w:firstLine="482" w:firstLineChars="200"/>
        <w:rPr>
          <w:rFonts w:hint="eastAsia" w:ascii="宋体" w:hAnsi="宋体"/>
          <w:b/>
          <w:bCs/>
          <w:sz w:val="24"/>
        </w:rPr>
      </w:pPr>
      <w:r>
        <w:rPr>
          <w:rFonts w:hint="eastAsia" w:ascii="宋体" w:hAnsi="宋体"/>
          <w:b/>
          <w:bCs/>
          <w:sz w:val="24"/>
        </w:rPr>
        <w:t>投标文件由商务文件、技术文件组成。另附电子光盘一张。</w:t>
      </w:r>
    </w:p>
    <w:p>
      <w:pPr>
        <w:spacing w:line="360" w:lineRule="auto"/>
        <w:ind w:firstLine="482" w:firstLineChars="200"/>
        <w:rPr>
          <w:rFonts w:hint="eastAsia" w:ascii="宋体" w:hAnsi="宋体"/>
          <w:b/>
          <w:bCs/>
          <w:sz w:val="24"/>
        </w:rPr>
      </w:pPr>
      <w:r>
        <w:rPr>
          <w:rFonts w:hint="eastAsia" w:ascii="宋体" w:hAnsi="宋体"/>
          <w:b/>
          <w:bCs/>
          <w:sz w:val="24"/>
        </w:rPr>
        <w:t>1.商务文件部分包括：</w:t>
      </w:r>
    </w:p>
    <w:p>
      <w:pPr>
        <w:tabs>
          <w:tab w:val="left" w:pos="525"/>
          <w:tab w:val="left" w:pos="1050"/>
        </w:tabs>
        <w:adjustRightInd w:val="0"/>
        <w:snapToGrid w:val="0"/>
        <w:spacing w:line="360" w:lineRule="auto"/>
        <w:ind w:left="550" w:leftChars="262"/>
        <w:rPr>
          <w:rFonts w:hint="eastAsia" w:ascii="宋体" w:hAnsi="宋体"/>
          <w:bCs/>
          <w:sz w:val="24"/>
        </w:rPr>
      </w:pPr>
      <w:r>
        <w:rPr>
          <w:rFonts w:hint="eastAsia" w:ascii="宋体" w:hAnsi="宋体"/>
          <w:bCs/>
          <w:sz w:val="24"/>
        </w:rPr>
        <w:t>1）投标函（格式见附件）；</w:t>
      </w:r>
    </w:p>
    <w:p>
      <w:pPr>
        <w:tabs>
          <w:tab w:val="left" w:pos="525"/>
          <w:tab w:val="left" w:pos="1050"/>
        </w:tabs>
        <w:adjustRightInd w:val="0"/>
        <w:snapToGrid w:val="0"/>
        <w:spacing w:line="360" w:lineRule="auto"/>
        <w:ind w:left="550" w:leftChars="262"/>
        <w:rPr>
          <w:rFonts w:hint="eastAsia" w:ascii="宋体" w:hAnsi="宋体"/>
          <w:b/>
          <w:sz w:val="24"/>
        </w:rPr>
      </w:pPr>
      <w:r>
        <w:rPr>
          <w:rFonts w:hint="eastAsia" w:ascii="宋体" w:hAnsi="宋体"/>
          <w:bCs/>
          <w:sz w:val="24"/>
        </w:rPr>
        <w:t>2）证明文件：</w:t>
      </w:r>
    </w:p>
    <w:p>
      <w:pPr>
        <w:spacing w:line="360" w:lineRule="auto"/>
        <w:ind w:left="480"/>
        <w:rPr>
          <w:rFonts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资格、资信证明文件</w:t>
      </w:r>
    </w:p>
    <w:p>
      <w:pPr>
        <w:keepNext w:val="0"/>
        <w:keepLines w:val="0"/>
        <w:pageBreakBefore w:val="0"/>
        <w:widowControl w:val="0"/>
        <w:tabs>
          <w:tab w:val="left" w:pos="0"/>
        </w:tabs>
        <w:kinsoku/>
        <w:wordWrap/>
        <w:overflowPunct/>
        <w:topLinePunct w:val="0"/>
        <w:bidi w:val="0"/>
        <w:spacing w:line="360" w:lineRule="auto"/>
        <w:ind w:firstLine="600" w:firstLineChars="250"/>
        <w:textAlignment w:val="auto"/>
        <w:rPr>
          <w:rFonts w:ascii="宋体" w:hAnsi="宋体"/>
          <w:b/>
          <w:bCs/>
          <w:sz w:val="24"/>
        </w:rPr>
      </w:pPr>
      <w:r>
        <w:rPr>
          <w:rFonts w:hint="eastAsia" w:ascii="宋体" w:hAnsi="宋体"/>
          <w:sz w:val="24"/>
          <w:lang w:val="en-US" w:eastAsia="zh-CN"/>
        </w:rPr>
        <w:t>1.</w:t>
      </w:r>
      <w:r>
        <w:rPr>
          <w:rFonts w:hint="eastAsia" w:ascii="宋体" w:hAnsi="宋体"/>
          <w:sz w:val="24"/>
        </w:rPr>
        <w:t>关于资格的声明函</w:t>
      </w:r>
      <w:r>
        <w:rPr>
          <w:rFonts w:hint="eastAsia" w:ascii="宋体" w:hAnsi="宋体"/>
          <w:sz w:val="24"/>
          <w:lang w:eastAsia="zh-CN"/>
        </w:rPr>
        <w:t>；</w:t>
      </w:r>
      <w:r>
        <w:rPr>
          <w:rFonts w:hint="eastAsia" w:ascii="宋体" w:hAnsi="宋体"/>
          <w:b/>
          <w:bCs/>
          <w:sz w:val="24"/>
        </w:rPr>
        <w:t>（格式见附件）</w:t>
      </w:r>
    </w:p>
    <w:p>
      <w:pPr>
        <w:keepNext w:val="0"/>
        <w:keepLines w:val="0"/>
        <w:pageBreakBefore w:val="0"/>
        <w:widowControl w:val="0"/>
        <w:numPr>
          <w:ilvl w:val="0"/>
          <w:numId w:val="0"/>
        </w:numPr>
        <w:tabs>
          <w:tab w:val="left" w:pos="1276"/>
        </w:tabs>
        <w:kinsoku/>
        <w:wordWrap/>
        <w:overflowPunct/>
        <w:topLinePunct w:val="0"/>
        <w:autoSpaceDE/>
        <w:autoSpaceDN/>
        <w:bidi w:val="0"/>
        <w:spacing w:line="360" w:lineRule="auto"/>
        <w:ind w:firstLine="600" w:firstLineChars="250"/>
        <w:textAlignment w:val="auto"/>
        <w:rPr>
          <w:rFonts w:ascii="宋体" w:hAnsi="宋体"/>
          <w:sz w:val="24"/>
        </w:rPr>
      </w:pPr>
      <w:r>
        <w:rPr>
          <w:rFonts w:hint="eastAsia" w:ascii="宋体" w:hAnsi="宋体"/>
          <w:sz w:val="24"/>
          <w:lang w:val="en-US" w:eastAsia="zh-CN"/>
        </w:rPr>
        <w:t>2.</w:t>
      </w:r>
      <w:r>
        <w:rPr>
          <w:rFonts w:hint="eastAsia" w:ascii="宋体" w:hAnsi="宋体"/>
          <w:bCs/>
          <w:color w:val="auto"/>
          <w:sz w:val="24"/>
          <w:highlight w:val="none"/>
          <w:lang w:val="en-US" w:eastAsia="zh-CN"/>
        </w:rPr>
        <w:t>法人或者其他组织提供具有独立承担民事责任能力的投标供应商营业执照副本或相关部门的登记证明文件复印件、税务登记证复印件（注：已办理三证合一的，可提供三证合一后的营业执照副本）；自然人提供自然人的身份证明</w:t>
      </w:r>
      <w:r>
        <w:rPr>
          <w:rFonts w:hint="eastAsia" w:ascii="宋体" w:hAnsi="宋体"/>
          <w:bCs/>
          <w:color w:val="auto"/>
          <w:sz w:val="24"/>
          <w:highlight w:val="none"/>
        </w:rPr>
        <w:t>；</w:t>
      </w:r>
      <w:r>
        <w:rPr>
          <w:rFonts w:hint="eastAsia" w:ascii="宋体" w:hAnsi="宋体"/>
          <w:b/>
          <w:color w:val="auto"/>
          <w:sz w:val="24"/>
          <w:highlight w:val="none"/>
        </w:rPr>
        <w:t>（投标时提供原件或公证件）</w:t>
      </w:r>
    </w:p>
    <w:p>
      <w:pPr>
        <w:keepNext w:val="0"/>
        <w:keepLines w:val="0"/>
        <w:pageBreakBefore w:val="0"/>
        <w:widowControl w:val="0"/>
        <w:tabs>
          <w:tab w:val="left" w:pos="0"/>
        </w:tabs>
        <w:kinsoku/>
        <w:wordWrap/>
        <w:overflowPunct/>
        <w:topLinePunct w:val="0"/>
        <w:bidi w:val="0"/>
        <w:spacing w:line="360" w:lineRule="auto"/>
        <w:ind w:left="4" w:leftChars="2" w:firstLine="540" w:firstLineChars="225"/>
        <w:textAlignment w:val="auto"/>
        <w:rPr>
          <w:rFonts w:ascii="宋体" w:hAnsi="宋体"/>
          <w:sz w:val="24"/>
        </w:rPr>
      </w:pPr>
      <w:r>
        <w:rPr>
          <w:rFonts w:hint="eastAsia" w:ascii="宋体" w:hAnsi="宋体"/>
          <w:sz w:val="24"/>
          <w:lang w:val="en-US" w:eastAsia="zh-CN"/>
        </w:rPr>
        <w:t>3.</w:t>
      </w:r>
      <w:r>
        <w:rPr>
          <w:rFonts w:hint="eastAsia" w:ascii="宋体" w:hAnsi="宋体"/>
          <w:sz w:val="24"/>
        </w:rPr>
        <w:t>投标供应商法定代表人授权委托书</w:t>
      </w:r>
      <w:r>
        <w:rPr>
          <w:rFonts w:hint="eastAsia" w:ascii="宋体" w:hAnsi="宋体"/>
          <w:sz w:val="24"/>
          <w:lang w:eastAsia="zh-CN"/>
        </w:rPr>
        <w:t>；</w:t>
      </w:r>
      <w:r>
        <w:rPr>
          <w:rFonts w:hint="eastAsia" w:ascii="宋体" w:hAnsi="宋体"/>
          <w:b/>
          <w:bCs/>
          <w:sz w:val="24"/>
        </w:rPr>
        <w:t>（格式见附件）</w:t>
      </w:r>
    </w:p>
    <w:p>
      <w:pPr>
        <w:keepNext w:val="0"/>
        <w:keepLines w:val="0"/>
        <w:pageBreakBefore w:val="0"/>
        <w:widowControl w:val="0"/>
        <w:tabs>
          <w:tab w:val="left" w:pos="0"/>
        </w:tabs>
        <w:kinsoku/>
        <w:wordWrap/>
        <w:overflowPunct/>
        <w:topLinePunct w:val="0"/>
        <w:bidi w:val="0"/>
        <w:spacing w:line="360" w:lineRule="auto"/>
        <w:ind w:left="4" w:leftChars="2" w:firstLine="540" w:firstLineChars="225"/>
        <w:textAlignment w:val="auto"/>
        <w:rPr>
          <w:rFonts w:ascii="宋体" w:hAnsi="宋体"/>
          <w:b/>
          <w:bCs/>
          <w:sz w:val="24"/>
        </w:rPr>
      </w:pPr>
      <w:r>
        <w:rPr>
          <w:rFonts w:hint="eastAsia" w:ascii="宋体" w:hAnsi="宋体"/>
          <w:sz w:val="24"/>
          <w:lang w:val="en-US" w:eastAsia="zh-CN"/>
        </w:rPr>
        <w:t>4.</w:t>
      </w:r>
      <w:r>
        <w:rPr>
          <w:rFonts w:hint="eastAsia" w:ascii="宋体" w:hAnsi="宋体"/>
          <w:sz w:val="24"/>
        </w:rPr>
        <w:t>投标供应商法定代表人身份证复印件及法定代表人授权代表身份证复印件</w:t>
      </w:r>
      <w:r>
        <w:rPr>
          <w:rFonts w:hint="eastAsia" w:ascii="宋体" w:hAnsi="宋体"/>
          <w:sz w:val="24"/>
          <w:lang w:eastAsia="zh-CN"/>
        </w:rPr>
        <w:t>；</w:t>
      </w:r>
      <w:r>
        <w:rPr>
          <w:rFonts w:hint="eastAsia" w:ascii="宋体" w:hAnsi="宋体"/>
          <w:color w:val="auto"/>
          <w:sz w:val="24"/>
          <w:highlight w:val="none"/>
        </w:rPr>
        <w:t>（</w:t>
      </w:r>
      <w:r>
        <w:rPr>
          <w:rFonts w:hint="eastAsia" w:ascii="宋体" w:hAnsi="宋体"/>
          <w:b/>
          <w:bCs/>
          <w:color w:val="auto"/>
          <w:sz w:val="24"/>
          <w:highlight w:val="none"/>
        </w:rPr>
        <w:t>投标时必须携带参加开标会议的法定代表人或法定代表人授权代表有效身份证明原件</w:t>
      </w:r>
      <w:r>
        <w:rPr>
          <w:rFonts w:hint="eastAsia" w:ascii="宋体" w:hAnsi="宋体"/>
          <w:color w:val="auto"/>
          <w:sz w:val="24"/>
          <w:highlight w:val="none"/>
        </w:rPr>
        <w:t>）</w:t>
      </w:r>
    </w:p>
    <w:p>
      <w:pPr>
        <w:keepNext w:val="0"/>
        <w:keepLines w:val="0"/>
        <w:pageBreakBefore w:val="0"/>
        <w:widowControl w:val="0"/>
        <w:tabs>
          <w:tab w:val="left" w:pos="180"/>
        </w:tabs>
        <w:kinsoku/>
        <w:wordWrap/>
        <w:overflowPunct/>
        <w:topLinePunct w:val="0"/>
        <w:autoSpaceDE w:val="0"/>
        <w:autoSpaceDN w:val="0"/>
        <w:bidi w:val="0"/>
        <w:adjustRightInd w:val="0"/>
        <w:spacing w:line="360" w:lineRule="auto"/>
        <w:ind w:firstLine="480" w:firstLineChars="200"/>
        <w:textAlignment w:val="auto"/>
        <w:rPr>
          <w:rFonts w:hint="eastAsia"/>
          <w:b/>
          <w:bCs/>
          <w:sz w:val="24"/>
        </w:rPr>
      </w:pPr>
      <w:r>
        <w:rPr>
          <w:rFonts w:hint="eastAsia" w:ascii="宋体" w:hAnsi="宋体" w:cs="宋体"/>
          <w:sz w:val="24"/>
          <w:lang w:val="en-US" w:eastAsia="zh-CN"/>
        </w:rPr>
        <w:t>5.</w:t>
      </w:r>
      <w:r>
        <w:rPr>
          <w:rFonts w:hint="eastAsia" w:ascii="宋体" w:hAnsi="宋体"/>
          <w:sz w:val="24"/>
        </w:rPr>
        <w:t>供应商有效期内园林绿化管理部门颁发的绿化信用管理手册复印件加盖公章</w:t>
      </w:r>
      <w:r>
        <w:rPr>
          <w:rFonts w:hint="eastAsia" w:ascii="宋体" w:hAnsi="宋体"/>
          <w:bCs/>
          <w:sz w:val="24"/>
          <w:highlight w:val="none"/>
          <w:lang w:eastAsia="zh-CN"/>
        </w:rPr>
        <w:t>；</w:t>
      </w:r>
      <w:r>
        <w:rPr>
          <w:rFonts w:hint="eastAsia" w:ascii="宋体" w:hAnsi="宋体"/>
          <w:b/>
          <w:sz w:val="24"/>
        </w:rPr>
        <w:t>（投标时</w:t>
      </w:r>
      <w:r>
        <w:rPr>
          <w:rFonts w:hint="eastAsia" w:ascii="宋体" w:hAnsi="宋体"/>
          <w:b/>
          <w:bCs/>
          <w:sz w:val="24"/>
        </w:rPr>
        <w:t>提交</w:t>
      </w:r>
      <w:r>
        <w:rPr>
          <w:rFonts w:hint="eastAsia" w:ascii="宋体" w:hAnsi="宋体"/>
          <w:b/>
          <w:sz w:val="24"/>
        </w:rPr>
        <w:t>原件或公证件）</w:t>
      </w:r>
      <w:r>
        <w:rPr>
          <w:rFonts w:hint="eastAsia" w:ascii="宋体" w:hAnsi="宋体"/>
          <w:sz w:val="24"/>
        </w:rPr>
        <w:t xml:space="preserve"> </w:t>
      </w:r>
    </w:p>
    <w:p>
      <w:pPr>
        <w:keepNext w:val="0"/>
        <w:keepLines w:val="0"/>
        <w:pageBreakBefore w:val="0"/>
        <w:widowControl w:val="0"/>
        <w:numPr>
          <w:ilvl w:val="0"/>
          <w:numId w:val="0"/>
        </w:numPr>
        <w:tabs>
          <w:tab w:val="left" w:pos="360"/>
          <w:tab w:val="left" w:pos="600"/>
        </w:tabs>
        <w:kinsoku/>
        <w:wordWrap/>
        <w:overflowPunct/>
        <w:topLinePunct w:val="0"/>
        <w:autoSpaceDE/>
        <w:autoSpaceDN/>
        <w:bidi w:val="0"/>
        <w:spacing w:line="360" w:lineRule="auto"/>
        <w:ind w:leftChars="0" w:firstLine="480" w:firstLineChars="200"/>
        <w:textAlignment w:val="auto"/>
        <w:rPr>
          <w:rFonts w:hint="eastAsia" w:ascii="宋体" w:hAnsi="宋体"/>
          <w:bCs/>
          <w:color w:val="auto"/>
          <w:sz w:val="24"/>
          <w:highlight w:val="none"/>
        </w:rPr>
      </w:pPr>
      <w:r>
        <w:rPr>
          <w:rFonts w:hint="eastAsia" w:ascii="宋体" w:hAnsi="宋体"/>
          <w:sz w:val="24"/>
          <w:lang w:val="en-US" w:eastAsia="zh-CN"/>
        </w:rPr>
        <w:t>6.</w:t>
      </w:r>
      <w:r>
        <w:rPr>
          <w:rFonts w:hint="eastAsia" w:ascii="宋体" w:hAnsi="宋体"/>
          <w:sz w:val="24"/>
        </w:rPr>
        <w:t>投标供应商基本账户的开户许可证（或网上打印基本存款信息）复印件及投标保证金汇款（进账）凭证复印件并加盖公章；</w:t>
      </w:r>
      <w:r>
        <w:rPr>
          <w:rFonts w:hint="eastAsia" w:ascii="宋体" w:hAnsi="宋体"/>
          <w:b/>
          <w:sz w:val="24"/>
        </w:rPr>
        <w:t>（1.投标时携带原件备查；2.投标时提供投标担保函的报价供应商除外，投标时提供投标担保函的投标供应商须按照采购文件投标担保的相关规定执行）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bCs/>
          <w:color w:val="auto"/>
          <w:sz w:val="24"/>
          <w:highlight w:val="none"/>
        </w:rPr>
        <w:t>授权</w:t>
      </w:r>
      <w:r>
        <w:rPr>
          <w:rFonts w:hint="eastAsia" w:ascii="宋体" w:hAnsi="宋体"/>
          <w:bCs/>
          <w:color w:val="auto"/>
          <w:sz w:val="24"/>
          <w:highlight w:val="none"/>
          <w:lang w:val="en-US" w:eastAsia="zh-CN"/>
        </w:rPr>
        <w:t>委托人</w:t>
      </w:r>
      <w:r>
        <w:rPr>
          <w:rFonts w:hint="eastAsia" w:ascii="宋体" w:hAnsi="宋体"/>
          <w:bCs/>
          <w:color w:val="auto"/>
          <w:sz w:val="24"/>
          <w:highlight w:val="none"/>
          <w:lang w:eastAsia="zh-CN"/>
        </w:rPr>
        <w:t>和</w:t>
      </w:r>
      <w:r>
        <w:rPr>
          <w:rFonts w:hint="eastAsia" w:ascii="宋体" w:hAnsi="宋体"/>
          <w:bCs/>
          <w:color w:val="auto"/>
          <w:sz w:val="24"/>
          <w:highlight w:val="none"/>
        </w:rPr>
        <w:t>项目负责人与本企业签订的劳动合同和《职工养老保险手册》（内附</w:t>
      </w:r>
      <w:r>
        <w:rPr>
          <w:rFonts w:hint="eastAsia" w:ascii="宋体" w:hAnsi="宋体"/>
          <w:bCs/>
          <w:color w:val="auto"/>
          <w:sz w:val="24"/>
          <w:highlight w:val="none"/>
          <w:lang w:eastAsia="zh-CN"/>
        </w:rPr>
        <w:t>201</w:t>
      </w:r>
      <w:r>
        <w:rPr>
          <w:rFonts w:hint="eastAsia" w:ascii="宋体" w:hAnsi="宋体"/>
          <w:bCs/>
          <w:color w:val="auto"/>
          <w:sz w:val="24"/>
          <w:highlight w:val="none"/>
          <w:lang w:val="en-US" w:eastAsia="zh-CN"/>
        </w:rPr>
        <w:t>9</w:t>
      </w:r>
      <w:r>
        <w:rPr>
          <w:rFonts w:hint="eastAsia" w:ascii="宋体" w:hAnsi="宋体"/>
          <w:bCs/>
          <w:color w:val="auto"/>
          <w:sz w:val="24"/>
          <w:highlight w:val="none"/>
          <w:lang w:eastAsia="zh-CN"/>
        </w:rPr>
        <w:t>年</w:t>
      </w:r>
      <w:r>
        <w:rPr>
          <w:rFonts w:hint="eastAsia" w:ascii="宋体" w:hAnsi="宋体"/>
          <w:bCs/>
          <w:color w:val="auto"/>
          <w:sz w:val="24"/>
          <w:highlight w:val="yellow"/>
          <w:lang w:val="en-US" w:eastAsia="zh-CN"/>
        </w:rPr>
        <w:t>5</w:t>
      </w:r>
      <w:r>
        <w:rPr>
          <w:rFonts w:hint="eastAsia" w:ascii="宋体" w:hAnsi="宋体"/>
          <w:bCs/>
          <w:color w:val="auto"/>
          <w:sz w:val="24"/>
          <w:highlight w:val="yellow"/>
          <w:lang w:eastAsia="zh-CN"/>
        </w:rPr>
        <w:t>月至2019年</w:t>
      </w:r>
      <w:r>
        <w:rPr>
          <w:rFonts w:hint="eastAsia" w:ascii="宋体" w:hAnsi="宋体"/>
          <w:bCs/>
          <w:color w:val="auto"/>
          <w:sz w:val="24"/>
          <w:highlight w:val="yellow"/>
          <w:lang w:val="en-US" w:eastAsia="zh-CN"/>
        </w:rPr>
        <w:t>10</w:t>
      </w:r>
      <w:r>
        <w:rPr>
          <w:rFonts w:hint="eastAsia" w:ascii="宋体" w:hAnsi="宋体"/>
          <w:bCs/>
          <w:color w:val="auto"/>
          <w:sz w:val="24"/>
          <w:highlight w:val="yellow"/>
          <w:lang w:eastAsia="zh-CN"/>
        </w:rPr>
        <w:t>月</w:t>
      </w:r>
      <w:r>
        <w:rPr>
          <w:rFonts w:hint="eastAsia" w:ascii="宋体" w:hAnsi="宋体"/>
          <w:bCs/>
          <w:color w:val="auto"/>
          <w:sz w:val="24"/>
          <w:highlight w:val="none"/>
        </w:rPr>
        <w:t>由社保局出具的缴费证明）或由社保机构出具的</w:t>
      </w:r>
      <w:r>
        <w:rPr>
          <w:rFonts w:hint="eastAsia" w:ascii="宋体" w:hAnsi="宋体"/>
          <w:bCs/>
          <w:color w:val="auto"/>
          <w:sz w:val="24"/>
          <w:highlight w:val="yellow"/>
          <w:lang w:eastAsia="zh-CN"/>
        </w:rPr>
        <w:t>201</w:t>
      </w:r>
      <w:r>
        <w:rPr>
          <w:rFonts w:hint="eastAsia" w:ascii="宋体" w:hAnsi="宋体"/>
          <w:bCs/>
          <w:color w:val="auto"/>
          <w:sz w:val="24"/>
          <w:highlight w:val="yellow"/>
          <w:lang w:val="en-US" w:eastAsia="zh-CN"/>
        </w:rPr>
        <w:t>9</w:t>
      </w:r>
      <w:r>
        <w:rPr>
          <w:rFonts w:hint="eastAsia" w:ascii="宋体" w:hAnsi="宋体"/>
          <w:bCs/>
          <w:color w:val="auto"/>
          <w:sz w:val="24"/>
          <w:highlight w:val="yellow"/>
          <w:lang w:eastAsia="zh-CN"/>
        </w:rPr>
        <w:t>年</w:t>
      </w:r>
      <w:r>
        <w:rPr>
          <w:rFonts w:hint="eastAsia" w:ascii="宋体" w:hAnsi="宋体"/>
          <w:bCs/>
          <w:color w:val="auto"/>
          <w:sz w:val="24"/>
          <w:highlight w:val="yellow"/>
          <w:lang w:val="en-US" w:eastAsia="zh-CN"/>
        </w:rPr>
        <w:t>5</w:t>
      </w:r>
      <w:r>
        <w:rPr>
          <w:rFonts w:hint="eastAsia" w:ascii="宋体" w:hAnsi="宋体"/>
          <w:bCs/>
          <w:color w:val="auto"/>
          <w:sz w:val="24"/>
          <w:highlight w:val="yellow"/>
          <w:lang w:eastAsia="zh-CN"/>
        </w:rPr>
        <w:t>月至2019年</w:t>
      </w:r>
      <w:r>
        <w:rPr>
          <w:rFonts w:hint="eastAsia" w:ascii="宋体" w:hAnsi="宋体"/>
          <w:bCs/>
          <w:color w:val="auto"/>
          <w:sz w:val="24"/>
          <w:highlight w:val="yellow"/>
          <w:lang w:val="en-US" w:eastAsia="zh-CN"/>
        </w:rPr>
        <w:t>10</w:t>
      </w:r>
      <w:r>
        <w:rPr>
          <w:rFonts w:hint="eastAsia" w:ascii="宋体" w:hAnsi="宋体"/>
          <w:bCs/>
          <w:color w:val="auto"/>
          <w:sz w:val="24"/>
          <w:highlight w:val="yellow"/>
          <w:lang w:eastAsia="zh-CN"/>
        </w:rPr>
        <w:t>月</w:t>
      </w:r>
      <w:r>
        <w:rPr>
          <w:rFonts w:hint="eastAsia" w:ascii="宋体" w:hAnsi="宋体"/>
          <w:bCs/>
          <w:color w:val="auto"/>
          <w:sz w:val="24"/>
          <w:highlight w:val="none"/>
        </w:rPr>
        <w:t>缴费证明复印件</w:t>
      </w:r>
      <w:bookmarkStart w:id="6" w:name="OLE_LINK18"/>
      <w:bookmarkStart w:id="7" w:name="OLE_LINK38"/>
      <w:bookmarkStart w:id="8" w:name="OLE_LINK35"/>
      <w:bookmarkStart w:id="9" w:name="OLE_LINK17"/>
      <w:r>
        <w:rPr>
          <w:rFonts w:hint="eastAsia" w:ascii="宋体" w:hAnsi="宋体"/>
          <w:bCs/>
          <w:color w:val="auto"/>
          <w:sz w:val="24"/>
          <w:highlight w:val="none"/>
          <w:lang w:eastAsia="zh-CN"/>
        </w:rPr>
        <w:t>；</w:t>
      </w:r>
      <w:r>
        <w:rPr>
          <w:rFonts w:hint="eastAsia" w:ascii="宋体" w:hAnsi="宋体"/>
          <w:color w:val="auto"/>
          <w:sz w:val="24"/>
          <w:highlight w:val="none"/>
        </w:rPr>
        <w:t>（</w:t>
      </w:r>
      <w:r>
        <w:rPr>
          <w:rFonts w:hint="eastAsia" w:ascii="宋体" w:hAnsi="宋体"/>
          <w:b/>
          <w:color w:val="auto"/>
          <w:sz w:val="24"/>
          <w:highlight w:val="none"/>
        </w:rPr>
        <w:t>投标时必须提交原件</w:t>
      </w:r>
      <w:r>
        <w:rPr>
          <w:rFonts w:hint="eastAsia" w:ascii="宋体" w:hAnsi="宋体"/>
          <w:color w:val="auto"/>
          <w:sz w:val="24"/>
          <w:highlight w:val="none"/>
        </w:rPr>
        <w:t>）</w:t>
      </w:r>
      <w:bookmarkEnd w:id="6"/>
      <w:bookmarkEnd w:id="7"/>
      <w:bookmarkEnd w:id="8"/>
      <w:bookmarkEnd w:id="9"/>
      <w:r>
        <w:rPr>
          <w:rFonts w:hint="eastAsia" w:ascii="宋体" w:hAnsi="宋体"/>
          <w:sz w:val="24"/>
        </w:rPr>
        <w:t xml:space="preserve"> </w:t>
      </w:r>
    </w:p>
    <w:p>
      <w:pPr>
        <w:keepNext w:val="0"/>
        <w:keepLines w:val="0"/>
        <w:pageBreakBefore w:val="0"/>
        <w:widowControl w:val="0"/>
        <w:numPr>
          <w:ilvl w:val="0"/>
          <w:numId w:val="0"/>
        </w:numPr>
        <w:tabs>
          <w:tab w:val="left" w:pos="1050"/>
          <w:tab w:val="left" w:pos="1200"/>
        </w:tabs>
        <w:kinsoku/>
        <w:wordWrap/>
        <w:overflowPunct/>
        <w:topLinePunct w:val="0"/>
        <w:autoSpaceDE/>
        <w:autoSpaceDN/>
        <w:bidi w:val="0"/>
        <w:snapToGrid w:val="0"/>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bCs/>
          <w:color w:val="auto"/>
          <w:sz w:val="24"/>
          <w:highlight w:val="none"/>
        </w:rPr>
        <w:t>投标供应商近三个月中任意一个月份</w:t>
      </w:r>
      <w:r>
        <w:rPr>
          <w:rFonts w:ascii="宋体" w:hAnsi="宋体"/>
          <w:bCs/>
          <w:color w:val="auto"/>
          <w:sz w:val="24"/>
          <w:highlight w:val="none"/>
        </w:rPr>
        <w:t>(</w:t>
      </w:r>
      <w:r>
        <w:rPr>
          <w:rFonts w:hint="eastAsia" w:ascii="宋体" w:hAnsi="宋体"/>
          <w:bCs/>
          <w:color w:val="auto"/>
          <w:sz w:val="24"/>
          <w:highlight w:val="none"/>
        </w:rPr>
        <w:t>不含投标当月</w:t>
      </w:r>
      <w:r>
        <w:rPr>
          <w:rFonts w:ascii="宋体" w:hAnsi="宋体"/>
          <w:bCs/>
          <w:color w:val="auto"/>
          <w:sz w:val="24"/>
          <w:highlight w:val="none"/>
        </w:rPr>
        <w:t>)</w:t>
      </w:r>
      <w:r>
        <w:rPr>
          <w:rFonts w:hint="eastAsia" w:ascii="宋体" w:hAnsi="宋体"/>
          <w:bCs/>
          <w:color w:val="auto"/>
          <w:sz w:val="24"/>
          <w:highlight w:val="none"/>
        </w:rPr>
        <w:t>的财务状况报告（资产负债表、利润表）或由会计师事务所出具的2017或2018年度审计报告和所附已审财务报告复印件；</w:t>
      </w:r>
    </w:p>
    <w:p>
      <w:pPr>
        <w:keepNext w:val="0"/>
        <w:keepLines w:val="0"/>
        <w:pageBreakBefore w:val="0"/>
        <w:widowControl w:val="0"/>
        <w:tabs>
          <w:tab w:val="left" w:pos="426"/>
        </w:tabs>
        <w:kinsoku/>
        <w:wordWrap/>
        <w:overflowPunct/>
        <w:topLinePunct w:val="0"/>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sz w:val="24"/>
          <w:lang w:val="en-US" w:eastAsia="zh-CN"/>
        </w:rPr>
        <w:t>9.</w:t>
      </w:r>
      <w:r>
        <w:rPr>
          <w:rFonts w:hint="eastAsia" w:ascii="宋体" w:hAnsi="宋体"/>
          <w:bCs/>
          <w:color w:val="auto"/>
          <w:sz w:val="24"/>
          <w:highlight w:val="none"/>
        </w:rPr>
        <w:t>投标供应商近三个月中任意一个月份</w:t>
      </w:r>
      <w:r>
        <w:rPr>
          <w:rFonts w:ascii="宋体" w:hAnsi="宋体"/>
          <w:bCs/>
          <w:color w:val="auto"/>
          <w:sz w:val="24"/>
          <w:highlight w:val="none"/>
        </w:rPr>
        <w:t>(</w:t>
      </w:r>
      <w:r>
        <w:rPr>
          <w:rFonts w:hint="eastAsia" w:ascii="宋体" w:hAnsi="宋体"/>
          <w:bCs/>
          <w:color w:val="auto"/>
          <w:sz w:val="24"/>
          <w:highlight w:val="none"/>
        </w:rPr>
        <w:t>不含投标当月</w:t>
      </w:r>
      <w:r>
        <w:rPr>
          <w:rFonts w:ascii="宋体" w:hAnsi="宋体"/>
          <w:bCs/>
          <w:color w:val="auto"/>
          <w:sz w:val="24"/>
          <w:highlight w:val="none"/>
        </w:rPr>
        <w:t>)</w:t>
      </w:r>
      <w:r>
        <w:rPr>
          <w:rFonts w:hint="eastAsia" w:ascii="宋体" w:hAnsi="宋体"/>
          <w:bCs/>
          <w:color w:val="auto"/>
          <w:sz w:val="24"/>
          <w:highlight w:val="none"/>
        </w:rPr>
        <w:t>的依法缴纳税收的相关材料（提供相关主管部门证明或银行代扣证明）复印件；</w:t>
      </w:r>
    </w:p>
    <w:p>
      <w:pPr>
        <w:keepNext w:val="0"/>
        <w:keepLines w:val="0"/>
        <w:pageBreakBefore w:val="0"/>
        <w:widowControl w:val="0"/>
        <w:tabs>
          <w:tab w:val="left" w:pos="426"/>
        </w:tabs>
        <w:kinsoku/>
        <w:wordWrap/>
        <w:overflowPunct/>
        <w:topLinePunct w:val="0"/>
        <w:bidi w:val="0"/>
        <w:spacing w:line="360" w:lineRule="auto"/>
        <w:ind w:firstLine="480" w:firstLineChars="200"/>
        <w:textAlignment w:val="auto"/>
        <w:rPr>
          <w:rFonts w:hint="eastAsia" w:ascii="宋体" w:hAnsi="宋体" w:eastAsia="宋体"/>
          <w:bCs/>
          <w:color w:val="auto"/>
          <w:sz w:val="24"/>
          <w:highlight w:val="none"/>
          <w:lang w:eastAsia="zh-CN"/>
        </w:rPr>
      </w:pPr>
      <w:r>
        <w:rPr>
          <w:rFonts w:hint="eastAsia" w:ascii="宋体" w:hAnsi="宋体"/>
          <w:bCs/>
          <w:color w:val="auto"/>
          <w:sz w:val="24"/>
          <w:highlight w:val="none"/>
          <w:lang w:val="en-US" w:eastAsia="zh-CN"/>
        </w:rPr>
        <w:t>10.</w:t>
      </w:r>
      <w:r>
        <w:rPr>
          <w:rFonts w:hint="eastAsia" w:ascii="宋体" w:hAnsi="宋体"/>
          <w:bCs/>
          <w:sz w:val="24"/>
        </w:rPr>
        <w:t>投标人近三个月中任意一个月份(不含</w:t>
      </w:r>
      <w:r>
        <w:rPr>
          <w:rFonts w:hint="eastAsia" w:ascii="宋体" w:hAnsi="宋体"/>
          <w:bCs/>
          <w:sz w:val="24"/>
          <w:lang w:val="en-US" w:eastAsia="zh-CN"/>
        </w:rPr>
        <w:t>投标</w:t>
      </w:r>
      <w:r>
        <w:rPr>
          <w:rFonts w:hint="eastAsia" w:ascii="宋体" w:hAnsi="宋体"/>
          <w:bCs/>
          <w:sz w:val="24"/>
        </w:rPr>
        <w:t>当月)的依法</w:t>
      </w:r>
      <w:r>
        <w:rPr>
          <w:rFonts w:ascii="宋体" w:hAnsi="宋体"/>
          <w:bCs/>
          <w:sz w:val="24"/>
        </w:rPr>
        <w:t>缴纳</w:t>
      </w:r>
      <w:r>
        <w:rPr>
          <w:rFonts w:hint="eastAsia" w:ascii="宋体" w:hAnsi="宋体"/>
          <w:bCs/>
          <w:sz w:val="24"/>
        </w:rPr>
        <w:t>社会保障资金的相关材料（提供相关主管部门证明或银行代扣证明）复印件；</w:t>
      </w:r>
    </w:p>
    <w:p>
      <w:pPr>
        <w:keepNext w:val="0"/>
        <w:keepLines w:val="0"/>
        <w:pageBreakBefore w:val="0"/>
        <w:widowControl w:val="0"/>
        <w:tabs>
          <w:tab w:val="left" w:pos="0"/>
        </w:tabs>
        <w:kinsoku/>
        <w:wordWrap/>
        <w:overflowPunct/>
        <w:topLinePunct w:val="0"/>
        <w:bidi w:val="0"/>
        <w:spacing w:line="360" w:lineRule="auto"/>
        <w:ind w:firstLine="480" w:firstLineChars="200"/>
        <w:textAlignment w:val="auto"/>
        <w:rPr>
          <w:rFonts w:hint="eastAsia" w:ascii="宋体" w:hAnsi="宋体"/>
          <w:sz w:val="24"/>
        </w:rPr>
      </w:pPr>
      <w:r>
        <w:rPr>
          <w:rFonts w:hint="eastAsia" w:ascii="宋体" w:hAnsi="宋体"/>
          <w:sz w:val="24"/>
          <w:lang w:val="en-US" w:eastAsia="zh-CN"/>
        </w:rPr>
        <w:t>11.</w:t>
      </w:r>
      <w:r>
        <w:rPr>
          <w:rFonts w:hint="eastAsia" w:ascii="宋体" w:hAnsi="宋体"/>
          <w:sz w:val="24"/>
        </w:rPr>
        <w:t>承诺书（格式见附件）。</w:t>
      </w:r>
    </w:p>
    <w:p>
      <w:pPr>
        <w:widowControl/>
        <w:tabs>
          <w:tab w:val="left" w:pos="0"/>
        </w:tabs>
        <w:spacing w:line="360" w:lineRule="auto"/>
        <w:ind w:firstLine="360" w:firstLineChars="150"/>
        <w:jc w:val="left"/>
        <w:rPr>
          <w:rFonts w:hint="eastAsia" w:ascii="宋体" w:hAnsi="宋体"/>
          <w:sz w:val="24"/>
        </w:rPr>
      </w:pPr>
      <w:r>
        <w:rPr>
          <w:rFonts w:hint="eastAsia" w:ascii="宋体" w:hAnsi="宋体"/>
          <w:sz w:val="24"/>
        </w:rPr>
        <w:t>注：投标供应商已按《无锡市政府采购供应商注册登记管理办法》（锡财购〔2012〕3号）文件要求入供应商库的，可注册入库（详见http://cz.wuxi.gov.cn/doc</w:t>
      </w:r>
    </w:p>
    <w:p>
      <w:pPr>
        <w:widowControl/>
        <w:tabs>
          <w:tab w:val="left" w:pos="0"/>
        </w:tabs>
        <w:spacing w:line="360" w:lineRule="auto"/>
        <w:jc w:val="left"/>
        <w:rPr>
          <w:rFonts w:hint="eastAsia" w:ascii="宋体" w:hAnsi="宋体"/>
          <w:sz w:val="24"/>
        </w:rPr>
      </w:pPr>
      <w:r>
        <w:rPr>
          <w:rFonts w:hint="eastAsia" w:ascii="宋体" w:hAnsi="宋体"/>
          <w:sz w:val="24"/>
        </w:rPr>
        <w:t>/2012/10/11/51585.shtml）成功后，从网上下载打印《无锡市政府采购注册供应商资格信息登记表》（以下简称信息登记表），并经法定代表人签字和加盖公章后,可作为供应商投标文件的有效组成部分提交采购代理机构</w:t>
      </w:r>
      <w:r>
        <w:rPr>
          <w:rFonts w:ascii="宋体" w:hAnsi="宋体"/>
          <w:sz w:val="24"/>
        </w:rPr>
        <w:t>。信息登记表所记录的信息如能反映</w:t>
      </w:r>
      <w:r>
        <w:rPr>
          <w:rFonts w:hint="eastAsia" w:ascii="宋体" w:hAnsi="宋体"/>
          <w:bCs/>
          <w:sz w:val="24"/>
        </w:rPr>
        <w:t>投标供应商</w:t>
      </w:r>
      <w:r>
        <w:rPr>
          <w:rFonts w:ascii="宋体" w:hAnsi="宋体"/>
          <w:sz w:val="24"/>
        </w:rPr>
        <w:t>具备对应资格条件项的，</w:t>
      </w:r>
      <w:r>
        <w:rPr>
          <w:rFonts w:hint="eastAsia" w:ascii="宋体" w:hAnsi="宋体"/>
          <w:sz w:val="24"/>
        </w:rPr>
        <w:t>在本项目评审时，可凭信息登记表免于提供相应的资格证明材料的原件或公证件，否则必须按要求提供相应的资格证明材料原件或公证件来予以证明。</w:t>
      </w:r>
    </w:p>
    <w:p>
      <w:pPr>
        <w:widowControl/>
        <w:tabs>
          <w:tab w:val="left" w:pos="0"/>
        </w:tabs>
        <w:spacing w:line="360" w:lineRule="auto"/>
        <w:jc w:val="left"/>
        <w:rPr>
          <w:rFonts w:ascii="宋体" w:hAnsi="宋体"/>
          <w:b/>
          <w:sz w:val="24"/>
        </w:rPr>
      </w:pP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上述证明文件中的资格、资信证明文件必须全部提供。其中要求提交的原件或公证件必须与投标文件同时提交，如果原件正在年检（或换证），则必须提供法定年检（或换证）单位出具的有效证明原件。</w:t>
      </w:r>
      <w:r>
        <w:rPr>
          <w:rFonts w:hint="eastAsia" w:ascii="宋体" w:hAnsi="宋体"/>
          <w:bCs/>
          <w:sz w:val="24"/>
        </w:rPr>
        <w:t>投标供应商</w:t>
      </w:r>
      <w:r>
        <w:rPr>
          <w:rFonts w:hint="eastAsia" w:ascii="宋体" w:hAnsi="宋体"/>
          <w:sz w:val="24"/>
        </w:rPr>
        <w:t>法定代表人或被授权代表为外籍、港、澳、台地区人士的，其身份证明须提供有效的护照或港澳同胞来往内地通行证、台湾同胞来往大陆通行证，或其它可在中国大陆有效居留的许可证明。否则必须提供原件或公证件来予以证明。</w:t>
      </w:r>
      <w:r>
        <w:rPr>
          <w:rFonts w:hint="eastAsia" w:ascii="宋体" w:hAnsi="宋体"/>
          <w:bCs/>
          <w:sz w:val="24"/>
        </w:rPr>
        <w:t>投标供应商</w:t>
      </w:r>
      <w:r>
        <w:rPr>
          <w:rFonts w:hint="eastAsia" w:ascii="宋体" w:hAnsi="宋体"/>
          <w:sz w:val="24"/>
        </w:rPr>
        <w:t>所提交的证明文件的完整与否，将直接影响其投标文件的审核和评分结果。</w:t>
      </w:r>
    </w:p>
    <w:p>
      <w:pPr>
        <w:spacing w:line="360" w:lineRule="auto"/>
        <w:ind w:left="480"/>
        <w:rPr>
          <w:rFonts w:ascii="宋体" w:hAnsi="宋体"/>
          <w:b/>
          <w:sz w:val="24"/>
        </w:rPr>
      </w:pPr>
      <w:r>
        <w:rPr>
          <w:rFonts w:hint="eastAsia" w:ascii="宋体" w:hAnsi="宋体"/>
          <w:b/>
          <w:sz w:val="24"/>
        </w:rPr>
        <w:t>补充证明文件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1.投标供应商简介和经营情况说明；</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2.投标供应商认为有必要提供的其他证明材料（参照评分标准要求）。</w:t>
      </w:r>
    </w:p>
    <w:p>
      <w:pPr>
        <w:widowControl/>
        <w:spacing w:line="360" w:lineRule="auto"/>
        <w:ind w:firstLine="480" w:firstLineChars="200"/>
        <w:jc w:val="left"/>
        <w:rPr>
          <w:rFonts w:ascii="宋体" w:hAnsi="宋体"/>
          <w:bCs/>
          <w:sz w:val="24"/>
        </w:rPr>
      </w:pPr>
      <w:r>
        <w:rPr>
          <w:rFonts w:hint="eastAsia" w:ascii="宋体" w:hAnsi="宋体" w:cs="宋体"/>
          <w:kern w:val="0"/>
          <w:sz w:val="24"/>
        </w:rPr>
        <w:t>3.</w:t>
      </w:r>
      <w:r>
        <w:rPr>
          <w:rFonts w:hint="eastAsia" w:ascii="宋体" w:hAnsi="宋体"/>
          <w:bCs/>
          <w:sz w:val="24"/>
        </w:rPr>
        <w:t>如是中小企业的，提供《中小企业声明函》（格式见附件）。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4.残疾人福利性单位声明函（如是，格式见附件）</w:t>
      </w:r>
    </w:p>
    <w:p>
      <w:pPr>
        <w:widowControl/>
        <w:spacing w:line="360" w:lineRule="auto"/>
        <w:ind w:firstLine="480" w:firstLineChars="200"/>
        <w:jc w:val="left"/>
        <w:rPr>
          <w:rFonts w:hint="eastAsia" w:ascii="宋体" w:hAnsi="宋体"/>
          <w:bCs/>
          <w:sz w:val="24"/>
        </w:rPr>
      </w:pPr>
      <w:r>
        <w:rPr>
          <w:rFonts w:hint="eastAsia" w:ascii="宋体" w:hAnsi="宋体" w:cs="宋体"/>
          <w:kern w:val="0"/>
          <w:sz w:val="24"/>
        </w:rPr>
        <w:t>5.</w:t>
      </w:r>
      <w:r>
        <w:rPr>
          <w:rFonts w:hint="eastAsia" w:ascii="宋体" w:hAnsi="宋体"/>
          <w:bCs/>
          <w:sz w:val="24"/>
        </w:rPr>
        <w:t>由省级以上监狱管理局、戒毒管理局出具的属于监狱企业的证明文件；（如是）</w:t>
      </w:r>
    </w:p>
    <w:p>
      <w:pPr>
        <w:widowControl/>
        <w:spacing w:line="360" w:lineRule="auto"/>
        <w:ind w:firstLine="480" w:firstLineChars="200"/>
        <w:jc w:val="left"/>
        <w:rPr>
          <w:rFonts w:hint="eastAsia" w:ascii="宋体" w:hAnsi="宋体"/>
          <w:sz w:val="24"/>
        </w:rPr>
      </w:pPr>
      <w:r>
        <w:rPr>
          <w:rFonts w:hint="eastAsia" w:ascii="宋体" w:hAnsi="宋体"/>
          <w:bCs/>
          <w:sz w:val="24"/>
        </w:rPr>
        <w:t>6.《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是）</w:t>
      </w:r>
      <w:r>
        <w:rPr>
          <w:rFonts w:ascii="ˎ̥" w:hAnsi="ˎ̥" w:cs="宋体"/>
          <w:kern w:val="0"/>
          <w:sz w:val="24"/>
        </w:rPr>
        <w:t xml:space="preserve">      </w:t>
      </w:r>
    </w:p>
    <w:p>
      <w:pPr>
        <w:widowControl/>
        <w:spacing w:line="360" w:lineRule="auto"/>
        <w:ind w:firstLine="480" w:firstLineChars="200"/>
        <w:jc w:val="left"/>
        <w:rPr>
          <w:rFonts w:hint="eastAsia" w:ascii="宋体" w:hAnsi="宋体"/>
          <w:sz w:val="24"/>
        </w:rPr>
      </w:pPr>
      <w:r>
        <w:rPr>
          <w:rFonts w:hint="eastAsia" w:ascii="宋体" w:hAnsi="宋体" w:cs="宋体"/>
          <w:kern w:val="0"/>
          <w:sz w:val="24"/>
        </w:rPr>
        <w:t>3）开标一览表</w:t>
      </w:r>
      <w:r>
        <w:rPr>
          <w:rFonts w:hint="eastAsia" w:ascii="宋体" w:hAnsi="宋体"/>
          <w:b/>
          <w:sz w:val="24"/>
        </w:rPr>
        <w:t>（格式见附件）</w:t>
      </w:r>
    </w:p>
    <w:p>
      <w:pPr>
        <w:widowControl/>
        <w:spacing w:line="360" w:lineRule="auto"/>
        <w:ind w:firstLine="480" w:firstLineChars="200"/>
        <w:jc w:val="left"/>
        <w:rPr>
          <w:rFonts w:hint="eastAsia" w:ascii="宋体" w:hAnsi="宋体" w:cs="宋体"/>
          <w:kern w:val="0"/>
          <w:sz w:val="24"/>
        </w:rPr>
      </w:pPr>
      <w:r>
        <w:rPr>
          <w:rFonts w:hint="eastAsia" w:ascii="宋体" w:hAnsi="宋体"/>
          <w:sz w:val="24"/>
        </w:rPr>
        <w:t>4）</w:t>
      </w:r>
      <w:r>
        <w:rPr>
          <w:rFonts w:hint="eastAsia" w:ascii="宋体" w:hAnsi="宋体"/>
          <w:bCs/>
          <w:color w:val="000000"/>
          <w:sz w:val="24"/>
          <w:lang w:val="en-US" w:eastAsia="zh-CN"/>
        </w:rPr>
        <w:t>投标报价明细</w:t>
      </w:r>
      <w:r>
        <w:rPr>
          <w:rFonts w:hint="eastAsia" w:ascii="宋体" w:hAnsi="宋体" w:cs="宋体"/>
          <w:kern w:val="0"/>
          <w:sz w:val="24"/>
        </w:rPr>
        <w:t>表</w:t>
      </w:r>
      <w:r>
        <w:rPr>
          <w:rFonts w:hint="eastAsia" w:ascii="宋体" w:hAnsi="宋体"/>
          <w:b/>
          <w:sz w:val="24"/>
        </w:rPr>
        <w:t>（格式见附件）</w:t>
      </w:r>
    </w:p>
    <w:p>
      <w:pPr>
        <w:widowControl/>
        <w:spacing w:line="360" w:lineRule="auto"/>
        <w:ind w:firstLine="480" w:firstLineChars="200"/>
        <w:jc w:val="left"/>
        <w:rPr>
          <w:rFonts w:hint="eastAsia" w:ascii="宋体" w:hAnsi="宋体"/>
          <w:bCs/>
          <w:color w:val="000000"/>
          <w:sz w:val="24"/>
        </w:rPr>
      </w:pPr>
      <w:r>
        <w:rPr>
          <w:rFonts w:hint="eastAsia" w:ascii="宋体" w:hAnsi="宋体" w:cs="宋体"/>
          <w:kern w:val="0"/>
          <w:sz w:val="24"/>
        </w:rPr>
        <w:t>5）</w:t>
      </w:r>
      <w:r>
        <w:rPr>
          <w:rFonts w:hint="eastAsia" w:ascii="宋体" w:hAnsi="宋体"/>
          <w:bCs/>
          <w:color w:val="000000"/>
          <w:sz w:val="24"/>
        </w:rPr>
        <w:t>拟投入本项目的人员一览表</w:t>
      </w:r>
      <w:r>
        <w:rPr>
          <w:rFonts w:hint="eastAsia" w:ascii="宋体" w:hAnsi="宋体"/>
          <w:b/>
          <w:sz w:val="24"/>
        </w:rPr>
        <w:t>（格式见附件）</w:t>
      </w:r>
    </w:p>
    <w:p>
      <w:pPr>
        <w:widowControl/>
        <w:spacing w:line="360" w:lineRule="auto"/>
        <w:ind w:firstLine="480" w:firstLineChars="200"/>
        <w:jc w:val="left"/>
        <w:rPr>
          <w:rFonts w:hint="eastAsia" w:ascii="宋体" w:hAnsi="宋体"/>
          <w:bCs/>
          <w:color w:val="000000"/>
          <w:sz w:val="24"/>
        </w:rPr>
      </w:pPr>
      <w:r>
        <w:rPr>
          <w:rFonts w:hint="eastAsia" w:ascii="宋体" w:hAnsi="宋体"/>
          <w:bCs/>
          <w:color w:val="000000"/>
          <w:sz w:val="24"/>
        </w:rPr>
        <w:t>6）</w:t>
      </w:r>
      <w:r>
        <w:rPr>
          <w:rFonts w:hint="eastAsia" w:ascii="宋体" w:hAnsi="宋体"/>
          <w:bCs/>
          <w:sz w:val="24"/>
        </w:rPr>
        <w:t>要求招标人提供的配合</w:t>
      </w:r>
      <w:r>
        <w:rPr>
          <w:rFonts w:hint="eastAsia" w:ascii="宋体" w:hAnsi="宋体"/>
          <w:b/>
          <w:sz w:val="24"/>
        </w:rPr>
        <w:t>（如有自拟并自行添加）</w:t>
      </w:r>
    </w:p>
    <w:p>
      <w:pPr>
        <w:widowControl/>
        <w:spacing w:line="360" w:lineRule="auto"/>
        <w:ind w:firstLine="480" w:firstLineChars="200"/>
        <w:jc w:val="left"/>
        <w:rPr>
          <w:rFonts w:hint="eastAsia" w:ascii="宋体" w:hAnsi="宋体"/>
          <w:bCs/>
          <w:color w:val="000000"/>
          <w:sz w:val="24"/>
        </w:rPr>
      </w:pPr>
      <w:r>
        <w:rPr>
          <w:rFonts w:hint="eastAsia" w:ascii="宋体" w:hAnsi="宋体"/>
          <w:bCs/>
          <w:color w:val="000000"/>
          <w:sz w:val="24"/>
        </w:rPr>
        <w:t>7）</w:t>
      </w:r>
      <w:r>
        <w:rPr>
          <w:rFonts w:hint="eastAsia" w:ascii="宋体" w:hAnsi="宋体"/>
          <w:bCs/>
          <w:sz w:val="24"/>
        </w:rPr>
        <w:t>其它</w:t>
      </w:r>
      <w:r>
        <w:rPr>
          <w:rFonts w:hint="eastAsia" w:ascii="宋体" w:hAnsi="宋体"/>
          <w:b/>
          <w:sz w:val="24"/>
        </w:rPr>
        <w:t>（投标人认为有必要提供的声明和文件，如有自拟并自行添加）</w:t>
      </w:r>
    </w:p>
    <w:p>
      <w:pPr>
        <w:spacing w:line="360" w:lineRule="auto"/>
        <w:ind w:left="482"/>
        <w:rPr>
          <w:rFonts w:hint="eastAsia" w:ascii="宋体" w:hAnsi="宋体"/>
          <w:b/>
          <w:sz w:val="24"/>
          <w:highlight w:val="none"/>
        </w:rPr>
      </w:pPr>
      <w:r>
        <w:rPr>
          <w:rFonts w:hint="eastAsia" w:ascii="宋体" w:hAnsi="宋体"/>
          <w:b/>
          <w:sz w:val="24"/>
          <w:highlight w:val="none"/>
        </w:rPr>
        <w:t>2、技术文件部分：</w:t>
      </w:r>
    </w:p>
    <w:p>
      <w:pPr>
        <w:widowControl/>
        <w:spacing w:line="360" w:lineRule="auto"/>
        <w:ind w:firstLine="480" w:firstLineChars="200"/>
        <w:jc w:val="left"/>
        <w:rPr>
          <w:rFonts w:hint="eastAsia" w:ascii="宋体" w:hAnsi="宋体"/>
          <w:bCs/>
          <w:color w:val="000000"/>
          <w:sz w:val="24"/>
        </w:rPr>
      </w:pPr>
      <w:r>
        <w:rPr>
          <w:rFonts w:hint="eastAsia" w:ascii="宋体" w:hAnsi="宋体"/>
          <w:bCs/>
          <w:color w:val="000000"/>
          <w:sz w:val="24"/>
          <w:lang w:val="en-US" w:eastAsia="zh-CN"/>
        </w:rPr>
        <w:t>1</w:t>
      </w:r>
      <w:r>
        <w:rPr>
          <w:rFonts w:hint="eastAsia" w:ascii="宋体" w:hAnsi="宋体"/>
          <w:bCs/>
          <w:color w:val="000000"/>
          <w:sz w:val="24"/>
          <w:lang w:eastAsia="zh-CN"/>
        </w:rPr>
        <w:t>）</w:t>
      </w:r>
      <w:r>
        <w:rPr>
          <w:rFonts w:hint="eastAsia" w:ascii="宋体" w:hAnsi="宋体"/>
          <w:bCs/>
          <w:color w:val="000000"/>
          <w:sz w:val="24"/>
        </w:rPr>
        <w:t>抢险救灾应急预案</w:t>
      </w:r>
    </w:p>
    <w:p>
      <w:pPr>
        <w:widowControl/>
        <w:spacing w:line="360" w:lineRule="auto"/>
        <w:ind w:firstLine="480" w:firstLineChars="200"/>
        <w:jc w:val="left"/>
        <w:rPr>
          <w:rFonts w:hint="eastAsia" w:ascii="宋体" w:hAnsi="宋体"/>
          <w:bCs/>
          <w:color w:val="000000"/>
          <w:sz w:val="24"/>
        </w:rPr>
      </w:pPr>
      <w:r>
        <w:rPr>
          <w:rFonts w:hint="eastAsia" w:ascii="宋体" w:hAnsi="宋体"/>
          <w:bCs/>
          <w:color w:val="000000"/>
          <w:sz w:val="24"/>
          <w:lang w:val="en-US" w:eastAsia="zh-CN"/>
        </w:rPr>
        <w:t>2</w:t>
      </w:r>
      <w:r>
        <w:rPr>
          <w:rFonts w:hint="eastAsia" w:ascii="宋体" w:hAnsi="宋体"/>
          <w:bCs/>
          <w:color w:val="000000"/>
          <w:sz w:val="24"/>
          <w:lang w:eastAsia="zh-CN"/>
        </w:rPr>
        <w:t>）</w:t>
      </w:r>
      <w:r>
        <w:rPr>
          <w:rFonts w:hint="eastAsia" w:ascii="宋体" w:hAnsi="宋体"/>
          <w:bCs/>
          <w:color w:val="000000"/>
          <w:sz w:val="24"/>
        </w:rPr>
        <w:t xml:space="preserve"> 养护方案  </w:t>
      </w:r>
    </w:p>
    <w:p>
      <w:pPr>
        <w:widowControl/>
        <w:spacing w:line="360" w:lineRule="auto"/>
        <w:ind w:firstLine="480" w:firstLineChars="200"/>
        <w:jc w:val="left"/>
        <w:rPr>
          <w:rFonts w:hint="eastAsia" w:ascii="宋体" w:hAnsi="宋体"/>
          <w:sz w:val="24"/>
        </w:rPr>
      </w:pPr>
      <w:r>
        <w:rPr>
          <w:rFonts w:hint="eastAsia" w:ascii="宋体" w:hAnsi="宋体"/>
          <w:bCs/>
          <w:color w:val="000000"/>
          <w:sz w:val="24"/>
          <w:lang w:val="en-US" w:eastAsia="zh-CN"/>
        </w:rPr>
        <w:t>3</w:t>
      </w:r>
      <w:r>
        <w:rPr>
          <w:rFonts w:hint="eastAsia" w:ascii="宋体" w:hAnsi="宋体"/>
          <w:bCs/>
          <w:color w:val="000000"/>
          <w:sz w:val="24"/>
          <w:lang w:eastAsia="zh-CN"/>
        </w:rPr>
        <w:t>）</w:t>
      </w:r>
      <w:r>
        <w:rPr>
          <w:rFonts w:hint="eastAsia" w:ascii="宋体" w:hAnsi="宋体"/>
          <w:bCs/>
          <w:color w:val="000000"/>
          <w:sz w:val="24"/>
        </w:rPr>
        <w:t xml:space="preserve"> 质量及服务条件承诺    </w:t>
      </w:r>
      <w:r>
        <w:rPr>
          <w:rFonts w:hint="eastAsia" w:ascii="宋体" w:hAnsi="宋体"/>
          <w:sz w:val="24"/>
          <w:highlight w:val="none"/>
        </w:rPr>
        <w:t xml:space="preserve">  </w:t>
      </w:r>
      <w:r>
        <w:rPr>
          <w:rFonts w:hint="eastAsia" w:ascii="宋体" w:hAnsi="宋体"/>
          <w:sz w:val="24"/>
        </w:rPr>
        <w:t xml:space="preserve">               </w:t>
      </w:r>
    </w:p>
    <w:p>
      <w:pPr>
        <w:widowControl/>
        <w:spacing w:line="360" w:lineRule="auto"/>
        <w:ind w:firstLine="361" w:firstLineChars="150"/>
        <w:jc w:val="left"/>
        <w:rPr>
          <w:rFonts w:hint="eastAsia" w:ascii="新宋体" w:hAnsi="新宋体" w:eastAsia="新宋体"/>
          <w:b/>
          <w:sz w:val="24"/>
        </w:rPr>
      </w:pPr>
      <w:r>
        <w:rPr>
          <w:rFonts w:hint="eastAsia" w:ascii="宋体" w:hAnsi="宋体"/>
          <w:b/>
          <w:sz w:val="24"/>
        </w:rPr>
        <w:t>（六</w:t>
      </w:r>
      <w:r>
        <w:rPr>
          <w:rFonts w:hint="eastAsia" w:ascii="新宋体" w:hAnsi="新宋体" w:eastAsia="新宋体"/>
          <w:b/>
          <w:sz w:val="24"/>
        </w:rPr>
        <w:t>） 报价要求：</w:t>
      </w:r>
    </w:p>
    <w:p>
      <w:pPr>
        <w:spacing w:line="360" w:lineRule="auto"/>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w:t>
      </w:r>
      <w:r>
        <w:rPr>
          <w:rFonts w:hint="eastAsia" w:ascii="宋体" w:hAnsi="宋体"/>
          <w:bCs/>
          <w:sz w:val="24"/>
        </w:rPr>
        <w:t>供应商养护服务报价应包括但不限于以下内容：工资薪酬：基本工资、福利、节日加班费、劳工意外风险、工伤、医疗、失业、养老保险、特殊人员体检费、安全卫生劳动措施费等；劳保用品、易耗材料费；工具、设备折旧费；服装费；项目管理费；营业利润、应缴的税费等；服务期内市场价格等因素的波动风险；抢险救灾等完成本项目所发生的一切应有费用。</w:t>
      </w:r>
    </w:p>
    <w:p>
      <w:pPr>
        <w:spacing w:line="360" w:lineRule="auto"/>
        <w:ind w:firstLine="480" w:firstLineChars="200"/>
        <w:rPr>
          <w:rFonts w:hint="eastAsia" w:ascii="宋体" w:hAnsi="宋体"/>
          <w:bCs/>
          <w:sz w:val="24"/>
        </w:rPr>
      </w:pPr>
      <w:r>
        <w:rPr>
          <w:rFonts w:hint="eastAsia" w:ascii="新宋体" w:hAnsi="新宋体" w:eastAsia="新宋体"/>
          <w:sz w:val="24"/>
        </w:rPr>
        <w:t>2.投标人可先</w:t>
      </w:r>
      <w:r>
        <w:rPr>
          <w:rFonts w:hint="eastAsia" w:ascii="宋体" w:hAnsi="宋体"/>
          <w:bCs/>
          <w:sz w:val="24"/>
        </w:rPr>
        <w:t>到现场踏勘以充分了解项目位置、情况、道路及任何其他足以影响承包价的情况，任何因忽视或误解项目情况而导致的索赔申请将不被批准。</w:t>
      </w:r>
    </w:p>
    <w:p>
      <w:pPr>
        <w:spacing w:line="360" w:lineRule="auto"/>
        <w:ind w:firstLine="480" w:firstLineChars="200"/>
        <w:rPr>
          <w:rFonts w:hint="eastAsia" w:ascii="宋体" w:hAnsi="宋体"/>
          <w:bCs/>
          <w:sz w:val="24"/>
        </w:rPr>
      </w:pPr>
      <w:r>
        <w:rPr>
          <w:rFonts w:hint="eastAsia" w:ascii="宋体" w:hAnsi="宋体"/>
          <w:bCs/>
          <w:sz w:val="24"/>
        </w:rPr>
        <w:t>3.投标供应商应当充分考虑服务期内所有可能影响到的因素，一旦投标结束最终成交，总价将包定，除采购人要求变更岗位配置数量外，总价不予调整（国家政策性调整除外）。如发生漏、缺、少项，都将被认为是中标方的报价让利行为，损失自负。</w:t>
      </w:r>
    </w:p>
    <w:p>
      <w:pPr>
        <w:spacing w:line="360" w:lineRule="auto"/>
        <w:ind w:firstLine="480" w:firstLineChars="200"/>
        <w:rPr>
          <w:rFonts w:hint="eastAsia" w:ascii="宋体" w:hAnsi="宋体"/>
          <w:bCs/>
          <w:sz w:val="24"/>
        </w:rPr>
      </w:pPr>
      <w:r>
        <w:rPr>
          <w:rFonts w:hint="eastAsia" w:ascii="宋体" w:hAnsi="宋体"/>
          <w:bCs/>
          <w:sz w:val="24"/>
        </w:rPr>
        <w:t>4.</w:t>
      </w:r>
      <w:r>
        <w:rPr>
          <w:rFonts w:hint="eastAsia" w:ascii="宋体" w:hAnsi="宋体"/>
          <w:b/>
          <w:sz w:val="24"/>
          <w:szCs w:val="20"/>
        </w:rPr>
        <w:t>经评标委员会认定投标供应商的投标报价明显低于其他通过符合性审查投标人的报价，有可能影响产品质量或者不能诚信履约的，投标人必须在一小时内提供书面说明，必要</w:t>
      </w:r>
      <w:r>
        <w:rPr>
          <w:rFonts w:ascii="宋体" w:hAnsi="宋体"/>
          <w:b/>
          <w:sz w:val="24"/>
          <w:szCs w:val="20"/>
        </w:rPr>
        <w:t>时提交</w:t>
      </w:r>
      <w:r>
        <w:rPr>
          <w:rFonts w:hint="eastAsia" w:ascii="宋体" w:hAnsi="宋体"/>
          <w:b/>
          <w:sz w:val="24"/>
          <w:szCs w:val="20"/>
        </w:rPr>
        <w:t>相关证明材料以证明其报价合理性。</w:t>
      </w:r>
      <w:r>
        <w:rPr>
          <w:rFonts w:ascii="宋体" w:hAnsi="宋体"/>
          <w:b/>
          <w:sz w:val="24"/>
          <w:szCs w:val="20"/>
        </w:rPr>
        <w:t>投标</w:t>
      </w:r>
      <w:r>
        <w:rPr>
          <w:rFonts w:hint="eastAsia" w:ascii="宋体" w:hAnsi="宋体"/>
          <w:b/>
          <w:sz w:val="24"/>
          <w:szCs w:val="20"/>
        </w:rPr>
        <w:t>人</w:t>
      </w:r>
      <w:r>
        <w:rPr>
          <w:rFonts w:ascii="宋体" w:hAnsi="宋体"/>
          <w:b/>
          <w:sz w:val="24"/>
          <w:szCs w:val="20"/>
        </w:rPr>
        <w:t>不能证明其报价合理性的，评标委员会应当将其作为无效投标处理。</w:t>
      </w:r>
    </w:p>
    <w:p>
      <w:pPr>
        <w:spacing w:line="360" w:lineRule="auto"/>
        <w:ind w:firstLine="480" w:firstLineChars="200"/>
        <w:rPr>
          <w:rFonts w:hint="eastAsia" w:ascii="宋体" w:hAnsi="宋体"/>
          <w:bCs/>
          <w:sz w:val="24"/>
        </w:rPr>
      </w:pPr>
      <w:r>
        <w:rPr>
          <w:rFonts w:hint="eastAsia" w:ascii="宋体" w:hAnsi="宋体"/>
          <w:bCs/>
          <w:sz w:val="24"/>
        </w:rPr>
        <w:t>5.投标人应结合本企业的技术水平，管理水平自主报价。</w:t>
      </w:r>
    </w:p>
    <w:p>
      <w:pPr>
        <w:widowControl/>
        <w:spacing w:line="360" w:lineRule="auto"/>
        <w:ind w:firstLine="120" w:firstLineChars="50"/>
        <w:jc w:val="left"/>
        <w:rPr>
          <w:rFonts w:hint="eastAsia" w:ascii="新宋体" w:hAnsi="新宋体" w:eastAsia="新宋体" w:cs="Times New Roman"/>
          <w:b/>
          <w:sz w:val="24"/>
        </w:rPr>
      </w:pPr>
      <w:r>
        <w:rPr>
          <w:rFonts w:hint="eastAsia" w:ascii="新宋体" w:hAnsi="新宋体" w:eastAsia="新宋体" w:cs="Times New Roman"/>
          <w:b/>
          <w:sz w:val="24"/>
        </w:rPr>
        <w:t>（七）投标文件的要求：</w:t>
      </w:r>
    </w:p>
    <w:p>
      <w:pPr>
        <w:tabs>
          <w:tab w:val="left" w:pos="525"/>
          <w:tab w:val="left" w:pos="1050"/>
        </w:tabs>
        <w:spacing w:line="360" w:lineRule="auto"/>
        <w:ind w:firstLine="480" w:firstLineChars="200"/>
        <w:rPr>
          <w:rFonts w:hint="eastAsia" w:ascii="宋体" w:hAnsi="宋体"/>
          <w:sz w:val="24"/>
          <w:szCs w:val="28"/>
        </w:rPr>
      </w:pPr>
      <w:r>
        <w:rPr>
          <w:rFonts w:hint="eastAsia" w:ascii="宋体" w:hAnsi="宋体"/>
          <w:sz w:val="24"/>
          <w:szCs w:val="28"/>
        </w:rPr>
        <w:t>1.所有文件、往来函件均应使用简体中文（规格、型号辅助符号例外）。</w:t>
      </w:r>
    </w:p>
    <w:p>
      <w:pPr>
        <w:tabs>
          <w:tab w:val="left" w:pos="525"/>
          <w:tab w:val="left" w:pos="1050"/>
        </w:tabs>
        <w:spacing w:line="360" w:lineRule="auto"/>
        <w:ind w:firstLine="480" w:firstLineChars="200"/>
        <w:rPr>
          <w:rFonts w:hint="eastAsia" w:ascii="宋体" w:hAnsi="宋体"/>
          <w:sz w:val="24"/>
          <w:szCs w:val="28"/>
        </w:rPr>
      </w:pPr>
      <w:r>
        <w:rPr>
          <w:rFonts w:hint="eastAsia" w:ascii="宋体" w:hAnsi="宋体"/>
          <w:sz w:val="24"/>
          <w:szCs w:val="28"/>
        </w:rPr>
        <w:t>2.投标文件由投标供应商按给定格式如实填写（编写），须有法人（盖章）、法定代表人或法定代表人授权代表签字或盖章，方为有效，未尽事宜可自行补充。</w:t>
      </w:r>
    </w:p>
    <w:p>
      <w:pPr>
        <w:tabs>
          <w:tab w:val="left" w:pos="525"/>
          <w:tab w:val="left" w:pos="1050"/>
        </w:tabs>
        <w:spacing w:line="360" w:lineRule="auto"/>
        <w:ind w:firstLine="480" w:firstLineChars="200"/>
        <w:rPr>
          <w:rFonts w:hint="eastAsia" w:ascii="宋体" w:hAnsi="宋体"/>
          <w:sz w:val="24"/>
          <w:szCs w:val="28"/>
        </w:rPr>
      </w:pPr>
      <w:r>
        <w:rPr>
          <w:rFonts w:hint="eastAsia" w:ascii="宋体" w:hAnsi="宋体"/>
          <w:sz w:val="24"/>
          <w:szCs w:val="28"/>
        </w:rPr>
        <w:t>3.如无特别说明，投标供应商报价一律以人民币为投标结算货币,结算单位为“元”。</w:t>
      </w:r>
    </w:p>
    <w:p>
      <w:pPr>
        <w:tabs>
          <w:tab w:val="left" w:pos="525"/>
          <w:tab w:val="left" w:pos="1050"/>
        </w:tabs>
        <w:spacing w:line="360" w:lineRule="auto"/>
        <w:ind w:firstLine="480" w:firstLineChars="200"/>
        <w:rPr>
          <w:rFonts w:hint="eastAsia" w:ascii="宋体" w:hAnsi="宋体"/>
          <w:sz w:val="24"/>
          <w:szCs w:val="28"/>
        </w:rPr>
      </w:pPr>
      <w:r>
        <w:rPr>
          <w:rFonts w:hint="eastAsia" w:ascii="宋体" w:hAnsi="宋体"/>
          <w:sz w:val="24"/>
          <w:szCs w:val="28"/>
        </w:rPr>
        <w:t>4.投标文件格式部分，应由投标供应商按给定格式提供，不得更改。</w:t>
      </w:r>
    </w:p>
    <w:p>
      <w:pPr>
        <w:tabs>
          <w:tab w:val="left" w:pos="525"/>
          <w:tab w:val="left" w:pos="1050"/>
        </w:tabs>
        <w:spacing w:line="360" w:lineRule="auto"/>
        <w:ind w:firstLine="480" w:firstLineChars="200"/>
        <w:rPr>
          <w:rFonts w:hint="eastAsia" w:ascii="宋体" w:hAnsi="宋体"/>
          <w:sz w:val="24"/>
          <w:szCs w:val="28"/>
        </w:rPr>
      </w:pPr>
      <w:r>
        <w:rPr>
          <w:rFonts w:hint="eastAsia" w:ascii="宋体" w:hAnsi="宋体"/>
          <w:sz w:val="24"/>
          <w:szCs w:val="28"/>
        </w:rPr>
        <w:t>5.投标文件应用不褪色的黑色墨水书写或打印。</w:t>
      </w:r>
    </w:p>
    <w:p>
      <w:pPr>
        <w:tabs>
          <w:tab w:val="left" w:pos="525"/>
          <w:tab w:val="left" w:pos="1050"/>
        </w:tabs>
        <w:spacing w:line="360" w:lineRule="auto"/>
        <w:ind w:firstLine="480" w:firstLineChars="200"/>
        <w:rPr>
          <w:rFonts w:hint="eastAsia" w:ascii="宋体" w:hAnsi="宋体"/>
          <w:sz w:val="24"/>
          <w:szCs w:val="28"/>
        </w:rPr>
      </w:pPr>
      <w:r>
        <w:rPr>
          <w:rFonts w:hint="eastAsia" w:ascii="宋体" w:hAnsi="宋体"/>
          <w:sz w:val="24"/>
          <w:szCs w:val="28"/>
        </w:rPr>
        <w:t>6.投标文件统一用A4纸，按照投标函格式中的顺序制作，并编制目录。</w:t>
      </w:r>
    </w:p>
    <w:p>
      <w:pPr>
        <w:tabs>
          <w:tab w:val="left" w:pos="525"/>
          <w:tab w:val="left" w:pos="1050"/>
        </w:tabs>
        <w:spacing w:line="360" w:lineRule="auto"/>
        <w:ind w:firstLine="482" w:firstLineChars="200"/>
        <w:rPr>
          <w:rFonts w:hint="eastAsia" w:ascii="宋体" w:hAnsi="宋体"/>
          <w:b/>
          <w:sz w:val="24"/>
          <w:szCs w:val="28"/>
        </w:rPr>
      </w:pPr>
      <w:r>
        <w:rPr>
          <w:rFonts w:hint="eastAsia" w:ascii="宋体" w:hAnsi="宋体"/>
          <w:b/>
          <w:sz w:val="24"/>
          <w:szCs w:val="28"/>
        </w:rPr>
        <w:t>7. 投标文件份数，正本1份，副本4份。投标供应商还应提供投标文件电子光盘1份（不可擦写光盘）（在光盘上清楚的标明投标供应商名称、项目名称、光盘内容名称），光盘单独密封在一个封袋中，并在封袋上清楚地表明“投标文件电子光盘”。封袋的封口处应加盖投标供应商印章。</w:t>
      </w:r>
    </w:p>
    <w:p>
      <w:pPr>
        <w:tabs>
          <w:tab w:val="left" w:pos="525"/>
          <w:tab w:val="left" w:pos="1050"/>
        </w:tabs>
        <w:spacing w:line="360" w:lineRule="auto"/>
        <w:ind w:firstLine="482" w:firstLineChars="200"/>
        <w:rPr>
          <w:rFonts w:hint="eastAsia" w:ascii="宋体" w:hAnsi="宋体"/>
          <w:sz w:val="24"/>
          <w:szCs w:val="28"/>
        </w:rPr>
      </w:pPr>
      <w:r>
        <w:rPr>
          <w:rFonts w:hint="eastAsia" w:ascii="宋体" w:hAnsi="宋体"/>
          <w:b/>
          <w:sz w:val="24"/>
          <w:szCs w:val="28"/>
        </w:rPr>
        <w:t>8、投标文件的装订要求：商务标部分、技术标部分分别单独装订成册，不得有分册。投标供应商应将商务标正本密封在一个密封袋中，并在封袋上清楚的标明“商务标正本”；将所有商务标副本密封在一个密封袋中，并在封袋上清楚的标明“商务标副本”；将技术标正本密封在一个密封袋中，并在封袋上清楚的标明 “技术标正本”；将所有技术标副本密封在一个密封袋中，并在封袋上清楚的标明“技术标副本”。 所有投标文件封袋的封口应加盖投标供应商印章。资格证明文件要求的原件及评分标准中要求的原件，需单独封袋，在封袋上清楚的标明“资格证明原件”及投标供应商名称，并密封后随投标文件一起提交。</w:t>
      </w:r>
    </w:p>
    <w:p>
      <w:pPr>
        <w:tabs>
          <w:tab w:val="left" w:pos="525"/>
          <w:tab w:val="left" w:pos="1050"/>
        </w:tabs>
        <w:spacing w:line="360" w:lineRule="auto"/>
        <w:ind w:firstLine="480" w:firstLineChars="200"/>
        <w:rPr>
          <w:rFonts w:hint="eastAsia" w:ascii="宋体" w:hAnsi="宋体"/>
          <w:sz w:val="24"/>
          <w:szCs w:val="28"/>
        </w:rPr>
      </w:pPr>
      <w:r>
        <w:rPr>
          <w:rFonts w:hint="eastAsia" w:ascii="宋体" w:hAnsi="宋体"/>
          <w:sz w:val="24"/>
          <w:szCs w:val="28"/>
        </w:rPr>
        <w:t>9.投标文件不应有涂改、增删和潦草之处，如有必须修改时，修改处必须有法人章、法定代表人或法定代表人授权代表的签字。</w:t>
      </w:r>
    </w:p>
    <w:p>
      <w:pPr>
        <w:tabs>
          <w:tab w:val="left" w:pos="525"/>
          <w:tab w:val="left" w:pos="1050"/>
        </w:tabs>
        <w:spacing w:line="360" w:lineRule="auto"/>
        <w:ind w:firstLine="480" w:firstLineChars="200"/>
        <w:rPr>
          <w:rFonts w:hint="eastAsia" w:ascii="宋体" w:hAnsi="宋体"/>
          <w:sz w:val="24"/>
          <w:szCs w:val="28"/>
        </w:rPr>
      </w:pPr>
      <w:r>
        <w:rPr>
          <w:rFonts w:hint="eastAsia" w:ascii="宋体" w:hAnsi="宋体"/>
          <w:sz w:val="24"/>
          <w:szCs w:val="28"/>
        </w:rPr>
        <w:t>10.投标文件的正本和副本如有不一致之处，以正本为准.</w:t>
      </w:r>
    </w:p>
    <w:p>
      <w:pPr>
        <w:tabs>
          <w:tab w:val="left" w:pos="0"/>
          <w:tab w:val="left" w:pos="704"/>
        </w:tabs>
        <w:spacing w:line="360" w:lineRule="auto"/>
        <w:ind w:firstLine="480" w:firstLineChars="200"/>
        <w:rPr>
          <w:rFonts w:ascii="宋体" w:hAnsi="宋体"/>
          <w:sz w:val="24"/>
          <w:szCs w:val="28"/>
        </w:rPr>
      </w:pPr>
      <w:r>
        <w:rPr>
          <w:rFonts w:hint="eastAsia" w:ascii="宋体" w:hAnsi="宋体"/>
          <w:sz w:val="24"/>
          <w:szCs w:val="28"/>
        </w:rPr>
        <w:t>11.</w:t>
      </w:r>
      <w:r>
        <w:rPr>
          <w:rFonts w:hint="eastAsia" w:ascii="宋体" w:hAnsi="宋体"/>
          <w:color w:val="000000"/>
          <w:sz w:val="24"/>
        </w:rPr>
        <w:t xml:space="preserve"> 技术文件按要求编制，不得编制粗糙、不得缺漏项、不得格式混乱、不得条例不清、页数不得少于30页。</w:t>
      </w:r>
    </w:p>
    <w:p>
      <w:pPr>
        <w:tabs>
          <w:tab w:val="left" w:pos="525"/>
          <w:tab w:val="left" w:pos="1050"/>
        </w:tabs>
        <w:spacing w:line="360" w:lineRule="auto"/>
        <w:ind w:firstLine="480" w:firstLineChars="200"/>
        <w:rPr>
          <w:rFonts w:hint="eastAsia" w:ascii="宋体" w:hAnsi="宋体"/>
          <w:sz w:val="24"/>
        </w:rPr>
      </w:pPr>
      <w:r>
        <w:rPr>
          <w:rFonts w:hint="eastAsia" w:ascii="宋体" w:hAnsi="宋体"/>
          <w:sz w:val="24"/>
          <w:szCs w:val="28"/>
        </w:rPr>
        <w:t>12.投标费用自理。</w:t>
      </w:r>
    </w:p>
    <w:p>
      <w:pPr>
        <w:spacing w:line="360" w:lineRule="auto"/>
        <w:ind w:firstLine="241" w:firstLineChars="100"/>
        <w:outlineLvl w:val="0"/>
        <w:rPr>
          <w:b/>
          <w:sz w:val="24"/>
        </w:rPr>
      </w:pPr>
      <w:r>
        <w:rPr>
          <w:rFonts w:hint="eastAsia" w:ascii="宋体" w:hAnsi="宋体"/>
          <w:b/>
          <w:sz w:val="24"/>
        </w:rPr>
        <w:t>（八）无效投标文件的确认：</w:t>
      </w:r>
    </w:p>
    <w:p>
      <w:pPr>
        <w:spacing w:line="360" w:lineRule="auto"/>
        <w:ind w:firstLine="480" w:firstLineChars="200"/>
        <w:rPr>
          <w:rFonts w:hint="eastAsia" w:ascii="宋体" w:hAnsi="宋体"/>
          <w:sz w:val="24"/>
        </w:rPr>
      </w:pPr>
      <w:r>
        <w:rPr>
          <w:rFonts w:hint="eastAsia" w:ascii="宋体" w:hAnsi="宋体"/>
          <w:sz w:val="24"/>
        </w:rPr>
        <w:t>投标供应商有下列情况之一者，其投标文件无效：</w:t>
      </w:r>
    </w:p>
    <w:p>
      <w:pPr>
        <w:numPr>
          <w:ilvl w:val="0"/>
          <w:numId w:val="0"/>
        </w:numPr>
        <w:spacing w:line="360" w:lineRule="auto"/>
        <w:ind w:leftChars="0" w:firstLine="480" w:firstLineChars="200"/>
        <w:rPr>
          <w:rFonts w:hint="eastAsia"/>
          <w:color w:val="000000"/>
          <w:sz w:val="24"/>
        </w:rPr>
      </w:pPr>
      <w:r>
        <w:rPr>
          <w:rFonts w:hint="eastAsia" w:ascii="宋体" w:hAnsi="宋体"/>
          <w:color w:val="000000"/>
          <w:sz w:val="24"/>
          <w:lang w:val="en-US" w:eastAsia="zh-CN"/>
        </w:rPr>
        <w:t>1.</w:t>
      </w:r>
      <w:r>
        <w:rPr>
          <w:rFonts w:hint="eastAsia" w:ascii="宋体" w:hAnsi="宋体"/>
          <w:color w:val="000000"/>
          <w:sz w:val="24"/>
        </w:rPr>
        <w:t>未按规定缴纳投标保证金的；</w:t>
      </w:r>
    </w:p>
    <w:p>
      <w:pPr>
        <w:numPr>
          <w:ilvl w:val="0"/>
          <w:numId w:val="0"/>
        </w:numPr>
        <w:spacing w:line="360" w:lineRule="auto"/>
        <w:ind w:leftChars="0" w:firstLine="480" w:firstLineChars="200"/>
        <w:rPr>
          <w:rFonts w:hint="eastAsia"/>
          <w:color w:val="000000"/>
          <w:sz w:val="24"/>
        </w:rPr>
      </w:pPr>
      <w:r>
        <w:rPr>
          <w:rFonts w:hint="eastAsia" w:ascii="宋体" w:hAnsi="宋体"/>
          <w:color w:val="000000"/>
          <w:sz w:val="24"/>
          <w:lang w:val="en-US" w:eastAsia="zh-CN"/>
        </w:rPr>
        <w:t>2.</w:t>
      </w:r>
      <w:r>
        <w:rPr>
          <w:rFonts w:hint="eastAsia" w:ascii="宋体" w:hAnsi="宋体"/>
          <w:color w:val="000000"/>
          <w:sz w:val="24"/>
        </w:rPr>
        <w:t>投标文件未按规定的期限、地点送达的；</w:t>
      </w:r>
    </w:p>
    <w:p>
      <w:pPr>
        <w:numPr>
          <w:ilvl w:val="0"/>
          <w:numId w:val="0"/>
        </w:numPr>
        <w:spacing w:line="360" w:lineRule="auto"/>
        <w:ind w:leftChars="0" w:firstLine="480" w:firstLineChars="200"/>
        <w:rPr>
          <w:rFonts w:hint="eastAsia"/>
          <w:color w:val="000000"/>
          <w:sz w:val="24"/>
        </w:rPr>
      </w:pPr>
      <w:r>
        <w:rPr>
          <w:rFonts w:hint="eastAsia" w:ascii="宋体" w:hAnsi="宋体"/>
          <w:color w:val="000000"/>
          <w:sz w:val="24"/>
          <w:lang w:val="en-US" w:eastAsia="zh-CN"/>
        </w:rPr>
        <w:t>3.</w:t>
      </w:r>
      <w:r>
        <w:rPr>
          <w:rFonts w:hint="eastAsia" w:ascii="宋体" w:hAnsi="宋体"/>
          <w:color w:val="000000"/>
          <w:sz w:val="24"/>
        </w:rPr>
        <w:t>投标文件未按要求密封、签署、盖章的；</w:t>
      </w:r>
    </w:p>
    <w:p>
      <w:pPr>
        <w:numPr>
          <w:ilvl w:val="0"/>
          <w:numId w:val="0"/>
        </w:numPr>
        <w:spacing w:line="360" w:lineRule="auto"/>
        <w:ind w:leftChars="0" w:firstLine="480" w:firstLineChars="200"/>
        <w:rPr>
          <w:rFonts w:hint="eastAsia"/>
          <w:color w:val="000000"/>
          <w:sz w:val="24"/>
        </w:rPr>
      </w:pPr>
      <w:r>
        <w:rPr>
          <w:rFonts w:hint="eastAsia" w:ascii="宋体" w:hAnsi="宋体"/>
          <w:color w:val="000000"/>
          <w:sz w:val="24"/>
          <w:lang w:val="en-US" w:eastAsia="zh-CN"/>
        </w:rPr>
        <w:t>4.</w:t>
      </w:r>
      <w:r>
        <w:rPr>
          <w:rFonts w:hint="eastAsia" w:ascii="宋体" w:hAnsi="宋体"/>
          <w:color w:val="000000"/>
          <w:sz w:val="24"/>
        </w:rPr>
        <w:t>投标供应商的法定代表人或法定代表人授权代表，未准时参加投标会议的；</w:t>
      </w:r>
    </w:p>
    <w:p>
      <w:pPr>
        <w:numPr>
          <w:ilvl w:val="0"/>
          <w:numId w:val="0"/>
        </w:numPr>
        <w:spacing w:line="360" w:lineRule="auto"/>
        <w:ind w:leftChars="0" w:firstLine="480" w:firstLineChars="200"/>
        <w:rPr>
          <w:rFonts w:hint="eastAsia"/>
          <w:color w:val="000000"/>
          <w:sz w:val="24"/>
        </w:rPr>
      </w:pPr>
      <w:r>
        <w:rPr>
          <w:rFonts w:hint="eastAsia" w:ascii="宋体" w:hAnsi="宋体"/>
          <w:color w:val="000000"/>
          <w:sz w:val="24"/>
          <w:lang w:val="en-US" w:eastAsia="zh-CN"/>
        </w:rPr>
        <w:t>5.</w:t>
      </w:r>
      <w:r>
        <w:rPr>
          <w:rFonts w:hint="eastAsia" w:ascii="宋体" w:hAnsi="宋体"/>
          <w:color w:val="000000"/>
          <w:sz w:val="24"/>
        </w:rPr>
        <w:t>投标供应商的法定代表人授权代表无法定代表人授权委托书的；</w:t>
      </w:r>
    </w:p>
    <w:p>
      <w:pPr>
        <w:numPr>
          <w:ilvl w:val="0"/>
          <w:numId w:val="0"/>
        </w:numPr>
        <w:spacing w:line="360" w:lineRule="auto"/>
        <w:ind w:leftChars="0" w:firstLine="480" w:firstLineChars="200"/>
        <w:rPr>
          <w:rFonts w:hint="eastAsia"/>
          <w:color w:val="000000"/>
          <w:sz w:val="24"/>
        </w:rPr>
      </w:pPr>
      <w:r>
        <w:rPr>
          <w:rFonts w:hint="eastAsia"/>
          <w:color w:val="000000"/>
          <w:sz w:val="24"/>
          <w:lang w:val="en-US" w:eastAsia="zh-CN"/>
        </w:rPr>
        <w:t>6.</w:t>
      </w:r>
      <w:r>
        <w:rPr>
          <w:rFonts w:hint="eastAsia"/>
          <w:color w:val="000000"/>
          <w:sz w:val="24"/>
        </w:rPr>
        <w:t>投标供应商被列入失信被执行人、重大税收违法案件当事人名单、政府采购严重违法失信行为记录名单及其他不符合《中华人民共和国政府采购法》第二十二条规定条件的；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不具备</w:t>
      </w:r>
      <w:r>
        <w:rPr>
          <w:rFonts w:hint="eastAsia" w:ascii="宋体" w:hAnsi="宋体"/>
          <w:color w:val="000000"/>
          <w:sz w:val="24"/>
          <w:lang w:val="en-US" w:eastAsia="zh-CN"/>
        </w:rPr>
        <w:t>采购</w:t>
      </w:r>
      <w:r>
        <w:rPr>
          <w:rFonts w:hint="eastAsia" w:ascii="宋体" w:hAnsi="宋体"/>
          <w:color w:val="000000"/>
          <w:sz w:val="24"/>
        </w:rPr>
        <w:t>文件中规定的资格、资信要求及未按</w:t>
      </w:r>
      <w:r>
        <w:rPr>
          <w:rFonts w:hint="eastAsia" w:ascii="宋体" w:hAnsi="宋体"/>
          <w:color w:val="000000"/>
          <w:sz w:val="24"/>
          <w:lang w:val="en-US" w:eastAsia="zh-CN"/>
        </w:rPr>
        <w:t>采购</w:t>
      </w:r>
      <w:r>
        <w:rPr>
          <w:rFonts w:hint="eastAsia" w:ascii="宋体" w:hAnsi="宋体"/>
          <w:color w:val="000000"/>
          <w:sz w:val="24"/>
        </w:rPr>
        <w:t>文件规定的要求提供资格、资信证明文件的；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8.</w:t>
      </w:r>
      <w:r>
        <w:rPr>
          <w:rFonts w:hint="eastAsia" w:ascii="宋体" w:hAnsi="宋体"/>
          <w:color w:val="000000"/>
          <w:sz w:val="24"/>
        </w:rPr>
        <w:t>投标文件未按</w:t>
      </w:r>
      <w:r>
        <w:rPr>
          <w:rFonts w:hint="eastAsia" w:ascii="宋体" w:hAnsi="宋体"/>
          <w:color w:val="000000"/>
          <w:sz w:val="24"/>
          <w:lang w:val="en-US" w:eastAsia="zh-CN"/>
        </w:rPr>
        <w:t>采购</w:t>
      </w:r>
      <w:r>
        <w:rPr>
          <w:rFonts w:hint="eastAsia" w:ascii="宋体" w:hAnsi="宋体"/>
          <w:color w:val="000000"/>
          <w:sz w:val="24"/>
        </w:rPr>
        <w:t>文件规定的格式、内容和要求填写、制作的；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9.</w:t>
      </w:r>
      <w:r>
        <w:rPr>
          <w:rFonts w:hint="eastAsia" w:ascii="宋体" w:hAnsi="宋体"/>
          <w:color w:val="000000"/>
          <w:sz w:val="24"/>
        </w:rPr>
        <w:t>投标文件书写潦草、字迹模糊不清、无法辨认的；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10.</w:t>
      </w:r>
      <w:r>
        <w:rPr>
          <w:rFonts w:hint="eastAsia" w:ascii="宋体" w:hAnsi="宋体"/>
          <w:color w:val="000000"/>
          <w:sz w:val="24"/>
        </w:rPr>
        <w:t>投标文件含有</w:t>
      </w:r>
      <w:r>
        <w:rPr>
          <w:rFonts w:hint="eastAsia" w:ascii="宋体" w:hAnsi="宋体"/>
          <w:color w:val="000000"/>
          <w:sz w:val="24"/>
          <w:lang w:val="en-US" w:eastAsia="zh-CN"/>
        </w:rPr>
        <w:t>采购</w:t>
      </w:r>
      <w:r>
        <w:rPr>
          <w:rFonts w:hint="eastAsia" w:ascii="宋体" w:hAnsi="宋体"/>
          <w:color w:val="000000"/>
          <w:sz w:val="24"/>
        </w:rPr>
        <w:t>文件未允许提供的选择性内容的；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11.</w:t>
      </w:r>
      <w:r>
        <w:rPr>
          <w:rFonts w:hint="eastAsia" w:ascii="宋体" w:hAnsi="宋体"/>
          <w:color w:val="000000"/>
          <w:sz w:val="24"/>
        </w:rPr>
        <w:t>投标文件含有采购人不能接受的附加条件的；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12.</w:t>
      </w:r>
      <w:r>
        <w:rPr>
          <w:rFonts w:hint="eastAsia" w:ascii="宋体" w:hAnsi="宋体"/>
          <w:color w:val="000000"/>
          <w:sz w:val="24"/>
        </w:rPr>
        <w:t>提供虚假材料的（包括工商营业执照、财务报表、资格、资信证明文件等）；</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13.</w:t>
      </w:r>
      <w:r>
        <w:rPr>
          <w:rFonts w:hint="eastAsia" w:ascii="宋体" w:hAnsi="宋体"/>
          <w:color w:val="000000"/>
          <w:sz w:val="24"/>
        </w:rPr>
        <w:t>投标文件未加盖投标供应商公章及法定代表人或授权代表签字或盖章的；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14.</w:t>
      </w:r>
      <w:r>
        <w:rPr>
          <w:rFonts w:hint="eastAsia" w:ascii="宋体" w:hAnsi="宋体"/>
          <w:color w:val="000000"/>
          <w:sz w:val="24"/>
        </w:rPr>
        <w:t>投标供应商未遵循公平竞争的原则，恶意串通，妨碍其他投标供应商的竞争行为，损害采购人或者其他投标供应商的合法权益的。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15.</w:t>
      </w:r>
      <w:r>
        <w:rPr>
          <w:rFonts w:hint="eastAsia" w:ascii="宋体" w:hAnsi="宋体"/>
          <w:color w:val="000000"/>
          <w:sz w:val="24"/>
        </w:rPr>
        <w:t>不同投标供应商的投标文件的装订形式、纸张情况、目录序号、排版格式、文字风格等存在明显的相似性或一致性，特征显示由同一单位或者同一个人编制的；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16.</w:t>
      </w:r>
      <w:r>
        <w:rPr>
          <w:rFonts w:hint="eastAsia" w:ascii="宋体" w:hAnsi="宋体"/>
          <w:color w:val="000000"/>
          <w:sz w:val="24"/>
        </w:rPr>
        <w:t>不同投标供应商委托同一单位或者个人办理投标事宜的；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17.</w:t>
      </w:r>
      <w:r>
        <w:rPr>
          <w:rFonts w:hint="eastAsia" w:ascii="宋体" w:hAnsi="宋体"/>
          <w:color w:val="000000"/>
          <w:sz w:val="24"/>
        </w:rPr>
        <w:t>不同投标供应商投标文件载明的项目管理成员或者联系人员为同一人的；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18.</w:t>
      </w:r>
      <w:r>
        <w:rPr>
          <w:rFonts w:hint="eastAsia" w:ascii="宋体" w:hAnsi="宋体"/>
          <w:color w:val="000000"/>
          <w:sz w:val="24"/>
        </w:rPr>
        <w:t>不同投标供应商的投标文件内容存在非正常一致、项目组成员出现同一人、投标文件中错误（或异常）一致或雷同、电子文档信息一致或雷同的；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19.</w:t>
      </w:r>
      <w:r>
        <w:rPr>
          <w:rFonts w:hint="eastAsia" w:ascii="宋体" w:hAnsi="宋体"/>
          <w:color w:val="000000"/>
          <w:sz w:val="24"/>
        </w:rPr>
        <w:t>不同投标供应商报价细目呈明显规律性变化，或恶意串通其他投标供应商，故意哄抬价格或压价的；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20.</w:t>
      </w:r>
      <w:r>
        <w:rPr>
          <w:rFonts w:hint="eastAsia" w:ascii="宋体" w:hAnsi="宋体"/>
          <w:color w:val="000000"/>
          <w:sz w:val="24"/>
        </w:rPr>
        <w:t>不同投标供应商投标文件相互混装的；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21.</w:t>
      </w:r>
      <w:r>
        <w:rPr>
          <w:rFonts w:hint="eastAsia" w:ascii="宋体" w:hAnsi="宋体"/>
          <w:color w:val="000000"/>
          <w:sz w:val="24"/>
        </w:rPr>
        <w:t>不同投标供应商投标保证金从同一单位或者个人的账户转出的。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22.</w:t>
      </w:r>
      <w:r>
        <w:rPr>
          <w:rFonts w:hint="eastAsia" w:ascii="宋体" w:hAnsi="宋体"/>
          <w:color w:val="000000"/>
          <w:sz w:val="24"/>
        </w:rPr>
        <w:t>不同投标供应商聘请同一人为其投标提供技术或经济咨询服务的；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23.</w:t>
      </w:r>
      <w:r>
        <w:rPr>
          <w:rFonts w:hint="eastAsia" w:ascii="宋体" w:hAnsi="宋体"/>
          <w:color w:val="000000"/>
          <w:sz w:val="24"/>
        </w:rPr>
        <w:t>不同投标供应商的单位负责人为同一人或者存在直接控股、管理关系的；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24.</w:t>
      </w:r>
      <w:r>
        <w:rPr>
          <w:rFonts w:hint="eastAsia" w:ascii="宋体" w:hAnsi="宋体"/>
          <w:color w:val="000000"/>
          <w:sz w:val="24"/>
        </w:rPr>
        <w:t>不同投标供应商的委托代理人、项目负责人以及其他相关人员有在同一个单位缴纳社会保险的；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25.</w:t>
      </w:r>
      <w:r>
        <w:rPr>
          <w:rFonts w:hint="eastAsia" w:ascii="宋体" w:hAnsi="宋体"/>
          <w:color w:val="000000"/>
          <w:sz w:val="24"/>
        </w:rPr>
        <w:t>同一投标文件中单位名称落款与公章不是同一单位的；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26.</w:t>
      </w:r>
      <w:r>
        <w:rPr>
          <w:rFonts w:hint="eastAsia" w:ascii="宋体" w:hAnsi="宋体"/>
          <w:color w:val="000000"/>
          <w:sz w:val="24"/>
        </w:rPr>
        <w:t>投标供应商为本项目提供规范编制或者项目管理、检测等服务的；</w:t>
      </w:r>
    </w:p>
    <w:p>
      <w:pPr>
        <w:numPr>
          <w:ilvl w:val="0"/>
          <w:numId w:val="0"/>
        </w:numPr>
        <w:tabs>
          <w:tab w:val="left" w:pos="425"/>
        </w:tabs>
        <w:spacing w:line="360" w:lineRule="auto"/>
        <w:ind w:leftChars="0" w:firstLine="480" w:firstLineChars="200"/>
        <w:rPr>
          <w:rFonts w:hint="eastAsia" w:ascii="宋体" w:hAnsi="宋体"/>
          <w:color w:val="000000"/>
          <w:sz w:val="24"/>
        </w:rPr>
      </w:pPr>
      <w:r>
        <w:rPr>
          <w:rFonts w:hint="eastAsia" w:ascii="宋体" w:hAnsi="宋体"/>
          <w:color w:val="000000"/>
          <w:sz w:val="24"/>
          <w:lang w:val="en-US" w:eastAsia="zh-CN"/>
        </w:rPr>
        <w:t>27.</w:t>
      </w:r>
      <w:r>
        <w:rPr>
          <w:rFonts w:hint="eastAsia" w:ascii="宋体" w:hAnsi="宋体"/>
          <w:color w:val="000000"/>
          <w:sz w:val="24"/>
        </w:rPr>
        <w:t>超过</w:t>
      </w:r>
      <w:r>
        <w:rPr>
          <w:rFonts w:hint="eastAsia" w:ascii="宋体" w:hAnsi="宋体"/>
          <w:color w:val="000000"/>
          <w:sz w:val="24"/>
          <w:lang w:val="en-US" w:eastAsia="zh-CN"/>
        </w:rPr>
        <w:t>采购</w:t>
      </w:r>
      <w:r>
        <w:rPr>
          <w:rFonts w:hint="eastAsia" w:ascii="宋体" w:hAnsi="宋体"/>
          <w:color w:val="000000"/>
          <w:sz w:val="24"/>
        </w:rPr>
        <w:t>文件规定的最高限价的；</w:t>
      </w:r>
    </w:p>
    <w:p>
      <w:pPr>
        <w:numPr>
          <w:ilvl w:val="0"/>
          <w:numId w:val="0"/>
        </w:numPr>
        <w:tabs>
          <w:tab w:val="left" w:pos="425"/>
        </w:tabs>
        <w:spacing w:line="360" w:lineRule="auto"/>
        <w:ind w:leftChars="0" w:firstLine="480" w:firstLineChars="200"/>
        <w:rPr>
          <w:rFonts w:hint="eastAsia" w:ascii="宋体" w:hAnsi="宋体"/>
          <w:color w:val="000000"/>
          <w:sz w:val="24"/>
          <w:lang w:val="en-US" w:eastAsia="zh-CN"/>
        </w:rPr>
      </w:pPr>
      <w:r>
        <w:rPr>
          <w:rFonts w:hint="eastAsia" w:ascii="宋体" w:hAnsi="宋体"/>
          <w:color w:val="000000"/>
          <w:sz w:val="24"/>
          <w:lang w:val="en-US" w:eastAsia="zh-CN"/>
        </w:rPr>
        <w:t>28.未按要求提供技术文件，技术文件编制粗糙、缺漏项、格式混乱、条例不清、页数少于30页的；</w:t>
      </w:r>
    </w:p>
    <w:p>
      <w:pPr>
        <w:numPr>
          <w:ilvl w:val="0"/>
          <w:numId w:val="0"/>
        </w:numPr>
        <w:tabs>
          <w:tab w:val="left" w:pos="425"/>
        </w:tabs>
        <w:spacing w:line="360" w:lineRule="auto"/>
        <w:ind w:leftChars="0" w:firstLine="480" w:firstLineChars="200"/>
        <w:rPr>
          <w:rFonts w:hint="eastAsia" w:ascii="宋体" w:hAnsi="宋体"/>
          <w:color w:val="000000"/>
          <w:sz w:val="24"/>
          <w:lang w:val="en-US" w:eastAsia="zh-CN"/>
        </w:rPr>
      </w:pPr>
      <w:r>
        <w:rPr>
          <w:rFonts w:hint="eastAsia" w:ascii="宋体" w:hAnsi="宋体"/>
          <w:color w:val="000000"/>
          <w:sz w:val="24"/>
          <w:lang w:val="en-US" w:eastAsia="zh-CN"/>
        </w:rPr>
        <w:t>29.</w:t>
      </w:r>
      <w:r>
        <w:rPr>
          <w:rFonts w:hint="eastAsia" w:ascii="宋体" w:hAnsi="宋体"/>
          <w:color w:val="000000"/>
          <w:sz w:val="24"/>
        </w:rPr>
        <w:t>投标供应商</w:t>
      </w:r>
      <w:r>
        <w:rPr>
          <w:rFonts w:hint="eastAsia" w:ascii="宋体" w:hAnsi="宋体"/>
          <w:color w:val="000000"/>
          <w:sz w:val="24"/>
          <w:lang w:val="en-US" w:eastAsia="zh-CN"/>
        </w:rPr>
        <w:t>未按要求提供样品的；</w:t>
      </w:r>
    </w:p>
    <w:p>
      <w:pPr>
        <w:numPr>
          <w:ilvl w:val="0"/>
          <w:numId w:val="0"/>
        </w:numPr>
        <w:tabs>
          <w:tab w:val="left" w:pos="425"/>
        </w:tabs>
        <w:spacing w:line="360" w:lineRule="auto"/>
        <w:ind w:leftChars="0" w:firstLine="480" w:firstLineChars="200"/>
        <w:rPr>
          <w:rFonts w:hint="eastAsia" w:ascii="宋体" w:hAnsi="宋体"/>
          <w:color w:val="000000"/>
          <w:sz w:val="24"/>
          <w:lang w:val="en-US" w:eastAsia="zh-CN"/>
        </w:rPr>
      </w:pPr>
      <w:r>
        <w:rPr>
          <w:rFonts w:hint="eastAsia" w:ascii="宋体" w:hAnsi="宋体"/>
          <w:color w:val="000000"/>
          <w:sz w:val="24"/>
          <w:lang w:val="en-US" w:eastAsia="zh-CN"/>
        </w:rPr>
        <w:t>30.未按要求提供电子光盘或光盘内容不全的；</w:t>
      </w:r>
    </w:p>
    <w:p>
      <w:pPr>
        <w:numPr>
          <w:ilvl w:val="0"/>
          <w:numId w:val="0"/>
        </w:numPr>
        <w:tabs>
          <w:tab w:val="left" w:pos="425"/>
        </w:tabs>
        <w:spacing w:line="360" w:lineRule="auto"/>
        <w:ind w:leftChars="0" w:firstLine="480" w:firstLineChars="200"/>
        <w:rPr>
          <w:rFonts w:hint="eastAsia" w:ascii="宋体" w:hAnsi="宋体"/>
          <w:color w:val="000000"/>
          <w:sz w:val="24"/>
          <w:lang w:val="en-US" w:eastAsia="zh-CN"/>
        </w:rPr>
      </w:pPr>
      <w:r>
        <w:rPr>
          <w:rFonts w:hint="eastAsia" w:ascii="宋体" w:hAnsi="宋体"/>
          <w:color w:val="000000"/>
          <w:sz w:val="24"/>
          <w:lang w:val="en-US" w:eastAsia="zh-CN"/>
        </w:rPr>
        <w:t>31.投标报价畸高或畸低，但投标总报价与各分项报价不能相互对应，在询标时没有合理的解释或者不能提供计算依据和报价依据的；</w:t>
      </w:r>
    </w:p>
    <w:p>
      <w:pPr>
        <w:numPr>
          <w:ilvl w:val="0"/>
          <w:numId w:val="0"/>
        </w:numPr>
        <w:tabs>
          <w:tab w:val="left" w:pos="425"/>
        </w:tabs>
        <w:spacing w:line="360" w:lineRule="auto"/>
        <w:ind w:leftChars="0" w:firstLine="480" w:firstLineChars="200"/>
        <w:rPr>
          <w:rFonts w:hint="eastAsia" w:ascii="宋体" w:hAnsi="宋体"/>
          <w:color w:val="000000"/>
          <w:sz w:val="24"/>
          <w:lang w:val="en-US" w:eastAsia="zh-CN"/>
        </w:rPr>
      </w:pPr>
      <w:r>
        <w:rPr>
          <w:rFonts w:hint="eastAsia" w:ascii="宋体" w:hAnsi="宋体"/>
          <w:color w:val="000000"/>
          <w:sz w:val="24"/>
          <w:lang w:val="en-US" w:eastAsia="zh-CN"/>
        </w:rPr>
        <w:t>32.投标报价明显低于其他通过符合性审查投标人的报价，且投标人不能证明其报价合理性，不能在合理的时间内提供书面说明及提交相关证明材料，有可能影响产品质量或者不能诚信履约的；</w:t>
      </w:r>
    </w:p>
    <w:p>
      <w:pPr>
        <w:numPr>
          <w:ilvl w:val="0"/>
          <w:numId w:val="0"/>
        </w:numPr>
        <w:tabs>
          <w:tab w:val="left" w:pos="425"/>
        </w:tabs>
        <w:spacing w:line="360" w:lineRule="auto"/>
        <w:ind w:leftChars="0" w:firstLine="480" w:firstLineChars="200"/>
        <w:rPr>
          <w:rFonts w:hint="eastAsia" w:ascii="宋体" w:hAnsi="宋体"/>
          <w:color w:val="000000"/>
          <w:sz w:val="24"/>
          <w:lang w:val="en-US" w:eastAsia="zh-CN"/>
        </w:rPr>
      </w:pPr>
      <w:r>
        <w:rPr>
          <w:rFonts w:hint="eastAsia" w:ascii="宋体" w:hAnsi="宋体"/>
          <w:color w:val="000000"/>
          <w:sz w:val="24"/>
          <w:lang w:val="en-US" w:eastAsia="zh-CN"/>
        </w:rPr>
        <w:t>33.投标文件报价出现前后不一致且投标供应商对修正后的报价不确认的；</w:t>
      </w:r>
    </w:p>
    <w:p>
      <w:pPr>
        <w:numPr>
          <w:ilvl w:val="0"/>
          <w:numId w:val="0"/>
        </w:numPr>
        <w:tabs>
          <w:tab w:val="left" w:pos="425"/>
        </w:tabs>
        <w:spacing w:line="360" w:lineRule="auto"/>
        <w:ind w:leftChars="0" w:firstLine="480" w:firstLineChars="200"/>
        <w:rPr>
          <w:rFonts w:hint="eastAsia" w:ascii="宋体" w:hAnsi="宋体"/>
          <w:color w:val="000000"/>
          <w:sz w:val="24"/>
          <w:lang w:val="en-US" w:eastAsia="zh-CN"/>
        </w:rPr>
      </w:pPr>
      <w:r>
        <w:rPr>
          <w:rFonts w:hint="eastAsia" w:ascii="宋体" w:hAnsi="宋体"/>
          <w:color w:val="000000"/>
          <w:sz w:val="24"/>
          <w:lang w:val="en-US" w:eastAsia="zh-CN"/>
        </w:rPr>
        <w:t>34.未通过初步资格性审查、投标文件资格性检查、 投标文件符合性检查的；</w:t>
      </w:r>
    </w:p>
    <w:p>
      <w:pPr>
        <w:numPr>
          <w:ilvl w:val="0"/>
          <w:numId w:val="0"/>
        </w:numPr>
        <w:tabs>
          <w:tab w:val="left" w:pos="425"/>
        </w:tabs>
        <w:spacing w:line="360" w:lineRule="auto"/>
        <w:ind w:leftChars="0" w:firstLine="480" w:firstLineChars="200"/>
        <w:rPr>
          <w:rFonts w:hint="eastAsia" w:ascii="宋体" w:hAnsi="宋体"/>
          <w:color w:val="000000"/>
          <w:sz w:val="24"/>
          <w:lang w:val="en-US" w:eastAsia="zh-CN"/>
        </w:rPr>
      </w:pPr>
      <w:r>
        <w:rPr>
          <w:rFonts w:hint="eastAsia" w:ascii="宋体" w:hAnsi="宋体"/>
          <w:color w:val="000000"/>
          <w:sz w:val="24"/>
          <w:lang w:val="en-US" w:eastAsia="zh-CN"/>
        </w:rPr>
        <w:t>35.投标文件内容不全或不符合法律法规和采购文件中规定的其他实质性要求的。</w:t>
      </w:r>
    </w:p>
    <w:p>
      <w:pPr>
        <w:spacing w:line="360" w:lineRule="auto"/>
        <w:ind w:left="-2" w:leftChars="-1" w:firstLine="422" w:firstLineChars="175"/>
        <w:outlineLvl w:val="0"/>
        <w:rPr>
          <w:b/>
          <w:sz w:val="24"/>
        </w:rPr>
      </w:pPr>
      <w:r>
        <w:rPr>
          <w:rFonts w:hint="eastAsia" w:ascii="宋体" w:hAnsi="宋体"/>
          <w:b/>
          <w:sz w:val="24"/>
        </w:rPr>
        <w:t>（</w:t>
      </w:r>
      <w:r>
        <w:rPr>
          <w:rFonts w:hint="eastAsia" w:ascii="宋体" w:hAnsi="宋体"/>
          <w:b/>
          <w:sz w:val="24"/>
          <w:lang w:eastAsia="zh-CN"/>
        </w:rPr>
        <w:t>九</w:t>
      </w:r>
      <w:r>
        <w:rPr>
          <w:rFonts w:hint="eastAsia" w:ascii="宋体" w:hAnsi="宋体"/>
          <w:b/>
          <w:sz w:val="24"/>
        </w:rPr>
        <w:t>） 开标、评标：</w:t>
      </w:r>
    </w:p>
    <w:p>
      <w:pPr>
        <w:keepNext w:val="0"/>
        <w:keepLines w:val="0"/>
        <w:pageBreakBefore w:val="0"/>
        <w:tabs>
          <w:tab w:val="left" w:pos="105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1.</w:t>
      </w:r>
      <w:r>
        <w:rPr>
          <w:rFonts w:hint="eastAsia" w:ascii="宋体" w:hAnsi="宋体"/>
          <w:color w:val="auto"/>
          <w:sz w:val="24"/>
          <w:highlight w:val="none"/>
        </w:rPr>
        <w:t>由专家及采购人代表组成评标委员会，并实行回避制度</w:t>
      </w:r>
      <w:r>
        <w:rPr>
          <w:rFonts w:hint="eastAsia" w:ascii="宋体" w:hAnsi="宋体"/>
          <w:bCs/>
          <w:color w:val="auto"/>
          <w:sz w:val="24"/>
          <w:highlight w:val="none"/>
        </w:rPr>
        <w:t>。</w:t>
      </w:r>
    </w:p>
    <w:p>
      <w:pPr>
        <w:keepNext w:val="0"/>
        <w:keepLines w:val="0"/>
        <w:pageBreakBefore w:val="0"/>
        <w:tabs>
          <w:tab w:val="left" w:pos="105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szCs w:val="24"/>
          <w:highlight w:val="none"/>
        </w:rPr>
      </w:pPr>
      <w:r>
        <w:rPr>
          <w:rFonts w:hint="eastAsia" w:ascii="宋体" w:hAnsi="宋体"/>
          <w:bCs/>
          <w:color w:val="auto"/>
          <w:sz w:val="24"/>
          <w:highlight w:val="none"/>
          <w:lang w:val="en-US" w:eastAsia="zh-CN"/>
        </w:rPr>
        <w:t>2.</w:t>
      </w:r>
      <w:r>
        <w:rPr>
          <w:rFonts w:hint="eastAsia" w:ascii="宋体" w:hAnsi="宋体"/>
          <w:bCs/>
          <w:color w:val="auto"/>
          <w:sz w:val="24"/>
          <w:szCs w:val="24"/>
          <w:highlight w:val="none"/>
        </w:rPr>
        <w:t>投标文件的出现不一致情形的处理：</w:t>
      </w:r>
    </w:p>
    <w:p>
      <w:pPr>
        <w:keepNext w:val="0"/>
        <w:keepLines w:val="0"/>
        <w:pageBreakBefore w:val="0"/>
        <w:numPr>
          <w:ilvl w:val="0"/>
          <w:numId w:val="0"/>
        </w:numPr>
        <w:kinsoku/>
        <w:wordWrap/>
        <w:overflowPunct/>
        <w:topLinePunct w:val="0"/>
        <w:autoSpaceDE/>
        <w:autoSpaceDN/>
        <w:bidi w:val="0"/>
        <w:spacing w:line="360" w:lineRule="auto"/>
        <w:ind w:leftChars="0" w:firstLine="480" w:firstLineChars="200"/>
        <w:jc w:val="left"/>
        <w:textAlignment w:val="auto"/>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lang w:eastAsia="zh-CN"/>
        </w:rPr>
        <w:t>（</w:t>
      </w:r>
      <w:r>
        <w:rPr>
          <w:rFonts w:hint="eastAsia" w:ascii="宋体" w:hAnsi="宋体" w:cs="宋体"/>
          <w:color w:val="auto"/>
          <w:kern w:val="0"/>
          <w:sz w:val="24"/>
          <w:szCs w:val="22"/>
          <w:highlight w:val="none"/>
          <w:lang w:val="en-US" w:eastAsia="zh-CN"/>
        </w:rPr>
        <w:t>1</w:t>
      </w:r>
      <w:r>
        <w:rPr>
          <w:rFonts w:hint="eastAsia" w:ascii="宋体" w:hAnsi="宋体" w:cs="宋体"/>
          <w:color w:val="auto"/>
          <w:kern w:val="0"/>
          <w:sz w:val="24"/>
          <w:szCs w:val="22"/>
          <w:highlight w:val="none"/>
          <w:lang w:eastAsia="zh-CN"/>
        </w:rPr>
        <w:t>）</w:t>
      </w:r>
      <w:r>
        <w:rPr>
          <w:rFonts w:hint="eastAsia" w:ascii="宋体" w:hAnsi="宋体" w:cs="宋体"/>
          <w:color w:val="auto"/>
          <w:kern w:val="0"/>
          <w:sz w:val="24"/>
          <w:szCs w:val="22"/>
          <w:highlight w:val="none"/>
        </w:rPr>
        <w:t>投标文件的纸质文件,正本与副本不符，以正本为准</w:t>
      </w:r>
    </w:p>
    <w:p>
      <w:pPr>
        <w:keepNext w:val="0"/>
        <w:keepLines w:val="0"/>
        <w:pageBreakBefore w:val="0"/>
        <w:numPr>
          <w:ilvl w:val="0"/>
          <w:numId w:val="0"/>
        </w:numPr>
        <w:kinsoku/>
        <w:wordWrap/>
        <w:overflowPunct/>
        <w:topLinePunct w:val="0"/>
        <w:autoSpaceDE/>
        <w:autoSpaceDN/>
        <w:bidi w:val="0"/>
        <w:spacing w:line="360" w:lineRule="auto"/>
        <w:ind w:leftChars="0" w:firstLine="480" w:firstLineChars="200"/>
        <w:jc w:val="left"/>
        <w:textAlignment w:val="auto"/>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lang w:eastAsia="zh-CN"/>
        </w:rPr>
        <w:t>（</w:t>
      </w:r>
      <w:r>
        <w:rPr>
          <w:rFonts w:hint="eastAsia" w:ascii="宋体" w:hAnsi="宋体" w:cs="宋体"/>
          <w:color w:val="auto"/>
          <w:kern w:val="0"/>
          <w:sz w:val="24"/>
          <w:szCs w:val="22"/>
          <w:highlight w:val="none"/>
          <w:lang w:val="en-US" w:eastAsia="zh-CN"/>
        </w:rPr>
        <w:t>2</w:t>
      </w:r>
      <w:r>
        <w:rPr>
          <w:rFonts w:hint="eastAsia" w:ascii="宋体" w:hAnsi="宋体" w:cs="宋体"/>
          <w:color w:val="auto"/>
          <w:kern w:val="0"/>
          <w:sz w:val="24"/>
          <w:szCs w:val="22"/>
          <w:highlight w:val="none"/>
          <w:lang w:eastAsia="zh-CN"/>
        </w:rPr>
        <w:t>）</w:t>
      </w:r>
      <w:r>
        <w:rPr>
          <w:rFonts w:hint="eastAsia" w:ascii="宋体" w:hAnsi="宋体" w:cs="宋体"/>
          <w:color w:val="auto"/>
          <w:kern w:val="0"/>
          <w:sz w:val="24"/>
          <w:szCs w:val="22"/>
          <w:highlight w:val="none"/>
        </w:rPr>
        <w:t>报价：</w:t>
      </w:r>
    </w:p>
    <w:p>
      <w:pPr>
        <w:keepNext w:val="0"/>
        <w:keepLines w:val="0"/>
        <w:pageBreakBefore w:val="0"/>
        <w:numPr>
          <w:ilvl w:val="0"/>
          <w:numId w:val="0"/>
        </w:numPr>
        <w:tabs>
          <w:tab w:val="left" w:pos="630"/>
          <w:tab w:val="left" w:pos="1155"/>
          <w:tab w:val="left" w:pos="1320"/>
          <w:tab w:val="left" w:pos="136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fldChar w:fldCharType="begin"/>
      </w:r>
      <w:r>
        <w:rPr>
          <w:rFonts w:hint="eastAsia" w:ascii="宋体" w:hAnsi="宋体"/>
          <w:bCs/>
          <w:color w:val="auto"/>
          <w:sz w:val="24"/>
          <w:highlight w:val="none"/>
        </w:rPr>
        <w:instrText xml:space="preserve"> = 1 \* GB3 \* MERGEFORMAT </w:instrText>
      </w:r>
      <w:r>
        <w:rPr>
          <w:rFonts w:hint="eastAsia" w:ascii="宋体" w:hAnsi="宋体"/>
          <w:bCs/>
          <w:color w:val="auto"/>
          <w:sz w:val="24"/>
          <w:highlight w:val="none"/>
        </w:rPr>
        <w:fldChar w:fldCharType="separate"/>
      </w:r>
      <w:r>
        <w:rPr>
          <w:rFonts w:hint="eastAsia" w:ascii="宋体" w:hAnsi="宋体"/>
          <w:bCs/>
          <w:color w:val="auto"/>
          <w:sz w:val="24"/>
          <w:highlight w:val="none"/>
        </w:rPr>
        <w:t>①</w:t>
      </w:r>
      <w:r>
        <w:rPr>
          <w:rFonts w:hint="eastAsia" w:ascii="宋体" w:hAnsi="宋体"/>
          <w:bCs/>
          <w:color w:val="auto"/>
          <w:sz w:val="24"/>
          <w:highlight w:val="none"/>
        </w:rPr>
        <w:fldChar w:fldCharType="end"/>
      </w:r>
      <w:r>
        <w:rPr>
          <w:rFonts w:hint="eastAsia" w:ascii="宋体" w:hAnsi="宋体"/>
          <w:bCs/>
          <w:color w:val="auto"/>
          <w:sz w:val="24"/>
          <w:highlight w:val="none"/>
        </w:rPr>
        <w:t>投标文件中开标一览表（报价表）内容与投标文件中相应内容不一致的，以开标一览表（报价表）为准；</w:t>
      </w:r>
    </w:p>
    <w:p>
      <w:pPr>
        <w:keepNext w:val="0"/>
        <w:keepLines w:val="0"/>
        <w:pageBreakBefore w:val="0"/>
        <w:numPr>
          <w:ilvl w:val="0"/>
          <w:numId w:val="0"/>
        </w:numPr>
        <w:tabs>
          <w:tab w:val="left" w:pos="630"/>
          <w:tab w:val="left" w:pos="1155"/>
          <w:tab w:val="left" w:pos="1320"/>
          <w:tab w:val="left" w:pos="136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fldChar w:fldCharType="begin"/>
      </w:r>
      <w:r>
        <w:rPr>
          <w:rFonts w:hint="eastAsia" w:ascii="宋体" w:hAnsi="宋体"/>
          <w:bCs/>
          <w:color w:val="auto"/>
          <w:sz w:val="24"/>
          <w:highlight w:val="none"/>
        </w:rPr>
        <w:instrText xml:space="preserve"> = 2 \* GB3 \* MERGEFORMAT </w:instrText>
      </w:r>
      <w:r>
        <w:rPr>
          <w:rFonts w:hint="eastAsia" w:ascii="宋体" w:hAnsi="宋体"/>
          <w:bCs/>
          <w:color w:val="auto"/>
          <w:sz w:val="24"/>
          <w:highlight w:val="none"/>
        </w:rPr>
        <w:fldChar w:fldCharType="separate"/>
      </w:r>
      <w:r>
        <w:rPr>
          <w:rFonts w:hint="eastAsia" w:ascii="宋体" w:hAnsi="宋体"/>
          <w:bCs/>
          <w:color w:val="auto"/>
          <w:sz w:val="24"/>
          <w:highlight w:val="none"/>
        </w:rPr>
        <w:t>②</w:t>
      </w:r>
      <w:r>
        <w:rPr>
          <w:rFonts w:hint="eastAsia" w:ascii="宋体" w:hAnsi="宋体"/>
          <w:bCs/>
          <w:color w:val="auto"/>
          <w:sz w:val="24"/>
          <w:highlight w:val="none"/>
        </w:rPr>
        <w:fldChar w:fldCharType="end"/>
      </w:r>
      <w:r>
        <w:rPr>
          <w:rFonts w:hint="eastAsia" w:ascii="宋体" w:hAnsi="宋体"/>
          <w:bCs/>
          <w:color w:val="auto"/>
          <w:sz w:val="24"/>
          <w:highlight w:val="none"/>
        </w:rPr>
        <w:t>大写金额和小写金额不一致的，以大写金额为准；</w:t>
      </w:r>
    </w:p>
    <w:p>
      <w:pPr>
        <w:keepNext w:val="0"/>
        <w:keepLines w:val="0"/>
        <w:pageBreakBefore w:val="0"/>
        <w:numPr>
          <w:ilvl w:val="0"/>
          <w:numId w:val="0"/>
        </w:numPr>
        <w:tabs>
          <w:tab w:val="left" w:pos="630"/>
          <w:tab w:val="left" w:pos="1155"/>
          <w:tab w:val="left" w:pos="1320"/>
          <w:tab w:val="left" w:pos="136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fldChar w:fldCharType="begin"/>
      </w:r>
      <w:r>
        <w:rPr>
          <w:rFonts w:hint="eastAsia" w:ascii="宋体" w:hAnsi="宋体"/>
          <w:bCs/>
          <w:color w:val="auto"/>
          <w:sz w:val="24"/>
          <w:highlight w:val="none"/>
        </w:rPr>
        <w:instrText xml:space="preserve"> = 3 \* GB3 \* MERGEFORMAT </w:instrText>
      </w:r>
      <w:r>
        <w:rPr>
          <w:rFonts w:hint="eastAsia" w:ascii="宋体" w:hAnsi="宋体"/>
          <w:bCs/>
          <w:color w:val="auto"/>
          <w:sz w:val="24"/>
          <w:highlight w:val="none"/>
        </w:rPr>
        <w:fldChar w:fldCharType="separate"/>
      </w:r>
      <w:r>
        <w:rPr>
          <w:rFonts w:hint="eastAsia" w:ascii="宋体" w:hAnsi="宋体"/>
          <w:bCs/>
          <w:color w:val="auto"/>
          <w:sz w:val="24"/>
          <w:highlight w:val="none"/>
        </w:rPr>
        <w:t>③</w:t>
      </w:r>
      <w:r>
        <w:rPr>
          <w:rFonts w:hint="eastAsia" w:ascii="宋体" w:hAnsi="宋体"/>
          <w:bCs/>
          <w:color w:val="auto"/>
          <w:sz w:val="24"/>
          <w:highlight w:val="none"/>
        </w:rPr>
        <w:fldChar w:fldCharType="end"/>
      </w:r>
      <w:r>
        <w:rPr>
          <w:rFonts w:hint="eastAsia" w:ascii="宋体" w:hAnsi="宋体"/>
          <w:bCs/>
          <w:color w:val="auto"/>
          <w:sz w:val="24"/>
          <w:highlight w:val="none"/>
        </w:rPr>
        <w:t>单价金额小数点或者百分比有明显错位的，以开标一览表的总价为准，并修改单价；</w:t>
      </w:r>
    </w:p>
    <w:p>
      <w:pPr>
        <w:keepNext w:val="0"/>
        <w:keepLines w:val="0"/>
        <w:pageBreakBefore w:val="0"/>
        <w:numPr>
          <w:ilvl w:val="0"/>
          <w:numId w:val="0"/>
        </w:numPr>
        <w:tabs>
          <w:tab w:val="left" w:pos="630"/>
          <w:tab w:val="left" w:pos="1155"/>
          <w:tab w:val="left" w:pos="1320"/>
          <w:tab w:val="left" w:pos="136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lang w:val="en-US" w:eastAsia="zh-CN"/>
        </w:rPr>
      </w:pPr>
      <w:r>
        <w:rPr>
          <w:rFonts w:hint="eastAsia" w:ascii="宋体" w:hAnsi="宋体"/>
          <w:bCs/>
          <w:color w:val="auto"/>
          <w:sz w:val="24"/>
          <w:highlight w:val="none"/>
        </w:rPr>
        <w:fldChar w:fldCharType="begin"/>
      </w:r>
      <w:r>
        <w:rPr>
          <w:rFonts w:hint="eastAsia" w:ascii="宋体" w:hAnsi="宋体"/>
          <w:bCs/>
          <w:color w:val="auto"/>
          <w:sz w:val="24"/>
          <w:highlight w:val="none"/>
        </w:rPr>
        <w:instrText xml:space="preserve"> = 4 \* GB3 \* MERGEFORMAT </w:instrText>
      </w:r>
      <w:r>
        <w:rPr>
          <w:rFonts w:hint="eastAsia" w:ascii="宋体" w:hAnsi="宋体"/>
          <w:bCs/>
          <w:color w:val="auto"/>
          <w:sz w:val="24"/>
          <w:highlight w:val="none"/>
        </w:rPr>
        <w:fldChar w:fldCharType="separate"/>
      </w:r>
      <w:r>
        <w:rPr>
          <w:rFonts w:hint="eastAsia" w:ascii="宋体" w:hAnsi="宋体"/>
          <w:bCs/>
          <w:color w:val="auto"/>
          <w:sz w:val="24"/>
          <w:highlight w:val="none"/>
        </w:rPr>
        <w:t>④</w:t>
      </w:r>
      <w:r>
        <w:rPr>
          <w:rFonts w:hint="eastAsia" w:ascii="宋体" w:hAnsi="宋体"/>
          <w:bCs/>
          <w:color w:val="auto"/>
          <w:sz w:val="24"/>
          <w:highlight w:val="none"/>
        </w:rPr>
        <w:fldChar w:fldCharType="end"/>
      </w:r>
      <w:r>
        <w:rPr>
          <w:rFonts w:hint="eastAsia" w:ascii="宋体" w:hAnsi="宋体"/>
          <w:bCs/>
          <w:color w:val="auto"/>
          <w:sz w:val="24"/>
          <w:highlight w:val="none"/>
        </w:rPr>
        <w:t>总价金额与按单价汇总金额不一致的，以单价金额计算结果为准；</w:t>
      </w:r>
      <w:r>
        <w:rPr>
          <w:rFonts w:hint="eastAsia" w:ascii="宋体" w:hAnsi="宋体"/>
          <w:bCs/>
          <w:color w:val="auto"/>
          <w:sz w:val="24"/>
          <w:highlight w:val="none"/>
          <w:lang w:val="en-US" w:eastAsia="zh-CN"/>
        </w:rPr>
        <w:t xml:space="preserve"> </w:t>
      </w:r>
    </w:p>
    <w:p>
      <w:pPr>
        <w:keepNext w:val="0"/>
        <w:keepLines w:val="0"/>
        <w:pageBreakBefore w:val="0"/>
        <w:numPr>
          <w:ilvl w:val="0"/>
          <w:numId w:val="0"/>
        </w:numPr>
        <w:tabs>
          <w:tab w:val="left" w:pos="630"/>
          <w:tab w:val="left" w:pos="1155"/>
          <w:tab w:val="left" w:pos="1320"/>
          <w:tab w:val="left" w:pos="136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fldChar w:fldCharType="begin"/>
      </w:r>
      <w:r>
        <w:rPr>
          <w:rFonts w:hint="eastAsia" w:ascii="宋体" w:hAnsi="宋体"/>
          <w:bCs/>
          <w:color w:val="auto"/>
          <w:sz w:val="24"/>
          <w:highlight w:val="none"/>
        </w:rPr>
        <w:instrText xml:space="preserve"> = 5 \* GB3 \* MERGEFORMAT </w:instrText>
      </w:r>
      <w:r>
        <w:rPr>
          <w:rFonts w:hint="eastAsia" w:ascii="宋体" w:hAnsi="宋体"/>
          <w:bCs/>
          <w:color w:val="auto"/>
          <w:sz w:val="24"/>
          <w:highlight w:val="none"/>
        </w:rPr>
        <w:fldChar w:fldCharType="separate"/>
      </w:r>
      <w:r>
        <w:rPr>
          <w:rFonts w:hint="eastAsia" w:ascii="宋体" w:hAnsi="宋体"/>
          <w:bCs/>
          <w:color w:val="auto"/>
          <w:sz w:val="24"/>
          <w:highlight w:val="none"/>
        </w:rPr>
        <w:t>⑤</w:t>
      </w:r>
      <w:r>
        <w:rPr>
          <w:rFonts w:hint="eastAsia" w:ascii="宋体" w:hAnsi="宋体"/>
          <w:bCs/>
          <w:color w:val="auto"/>
          <w:sz w:val="24"/>
          <w:highlight w:val="none"/>
        </w:rPr>
        <w:fldChar w:fldCharType="end"/>
      </w:r>
      <w:r>
        <w:rPr>
          <w:rFonts w:hint="eastAsia" w:ascii="宋体" w:hAnsi="宋体"/>
          <w:bCs/>
          <w:color w:val="auto"/>
          <w:sz w:val="24"/>
          <w:highlight w:val="none"/>
        </w:rPr>
        <w:t>商务标和技术标的纸质文件,正本与副本不符，以正本为准。</w:t>
      </w:r>
    </w:p>
    <w:p>
      <w:pPr>
        <w:keepNext w:val="0"/>
        <w:keepLines w:val="0"/>
        <w:pageBreakBefore w:val="0"/>
        <w:tabs>
          <w:tab w:val="left" w:pos="1050"/>
        </w:tabs>
        <w:kinsoku/>
        <w:wordWrap/>
        <w:overflowPunct/>
        <w:topLinePunct w:val="0"/>
        <w:autoSpaceDE/>
        <w:autoSpaceDN/>
        <w:bidi w:val="0"/>
        <w:spacing w:line="360" w:lineRule="auto"/>
        <w:ind w:firstLine="482" w:firstLineChars="200"/>
        <w:textAlignment w:val="auto"/>
        <w:rPr>
          <w:rFonts w:hint="eastAsia" w:ascii="Arial" w:hAnsi="Arial" w:cs="Arial"/>
          <w:b/>
          <w:bCs/>
          <w:color w:val="auto"/>
          <w:kern w:val="0"/>
          <w:sz w:val="24"/>
          <w:highlight w:val="none"/>
        </w:rPr>
      </w:pPr>
      <w:r>
        <w:rPr>
          <w:rFonts w:ascii="Arial" w:hAnsi="Arial" w:cs="Arial"/>
          <w:b/>
          <w:bCs/>
          <w:color w:val="auto"/>
          <w:kern w:val="0"/>
          <w:sz w:val="24"/>
          <w:highlight w:val="none"/>
        </w:rPr>
        <w:t>同时出现两种以上不一致的，按照前款规定的顺序修正。修正后的报价应当采用书面形式，并加盖公章，或者由法定代表人或其授权的代表签字。</w:t>
      </w:r>
      <w:r>
        <w:rPr>
          <w:rFonts w:hint="eastAsia" w:ascii="Arial" w:hAnsi="Arial" w:cs="Arial"/>
          <w:b/>
          <w:bCs/>
          <w:color w:val="auto"/>
          <w:kern w:val="0"/>
          <w:sz w:val="24"/>
          <w:highlight w:val="none"/>
          <w:lang w:eastAsia="zh-CN"/>
        </w:rPr>
        <w:t>投标供应商</w:t>
      </w:r>
      <w:r>
        <w:rPr>
          <w:rFonts w:ascii="Arial" w:hAnsi="Arial" w:cs="Arial"/>
          <w:b/>
          <w:bCs/>
          <w:color w:val="auto"/>
          <w:kern w:val="0"/>
          <w:sz w:val="24"/>
          <w:highlight w:val="none"/>
        </w:rPr>
        <w:t>的澄清、说明或者补正不得超出投标文件的范围或者改变投标文件的实质性内容</w:t>
      </w:r>
      <w:r>
        <w:rPr>
          <w:rFonts w:hint="eastAsia" w:ascii="Arial" w:hAnsi="Arial" w:cs="Arial"/>
          <w:b/>
          <w:bCs/>
          <w:color w:val="auto"/>
          <w:kern w:val="0"/>
          <w:sz w:val="24"/>
          <w:highlight w:val="none"/>
        </w:rPr>
        <w:t>。</w:t>
      </w:r>
    </w:p>
    <w:p>
      <w:pPr>
        <w:keepNext w:val="0"/>
        <w:keepLines w:val="0"/>
        <w:pageBreakBefore w:val="0"/>
        <w:tabs>
          <w:tab w:val="left" w:pos="1050"/>
        </w:tabs>
        <w:kinsoku/>
        <w:wordWrap/>
        <w:overflowPunct/>
        <w:topLinePunct w:val="0"/>
        <w:autoSpaceDE/>
        <w:autoSpaceDN/>
        <w:bidi w:val="0"/>
        <w:spacing w:line="360" w:lineRule="auto"/>
        <w:textAlignment w:val="auto"/>
        <w:rPr>
          <w:rFonts w:hint="eastAsia" w:ascii="宋体" w:hAnsi="宋体"/>
          <w:bCs/>
          <w:color w:val="auto"/>
          <w:sz w:val="24"/>
          <w:highlight w:val="none"/>
        </w:rPr>
      </w:pPr>
      <w:r>
        <w:rPr>
          <w:rFonts w:hint="eastAsia" w:ascii="Arial" w:hAnsi="Arial" w:cs="Arial"/>
          <w:b/>
          <w:bCs/>
          <w:color w:val="auto"/>
          <w:kern w:val="0"/>
          <w:sz w:val="24"/>
          <w:highlight w:val="none"/>
        </w:rPr>
        <w:t>上述事宜</w:t>
      </w:r>
      <w:r>
        <w:rPr>
          <w:rFonts w:ascii="Arial" w:hAnsi="Arial" w:cs="Arial"/>
          <w:b/>
          <w:bCs/>
          <w:color w:val="auto"/>
          <w:kern w:val="0"/>
          <w:sz w:val="24"/>
          <w:highlight w:val="none"/>
        </w:rPr>
        <w:t>经</w:t>
      </w:r>
      <w:r>
        <w:rPr>
          <w:rFonts w:hint="eastAsia" w:ascii="Arial" w:hAnsi="Arial" w:cs="Arial"/>
          <w:b/>
          <w:bCs/>
          <w:color w:val="auto"/>
          <w:kern w:val="0"/>
          <w:sz w:val="24"/>
          <w:highlight w:val="none"/>
          <w:lang w:eastAsia="zh-CN"/>
        </w:rPr>
        <w:t>投标供应商</w:t>
      </w:r>
      <w:r>
        <w:rPr>
          <w:rFonts w:ascii="Arial" w:hAnsi="Arial" w:cs="Arial"/>
          <w:b/>
          <w:bCs/>
          <w:color w:val="auto"/>
          <w:kern w:val="0"/>
          <w:sz w:val="24"/>
          <w:highlight w:val="none"/>
        </w:rPr>
        <w:t>确认后产生约束力，</w:t>
      </w:r>
      <w:r>
        <w:rPr>
          <w:rFonts w:hint="eastAsia" w:ascii="Arial" w:hAnsi="Arial" w:cs="Arial"/>
          <w:b/>
          <w:bCs/>
          <w:color w:val="auto"/>
          <w:kern w:val="0"/>
          <w:sz w:val="24"/>
          <w:highlight w:val="none"/>
          <w:lang w:eastAsia="zh-CN"/>
        </w:rPr>
        <w:t>投标供应商</w:t>
      </w:r>
      <w:r>
        <w:rPr>
          <w:rFonts w:ascii="Arial" w:hAnsi="Arial" w:cs="Arial"/>
          <w:b/>
          <w:bCs/>
          <w:color w:val="auto"/>
          <w:kern w:val="0"/>
          <w:sz w:val="24"/>
          <w:highlight w:val="none"/>
        </w:rPr>
        <w:t>不确认的，其投标无效</w:t>
      </w:r>
      <w:r>
        <w:rPr>
          <w:rFonts w:ascii="Arial" w:hAnsi="Arial" w:cs="Arial"/>
          <w:color w:val="auto"/>
          <w:kern w:val="0"/>
          <w:sz w:val="24"/>
          <w:highlight w:val="none"/>
        </w:rPr>
        <w:t>。</w:t>
      </w:r>
    </w:p>
    <w:p>
      <w:pPr>
        <w:keepNext w:val="0"/>
        <w:keepLines w:val="0"/>
        <w:pageBreakBefore w:val="0"/>
        <w:tabs>
          <w:tab w:val="left" w:pos="525"/>
          <w:tab w:val="left" w:pos="840"/>
          <w:tab w:val="left" w:pos="105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3. 开标工作程序</w:t>
      </w:r>
    </w:p>
    <w:p>
      <w:pPr>
        <w:keepNext w:val="0"/>
        <w:keepLines w:val="0"/>
        <w:pageBreakBefore w:val="0"/>
        <w:tabs>
          <w:tab w:val="left" w:pos="840"/>
          <w:tab w:val="left" w:pos="105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 xml:space="preserve"> 3.1 密封性检查</w:t>
      </w:r>
      <w:r>
        <w:rPr>
          <w:rFonts w:ascii="宋体" w:hAnsi="宋体"/>
          <w:bCs/>
          <w:color w:val="auto"/>
          <w:sz w:val="24"/>
          <w:highlight w:val="none"/>
        </w:rPr>
        <w:t>:</w:t>
      </w:r>
    </w:p>
    <w:p>
      <w:pPr>
        <w:keepNext w:val="0"/>
        <w:keepLines w:val="0"/>
        <w:pageBreakBefore w:val="0"/>
        <w:tabs>
          <w:tab w:val="left" w:pos="840"/>
          <w:tab w:val="left" w:pos="1050"/>
        </w:tabs>
        <w:kinsoku/>
        <w:wordWrap/>
        <w:overflowPunct/>
        <w:topLinePunct w:val="0"/>
        <w:autoSpaceDE/>
        <w:autoSpaceDN/>
        <w:bidi w:val="0"/>
        <w:spacing w:line="360" w:lineRule="auto"/>
        <w:ind w:firstLine="628" w:firstLineChars="262"/>
        <w:textAlignment w:val="auto"/>
        <w:rPr>
          <w:rFonts w:hint="eastAsia"/>
          <w:color w:val="auto"/>
          <w:sz w:val="24"/>
          <w:highlight w:val="none"/>
        </w:rPr>
      </w:pPr>
      <w:r>
        <w:rPr>
          <w:rFonts w:hint="eastAsia" w:ascii="宋体" w:hAnsi="宋体"/>
          <w:color w:val="auto"/>
          <w:sz w:val="24"/>
          <w:highlight w:val="none"/>
        </w:rPr>
        <w:t>由投标供应商或其推选的代表检查投标文件的密封、签署、盖章情况，也可以由公证人员检查并公证；</w:t>
      </w:r>
    </w:p>
    <w:p>
      <w:pPr>
        <w:keepNext w:val="0"/>
        <w:keepLines w:val="0"/>
        <w:pageBreakBefore w:val="0"/>
        <w:tabs>
          <w:tab w:val="left" w:pos="840"/>
          <w:tab w:val="left" w:pos="1050"/>
        </w:tabs>
        <w:kinsoku/>
        <w:wordWrap/>
        <w:overflowPunct/>
        <w:topLinePunct w:val="0"/>
        <w:autoSpaceDE/>
        <w:autoSpaceDN/>
        <w:bidi w:val="0"/>
        <w:spacing w:line="360" w:lineRule="auto"/>
        <w:ind w:firstLine="628" w:firstLineChars="262"/>
        <w:textAlignment w:val="auto"/>
        <w:rPr>
          <w:rFonts w:hint="eastAsia"/>
          <w:color w:val="auto"/>
          <w:sz w:val="24"/>
          <w:highlight w:val="none"/>
        </w:rPr>
      </w:pPr>
      <w:r>
        <w:rPr>
          <w:rFonts w:hint="eastAsia" w:ascii="宋体" w:hAnsi="宋体"/>
          <w:color w:val="auto"/>
          <w:sz w:val="24"/>
          <w:highlight w:val="none"/>
        </w:rPr>
        <w:t>3.2初步资格性审查：</w:t>
      </w:r>
    </w:p>
    <w:p>
      <w:pPr>
        <w:keepNext w:val="0"/>
        <w:keepLines w:val="0"/>
        <w:pageBreakBefore w:val="0"/>
        <w:tabs>
          <w:tab w:val="left" w:pos="840"/>
          <w:tab w:val="left" w:pos="1050"/>
        </w:tabs>
        <w:kinsoku/>
        <w:wordWrap/>
        <w:overflowPunct/>
        <w:topLinePunct w:val="0"/>
        <w:autoSpaceDE/>
        <w:autoSpaceDN/>
        <w:bidi w:val="0"/>
        <w:spacing w:line="360" w:lineRule="auto"/>
        <w:ind w:firstLine="628" w:firstLineChars="262"/>
        <w:textAlignment w:val="auto"/>
        <w:rPr>
          <w:rFonts w:hint="eastAsia"/>
          <w:color w:val="auto"/>
          <w:sz w:val="24"/>
          <w:highlight w:val="none"/>
        </w:rPr>
      </w:pPr>
      <w:r>
        <w:rPr>
          <w:rFonts w:hint="eastAsia" w:ascii="宋体" w:hAnsi="宋体"/>
          <w:color w:val="auto"/>
          <w:sz w:val="24"/>
          <w:highlight w:val="none"/>
        </w:rPr>
        <w:t>由工作人员在公证或</w:t>
      </w:r>
      <w:r>
        <w:rPr>
          <w:rFonts w:hint="eastAsia" w:ascii="宋体" w:hAnsi="宋体"/>
          <w:color w:val="auto"/>
          <w:sz w:val="24"/>
          <w:highlight w:val="none"/>
          <w:lang w:val="en-US" w:eastAsia="zh-CN"/>
        </w:rPr>
        <w:t>采购人</w:t>
      </w:r>
      <w:r>
        <w:rPr>
          <w:rFonts w:hint="eastAsia" w:ascii="宋体" w:hAnsi="宋体"/>
          <w:color w:val="auto"/>
          <w:sz w:val="24"/>
          <w:highlight w:val="none"/>
        </w:rPr>
        <w:t>监督下进行。审查内容有：</w:t>
      </w:r>
    </w:p>
    <w:p>
      <w:pPr>
        <w:keepNext w:val="0"/>
        <w:keepLines w:val="0"/>
        <w:pageBreakBefore w:val="0"/>
        <w:tabs>
          <w:tab w:val="left" w:pos="840"/>
          <w:tab w:val="left" w:pos="1050"/>
        </w:tabs>
        <w:kinsoku/>
        <w:wordWrap/>
        <w:overflowPunct/>
        <w:topLinePunct w:val="0"/>
        <w:autoSpaceDE/>
        <w:autoSpaceDN/>
        <w:bidi w:val="0"/>
        <w:spacing w:line="360" w:lineRule="auto"/>
        <w:ind w:firstLine="628" w:firstLineChars="262"/>
        <w:textAlignment w:val="auto"/>
        <w:rPr>
          <w:rFonts w:hint="eastAsia"/>
          <w:color w:val="auto"/>
          <w:sz w:val="24"/>
          <w:highlight w:val="none"/>
        </w:rPr>
      </w:pPr>
      <w:r>
        <w:rPr>
          <w:rFonts w:hint="eastAsia" w:ascii="宋体" w:hAnsi="宋体"/>
          <w:color w:val="auto"/>
          <w:sz w:val="24"/>
          <w:highlight w:val="none"/>
        </w:rPr>
        <w:t>3.2.1 投标供应商是否按规定缴纳投标保证金；</w:t>
      </w:r>
    </w:p>
    <w:p>
      <w:pPr>
        <w:keepNext w:val="0"/>
        <w:keepLines w:val="0"/>
        <w:pageBreakBefore w:val="0"/>
        <w:tabs>
          <w:tab w:val="left" w:pos="840"/>
          <w:tab w:val="left" w:pos="1050"/>
        </w:tabs>
        <w:kinsoku/>
        <w:wordWrap/>
        <w:overflowPunct/>
        <w:topLinePunct w:val="0"/>
        <w:autoSpaceDE/>
        <w:autoSpaceDN/>
        <w:bidi w:val="0"/>
        <w:spacing w:line="360" w:lineRule="auto"/>
        <w:ind w:firstLine="628" w:firstLineChars="262"/>
        <w:textAlignment w:val="auto"/>
        <w:rPr>
          <w:rFonts w:hint="eastAsia"/>
          <w:color w:val="auto"/>
          <w:sz w:val="24"/>
          <w:highlight w:val="none"/>
        </w:rPr>
      </w:pPr>
      <w:r>
        <w:rPr>
          <w:rFonts w:hint="eastAsia" w:ascii="宋体" w:hAnsi="宋体"/>
          <w:color w:val="auto"/>
          <w:sz w:val="24"/>
          <w:highlight w:val="none"/>
        </w:rPr>
        <w:t>3.2.2 投标供应商的投标文件是否在规定的期限、地点送达；</w:t>
      </w:r>
    </w:p>
    <w:p>
      <w:pPr>
        <w:keepNext w:val="0"/>
        <w:keepLines w:val="0"/>
        <w:pageBreakBefore w:val="0"/>
        <w:tabs>
          <w:tab w:val="left" w:pos="840"/>
          <w:tab w:val="left" w:pos="1050"/>
        </w:tabs>
        <w:kinsoku/>
        <w:wordWrap/>
        <w:overflowPunct/>
        <w:topLinePunct w:val="0"/>
        <w:autoSpaceDE/>
        <w:autoSpaceDN/>
        <w:bidi w:val="0"/>
        <w:spacing w:line="360" w:lineRule="auto"/>
        <w:ind w:firstLine="628" w:firstLineChars="262"/>
        <w:textAlignment w:val="auto"/>
        <w:rPr>
          <w:rFonts w:hint="eastAsia"/>
          <w:color w:val="auto"/>
          <w:sz w:val="24"/>
          <w:highlight w:val="none"/>
        </w:rPr>
      </w:pPr>
      <w:r>
        <w:rPr>
          <w:rFonts w:hint="eastAsia" w:ascii="宋体" w:hAnsi="宋体"/>
          <w:color w:val="auto"/>
          <w:sz w:val="24"/>
          <w:highlight w:val="none"/>
        </w:rPr>
        <w:t>3.2.3投标供应商的法定代表人或负责人或授权代表是否准时参加开标会议；</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color w:val="auto"/>
          <w:sz w:val="24"/>
          <w:highlight w:val="none"/>
        </w:rPr>
        <w:t>3.2.4 投标供应商的法定代表人授权代表是否提供有效的身份证明和法定代表人授权委托书。</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3.3  唱标：</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3.3.1  经初步资格性审查确认无误后的明标投标文件，由工作人员在公证员公证</w:t>
      </w:r>
      <w:r>
        <w:rPr>
          <w:rFonts w:hint="eastAsia" w:ascii="宋体" w:hAnsi="宋体"/>
          <w:bCs/>
          <w:color w:val="auto"/>
          <w:sz w:val="24"/>
          <w:highlight w:val="none"/>
          <w:lang w:val="en-US" w:eastAsia="zh-CN"/>
        </w:rPr>
        <w:t>或</w:t>
      </w:r>
      <w:r>
        <w:rPr>
          <w:rFonts w:hint="eastAsia" w:ascii="宋体" w:hAnsi="宋体"/>
          <w:bCs/>
          <w:color w:val="auto"/>
          <w:sz w:val="24"/>
          <w:highlight w:val="none"/>
        </w:rPr>
        <w:t>采购人监督下，当众拆封交唱标人唱标。</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3.3.2  唱标内容仅涉及响应函和投标报价文件。</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ascii="宋体" w:hAnsi="宋体"/>
          <w:bCs/>
          <w:color w:val="auto"/>
          <w:sz w:val="24"/>
          <w:highlight w:val="none"/>
        </w:rPr>
      </w:pPr>
      <w:r>
        <w:rPr>
          <w:rFonts w:hint="eastAsia" w:ascii="宋体" w:hAnsi="宋体"/>
          <w:bCs/>
          <w:color w:val="auto"/>
          <w:sz w:val="24"/>
          <w:highlight w:val="none"/>
        </w:rPr>
        <w:t>3.</w:t>
      </w:r>
      <w:r>
        <w:rPr>
          <w:rFonts w:hint="eastAsia" w:ascii="宋体" w:hAnsi="宋体"/>
          <w:bCs/>
          <w:color w:val="auto"/>
          <w:sz w:val="24"/>
          <w:highlight w:val="none"/>
          <w:lang w:val="en-US" w:eastAsia="zh-CN"/>
        </w:rPr>
        <w:t>4</w:t>
      </w:r>
      <w:r>
        <w:rPr>
          <w:rFonts w:hint="eastAsia" w:ascii="宋体" w:hAnsi="宋体"/>
          <w:bCs/>
          <w:color w:val="auto"/>
          <w:sz w:val="24"/>
          <w:highlight w:val="none"/>
        </w:rPr>
        <w:t>唱标结束，</w:t>
      </w:r>
      <w:r>
        <w:rPr>
          <w:rFonts w:hint="eastAsia" w:ascii="宋体" w:hAnsi="宋体"/>
          <w:bCs/>
          <w:color w:val="auto"/>
          <w:sz w:val="24"/>
          <w:highlight w:val="none"/>
          <w:lang w:eastAsia="zh-CN"/>
        </w:rPr>
        <w:t>投标供应商</w:t>
      </w:r>
      <w:r>
        <w:rPr>
          <w:rFonts w:hint="eastAsia" w:ascii="宋体" w:hAnsi="宋体"/>
          <w:bCs/>
          <w:color w:val="auto"/>
          <w:sz w:val="24"/>
          <w:highlight w:val="none"/>
        </w:rPr>
        <w:t>退场。</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3.</w:t>
      </w:r>
      <w:r>
        <w:rPr>
          <w:rFonts w:hint="eastAsia" w:ascii="宋体" w:hAnsi="宋体"/>
          <w:bCs/>
          <w:color w:val="auto"/>
          <w:sz w:val="24"/>
          <w:highlight w:val="none"/>
          <w:lang w:val="en-US" w:eastAsia="zh-CN"/>
        </w:rPr>
        <w:t>5</w:t>
      </w:r>
      <w:r>
        <w:rPr>
          <w:rFonts w:hint="eastAsia" w:ascii="宋体" w:hAnsi="宋体"/>
          <w:bCs/>
          <w:color w:val="auto"/>
          <w:sz w:val="24"/>
          <w:highlight w:val="none"/>
        </w:rPr>
        <w:t>采购人或采购代理机构在开标前通过</w:t>
      </w:r>
      <w:r>
        <w:rPr>
          <w:rFonts w:hint="eastAsia" w:ascii="宋体" w:hAnsi="宋体"/>
          <w:color w:val="auto"/>
          <w:sz w:val="24"/>
          <w:highlight w:val="none"/>
        </w:rPr>
        <w:t>“信用中国”网站（www.creditchina.gov.cn）、中国政府采购网（www.ccgp.gov.cn）、“信用中国（江苏）”（ http://www.jscredit.gov.cn/）</w:t>
      </w:r>
      <w:r>
        <w:rPr>
          <w:rFonts w:hint="eastAsia" w:ascii="宋体" w:hAnsi="宋体"/>
          <w:bCs/>
          <w:color w:val="auto"/>
          <w:sz w:val="24"/>
          <w:highlight w:val="none"/>
        </w:rPr>
        <w:t>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3.</w:t>
      </w:r>
      <w:r>
        <w:rPr>
          <w:rFonts w:hint="eastAsia" w:ascii="宋体" w:hAnsi="宋体"/>
          <w:bCs/>
          <w:color w:val="auto"/>
          <w:sz w:val="24"/>
          <w:highlight w:val="none"/>
          <w:lang w:val="en-US" w:eastAsia="zh-CN"/>
        </w:rPr>
        <w:t>6</w:t>
      </w:r>
      <w:r>
        <w:rPr>
          <w:rFonts w:hint="eastAsia" w:ascii="宋体" w:hAnsi="宋体"/>
          <w:bCs/>
          <w:color w:val="auto"/>
          <w:sz w:val="24"/>
          <w:highlight w:val="none"/>
        </w:rPr>
        <w:t>对投标文件进行基础性数据分析和整理工作(清标)</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3.</w:t>
      </w:r>
      <w:r>
        <w:rPr>
          <w:rFonts w:hint="eastAsia" w:ascii="宋体" w:hAnsi="宋体"/>
          <w:bCs/>
          <w:color w:val="auto"/>
          <w:sz w:val="24"/>
          <w:highlight w:val="none"/>
          <w:lang w:val="en-US" w:eastAsia="zh-CN"/>
        </w:rPr>
        <w:t>6</w:t>
      </w:r>
      <w:r>
        <w:rPr>
          <w:rFonts w:hint="eastAsia" w:ascii="宋体" w:hAnsi="宋体"/>
          <w:bCs/>
          <w:color w:val="auto"/>
          <w:sz w:val="24"/>
          <w:highlight w:val="none"/>
        </w:rPr>
        <w:t>.1在不改变</w:t>
      </w:r>
      <w:r>
        <w:rPr>
          <w:rFonts w:hint="eastAsia" w:ascii="宋体" w:hAnsi="宋体"/>
          <w:bCs/>
          <w:color w:val="auto"/>
          <w:sz w:val="24"/>
          <w:highlight w:val="none"/>
          <w:lang w:eastAsia="zh-CN"/>
        </w:rPr>
        <w:t>投标供应商</w:t>
      </w:r>
      <w:r>
        <w:rPr>
          <w:rFonts w:hint="eastAsia" w:ascii="宋体" w:hAnsi="宋体"/>
          <w:bCs/>
          <w:color w:val="auto"/>
          <w:sz w:val="24"/>
          <w:highlight w:val="none"/>
        </w:rPr>
        <w:t>投标文件实质性内容的前提下，评标委员会应当对投标文件进行基础性数据分析和整理(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w:t>
      </w:r>
      <w:r>
        <w:rPr>
          <w:rFonts w:hint="eastAsia" w:ascii="宋体" w:hAnsi="宋体"/>
          <w:bCs/>
          <w:color w:val="auto"/>
          <w:sz w:val="24"/>
          <w:highlight w:val="none"/>
          <w:lang w:eastAsia="zh-CN"/>
        </w:rPr>
        <w:t>投标供应商</w:t>
      </w:r>
      <w:r>
        <w:rPr>
          <w:rFonts w:hint="eastAsia" w:ascii="宋体" w:hAnsi="宋体"/>
          <w:bCs/>
          <w:color w:val="auto"/>
          <w:sz w:val="24"/>
          <w:highlight w:val="none"/>
        </w:rPr>
        <w:t>进行澄清、说明或补正的问题，形成质疑问卷，向</w:t>
      </w:r>
      <w:r>
        <w:rPr>
          <w:rFonts w:hint="eastAsia" w:ascii="宋体" w:hAnsi="宋体"/>
          <w:bCs/>
          <w:color w:val="auto"/>
          <w:sz w:val="24"/>
          <w:highlight w:val="none"/>
          <w:lang w:eastAsia="zh-CN"/>
        </w:rPr>
        <w:t>投标供应商</w:t>
      </w:r>
      <w:r>
        <w:rPr>
          <w:rFonts w:hint="eastAsia" w:ascii="宋体" w:hAnsi="宋体"/>
          <w:bCs/>
          <w:color w:val="auto"/>
          <w:sz w:val="24"/>
          <w:highlight w:val="none"/>
        </w:rPr>
        <w:t>发出问题澄清通知(包括质疑问卷)。</w:t>
      </w:r>
    </w:p>
    <w:p>
      <w:pPr>
        <w:keepNext w:val="0"/>
        <w:keepLines w:val="0"/>
        <w:pageBreakBefore w:val="0"/>
        <w:tabs>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3.</w:t>
      </w:r>
      <w:r>
        <w:rPr>
          <w:rFonts w:hint="eastAsia" w:ascii="宋体" w:hAnsi="宋体"/>
          <w:bCs/>
          <w:color w:val="auto"/>
          <w:sz w:val="24"/>
          <w:highlight w:val="none"/>
          <w:lang w:val="en-US" w:eastAsia="zh-CN"/>
        </w:rPr>
        <w:t>6</w:t>
      </w:r>
      <w:r>
        <w:rPr>
          <w:rFonts w:hint="eastAsia" w:ascii="宋体" w:hAnsi="宋体"/>
          <w:bCs/>
          <w:color w:val="auto"/>
          <w:sz w:val="24"/>
          <w:highlight w:val="none"/>
        </w:rPr>
        <w:t>.2</w:t>
      </w:r>
      <w:r>
        <w:rPr>
          <w:rFonts w:hint="eastAsia" w:ascii="宋体" w:hAnsi="宋体"/>
          <w:bCs/>
          <w:color w:val="auto"/>
          <w:sz w:val="24"/>
          <w:highlight w:val="none"/>
          <w:lang w:eastAsia="zh-CN"/>
        </w:rPr>
        <w:t>投标供应商</w:t>
      </w:r>
      <w:r>
        <w:rPr>
          <w:rFonts w:hint="eastAsia" w:ascii="宋体" w:hAnsi="宋体"/>
          <w:bCs/>
          <w:color w:val="auto"/>
          <w:sz w:val="24"/>
          <w:highlight w:val="none"/>
        </w:rPr>
        <w:t>接到评标委员会发出的问题澄清通知后，应按评标委员会的要求提供澄清资料并在规定的时间递交。否则视为“不按评标委员会要求澄清、说明或补正”，按无效投标文件处理。</w:t>
      </w:r>
    </w:p>
    <w:p>
      <w:pPr>
        <w:keepNext w:val="0"/>
        <w:keepLines w:val="0"/>
        <w:pageBreakBefore w:val="0"/>
        <w:tabs>
          <w:tab w:val="left" w:pos="525"/>
          <w:tab w:val="left" w:pos="840"/>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4．</w:t>
      </w:r>
      <w:r>
        <w:rPr>
          <w:rFonts w:ascii="宋体" w:hAnsi="宋体"/>
          <w:bCs/>
          <w:color w:val="auto"/>
          <w:sz w:val="24"/>
          <w:highlight w:val="none"/>
        </w:rPr>
        <w:t>评标工作程序</w:t>
      </w:r>
      <w:r>
        <w:rPr>
          <w:rFonts w:hint="eastAsia" w:ascii="宋体" w:hAnsi="宋体"/>
          <w:bCs/>
          <w:color w:val="auto"/>
          <w:sz w:val="24"/>
          <w:highlight w:val="none"/>
        </w:rPr>
        <w:t>：</w:t>
      </w:r>
    </w:p>
    <w:p>
      <w:pPr>
        <w:keepNext w:val="0"/>
        <w:keepLines w:val="0"/>
        <w:pageBreakBefore w:val="0"/>
        <w:tabs>
          <w:tab w:val="left" w:pos="840"/>
          <w:tab w:val="left" w:pos="1050"/>
        </w:tabs>
        <w:kinsoku/>
        <w:wordWrap/>
        <w:overflowPunct/>
        <w:topLinePunct w:val="0"/>
        <w:autoSpaceDE/>
        <w:autoSpaceDN/>
        <w:bidi w:val="0"/>
        <w:spacing w:line="360" w:lineRule="auto"/>
        <w:ind w:left="630"/>
        <w:textAlignment w:val="auto"/>
        <w:rPr>
          <w:rFonts w:hint="eastAsia" w:ascii="宋体" w:hAnsi="宋体"/>
          <w:color w:val="auto"/>
          <w:sz w:val="24"/>
          <w:highlight w:val="none"/>
        </w:rPr>
      </w:pPr>
      <w:r>
        <w:rPr>
          <w:rFonts w:hint="eastAsia" w:ascii="宋体" w:hAnsi="宋体"/>
          <w:color w:val="auto"/>
          <w:sz w:val="24"/>
          <w:highlight w:val="none"/>
        </w:rPr>
        <w:t>4.1信用审查</w:t>
      </w:r>
    </w:p>
    <w:p>
      <w:pPr>
        <w:keepNext w:val="0"/>
        <w:keepLines w:val="0"/>
        <w:pageBreakBefore w:val="0"/>
        <w:tabs>
          <w:tab w:val="left" w:pos="136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采购人或采购代理机构在开标前通过</w:t>
      </w:r>
      <w:r>
        <w:rPr>
          <w:rFonts w:hint="eastAsia" w:ascii="宋体" w:hAnsi="宋体"/>
          <w:color w:val="auto"/>
          <w:sz w:val="24"/>
          <w:highlight w:val="none"/>
        </w:rPr>
        <w:t>“信用中国”网站（www.creditchina.gov.cn）、中国政府采购网（www.ccgp.gov.cn）、“信用中国（江苏）”（ http://www.jscredit.gov.cn/）</w:t>
      </w:r>
      <w:r>
        <w:rPr>
          <w:rFonts w:hint="eastAsia" w:ascii="宋体" w:hAnsi="宋体"/>
          <w:bCs/>
          <w:color w:val="auto"/>
          <w:sz w:val="24"/>
          <w:highlight w:val="none"/>
        </w:rPr>
        <w:t>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w:t>
      </w:r>
    </w:p>
    <w:p>
      <w:pPr>
        <w:keepNext w:val="0"/>
        <w:keepLines w:val="0"/>
        <w:pageBreakBefore w:val="0"/>
        <w:tabs>
          <w:tab w:val="left" w:pos="1365"/>
        </w:tabs>
        <w:kinsoku/>
        <w:wordWrap/>
        <w:overflowPunct/>
        <w:topLinePunct w:val="0"/>
        <w:autoSpaceDE/>
        <w:autoSpaceDN/>
        <w:bidi w:val="0"/>
        <w:spacing w:line="360" w:lineRule="auto"/>
        <w:ind w:firstLine="600" w:firstLineChars="250"/>
        <w:textAlignment w:val="auto"/>
        <w:rPr>
          <w:rFonts w:hint="eastAsia"/>
          <w:color w:val="auto"/>
          <w:sz w:val="24"/>
          <w:highlight w:val="none"/>
        </w:rPr>
      </w:pPr>
      <w:r>
        <w:rPr>
          <w:rFonts w:hint="eastAsia" w:ascii="宋体" w:hAnsi="宋体"/>
          <w:color w:val="auto"/>
          <w:sz w:val="24"/>
          <w:highlight w:val="none"/>
        </w:rPr>
        <w:t>4.2投标文件资信、资格检查。</w:t>
      </w:r>
    </w:p>
    <w:p>
      <w:pPr>
        <w:keepNext w:val="0"/>
        <w:keepLines w:val="0"/>
        <w:pageBreakBefore w:val="0"/>
        <w:tabs>
          <w:tab w:val="left" w:pos="525"/>
        </w:tabs>
        <w:kinsoku/>
        <w:wordWrap/>
        <w:overflowPunct/>
        <w:topLinePunct w:val="0"/>
        <w:autoSpaceDE/>
        <w:autoSpaceDN/>
        <w:bidi w:val="0"/>
        <w:spacing w:line="360" w:lineRule="auto"/>
        <w:ind w:firstLine="600" w:firstLineChars="250"/>
        <w:textAlignment w:val="auto"/>
        <w:rPr>
          <w:rFonts w:hint="eastAsia"/>
          <w:color w:val="auto"/>
          <w:sz w:val="24"/>
          <w:highlight w:val="none"/>
        </w:rPr>
      </w:pPr>
      <w:r>
        <w:rPr>
          <w:rFonts w:hint="eastAsia" w:ascii="宋体" w:hAnsi="宋体"/>
          <w:color w:val="auto"/>
          <w:sz w:val="24"/>
          <w:highlight w:val="none"/>
        </w:rPr>
        <w:t>4.2.1投标文件资格性检查由</w:t>
      </w:r>
      <w:r>
        <w:rPr>
          <w:rFonts w:hint="eastAsia" w:ascii="宋体" w:hAnsi="宋体"/>
          <w:bCs/>
          <w:color w:val="auto"/>
          <w:sz w:val="24"/>
          <w:highlight w:val="none"/>
        </w:rPr>
        <w:t>采购</w:t>
      </w:r>
      <w:r>
        <w:rPr>
          <w:rFonts w:hint="eastAsia" w:ascii="宋体" w:hAnsi="宋体"/>
          <w:bCs/>
          <w:color w:val="auto"/>
          <w:sz w:val="24"/>
          <w:highlight w:val="none"/>
          <w:lang w:val="en-US" w:eastAsia="zh-CN"/>
        </w:rPr>
        <w:t>人及采购代理机构工作人员</w:t>
      </w:r>
      <w:r>
        <w:rPr>
          <w:rFonts w:hint="eastAsia" w:ascii="宋体" w:hAnsi="宋体"/>
          <w:color w:val="auto"/>
          <w:sz w:val="24"/>
          <w:highlight w:val="none"/>
        </w:rPr>
        <w:t>负责。</w:t>
      </w:r>
    </w:p>
    <w:p>
      <w:pPr>
        <w:keepNext w:val="0"/>
        <w:keepLines w:val="0"/>
        <w:pageBreakBefore w:val="0"/>
        <w:tabs>
          <w:tab w:val="left" w:pos="525"/>
        </w:tabs>
        <w:kinsoku/>
        <w:wordWrap/>
        <w:overflowPunct/>
        <w:topLinePunct w:val="0"/>
        <w:autoSpaceDE/>
        <w:autoSpaceDN/>
        <w:bidi w:val="0"/>
        <w:spacing w:line="360" w:lineRule="auto"/>
        <w:ind w:firstLine="600" w:firstLineChars="250"/>
        <w:textAlignment w:val="auto"/>
        <w:rPr>
          <w:rFonts w:hint="eastAsia"/>
          <w:color w:val="auto"/>
          <w:sz w:val="24"/>
          <w:highlight w:val="none"/>
        </w:rPr>
      </w:pPr>
      <w:r>
        <w:rPr>
          <w:rFonts w:hint="eastAsia" w:ascii="宋体" w:hAnsi="宋体"/>
          <w:color w:val="auto"/>
          <w:sz w:val="24"/>
          <w:highlight w:val="none"/>
        </w:rPr>
        <w:t>4.2.2依据法律法规和</w:t>
      </w:r>
      <w:r>
        <w:rPr>
          <w:rFonts w:hint="eastAsia" w:ascii="宋体" w:hAnsi="宋体"/>
          <w:color w:val="auto"/>
          <w:sz w:val="24"/>
          <w:highlight w:val="none"/>
          <w:lang w:eastAsia="zh-CN"/>
        </w:rPr>
        <w:t>采购文件</w:t>
      </w:r>
      <w:r>
        <w:rPr>
          <w:rFonts w:hint="eastAsia" w:ascii="宋体" w:hAnsi="宋体"/>
          <w:color w:val="auto"/>
          <w:sz w:val="24"/>
          <w:highlight w:val="none"/>
        </w:rPr>
        <w:t>的规定，对投标文件中的资信、资格证明等进行审查，以确定投标供应商提供资格证明的合法性、真实性，是否具备投标资格。</w:t>
      </w:r>
    </w:p>
    <w:p>
      <w:pPr>
        <w:keepNext w:val="0"/>
        <w:keepLines w:val="0"/>
        <w:pageBreakBefore w:val="0"/>
        <w:tabs>
          <w:tab w:val="left" w:pos="1365"/>
        </w:tabs>
        <w:kinsoku/>
        <w:wordWrap/>
        <w:overflowPunct/>
        <w:topLinePunct w:val="0"/>
        <w:autoSpaceDE/>
        <w:autoSpaceDN/>
        <w:bidi w:val="0"/>
        <w:spacing w:line="360" w:lineRule="auto"/>
        <w:ind w:firstLine="600" w:firstLineChars="250"/>
        <w:textAlignment w:val="auto"/>
        <w:rPr>
          <w:rFonts w:hint="eastAsia"/>
          <w:color w:val="auto"/>
          <w:sz w:val="24"/>
          <w:highlight w:val="none"/>
        </w:rPr>
      </w:pPr>
      <w:r>
        <w:rPr>
          <w:rFonts w:hint="eastAsia" w:ascii="宋体" w:hAnsi="宋体"/>
          <w:color w:val="auto"/>
          <w:sz w:val="24"/>
          <w:highlight w:val="none"/>
        </w:rPr>
        <w:t>4.3 投标文件符合性检查。</w:t>
      </w:r>
    </w:p>
    <w:p>
      <w:pPr>
        <w:keepNext w:val="0"/>
        <w:keepLines w:val="0"/>
        <w:pageBreakBefore w:val="0"/>
        <w:tabs>
          <w:tab w:val="left" w:pos="525"/>
        </w:tabs>
        <w:kinsoku/>
        <w:wordWrap/>
        <w:overflowPunct/>
        <w:topLinePunct w:val="0"/>
        <w:autoSpaceDE/>
        <w:autoSpaceDN/>
        <w:bidi w:val="0"/>
        <w:spacing w:line="360" w:lineRule="auto"/>
        <w:ind w:firstLine="600" w:firstLineChars="250"/>
        <w:textAlignment w:val="auto"/>
        <w:rPr>
          <w:rFonts w:hint="eastAsia" w:ascii="宋体" w:hAnsi="宋体"/>
          <w:color w:val="auto"/>
          <w:sz w:val="24"/>
          <w:highlight w:val="none"/>
        </w:rPr>
      </w:pPr>
      <w:r>
        <w:rPr>
          <w:rFonts w:hint="eastAsia" w:ascii="宋体" w:hAnsi="宋体"/>
          <w:color w:val="auto"/>
          <w:sz w:val="24"/>
          <w:highlight w:val="none"/>
        </w:rPr>
        <w:t>4.3.1评标委员会对符合资格的</w:t>
      </w:r>
      <w:r>
        <w:rPr>
          <w:rFonts w:hint="eastAsia" w:ascii="宋体" w:hAnsi="宋体"/>
          <w:color w:val="auto"/>
          <w:sz w:val="24"/>
          <w:highlight w:val="none"/>
          <w:lang w:eastAsia="zh-CN"/>
        </w:rPr>
        <w:t>投标供应商</w:t>
      </w:r>
      <w:r>
        <w:rPr>
          <w:rFonts w:hint="eastAsia" w:ascii="宋体" w:hAnsi="宋体"/>
          <w:color w:val="auto"/>
          <w:sz w:val="24"/>
          <w:highlight w:val="none"/>
        </w:rPr>
        <w:t>的投标文件进行符合性检查，以确定其是否满足</w:t>
      </w:r>
      <w:r>
        <w:rPr>
          <w:rFonts w:hint="eastAsia" w:ascii="宋体" w:hAnsi="宋体"/>
          <w:color w:val="auto"/>
          <w:sz w:val="24"/>
          <w:highlight w:val="none"/>
          <w:lang w:eastAsia="zh-CN"/>
        </w:rPr>
        <w:t>采购文件</w:t>
      </w:r>
      <w:r>
        <w:rPr>
          <w:rFonts w:hint="eastAsia" w:ascii="宋体" w:hAnsi="宋体"/>
          <w:color w:val="auto"/>
          <w:sz w:val="24"/>
          <w:highlight w:val="none"/>
        </w:rPr>
        <w:t>的实质性要求。</w:t>
      </w:r>
    </w:p>
    <w:p>
      <w:pPr>
        <w:keepNext w:val="0"/>
        <w:keepLines w:val="0"/>
        <w:pageBreakBefore w:val="0"/>
        <w:widowControl w:val="0"/>
        <w:tabs>
          <w:tab w:val="left" w:pos="525"/>
        </w:tabs>
        <w:kinsoku/>
        <w:wordWrap/>
        <w:overflowPunct/>
        <w:topLinePunct w:val="0"/>
        <w:autoSpaceDE/>
        <w:autoSpaceDN/>
        <w:bidi w:val="0"/>
        <w:adjustRightInd/>
        <w:snapToGrid/>
        <w:spacing w:line="360" w:lineRule="auto"/>
        <w:ind w:firstLine="600" w:firstLineChars="250"/>
        <w:textAlignment w:val="auto"/>
        <w:rPr>
          <w:rFonts w:hint="eastAsia" w:ascii="宋体" w:hAnsi="宋体"/>
          <w:color w:val="auto"/>
          <w:sz w:val="24"/>
          <w:highlight w:val="none"/>
        </w:rPr>
      </w:pPr>
      <w:r>
        <w:rPr>
          <w:rFonts w:hint="eastAsia" w:ascii="宋体" w:hAnsi="宋体"/>
          <w:color w:val="auto"/>
          <w:sz w:val="24"/>
          <w:highlight w:val="none"/>
        </w:rPr>
        <w:t>4.3.2投标文件的符合性检查由评标委员会负责。</w:t>
      </w:r>
    </w:p>
    <w:p>
      <w:pPr>
        <w:keepNext w:val="0"/>
        <w:keepLines w:val="0"/>
        <w:pageBreakBefore w:val="0"/>
        <w:widowControl w:val="0"/>
        <w:tabs>
          <w:tab w:val="left" w:pos="525"/>
        </w:tabs>
        <w:kinsoku/>
        <w:wordWrap/>
        <w:overflowPunct/>
        <w:topLinePunct w:val="0"/>
        <w:autoSpaceDE/>
        <w:autoSpaceDN/>
        <w:bidi w:val="0"/>
        <w:adjustRightInd/>
        <w:snapToGrid/>
        <w:spacing w:line="360" w:lineRule="auto"/>
        <w:ind w:firstLine="600" w:firstLineChars="250"/>
        <w:textAlignment w:val="auto"/>
        <w:rPr>
          <w:rFonts w:hint="eastAsia"/>
          <w:color w:val="auto"/>
          <w:sz w:val="24"/>
          <w:highlight w:val="none"/>
        </w:rPr>
      </w:pPr>
      <w:r>
        <w:rPr>
          <w:rFonts w:hint="eastAsia" w:ascii="宋体" w:hAnsi="宋体"/>
          <w:color w:val="auto"/>
          <w:sz w:val="24"/>
          <w:highlight w:val="none"/>
        </w:rPr>
        <w:t>4.3.3澄清有关问题。对投标文件中含义不明确、同类问题</w:t>
      </w:r>
      <w:r>
        <w:rPr>
          <w:rFonts w:ascii="宋体" w:hAnsi="宋体"/>
          <w:bCs/>
          <w:color w:val="auto"/>
          <w:sz w:val="24"/>
          <w:highlight w:val="none"/>
        </w:rPr>
        <w:t>表述不一致或者有明显文字和计算错误的内容，评标委员会</w:t>
      </w:r>
      <w:r>
        <w:rPr>
          <w:rFonts w:hint="eastAsia" w:ascii="宋体" w:hAnsi="宋体"/>
          <w:bCs/>
          <w:color w:val="auto"/>
          <w:sz w:val="24"/>
          <w:highlight w:val="none"/>
        </w:rPr>
        <w:t>应当</w:t>
      </w:r>
      <w:r>
        <w:rPr>
          <w:rFonts w:ascii="宋体" w:hAnsi="宋体"/>
          <w:bCs/>
          <w:color w:val="auto"/>
          <w:sz w:val="24"/>
          <w:highlight w:val="none"/>
        </w:rPr>
        <w:t>以书面形式（应当由评标委员会专家签字）要求</w:t>
      </w:r>
      <w:r>
        <w:rPr>
          <w:rFonts w:hint="eastAsia" w:ascii="宋体" w:hAnsi="宋体"/>
          <w:bCs/>
          <w:color w:val="auto"/>
          <w:sz w:val="24"/>
          <w:highlight w:val="none"/>
          <w:lang w:eastAsia="zh-CN"/>
        </w:rPr>
        <w:t>投标供应商</w:t>
      </w:r>
      <w:r>
        <w:rPr>
          <w:rFonts w:ascii="宋体" w:hAnsi="宋体"/>
          <w:bCs/>
          <w:color w:val="auto"/>
          <w:sz w:val="24"/>
          <w:highlight w:val="none"/>
        </w:rPr>
        <w:t>作出必要的澄清、说明或者纠正。</w:t>
      </w:r>
      <w:r>
        <w:rPr>
          <w:rFonts w:hint="eastAsia" w:ascii="宋体" w:hAnsi="宋体"/>
          <w:bCs/>
          <w:color w:val="auto"/>
          <w:sz w:val="24"/>
          <w:highlight w:val="none"/>
          <w:lang w:eastAsia="zh-CN"/>
        </w:rPr>
        <w:t>投标供应商</w:t>
      </w:r>
      <w:r>
        <w:rPr>
          <w:rFonts w:ascii="宋体" w:hAnsi="宋体"/>
          <w:bCs/>
          <w:color w:val="auto"/>
          <w:sz w:val="24"/>
          <w:highlight w:val="none"/>
        </w:rPr>
        <w:t>的澄清、说明或者补正应当采用书面形式，</w:t>
      </w:r>
      <w:r>
        <w:rPr>
          <w:rFonts w:hint="eastAsia" w:ascii="宋体" w:hAnsi="宋体"/>
          <w:bCs/>
          <w:color w:val="auto"/>
          <w:sz w:val="24"/>
          <w:highlight w:val="none"/>
        </w:rPr>
        <w:t>并加盖公章，或者由法定代表人或其授权的代表签字。</w:t>
      </w:r>
      <w:r>
        <w:rPr>
          <w:rFonts w:hint="eastAsia" w:ascii="宋体" w:hAnsi="宋体"/>
          <w:bCs/>
          <w:color w:val="auto"/>
          <w:sz w:val="24"/>
          <w:highlight w:val="none"/>
          <w:lang w:eastAsia="zh-CN"/>
        </w:rPr>
        <w:t>投标供应商</w:t>
      </w:r>
      <w:r>
        <w:rPr>
          <w:rFonts w:hint="eastAsia" w:ascii="宋体" w:hAnsi="宋体"/>
          <w:bCs/>
          <w:color w:val="auto"/>
          <w:sz w:val="24"/>
          <w:highlight w:val="none"/>
        </w:rPr>
        <w:t>的</w:t>
      </w:r>
      <w:r>
        <w:rPr>
          <w:rFonts w:ascii="宋体" w:hAnsi="宋体"/>
          <w:bCs/>
          <w:color w:val="auto"/>
          <w:sz w:val="24"/>
          <w:highlight w:val="none"/>
        </w:rPr>
        <w:t>澄清、说明或者纠正</w:t>
      </w:r>
      <w:r>
        <w:rPr>
          <w:rFonts w:hint="eastAsia" w:ascii="宋体" w:hAnsi="宋体"/>
          <w:bCs/>
          <w:color w:val="auto"/>
          <w:sz w:val="24"/>
          <w:highlight w:val="none"/>
        </w:rPr>
        <w:t>不得超出投标文件的范围或者改变投标文件的实质性内容。</w:t>
      </w:r>
    </w:p>
    <w:p>
      <w:pPr>
        <w:keepNext w:val="0"/>
        <w:keepLines w:val="0"/>
        <w:pageBreakBefore w:val="0"/>
        <w:widowControl w:val="0"/>
        <w:tabs>
          <w:tab w:val="left" w:pos="525"/>
        </w:tabs>
        <w:kinsoku/>
        <w:wordWrap/>
        <w:overflowPunct/>
        <w:topLinePunct w:val="0"/>
        <w:autoSpaceDE/>
        <w:autoSpaceDN/>
        <w:bidi w:val="0"/>
        <w:adjustRightInd/>
        <w:snapToGrid/>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4.4 比较与评价</w:t>
      </w:r>
    </w:p>
    <w:p>
      <w:pPr>
        <w:keepNext w:val="0"/>
        <w:keepLines w:val="0"/>
        <w:pageBreakBefore w:val="0"/>
        <w:widowControl w:val="0"/>
        <w:tabs>
          <w:tab w:val="left" w:pos="525"/>
        </w:tabs>
        <w:kinsoku/>
        <w:wordWrap/>
        <w:overflowPunct/>
        <w:topLinePunct w:val="0"/>
        <w:autoSpaceDE/>
        <w:autoSpaceDN/>
        <w:bidi w:val="0"/>
        <w:adjustRightInd/>
        <w:snapToGrid/>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lang w:val="en-US" w:eastAsia="zh-CN"/>
        </w:rPr>
        <w:t>4.4.1</w:t>
      </w:r>
      <w:r>
        <w:rPr>
          <w:rFonts w:hint="eastAsia" w:ascii="宋体" w:hAnsi="宋体"/>
          <w:bCs/>
          <w:color w:val="auto"/>
          <w:sz w:val="24"/>
          <w:highlight w:val="none"/>
        </w:rPr>
        <w:t>投标文件资格性检查和符合性检查结束后，凡属于“（八）无效投标文件的确认”的投标文件不进入比较与评价程序。</w:t>
      </w:r>
    </w:p>
    <w:p>
      <w:pPr>
        <w:keepNext w:val="0"/>
        <w:keepLines w:val="0"/>
        <w:pageBreakBefore w:val="0"/>
        <w:widowControl w:val="0"/>
        <w:tabs>
          <w:tab w:val="left" w:pos="525"/>
        </w:tabs>
        <w:kinsoku/>
        <w:wordWrap/>
        <w:overflowPunct/>
        <w:topLinePunct w:val="0"/>
        <w:autoSpaceDE/>
        <w:autoSpaceDN/>
        <w:bidi w:val="0"/>
        <w:adjustRightInd/>
        <w:snapToGrid/>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lang w:val="en-US" w:eastAsia="zh-CN"/>
        </w:rPr>
        <w:t>4.4.2</w:t>
      </w:r>
      <w:r>
        <w:rPr>
          <w:rFonts w:hint="eastAsia" w:ascii="宋体" w:hAnsi="宋体"/>
          <w:bCs/>
          <w:color w:val="auto"/>
          <w:sz w:val="24"/>
          <w:highlight w:val="none"/>
        </w:rPr>
        <w:t>经评审有效的投标文件按</w:t>
      </w:r>
      <w:r>
        <w:rPr>
          <w:rFonts w:hint="eastAsia" w:ascii="宋体" w:hAnsi="宋体"/>
          <w:bCs/>
          <w:color w:val="auto"/>
          <w:sz w:val="24"/>
          <w:highlight w:val="none"/>
          <w:lang w:eastAsia="zh-CN"/>
        </w:rPr>
        <w:t>采购文件</w:t>
      </w:r>
      <w:r>
        <w:rPr>
          <w:rFonts w:hint="eastAsia" w:ascii="宋体" w:hAnsi="宋体"/>
          <w:bCs/>
          <w:color w:val="auto"/>
          <w:sz w:val="24"/>
          <w:highlight w:val="none"/>
        </w:rPr>
        <w:t>中规定的评标方法和标准，由评标委员会进行比较与评价。</w:t>
      </w:r>
    </w:p>
    <w:p>
      <w:pPr>
        <w:keepNext w:val="0"/>
        <w:keepLines w:val="0"/>
        <w:pageBreakBefore w:val="0"/>
        <w:widowControl w:val="0"/>
        <w:tabs>
          <w:tab w:val="left" w:pos="525"/>
        </w:tabs>
        <w:kinsoku/>
        <w:wordWrap/>
        <w:overflowPunct/>
        <w:topLinePunct w:val="0"/>
        <w:autoSpaceDE/>
        <w:autoSpaceDN/>
        <w:bidi w:val="0"/>
        <w:adjustRightInd/>
        <w:snapToGrid/>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lang w:val="en-US" w:eastAsia="zh-CN"/>
        </w:rPr>
        <w:t>4.4.3</w:t>
      </w:r>
      <w:r>
        <w:rPr>
          <w:rFonts w:hint="eastAsia" w:ascii="宋体" w:hAnsi="宋体"/>
          <w:bCs/>
          <w:color w:val="auto"/>
          <w:sz w:val="24"/>
          <w:highlight w:val="none"/>
        </w:rPr>
        <w:t>评审全部结束后，由工作人员在</w:t>
      </w:r>
      <w:r>
        <w:rPr>
          <w:rFonts w:hint="eastAsia" w:ascii="宋体" w:hAnsi="宋体"/>
          <w:bCs/>
          <w:color w:val="auto"/>
          <w:sz w:val="24"/>
          <w:highlight w:val="none"/>
          <w:lang w:val="en-US" w:eastAsia="zh-CN"/>
        </w:rPr>
        <w:t>采购人</w:t>
      </w:r>
      <w:r>
        <w:rPr>
          <w:rFonts w:hint="eastAsia" w:ascii="宋体" w:hAnsi="宋体"/>
          <w:bCs/>
          <w:color w:val="auto"/>
          <w:sz w:val="24"/>
          <w:highlight w:val="none"/>
        </w:rPr>
        <w:t>监督下，在评标室当场核对、汇总各投标供应商得分，确定各投标供应商总分和最终排序。</w:t>
      </w:r>
    </w:p>
    <w:p>
      <w:pPr>
        <w:keepNext w:val="0"/>
        <w:keepLines w:val="0"/>
        <w:pageBreakBefore w:val="0"/>
        <w:tabs>
          <w:tab w:val="left" w:pos="525"/>
          <w:tab w:val="left" w:pos="1050"/>
        </w:tabs>
        <w:kinsoku/>
        <w:wordWrap/>
        <w:overflowPunct/>
        <w:topLinePunct w:val="0"/>
        <w:autoSpaceDE/>
        <w:autoSpaceDN/>
        <w:bidi w:val="0"/>
        <w:spacing w:line="360" w:lineRule="auto"/>
        <w:ind w:firstLine="600" w:firstLineChars="250"/>
        <w:textAlignment w:val="auto"/>
        <w:rPr>
          <w:rFonts w:hint="eastAsia" w:ascii="宋体" w:hAnsi="宋体"/>
          <w:bCs/>
          <w:color w:val="auto"/>
          <w:sz w:val="24"/>
          <w:highlight w:val="none"/>
        </w:rPr>
      </w:pPr>
      <w:r>
        <w:rPr>
          <w:rFonts w:hint="eastAsia" w:ascii="宋体" w:hAnsi="宋体"/>
          <w:bCs/>
          <w:color w:val="auto"/>
          <w:sz w:val="24"/>
          <w:highlight w:val="none"/>
        </w:rPr>
        <w:t>5. 评标方法</w:t>
      </w:r>
    </w:p>
    <w:p>
      <w:pPr>
        <w:spacing w:line="360" w:lineRule="auto"/>
        <w:ind w:firstLine="457" w:firstLineChars="218"/>
        <w:rPr>
          <w:rFonts w:hint="eastAsia" w:ascii="宋体" w:hAnsi="宋体" w:cs="宋体"/>
          <w:bCs/>
          <w:color w:val="000000"/>
          <w:sz w:val="24"/>
        </w:rPr>
      </w:pPr>
      <w:r>
        <w:rPr>
          <w:color w:val="auto"/>
          <w:highlight w:val="none"/>
        </w:rPr>
        <w:t> </w:t>
      </w:r>
      <w:r>
        <w:rPr>
          <w:rFonts w:hint="eastAsia" w:ascii="宋体" w:hAnsi="宋体" w:cs="宋体"/>
          <w:bCs/>
          <w:color w:val="000000"/>
          <w:sz w:val="24"/>
        </w:rPr>
        <w:t>投标人通过初审的，方可进入比较与评价程序。</w:t>
      </w:r>
    </w:p>
    <w:p>
      <w:pPr>
        <w:spacing w:line="360" w:lineRule="auto"/>
        <w:ind w:firstLine="523" w:firstLineChars="218"/>
        <w:rPr>
          <w:rFonts w:hint="eastAsia" w:ascii="宋体" w:hAnsi="宋体"/>
          <w:color w:val="000000"/>
          <w:sz w:val="24"/>
        </w:rPr>
      </w:pPr>
      <w:r>
        <w:rPr>
          <w:rFonts w:hint="eastAsia" w:ascii="宋体" w:hAnsi="宋体"/>
          <w:color w:val="000000"/>
          <w:sz w:val="24"/>
        </w:rPr>
        <w:t>比较与评价采用综合评分法（计分均保留2位小数）。</w:t>
      </w:r>
    </w:p>
    <w:p>
      <w:pPr>
        <w:widowControl/>
        <w:spacing w:line="360" w:lineRule="auto"/>
        <w:ind w:firstLine="480" w:firstLineChars="200"/>
        <w:jc w:val="left"/>
        <w:rPr>
          <w:color w:val="auto"/>
          <w:sz w:val="24"/>
          <w:highlight w:val="none"/>
        </w:rPr>
      </w:pPr>
      <w:r>
        <w:rPr>
          <w:rFonts w:hint="eastAsia" w:ascii="宋体" w:hAnsi="宋体"/>
          <w:color w:val="000000"/>
          <w:sz w:val="24"/>
        </w:rPr>
        <w:t>评审委员会遵循公平、公正、择优原则，独立按照评分标准分别评定投标供应商的分值；各投标供应商的最终得分为各评委所评定分值的平均值，评标结果按评审后得分由高到低顺序排列。得分相同的，按投标报价由低到高顺序排列。得分且投标报价相同的并列, 中标候选人并列的按技术文件优劣顺序排列。投标文件满足</w:t>
      </w:r>
      <w:r>
        <w:rPr>
          <w:rFonts w:hint="eastAsia" w:ascii="宋体" w:hAnsi="宋体"/>
          <w:color w:val="000000"/>
          <w:sz w:val="24"/>
          <w:lang w:eastAsia="zh-CN"/>
        </w:rPr>
        <w:t>采购文件</w:t>
      </w:r>
      <w:r>
        <w:rPr>
          <w:rFonts w:hint="eastAsia" w:ascii="宋体" w:hAnsi="宋体"/>
          <w:color w:val="000000"/>
          <w:sz w:val="24"/>
        </w:rPr>
        <w:t>全部实质性要求，且按照评审因素的量化指标评审得分最高的投标人为排名第一的中标候选人。未列入本评分细则的其他条件不作为评分内容。</w:t>
      </w:r>
      <w:r>
        <w:rPr>
          <w:rFonts w:ascii="宋体" w:hAnsi="宋体"/>
          <w:color w:val="000000"/>
          <w:sz w:val="24"/>
        </w:rPr>
        <w:t xml:space="preserve"> </w:t>
      </w:r>
    </w:p>
    <w:p>
      <w:pPr>
        <w:widowControl/>
        <w:spacing w:line="360" w:lineRule="auto"/>
        <w:ind w:firstLine="480" w:firstLineChars="200"/>
        <w:jc w:val="left"/>
        <w:rPr>
          <w:rFonts w:hint="eastAsia" w:ascii="宋体" w:hAnsi="宋体" w:eastAsia="宋体"/>
          <w:color w:val="000000"/>
          <w:sz w:val="24"/>
          <w:lang w:eastAsia="zh-CN"/>
        </w:rPr>
      </w:pPr>
      <w:r>
        <w:rPr>
          <w:rFonts w:hint="eastAsia" w:ascii="宋体" w:hAnsi="宋体"/>
          <w:color w:val="000000"/>
          <w:sz w:val="24"/>
          <w:lang w:val="en-US" w:eastAsia="zh-CN"/>
        </w:rPr>
        <w:t>6.</w:t>
      </w:r>
      <w:r>
        <w:rPr>
          <w:rFonts w:hint="eastAsia" w:ascii="宋体" w:hAnsi="宋体"/>
          <w:color w:val="000000"/>
          <w:sz w:val="24"/>
        </w:rPr>
        <w:t>评分标准</w:t>
      </w:r>
    </w:p>
    <w:p>
      <w:pPr>
        <w:spacing w:line="360" w:lineRule="auto"/>
        <w:ind w:firstLine="426" w:firstLineChars="177"/>
        <w:rPr>
          <w:rFonts w:ascii="宋体" w:hAnsi="宋体"/>
          <w:b/>
          <w:sz w:val="24"/>
        </w:rPr>
      </w:pPr>
      <w:r>
        <w:rPr>
          <w:rFonts w:hint="eastAsia" w:ascii="宋体" w:hAnsi="宋体"/>
          <w:b/>
          <w:sz w:val="24"/>
        </w:rPr>
        <w:t xml:space="preserve">（1）报价                                  </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b/>
          <w:sz w:val="24"/>
          <w:lang w:val="en-US" w:eastAsia="zh-CN"/>
        </w:rPr>
        <w:t>30</w:t>
      </w:r>
      <w:r>
        <w:rPr>
          <w:rFonts w:hint="eastAsia" w:ascii="宋体" w:hAnsi="宋体"/>
          <w:b/>
          <w:sz w:val="24"/>
        </w:rPr>
        <w:t>分</w:t>
      </w:r>
    </w:p>
    <w:p>
      <w:pPr>
        <w:spacing w:line="360" w:lineRule="auto"/>
        <w:ind w:firstLine="426" w:firstLineChars="177"/>
        <w:rPr>
          <w:rFonts w:hint="eastAsia" w:ascii="宋体" w:hAnsi="宋体"/>
          <w:b/>
          <w:sz w:val="24"/>
        </w:rPr>
      </w:pPr>
      <w:r>
        <w:rPr>
          <w:rFonts w:hint="eastAsia" w:ascii="宋体" w:hAnsi="宋体"/>
          <w:b/>
          <w:sz w:val="24"/>
        </w:rPr>
        <w:t xml:space="preserve">（2）投标供应商评价                          13分 </w:t>
      </w:r>
    </w:p>
    <w:p>
      <w:pPr>
        <w:spacing w:line="360" w:lineRule="auto"/>
        <w:ind w:firstLine="426" w:firstLineChars="177"/>
        <w:rPr>
          <w:rFonts w:hint="eastAsia" w:ascii="宋体" w:hAnsi="宋体"/>
          <w:b/>
          <w:sz w:val="24"/>
        </w:rPr>
      </w:pPr>
      <w:r>
        <w:rPr>
          <w:rFonts w:hint="eastAsia" w:ascii="宋体" w:hAnsi="宋体"/>
          <w:b/>
          <w:sz w:val="24"/>
        </w:rPr>
        <w:t xml:space="preserve">（3）拟投入人员情况                          13分 </w:t>
      </w:r>
    </w:p>
    <w:p>
      <w:pPr>
        <w:spacing w:line="360" w:lineRule="auto"/>
        <w:ind w:firstLine="426" w:firstLineChars="177"/>
        <w:rPr>
          <w:rFonts w:hint="eastAsia" w:ascii="宋体" w:hAnsi="宋体"/>
          <w:b/>
          <w:sz w:val="24"/>
        </w:rPr>
      </w:pPr>
      <w:r>
        <w:rPr>
          <w:rFonts w:hint="eastAsia" w:ascii="宋体" w:hAnsi="宋体"/>
          <w:b/>
          <w:sz w:val="24"/>
        </w:rPr>
        <w:t xml:space="preserve">（4）拟投入设备情况                         </w:t>
      </w:r>
      <w:r>
        <w:rPr>
          <w:rFonts w:hint="eastAsia" w:ascii="宋体" w:hAnsi="宋体"/>
          <w:b/>
          <w:sz w:val="24"/>
          <w:lang w:val="en-US" w:eastAsia="zh-CN"/>
        </w:rPr>
        <w:t xml:space="preserve"> </w:t>
      </w:r>
      <w:r>
        <w:rPr>
          <w:rFonts w:hint="eastAsia" w:ascii="宋体" w:hAnsi="宋体"/>
          <w:b/>
          <w:sz w:val="24"/>
        </w:rPr>
        <w:t xml:space="preserve">9分    </w:t>
      </w:r>
    </w:p>
    <w:p>
      <w:pPr>
        <w:spacing w:line="360" w:lineRule="auto"/>
        <w:ind w:firstLine="426" w:firstLineChars="177"/>
        <w:rPr>
          <w:rFonts w:ascii="宋体" w:hAnsi="宋体"/>
          <w:b/>
          <w:sz w:val="24"/>
        </w:rPr>
      </w:pPr>
      <w:r>
        <w:rPr>
          <w:rFonts w:hint="eastAsia" w:ascii="宋体" w:hAnsi="宋体"/>
          <w:b/>
          <w:sz w:val="24"/>
        </w:rPr>
        <w:t>（</w:t>
      </w:r>
      <w:r>
        <w:rPr>
          <w:rFonts w:hint="eastAsia" w:ascii="宋体" w:hAnsi="宋体"/>
          <w:b/>
          <w:sz w:val="24"/>
          <w:lang w:val="en-US" w:eastAsia="zh-CN"/>
        </w:rPr>
        <w:t>5</w:t>
      </w:r>
      <w:r>
        <w:rPr>
          <w:rFonts w:hint="eastAsia" w:ascii="宋体" w:hAnsi="宋体"/>
          <w:b/>
          <w:sz w:val="24"/>
        </w:rPr>
        <w:t>）技术文件</w:t>
      </w:r>
      <w:r>
        <w:rPr>
          <w:rFonts w:hint="eastAsia" w:ascii="宋体" w:hAnsi="宋体"/>
          <w:b/>
          <w:sz w:val="24"/>
          <w:lang w:val="en-US" w:eastAsia="zh-CN"/>
        </w:rPr>
        <w:t xml:space="preserve">        </w:t>
      </w:r>
      <w:r>
        <w:rPr>
          <w:rFonts w:hint="eastAsia" w:ascii="宋体" w:hAnsi="宋体"/>
          <w:b/>
          <w:sz w:val="24"/>
        </w:rPr>
        <w:t xml:space="preserve">              </w:t>
      </w:r>
      <w:r>
        <w:rPr>
          <w:rFonts w:ascii="宋体" w:hAnsi="宋体"/>
          <w:b/>
          <w:sz w:val="24"/>
        </w:rPr>
        <w:t xml:space="preserve">        </w:t>
      </w:r>
      <w:r>
        <w:rPr>
          <w:rFonts w:hint="eastAsia" w:ascii="宋体" w:hAnsi="宋体"/>
          <w:b/>
          <w:sz w:val="24"/>
        </w:rPr>
        <w:t xml:space="preserve">  </w:t>
      </w:r>
      <w:r>
        <w:rPr>
          <w:rFonts w:hint="eastAsia" w:ascii="宋体" w:hAnsi="宋体"/>
          <w:b/>
          <w:sz w:val="24"/>
          <w:lang w:val="en-US" w:eastAsia="zh-CN"/>
        </w:rPr>
        <w:t>35</w:t>
      </w:r>
      <w:r>
        <w:rPr>
          <w:rFonts w:hint="eastAsia" w:ascii="宋体" w:hAnsi="宋体"/>
          <w:b/>
          <w:sz w:val="24"/>
        </w:rPr>
        <w:t>分</w:t>
      </w:r>
    </w:p>
    <w:p>
      <w:pPr>
        <w:spacing w:line="360" w:lineRule="auto"/>
        <w:ind w:firstLine="424" w:firstLineChars="177"/>
        <w:rPr>
          <w:rFonts w:ascii="宋体" w:hAnsi="宋体"/>
          <w:sz w:val="24"/>
        </w:rPr>
      </w:pPr>
      <w:r>
        <w:rPr>
          <w:rFonts w:ascii="宋体" w:hAnsi="宋体"/>
          <w:sz w:val="24"/>
        </w:rPr>
        <w:t>7.2</w:t>
      </w:r>
      <w:r>
        <w:rPr>
          <w:rFonts w:hint="eastAsia" w:ascii="宋体" w:hAnsi="宋体"/>
          <w:sz w:val="24"/>
        </w:rPr>
        <w:t>各项目评分标准：</w:t>
      </w:r>
    </w:p>
    <w:p>
      <w:pPr>
        <w:spacing w:line="360" w:lineRule="auto"/>
        <w:ind w:firstLine="426" w:firstLineChars="177"/>
        <w:rPr>
          <w:rFonts w:ascii="宋体" w:hAnsi="宋体"/>
          <w:b/>
          <w:sz w:val="24"/>
        </w:rPr>
      </w:pPr>
      <w:r>
        <w:rPr>
          <w:rFonts w:hint="eastAsia" w:ascii="宋体" w:hAnsi="宋体"/>
          <w:b/>
          <w:sz w:val="24"/>
        </w:rPr>
        <w:t>（1）报价：（最高得分</w:t>
      </w:r>
      <w:r>
        <w:rPr>
          <w:rFonts w:hint="eastAsia" w:ascii="宋体" w:hAnsi="宋体"/>
          <w:b/>
          <w:sz w:val="24"/>
          <w:lang w:val="en-US" w:eastAsia="zh-CN"/>
        </w:rPr>
        <w:t>30</w:t>
      </w:r>
      <w:r>
        <w:rPr>
          <w:rFonts w:hint="eastAsia" w:ascii="宋体" w:hAnsi="宋体"/>
          <w:b/>
          <w:sz w:val="24"/>
        </w:rPr>
        <w:t>分）</w:t>
      </w:r>
    </w:p>
    <w:p>
      <w:pPr>
        <w:spacing w:line="360" w:lineRule="auto"/>
        <w:ind w:firstLine="480" w:firstLineChars="200"/>
        <w:rPr>
          <w:rFonts w:ascii="宋体" w:hAnsi="宋体"/>
          <w:sz w:val="24"/>
        </w:rPr>
      </w:pPr>
      <w:r>
        <w:rPr>
          <w:rFonts w:ascii="宋体" w:hAnsi="宋体"/>
          <w:sz w:val="24"/>
        </w:rPr>
        <w:t>满足</w:t>
      </w:r>
      <w:r>
        <w:rPr>
          <w:rFonts w:hint="eastAsia" w:ascii="宋体" w:hAnsi="宋体"/>
          <w:sz w:val="24"/>
        </w:rPr>
        <w:t>竞争性磋商</w:t>
      </w:r>
      <w:r>
        <w:rPr>
          <w:rFonts w:ascii="宋体" w:hAnsi="宋体"/>
          <w:sz w:val="24"/>
        </w:rPr>
        <w:t>文件实质性要求且</w:t>
      </w:r>
      <w:r>
        <w:rPr>
          <w:rFonts w:hint="eastAsia" w:ascii="宋体" w:hAnsi="宋体"/>
          <w:sz w:val="24"/>
        </w:rPr>
        <w:t>最终报价</w:t>
      </w:r>
      <w:r>
        <w:rPr>
          <w:rFonts w:ascii="宋体" w:hAnsi="宋体"/>
          <w:sz w:val="24"/>
        </w:rPr>
        <w:t>最低的</w:t>
      </w:r>
      <w:r>
        <w:rPr>
          <w:rFonts w:hint="eastAsia" w:ascii="宋体" w:hAnsi="宋体"/>
          <w:sz w:val="24"/>
        </w:rPr>
        <w:t>价格</w:t>
      </w:r>
      <w:r>
        <w:rPr>
          <w:rFonts w:ascii="宋体" w:hAnsi="宋体"/>
          <w:sz w:val="24"/>
        </w:rPr>
        <w:t>为磋商基准价，其价格分为满分。</w:t>
      </w:r>
      <w:r>
        <w:rPr>
          <w:rFonts w:hint="eastAsia" w:ascii="宋体" w:hAnsi="宋体"/>
          <w:sz w:val="24"/>
        </w:rPr>
        <w:t>其他供应商的价格分统一按照下列公式计算：报价得分=</w:t>
      </w:r>
      <w:r>
        <w:rPr>
          <w:rFonts w:hint="eastAsia" w:ascii="宋体" w:hAnsi="宋体"/>
          <w:sz w:val="24"/>
          <w:lang w:val="en-US" w:eastAsia="zh-CN"/>
        </w:rPr>
        <w:t>30</w:t>
      </w:r>
      <w:r>
        <w:rPr>
          <w:rFonts w:hint="eastAsia" w:ascii="宋体" w:hAnsi="宋体"/>
          <w:sz w:val="24"/>
        </w:rPr>
        <w:t>×（有效最低价/投标报价</w:t>
      </w:r>
      <w:r>
        <w:rPr>
          <w:rFonts w:ascii="宋体" w:hAnsi="宋体"/>
          <w:sz w:val="24"/>
        </w:rPr>
        <w:t>）</w:t>
      </w:r>
    </w:p>
    <w:p>
      <w:pPr>
        <w:tabs>
          <w:tab w:val="left" w:pos="945"/>
          <w:tab w:val="left" w:pos="1155"/>
        </w:tabs>
        <w:spacing w:line="360" w:lineRule="auto"/>
        <w:ind w:firstLine="498" w:firstLineChars="236"/>
        <w:rPr>
          <w:rFonts w:hint="eastAsia" w:ascii="宋体" w:hAnsi="宋体"/>
          <w:b/>
          <w:bCs/>
        </w:rPr>
      </w:pPr>
      <w:r>
        <w:rPr>
          <w:rFonts w:hint="eastAsia" w:ascii="宋体" w:hAnsi="宋体"/>
          <w:b/>
          <w:bCs/>
        </w:rPr>
        <w:t>价格扣除：对小型和微型企业、监狱企业、残疾人单位产品的价格给予6%的扣除，用扣除后的价格进行评审。参加报价的中小企业，应当按照《政府采购促进中小企业发展暂行办法》（财库〔2011〕181号）的规定提供《中小企业声明函》（格式见附件）和供应商所在地的县级以上中小企业主管部门对供应商为中型或小、微型企业的认定证明复印件。（中小企业划型标准详见《关于印发中小企业划型标准规定的通知》工信部联企业〔2011〕300号）。参加报价的监狱企业，应当按照</w:t>
      </w:r>
      <w:r>
        <w:rPr>
          <w:rFonts w:ascii="宋体" w:hAnsi="宋体"/>
          <w:b/>
          <w:bCs/>
        </w:rPr>
        <w:t>《关于政府采购支持监狱企业发展有关问题的通知》（财库[2014]68号）</w:t>
      </w:r>
      <w:r>
        <w:rPr>
          <w:rFonts w:hint="eastAsia" w:ascii="宋体" w:hAnsi="宋体"/>
          <w:b/>
          <w:bCs/>
        </w:rPr>
        <w:t>的规定</w:t>
      </w:r>
      <w:r>
        <w:rPr>
          <w:rFonts w:ascii="宋体" w:hAnsi="宋体"/>
          <w:b/>
          <w:bCs/>
        </w:rPr>
        <w:t>由省级以上监狱管理局、戒毒管理局(含新疆生产建设兵团)出具的属于监狱企业的证明文件。</w:t>
      </w:r>
      <w:r>
        <w:rPr>
          <w:rFonts w:hint="eastAsia" w:ascii="宋体" w:hAnsi="宋体"/>
          <w:b/>
          <w:bCs/>
        </w:rPr>
        <w:t>参加报价的残疾人福利性单位，应当按照《财政部、民政部、中国残疾人联合会关于促进残疾人就业政府采购政策的通知》（财库〔2017〕 141号）的规定填写《残疾人福利性单位声明函》。按属于小、微型企业、监狱企业、残疾人福利性单位产品细目报价表认真填写，如未按要求填写和提供有效证明或相关内容表述不清的，不得享受价格扣除。供应商企业性质如按上述文件规定，同时属于可享受价格扣除的两类或两类以上企业，不享受重复价格扣除。</w:t>
      </w:r>
    </w:p>
    <w:p>
      <w:pPr>
        <w:numPr>
          <w:ilvl w:val="0"/>
          <w:numId w:val="4"/>
        </w:numPr>
        <w:tabs>
          <w:tab w:val="left" w:pos="945"/>
          <w:tab w:val="left" w:pos="1155"/>
        </w:tabs>
        <w:spacing w:line="360" w:lineRule="auto"/>
        <w:rPr>
          <w:rFonts w:ascii="宋体" w:hAnsi="宋体"/>
          <w:b/>
          <w:sz w:val="24"/>
        </w:rPr>
      </w:pPr>
      <w:r>
        <w:rPr>
          <w:rFonts w:hint="eastAsia" w:ascii="宋体" w:hAnsi="宋体"/>
          <w:b/>
          <w:sz w:val="24"/>
        </w:rPr>
        <w:t>供应商综合情况（最高得分</w:t>
      </w:r>
      <w:r>
        <w:rPr>
          <w:rFonts w:hint="eastAsia" w:ascii="宋体" w:hAnsi="宋体"/>
          <w:b/>
          <w:sz w:val="24"/>
          <w:lang w:val="en-US" w:eastAsia="zh-CN"/>
        </w:rPr>
        <w:t>13</w:t>
      </w:r>
      <w:r>
        <w:rPr>
          <w:rFonts w:hint="eastAsia" w:ascii="宋体" w:hAnsi="宋体"/>
          <w:b/>
          <w:sz w:val="24"/>
        </w:rPr>
        <w:t>分</w:t>
      </w:r>
      <w:r>
        <w:rPr>
          <w:rFonts w:ascii="宋体" w:hAnsi="宋体"/>
          <w:b/>
          <w:sz w:val="24"/>
        </w:rPr>
        <w:t>）</w:t>
      </w:r>
    </w:p>
    <w:p>
      <w:pPr>
        <w:spacing w:after="50" w:line="440" w:lineRule="exact"/>
        <w:ind w:right="-345" w:firstLine="564" w:firstLineChars="235"/>
        <w:rPr>
          <w:rFonts w:hint="eastAsia" w:ascii="宋体" w:hAnsi="宋体"/>
          <w:sz w:val="24"/>
        </w:rPr>
      </w:pPr>
      <w:r>
        <w:rPr>
          <w:rFonts w:hint="eastAsia" w:ascii="宋体" w:hAnsi="宋体"/>
          <w:sz w:val="24"/>
          <w:lang w:val="en-US" w:eastAsia="zh-CN"/>
        </w:rPr>
        <w:t>1.</w:t>
      </w:r>
      <w:r>
        <w:rPr>
          <w:rFonts w:hint="eastAsia" w:ascii="宋体" w:hAnsi="宋体"/>
          <w:sz w:val="24"/>
        </w:rPr>
        <w:t xml:space="preserve"> 投标人自2017年1月1日起至今有</w:t>
      </w:r>
      <w:r>
        <w:rPr>
          <w:rFonts w:hint="eastAsia" w:ascii="宋体" w:hAnsi="宋体"/>
          <w:sz w:val="24"/>
          <w:lang w:val="en-US" w:eastAsia="zh-CN"/>
        </w:rPr>
        <w:t>同类</w:t>
      </w:r>
      <w:r>
        <w:rPr>
          <w:rFonts w:hint="eastAsia" w:ascii="宋体" w:hAnsi="宋体"/>
          <w:sz w:val="24"/>
        </w:rPr>
        <w:t>绿化养护项目（不含新建质保期内工程）业绩得2分/项，本项目最高不超过6分。（提供中标通知书（或中标证明）、合同作为依据，复印件放入补充证明文件部分，投标时另提供原件，不提供或缺任意一项均不得分）</w:t>
      </w:r>
    </w:p>
    <w:p>
      <w:pPr>
        <w:spacing w:after="50" w:line="440" w:lineRule="exact"/>
        <w:ind w:right="-345" w:firstLine="564" w:firstLineChars="235"/>
        <w:rPr>
          <w:rFonts w:hint="eastAsia" w:ascii="宋体" w:hAnsi="宋体"/>
          <w:sz w:val="24"/>
        </w:rPr>
      </w:pPr>
      <w:r>
        <w:rPr>
          <w:rFonts w:hint="eastAsia" w:ascii="宋体" w:hAnsi="宋体"/>
          <w:sz w:val="24"/>
          <w:lang w:val="en-US" w:eastAsia="zh-CN"/>
        </w:rPr>
        <w:t>2.</w:t>
      </w:r>
      <w:r>
        <w:rPr>
          <w:rFonts w:hint="eastAsia" w:ascii="宋体" w:hAnsi="宋体"/>
          <w:sz w:val="24"/>
        </w:rPr>
        <w:t xml:space="preserve"> 投标人自2017年1月1日起至今，被服务单位对其绿化养护工作满意度证明材料（被服务单位盖公章），每项1分，最多不超过5分。（另需提供合同复印件、服务期内单笔付款发票复印件证明）</w:t>
      </w:r>
    </w:p>
    <w:p>
      <w:pPr>
        <w:spacing w:after="50" w:line="440" w:lineRule="exact"/>
        <w:ind w:right="-345" w:firstLine="564" w:firstLineChars="235"/>
        <w:rPr>
          <w:rFonts w:hint="eastAsia" w:ascii="宋体" w:hAnsi="宋体"/>
          <w:sz w:val="24"/>
        </w:rPr>
      </w:pPr>
      <w:r>
        <w:rPr>
          <w:rFonts w:hint="eastAsia" w:ascii="宋体" w:hAnsi="宋体"/>
          <w:sz w:val="24"/>
          <w:lang w:val="en-US" w:eastAsia="zh-CN"/>
        </w:rPr>
        <w:t>3.</w:t>
      </w:r>
      <w:r>
        <w:rPr>
          <w:rFonts w:hint="eastAsia" w:ascii="宋体" w:hAnsi="宋体"/>
          <w:sz w:val="24"/>
        </w:rPr>
        <w:t xml:space="preserve"> 投标文件规范性、内容完整、表述清楚。（0～</w:t>
      </w:r>
      <w:r>
        <w:rPr>
          <w:rFonts w:hint="eastAsia" w:ascii="宋体" w:hAnsi="宋体"/>
          <w:sz w:val="24"/>
          <w:lang w:val="en-US" w:eastAsia="zh-CN"/>
        </w:rPr>
        <w:t>2</w:t>
      </w:r>
      <w:r>
        <w:rPr>
          <w:rFonts w:hint="eastAsia" w:ascii="宋体" w:hAnsi="宋体"/>
          <w:sz w:val="24"/>
        </w:rPr>
        <w:t>分）。</w:t>
      </w:r>
    </w:p>
    <w:p>
      <w:pPr>
        <w:tabs>
          <w:tab w:val="left" w:pos="425"/>
        </w:tabs>
        <w:spacing w:line="480" w:lineRule="exact"/>
        <w:ind w:firstLine="482" w:firstLineChars="200"/>
        <w:rPr>
          <w:rFonts w:ascii="宋体" w:hAnsi="宋体" w:cs="宋体"/>
          <w:b/>
          <w:color w:val="auto"/>
          <w:sz w:val="24"/>
          <w:szCs w:val="24"/>
        </w:rPr>
      </w:pPr>
      <w:r>
        <w:rPr>
          <w:rFonts w:hint="eastAsia" w:ascii="宋体" w:hAnsi="宋体" w:cs="宋体"/>
          <w:b/>
          <w:color w:val="auto"/>
          <w:sz w:val="24"/>
          <w:szCs w:val="24"/>
        </w:rPr>
        <w:t>（3）拟投入人员情况(</w:t>
      </w:r>
      <w:r>
        <w:rPr>
          <w:rFonts w:ascii="宋体" w:hAnsi="宋体" w:cs="宋体"/>
          <w:b/>
          <w:color w:val="auto"/>
          <w:sz w:val="24"/>
          <w:szCs w:val="24"/>
        </w:rPr>
        <w:t>13</w:t>
      </w:r>
      <w:r>
        <w:rPr>
          <w:rFonts w:hint="eastAsia" w:ascii="宋体" w:hAnsi="宋体" w:cs="宋体"/>
          <w:b/>
          <w:color w:val="auto"/>
          <w:sz w:val="24"/>
          <w:szCs w:val="24"/>
        </w:rPr>
        <w:t>分)</w:t>
      </w:r>
    </w:p>
    <w:p>
      <w:pPr>
        <w:spacing w:after="50" w:line="440" w:lineRule="exact"/>
        <w:ind w:right="-345" w:firstLine="564" w:firstLineChars="235"/>
        <w:rPr>
          <w:rFonts w:hint="eastAsia" w:ascii="宋体" w:hAnsi="宋体"/>
          <w:sz w:val="24"/>
        </w:rPr>
      </w:pPr>
      <w:r>
        <w:rPr>
          <w:rFonts w:hint="eastAsia" w:ascii="宋体" w:hAnsi="宋体"/>
          <w:sz w:val="24"/>
          <w:lang w:val="en-US" w:eastAsia="zh-CN"/>
        </w:rPr>
        <w:t>1.</w:t>
      </w:r>
      <w:r>
        <w:rPr>
          <w:rFonts w:hint="eastAsia" w:ascii="宋体" w:hAnsi="宋体"/>
          <w:sz w:val="24"/>
        </w:rPr>
        <w:t>满足基本条件得基础分10分（详人员最低配置要求：驻点项目负责人1名、普通养护人员8名），不满足不得分</w:t>
      </w:r>
      <w:r>
        <w:rPr>
          <w:rFonts w:hint="eastAsia" w:ascii="宋体" w:hAnsi="宋体"/>
          <w:sz w:val="24"/>
          <w:lang w:eastAsia="zh-CN"/>
        </w:rPr>
        <w:t>（</w:t>
      </w:r>
      <w:r>
        <w:rPr>
          <w:rFonts w:hint="eastAsia" w:ascii="宋体" w:hAnsi="宋体"/>
          <w:color w:val="auto"/>
          <w:sz w:val="24"/>
          <w:lang w:val="en-US" w:eastAsia="zh-CN"/>
        </w:rPr>
        <w:t>须提供人员配备表及相关人员合同及社保证明材料原件）</w:t>
      </w:r>
      <w:r>
        <w:rPr>
          <w:rFonts w:hint="eastAsia" w:ascii="宋体" w:hAnsi="宋体"/>
          <w:sz w:val="24"/>
        </w:rPr>
        <w:t>；</w:t>
      </w:r>
    </w:p>
    <w:p>
      <w:pPr>
        <w:spacing w:after="50" w:line="440" w:lineRule="exact"/>
        <w:ind w:right="-345" w:firstLine="564" w:firstLineChars="235"/>
        <w:rPr>
          <w:rFonts w:hint="eastAsia" w:ascii="宋体" w:hAnsi="宋体"/>
          <w:sz w:val="24"/>
        </w:rPr>
      </w:pPr>
      <w:r>
        <w:rPr>
          <w:rFonts w:hint="eastAsia" w:ascii="宋体" w:hAnsi="宋体"/>
          <w:sz w:val="24"/>
          <w:lang w:val="en-US" w:eastAsia="zh-CN"/>
        </w:rPr>
        <w:t>2.</w:t>
      </w:r>
      <w:r>
        <w:rPr>
          <w:rFonts w:hint="eastAsia" w:ascii="宋体" w:hAnsi="宋体"/>
          <w:sz w:val="24"/>
        </w:rPr>
        <w:t>养护期人员按月份投入计划（0-3分）</w:t>
      </w:r>
    </w:p>
    <w:p>
      <w:pPr>
        <w:tabs>
          <w:tab w:val="left" w:pos="425"/>
        </w:tabs>
        <w:spacing w:line="480" w:lineRule="exact"/>
        <w:ind w:firstLine="482" w:firstLineChars="200"/>
        <w:rPr>
          <w:rFonts w:hint="eastAsia" w:ascii="宋体" w:hAnsi="宋体" w:cs="宋体"/>
          <w:b/>
          <w:color w:val="auto"/>
          <w:sz w:val="24"/>
          <w:szCs w:val="24"/>
        </w:rPr>
      </w:pPr>
      <w:r>
        <w:rPr>
          <w:rFonts w:hint="eastAsia" w:ascii="宋体" w:hAnsi="宋体" w:cs="宋体"/>
          <w:b/>
          <w:color w:val="auto"/>
          <w:sz w:val="24"/>
          <w:szCs w:val="24"/>
        </w:rPr>
        <w:t>（4）拟投入设备情况（9分）</w:t>
      </w:r>
    </w:p>
    <w:p>
      <w:pPr>
        <w:tabs>
          <w:tab w:val="left" w:pos="425"/>
        </w:tabs>
        <w:spacing w:line="48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lang w:val="en-US" w:eastAsia="zh-CN"/>
        </w:rPr>
        <w:t>1.</w:t>
      </w:r>
      <w:r>
        <w:rPr>
          <w:rFonts w:hint="eastAsia" w:ascii="宋体" w:hAnsi="宋体" w:cs="宋体"/>
          <w:b w:val="0"/>
          <w:bCs/>
          <w:color w:val="auto"/>
          <w:sz w:val="24"/>
          <w:szCs w:val="24"/>
        </w:rPr>
        <w:t>投标企业拥有自购的推式喷雾机、高枝油锯、草坪打孔机、高压药水机、中型旋耕机的（动力不少于9马力）各一台各得1分，最高得5分；</w:t>
      </w:r>
    </w:p>
    <w:p>
      <w:pPr>
        <w:tabs>
          <w:tab w:val="left" w:pos="425"/>
        </w:tabs>
        <w:spacing w:line="48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lang w:val="en-US" w:eastAsia="zh-CN"/>
        </w:rPr>
        <w:t>2.</w:t>
      </w:r>
      <w:r>
        <w:rPr>
          <w:rFonts w:hint="eastAsia" w:ascii="宋体" w:hAnsi="宋体" w:cs="宋体"/>
          <w:b w:val="0"/>
          <w:bCs/>
          <w:color w:val="auto"/>
          <w:sz w:val="24"/>
          <w:szCs w:val="24"/>
        </w:rPr>
        <w:t>投标企业拥有一台自购的树叶（树桠）粉碎机得2分，最高得2分；</w:t>
      </w:r>
    </w:p>
    <w:p>
      <w:pPr>
        <w:tabs>
          <w:tab w:val="left" w:pos="425"/>
        </w:tabs>
        <w:spacing w:line="48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lang w:val="en-US" w:eastAsia="zh-CN"/>
        </w:rPr>
        <w:t>3.</w:t>
      </w:r>
      <w:r>
        <w:rPr>
          <w:rFonts w:hint="eastAsia" w:ascii="宋体" w:hAnsi="宋体" w:cs="宋体"/>
          <w:b w:val="0"/>
          <w:bCs/>
          <w:color w:val="auto"/>
          <w:sz w:val="24"/>
          <w:szCs w:val="24"/>
        </w:rPr>
        <w:t>投标企业拥有一台自购的8吨洒水车得2分，最高得2分；</w:t>
      </w:r>
    </w:p>
    <w:p>
      <w:pPr>
        <w:spacing w:line="480" w:lineRule="exact"/>
        <w:ind w:firstLine="482" w:firstLineChars="200"/>
        <w:rPr>
          <w:rFonts w:hint="eastAsia" w:ascii="宋体" w:hAnsi="宋体" w:cs="宋体"/>
          <w:b/>
          <w:color w:val="FF0000"/>
          <w:sz w:val="24"/>
          <w:szCs w:val="24"/>
        </w:rPr>
      </w:pPr>
      <w:r>
        <w:rPr>
          <w:rFonts w:hint="eastAsia" w:ascii="宋体" w:hAnsi="宋体" w:cs="宋体"/>
          <w:b/>
          <w:color w:val="FF0000"/>
          <w:sz w:val="24"/>
          <w:szCs w:val="24"/>
        </w:rPr>
        <w:t>注：提供主要施工机械设备表,推式喷雾机、高枝油锯、草坪打孔机、高压药水机、中型旋耕机、树叶（树桠）粉碎机、洒水车，投标时必须提供照片、购买发票复印件加盖公章（投标时提供发票原件核对)，不提供或提供不齐全的不得分;以上须为公司自有设备、车辆，否则不得分。</w:t>
      </w:r>
    </w:p>
    <w:p>
      <w:pPr>
        <w:tabs>
          <w:tab w:val="left" w:pos="425"/>
        </w:tabs>
        <w:spacing w:line="480" w:lineRule="exact"/>
        <w:ind w:firstLine="482" w:firstLineChars="200"/>
        <w:rPr>
          <w:rFonts w:hint="eastAsia" w:ascii="宋体" w:hAnsi="宋体" w:cs="宋体"/>
          <w:b/>
          <w:color w:val="auto"/>
          <w:sz w:val="24"/>
          <w:szCs w:val="24"/>
        </w:rPr>
      </w:pPr>
      <w:r>
        <w:rPr>
          <w:rFonts w:hint="eastAsia" w:ascii="宋体" w:hAnsi="宋体" w:cs="宋体"/>
          <w:b/>
          <w:color w:val="auto"/>
          <w:sz w:val="24"/>
          <w:szCs w:val="24"/>
          <w:lang w:eastAsia="zh-CN"/>
        </w:rPr>
        <w:t>（</w:t>
      </w:r>
      <w:r>
        <w:rPr>
          <w:rFonts w:hint="eastAsia" w:ascii="宋体" w:hAnsi="宋体" w:cs="宋体"/>
          <w:b/>
          <w:color w:val="auto"/>
          <w:sz w:val="24"/>
          <w:szCs w:val="24"/>
          <w:lang w:val="en-US" w:eastAsia="zh-CN"/>
        </w:rPr>
        <w:t>5</w:t>
      </w:r>
      <w:r>
        <w:rPr>
          <w:rFonts w:hint="eastAsia" w:ascii="宋体" w:hAnsi="宋体" w:cs="宋体"/>
          <w:b/>
          <w:color w:val="auto"/>
          <w:sz w:val="24"/>
          <w:szCs w:val="24"/>
          <w:lang w:eastAsia="zh-CN"/>
        </w:rPr>
        <w:t>）</w:t>
      </w:r>
      <w:r>
        <w:rPr>
          <w:rFonts w:hint="eastAsia" w:ascii="宋体" w:hAnsi="宋体" w:cs="宋体"/>
          <w:b/>
          <w:color w:val="auto"/>
          <w:sz w:val="24"/>
          <w:szCs w:val="24"/>
        </w:rPr>
        <w:t>技术标部分（3</w:t>
      </w:r>
      <w:r>
        <w:rPr>
          <w:rFonts w:hint="eastAsia" w:ascii="宋体" w:hAnsi="宋体" w:cs="宋体"/>
          <w:b/>
          <w:color w:val="auto"/>
          <w:sz w:val="24"/>
          <w:szCs w:val="24"/>
          <w:lang w:val="en-US" w:eastAsia="zh-CN"/>
        </w:rPr>
        <w:t>5</w:t>
      </w:r>
      <w:r>
        <w:rPr>
          <w:rFonts w:hint="eastAsia" w:ascii="宋体" w:hAnsi="宋体" w:cs="宋体"/>
          <w:b/>
          <w:color w:val="auto"/>
          <w:sz w:val="24"/>
          <w:szCs w:val="24"/>
        </w:rPr>
        <w:t>分）</w:t>
      </w:r>
    </w:p>
    <w:p>
      <w:pPr>
        <w:tabs>
          <w:tab w:val="left" w:pos="425"/>
        </w:tabs>
        <w:spacing w:line="480" w:lineRule="exact"/>
        <w:ind w:firstLine="480" w:firstLineChars="200"/>
        <w:rPr>
          <w:rFonts w:hint="eastAsia" w:ascii="宋体" w:hAnsi="宋体" w:cs="宋体"/>
          <w:b/>
          <w:color w:val="auto"/>
          <w:sz w:val="24"/>
          <w:szCs w:val="24"/>
        </w:rPr>
      </w:pPr>
      <w:r>
        <w:rPr>
          <w:rFonts w:hint="eastAsia" w:ascii="宋体" w:hAnsi="宋体" w:cs="宋体"/>
          <w:b w:val="0"/>
          <w:bCs/>
          <w:color w:val="auto"/>
          <w:sz w:val="24"/>
          <w:szCs w:val="24"/>
        </w:rPr>
        <w:t>1</w:t>
      </w:r>
      <w:r>
        <w:rPr>
          <w:rFonts w:hint="eastAsia" w:ascii="宋体" w:hAnsi="宋体" w:cs="宋体"/>
          <w:b w:val="0"/>
          <w:bCs/>
          <w:color w:val="auto"/>
          <w:sz w:val="24"/>
          <w:szCs w:val="24"/>
          <w:lang w:val="en-US" w:eastAsia="zh-CN"/>
        </w:rPr>
        <w:t>.</w:t>
      </w:r>
      <w:r>
        <w:rPr>
          <w:rFonts w:hint="eastAsia" w:ascii="宋体" w:hAnsi="宋体" w:cs="宋体"/>
          <w:b w:val="0"/>
          <w:bCs/>
          <w:color w:val="auto"/>
          <w:sz w:val="24"/>
          <w:szCs w:val="24"/>
        </w:rPr>
        <w:t>抢险救灾应急预案（9分）</w:t>
      </w:r>
    </w:p>
    <w:p>
      <w:pPr>
        <w:tabs>
          <w:tab w:val="left" w:pos="425"/>
        </w:tabs>
        <w:spacing w:line="48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lang w:val="en-US" w:eastAsia="zh-CN"/>
        </w:rPr>
        <w:t>1.1</w:t>
      </w:r>
      <w:r>
        <w:rPr>
          <w:rFonts w:hint="eastAsia" w:ascii="宋体" w:hAnsi="宋体" w:cs="宋体"/>
          <w:b w:val="0"/>
          <w:bCs/>
          <w:color w:val="auto"/>
          <w:sz w:val="24"/>
          <w:szCs w:val="24"/>
        </w:rPr>
        <w:t>抢险救灾预案应急可行性  （3分）</w:t>
      </w:r>
    </w:p>
    <w:p>
      <w:pPr>
        <w:tabs>
          <w:tab w:val="left" w:pos="425"/>
        </w:tabs>
        <w:spacing w:line="48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lang w:val="en-US" w:eastAsia="zh-CN"/>
        </w:rPr>
        <w:t>1.2</w:t>
      </w:r>
      <w:r>
        <w:rPr>
          <w:rFonts w:hint="eastAsia" w:ascii="宋体" w:hAnsi="宋体" w:cs="宋体"/>
          <w:b w:val="0"/>
          <w:bCs/>
          <w:color w:val="auto"/>
          <w:sz w:val="24"/>
          <w:szCs w:val="24"/>
        </w:rPr>
        <w:t>抢险救灾机械应急配备情况（3分）</w:t>
      </w:r>
    </w:p>
    <w:p>
      <w:pPr>
        <w:tabs>
          <w:tab w:val="left" w:pos="425"/>
        </w:tabs>
        <w:spacing w:line="48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lang w:val="en-US" w:eastAsia="zh-CN"/>
        </w:rPr>
        <w:t>1.3</w:t>
      </w:r>
      <w:r>
        <w:rPr>
          <w:rFonts w:hint="eastAsia" w:ascii="宋体" w:hAnsi="宋体" w:cs="宋体"/>
          <w:b w:val="0"/>
          <w:bCs/>
          <w:color w:val="auto"/>
          <w:sz w:val="24"/>
          <w:szCs w:val="24"/>
        </w:rPr>
        <w:t>抢险救灾人员应急配备情况（3分）</w:t>
      </w:r>
    </w:p>
    <w:p>
      <w:pPr>
        <w:tabs>
          <w:tab w:val="left" w:pos="425"/>
        </w:tabs>
        <w:spacing w:line="48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rPr>
        <w:t>抢险救灾应急预案必须至少包括以下内容：</w:t>
      </w:r>
    </w:p>
    <w:p>
      <w:pPr>
        <w:tabs>
          <w:tab w:val="left" w:pos="425"/>
        </w:tabs>
        <w:spacing w:line="48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rPr>
        <w:t>a.预案应急可行性（包括组织机构、教育培训、安全抢险、日常巡查、灾后恢复）得基本分1分；</w:t>
      </w:r>
    </w:p>
    <w:p>
      <w:pPr>
        <w:tabs>
          <w:tab w:val="left" w:pos="1848"/>
        </w:tabs>
        <w:autoSpaceDE w:val="0"/>
        <w:autoSpaceDN w:val="0"/>
        <w:spacing w:line="440" w:lineRule="exact"/>
        <w:ind w:firstLine="480" w:firstLineChars="200"/>
        <w:rPr>
          <w:rFonts w:ascii="宋体" w:hAnsi="宋体"/>
          <w:color w:val="FF0000"/>
          <w:sz w:val="24"/>
        </w:rPr>
      </w:pPr>
      <w:r>
        <w:rPr>
          <w:rFonts w:ascii="宋体" w:hAnsi="宋体"/>
          <w:color w:val="FF0000"/>
          <w:sz w:val="24"/>
        </w:rPr>
        <w:t>b.</w:t>
      </w:r>
      <w:r>
        <w:rPr>
          <w:rFonts w:hint="eastAsia" w:ascii="宋体" w:hAnsi="宋体"/>
          <w:color w:val="FF0000"/>
          <w:sz w:val="24"/>
        </w:rPr>
        <w:t>机械应急配备（包括抢险救灾储备物资名录、维修保养台账）得基本分1分；</w:t>
      </w:r>
    </w:p>
    <w:p>
      <w:pPr>
        <w:autoSpaceDE w:val="0"/>
        <w:autoSpaceDN w:val="0"/>
        <w:spacing w:line="440" w:lineRule="exact"/>
        <w:ind w:firstLine="480" w:firstLineChars="200"/>
        <w:rPr>
          <w:rFonts w:ascii="宋体" w:hAnsi="宋体"/>
          <w:color w:val="FF0000"/>
          <w:sz w:val="24"/>
          <w:szCs w:val="24"/>
        </w:rPr>
      </w:pPr>
      <w:r>
        <w:rPr>
          <w:rFonts w:ascii="宋体" w:hAnsi="宋体"/>
          <w:color w:val="FF0000"/>
          <w:sz w:val="24"/>
          <w:szCs w:val="24"/>
        </w:rPr>
        <w:t>c.</w:t>
      </w:r>
      <w:r>
        <w:rPr>
          <w:rFonts w:hint="eastAsia" w:ascii="宋体" w:hAnsi="宋体"/>
          <w:color w:val="FF0000"/>
          <w:sz w:val="24"/>
          <w:szCs w:val="24"/>
        </w:rPr>
        <w:t>人员应急配备（包括人员数量、职责分工）得基本分1分。</w:t>
      </w:r>
    </w:p>
    <w:p>
      <w:pPr>
        <w:autoSpaceDE w:val="0"/>
        <w:autoSpaceDN w:val="0"/>
        <w:spacing w:line="440" w:lineRule="exact"/>
        <w:ind w:firstLine="480" w:firstLineChars="200"/>
        <w:rPr>
          <w:rFonts w:ascii="宋体" w:hAnsi="宋体"/>
          <w:color w:val="FF0000"/>
          <w:sz w:val="24"/>
          <w:szCs w:val="24"/>
        </w:rPr>
      </w:pPr>
      <w:r>
        <w:rPr>
          <w:rFonts w:hint="eastAsia" w:ascii="宋体" w:hAnsi="宋体"/>
          <w:color w:val="FF0000"/>
          <w:sz w:val="24"/>
          <w:szCs w:val="24"/>
        </w:rPr>
        <w:t xml:space="preserve">说明：制定合理的防灾预案、认真参加防灾演练，积极参加抢险救灾、主动承担社会救助。应急防灾抗灾网络完整，人员、设备物资储备能满足各类应急救灾事件的需求； </w:t>
      </w:r>
    </w:p>
    <w:p>
      <w:pPr>
        <w:autoSpaceDE w:val="0"/>
        <w:autoSpaceDN w:val="0"/>
        <w:spacing w:line="440" w:lineRule="exact"/>
        <w:ind w:firstLine="480" w:firstLineChars="200"/>
        <w:rPr>
          <w:rFonts w:ascii="宋体" w:hAnsi="宋体"/>
          <w:color w:val="FF0000"/>
          <w:sz w:val="24"/>
          <w:szCs w:val="24"/>
        </w:rPr>
      </w:pPr>
      <w:r>
        <w:rPr>
          <w:rFonts w:hint="eastAsia" w:ascii="宋体" w:hAnsi="宋体"/>
          <w:color w:val="FF0000"/>
          <w:sz w:val="24"/>
          <w:szCs w:val="24"/>
          <w:lang w:val="en-US" w:eastAsia="zh-CN"/>
        </w:rPr>
        <w:t>2.</w:t>
      </w:r>
      <w:r>
        <w:rPr>
          <w:rFonts w:hint="eastAsia" w:ascii="宋体" w:hAnsi="宋体"/>
          <w:color w:val="FF0000"/>
          <w:sz w:val="24"/>
          <w:szCs w:val="24"/>
        </w:rPr>
        <w:t>养护方案（2</w:t>
      </w:r>
      <w:r>
        <w:rPr>
          <w:rFonts w:hint="eastAsia" w:ascii="宋体" w:hAnsi="宋体"/>
          <w:color w:val="FF0000"/>
          <w:sz w:val="24"/>
          <w:szCs w:val="24"/>
          <w:lang w:val="en-US" w:eastAsia="zh-CN"/>
        </w:rPr>
        <w:t>2</w:t>
      </w:r>
      <w:r>
        <w:rPr>
          <w:rFonts w:hint="eastAsia" w:ascii="宋体" w:hAnsi="宋体"/>
          <w:color w:val="FF0000"/>
          <w:sz w:val="24"/>
          <w:szCs w:val="24"/>
        </w:rPr>
        <w:t>分）</w:t>
      </w:r>
    </w:p>
    <w:p>
      <w:pPr>
        <w:autoSpaceDE w:val="0"/>
        <w:autoSpaceDN w:val="0"/>
        <w:spacing w:line="440" w:lineRule="exact"/>
        <w:ind w:firstLine="480" w:firstLineChars="200"/>
        <w:rPr>
          <w:rFonts w:ascii="宋体" w:hAnsi="宋体"/>
          <w:color w:val="FF0000"/>
          <w:sz w:val="24"/>
          <w:szCs w:val="24"/>
        </w:rPr>
      </w:pPr>
      <w:r>
        <w:rPr>
          <w:rFonts w:hint="eastAsia" w:ascii="宋体" w:hAnsi="宋体"/>
          <w:color w:val="FF0000"/>
          <w:sz w:val="24"/>
          <w:szCs w:val="24"/>
          <w:lang w:val="en-US" w:eastAsia="zh-CN"/>
        </w:rPr>
        <w:t>2.1</w:t>
      </w:r>
      <w:r>
        <w:rPr>
          <w:rFonts w:hint="eastAsia" w:ascii="宋体" w:hAnsi="宋体"/>
          <w:color w:val="FF0000"/>
          <w:sz w:val="24"/>
          <w:szCs w:val="24"/>
        </w:rPr>
        <w:t>针对性：具有本标段特点，养护计划与本标段植物品种、绿地实际情况相符（</w:t>
      </w:r>
      <w:r>
        <w:rPr>
          <w:rFonts w:hint="eastAsia" w:ascii="宋体" w:hAnsi="宋体"/>
          <w:color w:val="FF0000"/>
          <w:sz w:val="24"/>
          <w:szCs w:val="24"/>
          <w:lang w:val="en-US" w:eastAsia="zh-CN"/>
        </w:rPr>
        <w:t>5</w:t>
      </w:r>
      <w:r>
        <w:rPr>
          <w:rFonts w:hint="eastAsia" w:ascii="宋体" w:hAnsi="宋体"/>
          <w:color w:val="FF0000"/>
          <w:sz w:val="24"/>
          <w:szCs w:val="24"/>
        </w:rPr>
        <w:t>分）</w:t>
      </w:r>
    </w:p>
    <w:p>
      <w:pPr>
        <w:autoSpaceDE w:val="0"/>
        <w:autoSpaceDN w:val="0"/>
        <w:spacing w:line="440" w:lineRule="exact"/>
        <w:ind w:firstLine="480" w:firstLineChars="200"/>
        <w:rPr>
          <w:rFonts w:ascii="宋体" w:hAnsi="宋体"/>
          <w:color w:val="FF0000"/>
          <w:sz w:val="24"/>
          <w:szCs w:val="24"/>
        </w:rPr>
      </w:pPr>
      <w:r>
        <w:rPr>
          <w:rFonts w:hint="eastAsia" w:ascii="宋体" w:hAnsi="宋体"/>
          <w:color w:val="FF0000"/>
          <w:sz w:val="24"/>
          <w:szCs w:val="24"/>
          <w:lang w:val="en-US" w:eastAsia="zh-CN"/>
        </w:rPr>
        <w:t>2.2</w:t>
      </w:r>
      <w:r>
        <w:rPr>
          <w:rFonts w:hint="eastAsia" w:ascii="宋体" w:hAnsi="宋体"/>
          <w:color w:val="FF0000"/>
          <w:sz w:val="24"/>
          <w:szCs w:val="24"/>
        </w:rPr>
        <w:t>合理性：养护计划科学合理，符合植物生长规律和季节特点（</w:t>
      </w:r>
      <w:r>
        <w:rPr>
          <w:rFonts w:hint="eastAsia" w:ascii="宋体" w:hAnsi="宋体"/>
          <w:color w:val="FF0000"/>
          <w:sz w:val="24"/>
          <w:szCs w:val="24"/>
          <w:lang w:val="en-US" w:eastAsia="zh-CN"/>
        </w:rPr>
        <w:t>5</w:t>
      </w:r>
      <w:r>
        <w:rPr>
          <w:rFonts w:hint="eastAsia" w:ascii="宋体" w:hAnsi="宋体"/>
          <w:color w:val="FF0000"/>
          <w:sz w:val="24"/>
          <w:szCs w:val="24"/>
        </w:rPr>
        <w:t>分）</w:t>
      </w:r>
    </w:p>
    <w:p>
      <w:pPr>
        <w:autoSpaceDE w:val="0"/>
        <w:autoSpaceDN w:val="0"/>
        <w:spacing w:line="440" w:lineRule="exact"/>
        <w:ind w:firstLine="480" w:firstLineChars="200"/>
        <w:rPr>
          <w:rFonts w:ascii="宋体" w:hAnsi="宋体"/>
          <w:color w:val="FF0000"/>
          <w:sz w:val="24"/>
        </w:rPr>
      </w:pPr>
      <w:r>
        <w:rPr>
          <w:rFonts w:hint="eastAsia" w:ascii="宋体" w:hAnsi="宋体"/>
          <w:color w:val="FF0000"/>
          <w:sz w:val="24"/>
          <w:lang w:val="en-US" w:eastAsia="zh-CN"/>
        </w:rPr>
        <w:t>2.3</w:t>
      </w:r>
      <w:r>
        <w:rPr>
          <w:rFonts w:hint="eastAsia" w:ascii="宋体" w:hAnsi="宋体"/>
          <w:color w:val="FF0000"/>
          <w:sz w:val="24"/>
        </w:rPr>
        <w:t>质量保证措施：</w:t>
      </w:r>
      <w:r>
        <w:rPr>
          <w:rFonts w:hint="eastAsia" w:ascii="宋体" w:hAnsi="宋体"/>
          <w:color w:val="FF0000"/>
          <w:sz w:val="24"/>
          <w:szCs w:val="24"/>
        </w:rPr>
        <w:t>具体各个苗木品种上所采取的养护质量保证措施（4分）</w:t>
      </w:r>
    </w:p>
    <w:p>
      <w:pPr>
        <w:autoSpaceDE w:val="0"/>
        <w:autoSpaceDN w:val="0"/>
        <w:spacing w:line="440" w:lineRule="exact"/>
        <w:ind w:firstLine="480" w:firstLineChars="200"/>
        <w:rPr>
          <w:rFonts w:ascii="宋体" w:hAnsi="宋体"/>
          <w:color w:val="FF0000"/>
          <w:sz w:val="24"/>
          <w:szCs w:val="24"/>
        </w:rPr>
      </w:pPr>
      <w:r>
        <w:rPr>
          <w:rFonts w:hint="eastAsia" w:ascii="宋体" w:hAnsi="宋体"/>
          <w:color w:val="FF0000"/>
          <w:sz w:val="24"/>
          <w:lang w:val="en-US" w:eastAsia="zh-CN"/>
        </w:rPr>
        <w:t>2.4</w:t>
      </w:r>
      <w:r>
        <w:rPr>
          <w:rFonts w:hint="eastAsia" w:ascii="宋体" w:hAnsi="宋体"/>
          <w:color w:val="FF0000"/>
          <w:sz w:val="24"/>
        </w:rPr>
        <w:t>安全文明施工及环境保护：描述安全文明养护施工操作以及养护周边环境维护（4分）</w:t>
      </w:r>
    </w:p>
    <w:p>
      <w:pPr>
        <w:autoSpaceDE w:val="0"/>
        <w:autoSpaceDN w:val="0"/>
        <w:spacing w:line="440" w:lineRule="exact"/>
        <w:ind w:firstLine="480" w:firstLineChars="200"/>
        <w:rPr>
          <w:rFonts w:ascii="宋体" w:hAnsi="宋体"/>
          <w:color w:val="FF0000"/>
          <w:sz w:val="24"/>
          <w:szCs w:val="24"/>
        </w:rPr>
      </w:pPr>
      <w:r>
        <w:rPr>
          <w:rFonts w:hint="eastAsia" w:ascii="宋体" w:hAnsi="宋体"/>
          <w:color w:val="FF0000"/>
          <w:sz w:val="24"/>
          <w:szCs w:val="24"/>
          <w:lang w:val="en-US" w:eastAsia="zh-CN"/>
        </w:rPr>
        <w:t>2.5</w:t>
      </w:r>
      <w:r>
        <w:rPr>
          <w:rFonts w:hint="eastAsia" w:ascii="宋体" w:hAnsi="宋体"/>
          <w:color w:val="FF0000"/>
          <w:sz w:val="24"/>
          <w:szCs w:val="24"/>
        </w:rPr>
        <w:t>内容详细：根据标段实际情况编写每季度养护重点；（4分）</w:t>
      </w:r>
    </w:p>
    <w:p>
      <w:pPr>
        <w:autoSpaceDE w:val="0"/>
        <w:autoSpaceDN w:val="0"/>
        <w:spacing w:line="440" w:lineRule="exact"/>
        <w:ind w:firstLine="480" w:firstLineChars="200"/>
        <w:rPr>
          <w:rFonts w:ascii="宋体" w:hAnsi="宋体"/>
          <w:color w:val="FF0000"/>
          <w:sz w:val="24"/>
          <w:szCs w:val="24"/>
        </w:rPr>
      </w:pPr>
      <w:r>
        <w:rPr>
          <w:rFonts w:hint="eastAsia" w:ascii="宋体" w:hAnsi="宋体"/>
          <w:color w:val="FF0000"/>
          <w:sz w:val="24"/>
          <w:szCs w:val="24"/>
          <w:lang w:val="en-US" w:eastAsia="zh-CN"/>
        </w:rPr>
        <w:t>3.</w:t>
      </w:r>
      <w:r>
        <w:rPr>
          <w:rFonts w:hint="eastAsia" w:ascii="宋体" w:hAnsi="宋体"/>
          <w:bCs/>
          <w:color w:val="FF0000"/>
          <w:sz w:val="24"/>
          <w:szCs w:val="24"/>
        </w:rPr>
        <w:t>质量及服务条件承诺</w:t>
      </w:r>
      <w:r>
        <w:rPr>
          <w:rFonts w:ascii="宋体" w:hAnsi="宋体"/>
          <w:color w:val="FF0000"/>
          <w:sz w:val="24"/>
          <w:szCs w:val="24"/>
        </w:rPr>
        <w:t>(</w:t>
      </w:r>
      <w:r>
        <w:rPr>
          <w:rFonts w:hint="eastAsia" w:ascii="宋体" w:hAnsi="宋体"/>
          <w:color w:val="FF0000"/>
          <w:sz w:val="24"/>
          <w:szCs w:val="24"/>
          <w:lang w:val="en-US" w:eastAsia="zh-CN"/>
        </w:rPr>
        <w:t>4</w:t>
      </w:r>
      <w:r>
        <w:rPr>
          <w:rFonts w:hint="eastAsia" w:ascii="宋体" w:hAnsi="宋体"/>
          <w:color w:val="FF0000"/>
          <w:sz w:val="24"/>
          <w:szCs w:val="24"/>
        </w:rPr>
        <w:t>分</w:t>
      </w:r>
      <w:r>
        <w:rPr>
          <w:rFonts w:ascii="宋体" w:hAnsi="宋体"/>
          <w:color w:val="FF0000"/>
          <w:sz w:val="24"/>
          <w:szCs w:val="24"/>
        </w:rPr>
        <w:t>)</w:t>
      </w:r>
    </w:p>
    <w:p>
      <w:pPr>
        <w:spacing w:line="360" w:lineRule="auto"/>
        <w:ind w:firstLine="422" w:firstLineChars="176"/>
        <w:rPr>
          <w:rFonts w:hint="eastAsia" w:ascii="宋体" w:hAnsi="宋体"/>
          <w:sz w:val="24"/>
        </w:rPr>
      </w:pPr>
      <w:r>
        <w:rPr>
          <w:rFonts w:hint="eastAsia" w:ascii="宋体" w:hAnsi="宋体"/>
          <w:color w:val="FF0000"/>
          <w:sz w:val="24"/>
        </w:rPr>
        <w:t>投标单位根据自身实际情况，结合招标文件要求，就中标后进一步配合甲方加强绿地整体管养工作，对质量及服务作出具体承诺。</w:t>
      </w:r>
    </w:p>
    <w:p>
      <w:pPr>
        <w:spacing w:line="360" w:lineRule="auto"/>
        <w:ind w:firstLine="480" w:firstLineChars="200"/>
        <w:rPr>
          <w:rFonts w:hint="eastAsia" w:ascii="宋体" w:hAnsi="宋体"/>
          <w:sz w:val="24"/>
        </w:rPr>
      </w:pPr>
      <w:r>
        <w:rPr>
          <w:rFonts w:hint="eastAsia" w:ascii="宋体" w:hAnsi="宋体"/>
          <w:sz w:val="24"/>
        </w:rPr>
        <w:t>除施工组织设计编制粗糙、缺漏项多、页数明显偏少（少于</w:t>
      </w:r>
      <w:r>
        <w:rPr>
          <w:rFonts w:hint="eastAsia" w:ascii="宋体" w:hAnsi="宋体"/>
          <w:sz w:val="24"/>
          <w:lang w:val="en-US" w:eastAsia="zh-CN"/>
        </w:rPr>
        <w:t>3</w:t>
      </w:r>
      <w:r>
        <w:rPr>
          <w:rFonts w:ascii="宋体" w:hAnsi="宋体"/>
          <w:sz w:val="24"/>
        </w:rPr>
        <w:t>0</w:t>
      </w:r>
      <w:r>
        <w:rPr>
          <w:rFonts w:hint="eastAsia" w:ascii="宋体" w:hAnsi="宋体"/>
          <w:sz w:val="24"/>
        </w:rPr>
        <w:t>页）外，评委一般按照下列评分幅度对施工组织设计进行评分：90%≤优≤100%；80%≤良＜90%；70%≤中＜80%；60%≤一般＜70%。（</w:t>
      </w:r>
      <w:r>
        <w:rPr>
          <w:rFonts w:hint="eastAsia" w:ascii="宋体" w:hAnsi="宋体"/>
          <w:bCs/>
          <w:sz w:val="24"/>
        </w:rPr>
        <w:t>取所有评委打分分值的平均值</w:t>
      </w:r>
      <w:r>
        <w:rPr>
          <w:rFonts w:hint="eastAsia" w:ascii="宋体" w:hAnsi="宋体"/>
          <w:sz w:val="24"/>
        </w:rPr>
        <w:t>）。</w:t>
      </w:r>
    </w:p>
    <w:p>
      <w:pPr>
        <w:spacing w:line="360" w:lineRule="auto"/>
        <w:ind w:firstLine="480" w:firstLineChars="200"/>
        <w:rPr>
          <w:rFonts w:ascii="黑体" w:hAnsi="宋体" w:eastAsia="黑体"/>
          <w:bCs/>
          <w:sz w:val="24"/>
        </w:rPr>
      </w:pPr>
      <w:r>
        <w:rPr>
          <w:rFonts w:hint="eastAsia"/>
          <w:bCs/>
          <w:sz w:val="24"/>
          <w:szCs w:val="24"/>
          <w:lang w:val="en-US" w:eastAsia="zh-CN"/>
        </w:rPr>
        <w:t>“加分因素（2分）：所选用设备、材料属于节能产品、环境标志产品品目清单范围的，提供由国家确定的认证机构（根据《市场监管总局关于发布参与实施政府采购节能产品、环境标志产品认证机构名录的公告》（2019年第16号）中确认的《参与实施政府采购节能产品认证机构名录》《参与实施政府采购环境标志产品认证机构名录》）出具的、处于有效期之内的节能产品、环境标志产品认证证书的，落实政府优先采购政策，分别予以加1分（同一产品同时具有节能产品、环境标志产品认证证书的不重复加分）。”</w:t>
      </w:r>
    </w:p>
    <w:p>
      <w:pPr>
        <w:spacing w:line="360" w:lineRule="auto"/>
        <w:ind w:left="-2" w:leftChars="-1" w:firstLine="422" w:firstLineChars="175"/>
        <w:outlineLvl w:val="0"/>
        <w:rPr>
          <w:rFonts w:hint="eastAsia" w:ascii="宋体" w:hAnsi="宋体" w:cs="Times New Roman"/>
          <w:b/>
          <w:sz w:val="24"/>
        </w:rPr>
      </w:pPr>
      <w:r>
        <w:rPr>
          <w:rFonts w:hint="eastAsia" w:ascii="宋体" w:hAnsi="宋体" w:cs="Times New Roman"/>
          <w:b/>
          <w:sz w:val="24"/>
        </w:rPr>
        <w:t>（</w:t>
      </w:r>
      <w:r>
        <w:rPr>
          <w:rFonts w:hint="eastAsia" w:ascii="宋体" w:hAnsi="宋体" w:cs="Times New Roman"/>
          <w:b/>
          <w:sz w:val="24"/>
          <w:lang w:eastAsia="zh-CN"/>
        </w:rPr>
        <w:t>十</w:t>
      </w:r>
      <w:r>
        <w:rPr>
          <w:rFonts w:hint="eastAsia" w:ascii="宋体" w:hAnsi="宋体" w:cs="Times New Roman"/>
          <w:b/>
          <w:sz w:val="24"/>
        </w:rPr>
        <w:t>）确定成交供应商：</w:t>
      </w:r>
    </w:p>
    <w:p>
      <w:pPr>
        <w:tabs>
          <w:tab w:val="left" w:pos="525"/>
          <w:tab w:val="left" w:pos="1050"/>
          <w:tab w:val="left" w:pos="1155"/>
        </w:tabs>
        <w:spacing w:line="360" w:lineRule="auto"/>
        <w:ind w:firstLine="600" w:firstLineChars="250"/>
        <w:rPr>
          <w:rFonts w:hint="eastAsia" w:ascii="宋体" w:hAnsi="宋体"/>
          <w:bCs/>
          <w:sz w:val="24"/>
        </w:rPr>
      </w:pPr>
      <w:r>
        <w:rPr>
          <w:rFonts w:hint="eastAsia" w:ascii="宋体" w:hAnsi="宋体"/>
          <w:bCs/>
          <w:sz w:val="24"/>
        </w:rPr>
        <w:t>1.评标委员会根据采购文件规定的评标方法和评标标准进行评审，依法确定中标投标人。采购人将在财政部门指定的政府采购信息发布媒体（江苏政府采购网、无锡政府采购网）发布公告中标、成交结果公告。依据中华人民共和国财政部令第94号《政府采购质疑和投诉办法》，供应商认为采购文件、采购过程、中标或者成交结果使自己的权益受到损害的，可以在知道或者应知其权益受到损害之日起7个工作日内，以书面形式向采购人、采购代理机构提出质疑。采购代理机构将在收到质疑函后7个工作日内作出答复，并以书面形式通知质疑供应商和其他有关供应商。供应商对评审过程、中标或者成交结果提出质疑的，采购人、采购代理机构可以组织原评标委员会、竞争性谈判小组、询价小组或者竞争性磋商小组协助答复质疑。采购人、采购代理机构认为供应商质疑不成立，或者成立但未对中标、成交结果构成影响的，继续开展采购活动；认为供应商质疑成立且影响或者可能影响中标、成交结果的，按照下列情况处理：（一）对采购文件提出的质疑，依法通过澄清或者修改可以继续开展采购活动的，澄清或者修改采购文件后继续开展采购活动；否则应当修改采购文件后重新开展采购活动。（二）对采购过程、中标或者成交结果提出的质疑，合格供应商符合法定数量时，可以从合格的中标或者成交候选人中另行确定中标、成交供应商的，应当依法另行确定中标、成交供应商；否则应当重新开展采购活动。投标人在法定质疑期限外送达的质疑函或法定质疑期限内送达的质疑函不符合上述要求的均为无效质疑，采购代理机构对无效质疑不予受理。如质疑查无实据或投标人捏造事实，提供虚假材料进行恶意举报，不配合或采用不正当手段干扰政府采购质疑的，将记入投标人在江苏省和无锡市的政府采购“投标人诚信记录”，并按相关规定处理。</w:t>
      </w:r>
    </w:p>
    <w:p>
      <w:pPr>
        <w:spacing w:line="360" w:lineRule="auto"/>
        <w:ind w:left="-2" w:leftChars="-1" w:firstLine="420" w:firstLineChars="175"/>
        <w:outlineLvl w:val="0"/>
        <w:rPr>
          <w:rFonts w:hint="eastAsia" w:ascii="宋体" w:hAnsi="宋体"/>
          <w:bCs/>
          <w:sz w:val="24"/>
        </w:rPr>
      </w:pPr>
      <w:r>
        <w:rPr>
          <w:rFonts w:hint="eastAsia" w:ascii="宋体" w:hAnsi="宋体"/>
          <w:bCs/>
          <w:sz w:val="24"/>
        </w:rPr>
        <w:t xml:space="preserve"> 2.中标公示结束后，</w:t>
      </w:r>
      <w:r>
        <w:rPr>
          <w:rFonts w:hint="eastAsia" w:ascii="宋体" w:hAnsi="宋体"/>
          <w:bCs/>
          <w:sz w:val="24"/>
          <w:lang w:eastAsia="zh-CN"/>
        </w:rPr>
        <w:t>江苏博智工程咨询有限公司</w:t>
      </w:r>
      <w:r>
        <w:rPr>
          <w:rFonts w:hint="eastAsia" w:ascii="宋体" w:hAnsi="宋体"/>
          <w:bCs/>
          <w:sz w:val="24"/>
        </w:rPr>
        <w:t>将向中标供应商发中标通知书。</w:t>
      </w:r>
    </w:p>
    <w:p>
      <w:pPr>
        <w:spacing w:line="360" w:lineRule="auto"/>
        <w:ind w:left="-2" w:leftChars="-1" w:firstLine="420" w:firstLineChars="175"/>
        <w:outlineLvl w:val="0"/>
        <w:rPr>
          <w:rFonts w:ascii="黑体" w:hAnsi="宋体" w:eastAsia="黑体"/>
          <w:bCs/>
          <w:sz w:val="24"/>
        </w:rPr>
      </w:pPr>
      <w:r>
        <w:rPr>
          <w:rFonts w:hint="eastAsia" w:ascii="黑体" w:hAnsi="宋体" w:eastAsia="黑体"/>
          <w:bCs/>
          <w:sz w:val="24"/>
        </w:rPr>
        <w:t>（十</w:t>
      </w:r>
      <w:r>
        <w:rPr>
          <w:rFonts w:hint="eastAsia" w:ascii="黑体" w:hAnsi="宋体" w:eastAsia="黑体"/>
          <w:bCs/>
          <w:sz w:val="24"/>
          <w:lang w:eastAsia="zh-CN"/>
        </w:rPr>
        <w:t>一</w:t>
      </w:r>
      <w:r>
        <w:rPr>
          <w:rFonts w:hint="eastAsia" w:ascii="黑体" w:hAnsi="宋体" w:eastAsia="黑体"/>
          <w:bCs/>
          <w:sz w:val="24"/>
        </w:rPr>
        <w:t>） 废标的确认：</w:t>
      </w:r>
    </w:p>
    <w:p>
      <w:pPr>
        <w:spacing w:line="360" w:lineRule="auto"/>
        <w:ind w:firstLine="480" w:firstLineChars="200"/>
        <w:rPr>
          <w:rFonts w:hint="eastAsia" w:ascii="宋体" w:hAnsi="宋体"/>
          <w:bCs/>
          <w:sz w:val="24"/>
        </w:rPr>
      </w:pPr>
      <w:r>
        <w:rPr>
          <w:rFonts w:hint="eastAsia" w:ascii="宋体" w:hAnsi="宋体"/>
          <w:bCs/>
          <w:sz w:val="24"/>
        </w:rPr>
        <w:t>在招标采购中，出现下列情况之一的，应予废标：</w:t>
      </w:r>
    </w:p>
    <w:p>
      <w:pPr>
        <w:tabs>
          <w:tab w:val="left" w:pos="525"/>
          <w:tab w:val="left" w:pos="1155"/>
          <w:tab w:val="left" w:pos="1260"/>
        </w:tabs>
        <w:spacing w:line="360" w:lineRule="auto"/>
        <w:ind w:firstLine="480" w:firstLineChars="200"/>
        <w:rPr>
          <w:rFonts w:hint="eastAsia" w:ascii="宋体" w:hAnsi="宋体"/>
          <w:bCs/>
          <w:sz w:val="24"/>
        </w:rPr>
      </w:pPr>
      <w:r>
        <w:rPr>
          <w:rFonts w:hint="eastAsia" w:ascii="宋体" w:hAnsi="宋体"/>
          <w:bCs/>
          <w:sz w:val="24"/>
        </w:rPr>
        <w:t>1.符合专业条件的投标供应商或者对</w:t>
      </w:r>
      <w:r>
        <w:rPr>
          <w:rFonts w:hint="eastAsia" w:ascii="宋体" w:hAnsi="宋体"/>
          <w:bCs/>
          <w:sz w:val="24"/>
          <w:lang w:eastAsia="zh-CN"/>
        </w:rPr>
        <w:t>采购文件</w:t>
      </w:r>
      <w:r>
        <w:rPr>
          <w:rFonts w:hint="eastAsia" w:ascii="宋体" w:hAnsi="宋体"/>
          <w:bCs/>
          <w:sz w:val="24"/>
        </w:rPr>
        <w:t>作出实质性响应的投标供应商不足三家；</w:t>
      </w:r>
    </w:p>
    <w:p>
      <w:pPr>
        <w:tabs>
          <w:tab w:val="left" w:pos="525"/>
          <w:tab w:val="left" w:pos="1155"/>
          <w:tab w:val="left" w:pos="1260"/>
        </w:tabs>
        <w:spacing w:line="360" w:lineRule="auto"/>
        <w:ind w:firstLine="480" w:firstLineChars="200"/>
        <w:rPr>
          <w:rFonts w:hint="eastAsia" w:ascii="宋体" w:hAnsi="宋体"/>
          <w:bCs/>
          <w:sz w:val="24"/>
        </w:rPr>
      </w:pPr>
      <w:r>
        <w:rPr>
          <w:rFonts w:hint="eastAsia" w:ascii="宋体" w:hAnsi="宋体"/>
          <w:bCs/>
          <w:sz w:val="24"/>
        </w:rPr>
        <w:t>2.出现影响采购公正的违法、违规行为；</w:t>
      </w:r>
    </w:p>
    <w:p>
      <w:pPr>
        <w:tabs>
          <w:tab w:val="left" w:pos="525"/>
          <w:tab w:val="left" w:pos="1155"/>
          <w:tab w:val="left" w:pos="1260"/>
        </w:tabs>
        <w:spacing w:line="360" w:lineRule="auto"/>
        <w:ind w:firstLine="480" w:firstLineChars="200"/>
        <w:rPr>
          <w:rFonts w:hint="eastAsia" w:ascii="宋体" w:hAnsi="宋体"/>
          <w:bCs/>
          <w:sz w:val="24"/>
        </w:rPr>
      </w:pPr>
      <w:r>
        <w:rPr>
          <w:rFonts w:hint="eastAsia" w:ascii="宋体" w:hAnsi="宋体"/>
          <w:bCs/>
          <w:sz w:val="24"/>
        </w:rPr>
        <w:t>3.投标供应商的报价超过规定的最高限价的；</w:t>
      </w:r>
    </w:p>
    <w:p>
      <w:pPr>
        <w:spacing w:line="360" w:lineRule="auto"/>
        <w:ind w:firstLine="480" w:firstLineChars="200"/>
        <w:outlineLvl w:val="0"/>
        <w:rPr>
          <w:rFonts w:hint="eastAsia" w:ascii="宋体" w:hAnsi="宋体"/>
          <w:bCs/>
          <w:sz w:val="24"/>
        </w:rPr>
      </w:pPr>
      <w:r>
        <w:rPr>
          <w:rFonts w:hint="eastAsia" w:ascii="宋体" w:hAnsi="宋体"/>
          <w:bCs/>
          <w:sz w:val="24"/>
        </w:rPr>
        <w:t>4.因重大变故，采购任务取消。</w:t>
      </w:r>
    </w:p>
    <w:p>
      <w:pPr>
        <w:spacing w:line="360" w:lineRule="auto"/>
        <w:ind w:left="-2" w:leftChars="-1" w:firstLine="420" w:firstLineChars="175"/>
        <w:outlineLvl w:val="0"/>
        <w:rPr>
          <w:rFonts w:hint="eastAsia" w:ascii="黑体" w:hAnsi="宋体" w:eastAsia="黑体"/>
          <w:bCs/>
          <w:sz w:val="24"/>
        </w:rPr>
      </w:pPr>
      <w:r>
        <w:rPr>
          <w:rFonts w:hint="eastAsia" w:ascii="黑体" w:hAnsi="宋体" w:eastAsia="黑体"/>
          <w:bCs/>
          <w:sz w:val="24"/>
        </w:rPr>
        <w:t>（十</w:t>
      </w:r>
      <w:r>
        <w:rPr>
          <w:rFonts w:hint="eastAsia" w:ascii="黑体" w:hAnsi="宋体" w:eastAsia="黑体"/>
          <w:bCs/>
          <w:sz w:val="24"/>
          <w:lang w:eastAsia="zh-CN"/>
        </w:rPr>
        <w:t>二</w:t>
      </w:r>
      <w:r>
        <w:rPr>
          <w:rFonts w:hint="eastAsia" w:ascii="黑体" w:hAnsi="宋体" w:eastAsia="黑体"/>
          <w:bCs/>
          <w:sz w:val="24"/>
        </w:rPr>
        <w:t>）投标保证金：</w:t>
      </w:r>
    </w:p>
    <w:p>
      <w:pPr>
        <w:spacing w:line="440" w:lineRule="exact"/>
        <w:ind w:firstLine="480" w:firstLineChars="200"/>
        <w:rPr>
          <w:rFonts w:hint="eastAsia" w:ascii="宋体" w:hAnsi="宋体"/>
          <w:sz w:val="24"/>
        </w:rPr>
      </w:pPr>
      <w:r>
        <w:rPr>
          <w:rFonts w:hint="eastAsia" w:ascii="宋体" w:hAnsi="宋体"/>
          <w:sz w:val="24"/>
        </w:rPr>
        <w:t xml:space="preserve"> 1.</w:t>
      </w:r>
      <w:r>
        <w:rPr>
          <w:rFonts w:hint="eastAsia" w:ascii="宋体" w:hAnsi="宋体"/>
          <w:bCs/>
          <w:sz w:val="24"/>
        </w:rPr>
        <w:t>投标供应商</w:t>
      </w:r>
      <w:r>
        <w:rPr>
          <w:rFonts w:hint="eastAsia" w:ascii="宋体" w:hAnsi="宋体"/>
          <w:sz w:val="24"/>
        </w:rPr>
        <w:t>投标前须按采购文件规定递交投标保证金，</w:t>
      </w:r>
      <w:r>
        <w:rPr>
          <w:rFonts w:hint="eastAsia" w:ascii="宋体" w:hAnsi="宋体"/>
          <w:bCs/>
          <w:sz w:val="24"/>
        </w:rPr>
        <w:t>投标供应商</w:t>
      </w:r>
      <w:r>
        <w:rPr>
          <w:rFonts w:hint="eastAsia" w:ascii="宋体" w:hAnsi="宋体"/>
          <w:sz w:val="24"/>
        </w:rPr>
        <w:t>必须在</w:t>
      </w:r>
      <w:r>
        <w:rPr>
          <w:rFonts w:hint="eastAsia" w:ascii="宋体" w:hAnsi="宋体" w:cs="宋体"/>
          <w:kern w:val="0"/>
          <w:sz w:val="24"/>
        </w:rPr>
        <w:t>投标截止时间</w:t>
      </w:r>
      <w:r>
        <w:rPr>
          <w:rFonts w:hint="eastAsia" w:ascii="宋体" w:hAnsi="宋体"/>
          <w:sz w:val="24"/>
        </w:rPr>
        <w:t>前将投标保证金汇入专用账户内（收款单位：</w:t>
      </w:r>
      <w:r>
        <w:rPr>
          <w:rFonts w:hint="eastAsia" w:ascii="宋体" w:hAnsi="宋体" w:eastAsia="宋体" w:cs="宋体"/>
          <w:color w:val="auto"/>
          <w:sz w:val="24"/>
          <w:highlight w:val="none"/>
        </w:rPr>
        <w:t>江苏博智工程咨询有限公司无锡分公司</w:t>
      </w:r>
      <w:r>
        <w:rPr>
          <w:rFonts w:hint="eastAsia" w:ascii="宋体" w:hAnsi="宋体"/>
          <w:bCs/>
          <w:sz w:val="24"/>
        </w:rPr>
        <w:t>、开户银行：</w:t>
      </w:r>
      <w:r>
        <w:rPr>
          <w:rFonts w:hint="eastAsia" w:ascii="宋体" w:hAnsi="宋体" w:eastAsia="宋体" w:cs="宋体"/>
          <w:color w:val="auto"/>
          <w:sz w:val="24"/>
          <w:highlight w:val="none"/>
        </w:rPr>
        <w:t>招商银行股份有限公司无锡中山路支行</w:t>
      </w:r>
      <w:r>
        <w:rPr>
          <w:rFonts w:hint="eastAsia" w:ascii="宋体" w:hAnsi="宋体"/>
          <w:bCs/>
          <w:sz w:val="24"/>
        </w:rPr>
        <w:t>、账号：</w:t>
      </w:r>
      <w:r>
        <w:rPr>
          <w:rFonts w:hint="eastAsia" w:ascii="宋体" w:hAnsi="宋体" w:eastAsia="宋体" w:cs="宋体"/>
          <w:color w:val="auto"/>
          <w:sz w:val="24"/>
          <w:highlight w:val="none"/>
        </w:rPr>
        <w:t>510903781110802</w:t>
      </w:r>
      <w:r>
        <w:rPr>
          <w:rFonts w:hint="eastAsia" w:ascii="宋体" w:hAnsi="宋体"/>
          <w:sz w:val="24"/>
        </w:rPr>
        <w:t>），受理地点：</w:t>
      </w:r>
      <w:r>
        <w:rPr>
          <w:rFonts w:hint="eastAsia" w:ascii="宋体" w:hAnsi="宋体"/>
          <w:sz w:val="24"/>
          <w:lang w:eastAsia="zh-CN"/>
        </w:rPr>
        <w:t>江苏博智工程咨询有限公司</w:t>
      </w:r>
      <w:r>
        <w:rPr>
          <w:rFonts w:hint="eastAsia" w:ascii="宋体" w:hAnsi="宋体"/>
          <w:sz w:val="24"/>
        </w:rPr>
        <w:t>；受理时间：法定工作日上午9:00-11:00，下午13:00-16:00，交纳时间以投标保证金专用账户实际收到的时间为准。投标保证金的有效期应为在投标有效期满后28天内继续有效。（友情提示：为确保投标保证金能按时到帐，请各</w:t>
      </w:r>
      <w:r>
        <w:rPr>
          <w:rFonts w:hint="eastAsia" w:ascii="宋体" w:hAnsi="宋体"/>
          <w:bCs/>
          <w:sz w:val="24"/>
        </w:rPr>
        <w:t>投标供应商</w:t>
      </w:r>
      <w:r>
        <w:rPr>
          <w:rFonts w:hint="eastAsia" w:ascii="宋体" w:hAnsi="宋体"/>
          <w:sz w:val="24"/>
        </w:rPr>
        <w:t>按要求提前将投标保证金汇入专用账户内以免造成投标无效。有疑问及时向代理机构联系，联系电话：0510-</w:t>
      </w:r>
      <w:r>
        <w:rPr>
          <w:rFonts w:hint="eastAsia" w:ascii="宋体" w:hAnsi="宋体"/>
          <w:sz w:val="24"/>
          <w:lang w:eastAsia="zh-CN"/>
        </w:rPr>
        <w:t>82820918</w:t>
      </w:r>
      <w:r>
        <w:rPr>
          <w:rFonts w:hint="eastAsia" w:ascii="宋体" w:hAnsi="宋体"/>
          <w:sz w:val="24"/>
        </w:rPr>
        <w:t>）。</w:t>
      </w:r>
    </w:p>
    <w:p>
      <w:pPr>
        <w:keepNext w:val="0"/>
        <w:keepLines w:val="0"/>
        <w:pageBreakBefore w:val="0"/>
        <w:kinsoku/>
        <w:wordWrap/>
        <w:overflowPunct/>
        <w:topLinePunct w:val="0"/>
        <w:autoSpaceDE/>
        <w:autoSpaceDN/>
        <w:bidi w:val="0"/>
        <w:spacing w:line="360" w:lineRule="auto"/>
        <w:textAlignment w:val="auto"/>
        <w:rPr>
          <w:rFonts w:hint="eastAsia" w:ascii="宋体" w:hAnsi="宋体"/>
          <w:color w:val="auto"/>
          <w:sz w:val="24"/>
          <w:highlight w:val="none"/>
        </w:rPr>
      </w:pPr>
      <w:r>
        <w:rPr>
          <w:rFonts w:hint="eastAsia" w:ascii="宋体" w:hAnsi="宋体"/>
          <w:color w:val="auto"/>
          <w:sz w:val="24"/>
          <w:highlight w:val="none"/>
        </w:rPr>
        <w:t xml:space="preserve">    2.投标保证金可以使用以下形式支付，但不得使用现金支付：</w:t>
      </w:r>
    </w:p>
    <w:p>
      <w:pPr>
        <w:keepNext w:val="0"/>
        <w:keepLines w:val="0"/>
        <w:pageBreakBefore w:val="0"/>
        <w:kinsoku/>
        <w:wordWrap/>
        <w:overflowPunct/>
        <w:topLinePunct w:val="0"/>
        <w:autoSpaceDE/>
        <w:autoSpaceDN/>
        <w:bidi w:val="0"/>
        <w:spacing w:line="360" w:lineRule="auto"/>
        <w:ind w:firstLine="240" w:firstLineChars="100"/>
        <w:textAlignment w:val="auto"/>
        <w:rPr>
          <w:rFonts w:hint="eastAsia" w:ascii="宋体" w:hAnsi="宋体"/>
          <w:bCs/>
          <w:color w:val="auto"/>
          <w:sz w:val="24"/>
          <w:highlight w:val="none"/>
        </w:rPr>
      </w:pPr>
      <w:r>
        <w:rPr>
          <w:rFonts w:hint="eastAsia" w:ascii="宋体" w:hAnsi="宋体"/>
          <w:bCs/>
          <w:color w:val="auto"/>
          <w:sz w:val="24"/>
          <w:highlight w:val="none"/>
        </w:rPr>
        <w:t>（1） 银行汇票；</w:t>
      </w:r>
    </w:p>
    <w:p>
      <w:pPr>
        <w:keepNext w:val="0"/>
        <w:keepLines w:val="0"/>
        <w:pageBreakBefore w:val="0"/>
        <w:kinsoku/>
        <w:wordWrap/>
        <w:overflowPunct/>
        <w:topLinePunct w:val="0"/>
        <w:autoSpaceDE/>
        <w:autoSpaceDN/>
        <w:bidi w:val="0"/>
        <w:spacing w:line="360" w:lineRule="auto"/>
        <w:ind w:firstLine="240" w:firstLineChars="100"/>
        <w:textAlignment w:val="auto"/>
        <w:rPr>
          <w:rFonts w:hint="eastAsia" w:ascii="宋体" w:hAnsi="宋体"/>
          <w:bCs/>
          <w:color w:val="auto"/>
          <w:sz w:val="24"/>
          <w:highlight w:val="none"/>
        </w:rPr>
      </w:pPr>
      <w:r>
        <w:rPr>
          <w:rFonts w:hint="eastAsia" w:ascii="宋体" w:hAnsi="宋体"/>
          <w:bCs/>
          <w:color w:val="auto"/>
          <w:sz w:val="24"/>
          <w:highlight w:val="none"/>
        </w:rPr>
        <w:t xml:space="preserve">（2） 银行本票； </w:t>
      </w:r>
    </w:p>
    <w:p>
      <w:pPr>
        <w:keepNext w:val="0"/>
        <w:keepLines w:val="0"/>
        <w:pageBreakBefore w:val="0"/>
        <w:kinsoku/>
        <w:wordWrap/>
        <w:overflowPunct/>
        <w:topLinePunct w:val="0"/>
        <w:autoSpaceDE/>
        <w:autoSpaceDN/>
        <w:bidi w:val="0"/>
        <w:spacing w:line="360" w:lineRule="auto"/>
        <w:ind w:firstLine="240" w:firstLineChars="100"/>
        <w:textAlignment w:val="auto"/>
        <w:rPr>
          <w:rFonts w:hint="eastAsia" w:ascii="宋体" w:hAnsi="宋体"/>
          <w:bCs/>
          <w:color w:val="auto"/>
          <w:sz w:val="24"/>
          <w:highlight w:val="none"/>
        </w:rPr>
      </w:pPr>
      <w:r>
        <w:rPr>
          <w:rFonts w:hint="eastAsia" w:ascii="宋体" w:hAnsi="宋体"/>
          <w:bCs/>
          <w:color w:val="auto"/>
          <w:sz w:val="24"/>
          <w:highlight w:val="none"/>
        </w:rPr>
        <w:t xml:space="preserve">（3） 转帐支票； </w:t>
      </w:r>
    </w:p>
    <w:p>
      <w:pPr>
        <w:keepNext w:val="0"/>
        <w:keepLines w:val="0"/>
        <w:pageBreakBefore w:val="0"/>
        <w:kinsoku/>
        <w:wordWrap/>
        <w:overflowPunct/>
        <w:topLinePunct w:val="0"/>
        <w:autoSpaceDE/>
        <w:autoSpaceDN/>
        <w:bidi w:val="0"/>
        <w:spacing w:line="360" w:lineRule="auto"/>
        <w:ind w:firstLine="240" w:firstLineChars="100"/>
        <w:textAlignment w:val="auto"/>
        <w:rPr>
          <w:rFonts w:hint="eastAsia" w:ascii="宋体" w:hAnsi="宋体"/>
          <w:bCs/>
          <w:color w:val="auto"/>
          <w:sz w:val="24"/>
          <w:highlight w:val="none"/>
        </w:rPr>
      </w:pPr>
      <w:r>
        <w:rPr>
          <w:rFonts w:hint="eastAsia" w:ascii="宋体" w:hAnsi="宋体"/>
          <w:bCs/>
          <w:color w:val="auto"/>
          <w:sz w:val="24"/>
          <w:highlight w:val="none"/>
        </w:rPr>
        <w:t>（4） 电汇；</w:t>
      </w:r>
    </w:p>
    <w:p>
      <w:pPr>
        <w:keepNext w:val="0"/>
        <w:keepLines w:val="0"/>
        <w:pageBreakBefore w:val="0"/>
        <w:kinsoku/>
        <w:wordWrap/>
        <w:overflowPunct/>
        <w:topLinePunct w:val="0"/>
        <w:autoSpaceDE/>
        <w:autoSpaceDN/>
        <w:bidi w:val="0"/>
        <w:spacing w:line="360" w:lineRule="auto"/>
        <w:ind w:firstLine="240" w:firstLineChars="100"/>
        <w:textAlignment w:val="auto"/>
        <w:rPr>
          <w:rFonts w:hint="eastAsia" w:ascii="宋体" w:hAnsi="宋体"/>
          <w:bCs/>
          <w:color w:val="auto"/>
          <w:sz w:val="24"/>
          <w:highlight w:val="none"/>
        </w:rPr>
      </w:pPr>
      <w:r>
        <w:rPr>
          <w:rFonts w:hint="eastAsia" w:ascii="宋体" w:hAnsi="宋体"/>
          <w:bCs/>
          <w:color w:val="auto"/>
          <w:sz w:val="24"/>
          <w:highlight w:val="none"/>
        </w:rPr>
        <w:t>（5）金融机构、担保机构出具的保函（</w:t>
      </w:r>
      <w:r>
        <w:rPr>
          <w:rFonts w:hint="eastAsia" w:ascii="宋体" w:hAnsi="宋体"/>
          <w:color w:val="auto"/>
          <w:sz w:val="24"/>
          <w:highlight w:val="none"/>
        </w:rPr>
        <w:t>如以金融机构、担保机构出具的保函等非现金形式提交，须以“</w:t>
      </w:r>
      <w:r>
        <w:rPr>
          <w:rFonts w:hint="eastAsia" w:ascii="宋体" w:hAnsi="宋体"/>
          <w:color w:val="auto"/>
          <w:sz w:val="24"/>
          <w:highlight w:val="none"/>
          <w:lang w:eastAsia="zh-CN"/>
        </w:rPr>
        <w:t>投标供应商</w:t>
      </w:r>
      <w:r>
        <w:rPr>
          <w:rFonts w:hint="eastAsia" w:ascii="宋体" w:hAnsi="宋体"/>
          <w:color w:val="auto"/>
          <w:sz w:val="24"/>
          <w:highlight w:val="none"/>
        </w:rPr>
        <w:t>须知”第（十五）条要求为准</w:t>
      </w:r>
      <w:r>
        <w:rPr>
          <w:rFonts w:hint="eastAsia" w:ascii="宋体" w:hAnsi="宋体"/>
          <w:bCs/>
          <w:color w:val="auto"/>
          <w:sz w:val="24"/>
          <w:highlight w:val="none"/>
        </w:rPr>
        <w:t>）</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spacing w:line="360" w:lineRule="auto"/>
        <w:textAlignment w:val="auto"/>
        <w:rPr>
          <w:rFonts w:hint="eastAsia" w:ascii="宋体" w:hAnsi="宋体"/>
          <w:color w:val="auto"/>
          <w:sz w:val="24"/>
          <w:highlight w:val="none"/>
        </w:rPr>
      </w:pPr>
      <w:r>
        <w:rPr>
          <w:rFonts w:hint="eastAsia" w:ascii="宋体" w:hAnsi="宋体"/>
          <w:color w:val="auto"/>
          <w:sz w:val="24"/>
          <w:highlight w:val="none"/>
        </w:rPr>
        <w:t xml:space="preserve">    3.对于未能按要求提交投标担保的投标，采购人将视为不响应采购文件而予以拒绝。</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color w:val="auto"/>
          <w:sz w:val="24"/>
          <w:highlight w:val="none"/>
        </w:rPr>
      </w:pPr>
      <w:r>
        <w:rPr>
          <w:rFonts w:hint="eastAsia" w:ascii="宋体" w:hAnsi="宋体"/>
          <w:bCs/>
          <w:color w:val="auto"/>
          <w:sz w:val="24"/>
          <w:highlight w:val="none"/>
        </w:rPr>
        <w:t>4.投标保证金必须以企业法人的名义提交投标保证金，投标保证金必须从企业的法人基本账户缴纳。以个人、企业的办事处、分公司、子公司名义或他人账户、</w:t>
      </w:r>
      <w:r>
        <w:rPr>
          <w:rFonts w:hint="eastAsia" w:ascii="宋体" w:hAnsi="宋体"/>
          <w:bCs/>
          <w:color w:val="auto"/>
          <w:sz w:val="24"/>
          <w:highlight w:val="none"/>
          <w:lang w:eastAsia="zh-CN"/>
        </w:rPr>
        <w:t>投标供应商</w:t>
      </w:r>
      <w:r>
        <w:rPr>
          <w:rFonts w:hint="eastAsia" w:ascii="宋体" w:hAnsi="宋体"/>
          <w:bCs/>
          <w:color w:val="auto"/>
          <w:sz w:val="24"/>
          <w:highlight w:val="none"/>
        </w:rPr>
        <w:t>企业的其他账户缴纳的投标保证金无效。不得使用经过背书转让的支票、银行本票、银行汇票。凡提供无法承兑的转账支票、银行汇票、银行本票或电汇支付不成功的</w:t>
      </w:r>
      <w:r>
        <w:rPr>
          <w:rFonts w:hint="eastAsia" w:ascii="宋体" w:hAnsi="宋体"/>
          <w:bCs/>
          <w:color w:val="auto"/>
          <w:sz w:val="24"/>
          <w:highlight w:val="none"/>
          <w:lang w:eastAsia="zh-CN"/>
        </w:rPr>
        <w:t>投标供应商</w:t>
      </w:r>
      <w:r>
        <w:rPr>
          <w:rFonts w:hint="eastAsia" w:ascii="宋体" w:hAnsi="宋体"/>
          <w:bCs/>
          <w:color w:val="auto"/>
          <w:sz w:val="24"/>
          <w:highlight w:val="none"/>
        </w:rPr>
        <w:t>，视为没有实质性响应采购文件的要求，一律作无效投标处理；已经确定为中标人的，取消其中标人的资格，根据评标报告的排名先后顺序重新确定中标人。</w:t>
      </w:r>
    </w:p>
    <w:p>
      <w:pPr>
        <w:keepNext w:val="0"/>
        <w:keepLines w:val="0"/>
        <w:pageBreakBefore w:val="0"/>
        <w:tabs>
          <w:tab w:val="right" w:pos="525"/>
          <w:tab w:val="left" w:pos="73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5.如</w:t>
      </w:r>
      <w:r>
        <w:rPr>
          <w:rFonts w:hint="eastAsia" w:ascii="宋体" w:hAnsi="宋体"/>
          <w:bCs/>
          <w:color w:val="auto"/>
          <w:sz w:val="24"/>
          <w:highlight w:val="none"/>
          <w:lang w:eastAsia="zh-CN"/>
        </w:rPr>
        <w:t>投标供应商</w:t>
      </w:r>
      <w:r>
        <w:rPr>
          <w:rFonts w:hint="eastAsia" w:ascii="宋体" w:hAnsi="宋体"/>
          <w:bCs/>
          <w:color w:val="auto"/>
          <w:sz w:val="24"/>
          <w:highlight w:val="none"/>
        </w:rPr>
        <w:t>在投标截止期后撤回投标，则投标保证金将作为违约金不予退还。</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6.招标活动结束后，采购代理机构中标通知签发后5个工作日内无息退还未中标供应商的投标保证金（未中标供应商应自行与采购代理机构联系办理投标保证金退还事宜）。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7.中标供应商的投标保证金将在合同生效后5个工作日内无息退还。</w:t>
      </w:r>
    </w:p>
    <w:p>
      <w:pPr>
        <w:keepNext w:val="0"/>
        <w:keepLines w:val="0"/>
        <w:pageBreakBefore w:val="0"/>
        <w:tabs>
          <w:tab w:val="right" w:pos="525"/>
          <w:tab w:val="left" w:pos="1155"/>
        </w:tabs>
        <w:kinsoku/>
        <w:wordWrap/>
        <w:overflowPunct/>
        <w:topLinePunct w:val="0"/>
        <w:autoSpaceDE/>
        <w:autoSpaceDN/>
        <w:bidi w:val="0"/>
        <w:spacing w:line="360" w:lineRule="auto"/>
        <w:ind w:left="-4" w:leftChars="-2"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8.中标供应商有下列情形之一的，采购人不予退还其交纳的投标保证金；情节严重的，由财政部门将其列入不良行为记录名单，在一至三年内禁止参加政府采购活动，并予以通报：</w:t>
      </w:r>
    </w:p>
    <w:p>
      <w:pPr>
        <w:keepNext w:val="0"/>
        <w:keepLines w:val="0"/>
        <w:pageBreakBefore w:val="0"/>
        <w:numPr>
          <w:ilvl w:val="0"/>
          <w:numId w:val="0"/>
        </w:numPr>
        <w:tabs>
          <w:tab w:val="left" w:pos="735"/>
          <w:tab w:val="left" w:pos="136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1</w:t>
      </w:r>
      <w:r>
        <w:rPr>
          <w:rFonts w:hint="eastAsia" w:ascii="宋体" w:hAnsi="宋体"/>
          <w:bCs/>
          <w:color w:val="auto"/>
          <w:sz w:val="24"/>
          <w:highlight w:val="none"/>
          <w:lang w:eastAsia="zh-CN"/>
        </w:rPr>
        <w:t>）</w:t>
      </w:r>
      <w:r>
        <w:rPr>
          <w:rFonts w:hint="eastAsia" w:ascii="宋体" w:hAnsi="宋体"/>
          <w:bCs/>
          <w:color w:val="auto"/>
          <w:sz w:val="24"/>
          <w:highlight w:val="none"/>
        </w:rPr>
        <w:t>中标后无正当理由不与采购人签订合同的；</w:t>
      </w:r>
    </w:p>
    <w:p>
      <w:pPr>
        <w:keepNext w:val="0"/>
        <w:keepLines w:val="0"/>
        <w:pageBreakBefore w:val="0"/>
        <w:numPr>
          <w:ilvl w:val="0"/>
          <w:numId w:val="0"/>
        </w:numPr>
        <w:tabs>
          <w:tab w:val="left" w:pos="735"/>
          <w:tab w:val="left" w:pos="1365"/>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2</w:t>
      </w:r>
      <w:r>
        <w:rPr>
          <w:rFonts w:hint="eastAsia" w:ascii="宋体" w:hAnsi="宋体"/>
          <w:bCs/>
          <w:color w:val="auto"/>
          <w:sz w:val="24"/>
          <w:highlight w:val="none"/>
          <w:lang w:eastAsia="zh-CN"/>
        </w:rPr>
        <w:t>）</w:t>
      </w:r>
      <w:r>
        <w:rPr>
          <w:rFonts w:hint="eastAsia" w:ascii="宋体" w:hAnsi="宋体"/>
          <w:bCs/>
          <w:color w:val="auto"/>
          <w:sz w:val="24"/>
          <w:highlight w:val="none"/>
        </w:rPr>
        <w:t>将中标项目转让给他人，或者在投标文件中未说明，且未经过采购人同意，将中标项目分包给他人的；</w:t>
      </w:r>
    </w:p>
    <w:p>
      <w:pPr>
        <w:keepNext w:val="0"/>
        <w:keepLines w:val="0"/>
        <w:pageBreakBefore w:val="0"/>
        <w:numPr>
          <w:ilvl w:val="0"/>
          <w:numId w:val="0"/>
        </w:numPr>
        <w:tabs>
          <w:tab w:val="left" w:pos="735"/>
          <w:tab w:val="left" w:pos="1365"/>
        </w:tabs>
        <w:kinsoku/>
        <w:wordWrap/>
        <w:overflowPunct/>
        <w:topLinePunct w:val="0"/>
        <w:autoSpaceDE/>
        <w:autoSpaceDN/>
        <w:bidi w:val="0"/>
        <w:spacing w:line="360" w:lineRule="auto"/>
        <w:ind w:firstLine="480" w:firstLineChars="200"/>
        <w:textAlignment w:val="auto"/>
        <w:rPr>
          <w:rFonts w:hint="eastAsia" w:ascii="宋体" w:hAnsi="宋体"/>
          <w:bCs/>
          <w:sz w:val="24"/>
          <w:szCs w:val="20"/>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w:t>
      </w:r>
      <w:r>
        <w:rPr>
          <w:rFonts w:hint="eastAsia" w:ascii="宋体" w:hAnsi="宋体"/>
          <w:bCs/>
          <w:color w:val="auto"/>
          <w:sz w:val="24"/>
          <w:highlight w:val="none"/>
        </w:rPr>
        <w:t>拒绝履行合同义务的。</w:t>
      </w:r>
    </w:p>
    <w:p>
      <w:pPr>
        <w:spacing w:line="360" w:lineRule="auto"/>
        <w:ind w:left="-2" w:leftChars="-1" w:firstLine="422" w:firstLineChars="175"/>
        <w:outlineLvl w:val="0"/>
        <w:rPr>
          <w:rFonts w:hint="eastAsia" w:ascii="黑体" w:hAnsi="宋体" w:eastAsia="黑体"/>
          <w:bCs/>
          <w:sz w:val="24"/>
        </w:rPr>
      </w:pPr>
      <w:r>
        <w:rPr>
          <w:rFonts w:hint="eastAsia" w:ascii="黑体" w:hAnsi="宋体" w:eastAsia="黑体"/>
          <w:b/>
          <w:sz w:val="24"/>
        </w:rPr>
        <w:t>（十三）</w:t>
      </w:r>
      <w:r>
        <w:rPr>
          <w:rFonts w:hint="eastAsia" w:ascii="黑体" w:hAnsi="宋体" w:eastAsia="黑体"/>
          <w:bCs/>
          <w:sz w:val="24"/>
        </w:rPr>
        <w:t>中标无效的确认：</w:t>
      </w:r>
    </w:p>
    <w:p>
      <w:pPr>
        <w:keepNext w:val="0"/>
        <w:keepLines w:val="0"/>
        <w:pageBreakBefore w:val="0"/>
        <w:tabs>
          <w:tab w:val="left" w:pos="42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1.提供虚假材料谋取中标的；</w:t>
      </w:r>
    </w:p>
    <w:p>
      <w:pPr>
        <w:keepNext w:val="0"/>
        <w:keepLines w:val="0"/>
        <w:pageBreakBefore w:val="0"/>
        <w:tabs>
          <w:tab w:val="left" w:pos="42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2.采取不正当手段诋毁、排挤其他投标供应商的；</w:t>
      </w:r>
    </w:p>
    <w:p>
      <w:pPr>
        <w:keepNext w:val="0"/>
        <w:keepLines w:val="0"/>
        <w:pageBreakBefore w:val="0"/>
        <w:tabs>
          <w:tab w:val="left" w:pos="420"/>
          <w:tab w:val="left" w:pos="114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3.与招标采购单位、其他投标供应商恶意串通的；</w:t>
      </w:r>
    </w:p>
    <w:p>
      <w:pPr>
        <w:keepNext w:val="0"/>
        <w:keepLines w:val="0"/>
        <w:pageBreakBefore w:val="0"/>
        <w:tabs>
          <w:tab w:val="left" w:pos="420"/>
          <w:tab w:val="left" w:pos="114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4.向招标采购单位行贿或者提供其他不正当利益的；</w:t>
      </w:r>
    </w:p>
    <w:p>
      <w:pPr>
        <w:keepNext w:val="0"/>
        <w:keepLines w:val="0"/>
        <w:pageBreakBefore w:val="0"/>
        <w:tabs>
          <w:tab w:val="left" w:pos="420"/>
          <w:tab w:val="left" w:pos="114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5.在招标过程中与招标采购单位进行协商谈判、不按照</w:t>
      </w:r>
      <w:r>
        <w:rPr>
          <w:rFonts w:hint="eastAsia" w:ascii="宋体" w:hAnsi="宋体"/>
          <w:bCs/>
          <w:color w:val="auto"/>
          <w:sz w:val="24"/>
          <w:highlight w:val="none"/>
          <w:lang w:eastAsia="zh-CN"/>
        </w:rPr>
        <w:t>采购文件</w:t>
      </w:r>
      <w:r>
        <w:rPr>
          <w:rFonts w:hint="eastAsia" w:ascii="宋体" w:hAnsi="宋体"/>
          <w:bCs/>
          <w:color w:val="auto"/>
          <w:sz w:val="24"/>
          <w:highlight w:val="none"/>
        </w:rPr>
        <w:t>和中标供应商的投标文件订立合同，或者与采购人另行订立背离合同实质性内容的协议的；</w:t>
      </w:r>
    </w:p>
    <w:p>
      <w:pPr>
        <w:keepNext w:val="0"/>
        <w:keepLines w:val="0"/>
        <w:pageBreakBefore w:val="0"/>
        <w:tabs>
          <w:tab w:val="left" w:pos="420"/>
          <w:tab w:val="left" w:pos="1140"/>
        </w:tabs>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6.拒绝有关部门监督检查或者提供虚假情况的。</w:t>
      </w:r>
    </w:p>
    <w:p>
      <w:pPr>
        <w:keepNext w:val="0"/>
        <w:keepLines w:val="0"/>
        <w:pageBreakBefore w:val="0"/>
        <w:kinsoku/>
        <w:wordWrap/>
        <w:overflowPunct/>
        <w:topLinePunct w:val="0"/>
        <w:autoSpaceDE/>
        <w:autoSpaceDN/>
        <w:bidi w:val="0"/>
        <w:spacing w:line="360" w:lineRule="auto"/>
        <w:textAlignment w:val="auto"/>
        <w:rPr>
          <w:rFonts w:hint="eastAsia" w:ascii="宋体" w:hAnsi="宋体"/>
          <w:bCs/>
          <w:color w:val="auto"/>
          <w:sz w:val="24"/>
          <w:highlight w:val="none"/>
        </w:rPr>
      </w:pPr>
      <w:r>
        <w:rPr>
          <w:rFonts w:hint="eastAsia" w:ascii="宋体" w:hAnsi="宋体"/>
          <w:bCs/>
          <w:color w:val="auto"/>
          <w:sz w:val="24"/>
          <w:highlight w:val="none"/>
        </w:rPr>
        <w:t xml:space="preserve">    投标供应商有上述（1）至（5）项情形之一的，中标无效。有上述（1）至（6）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360" w:lineRule="auto"/>
        <w:ind w:left="-2" w:leftChars="-1" w:firstLine="422" w:firstLineChars="175"/>
        <w:outlineLvl w:val="0"/>
        <w:rPr>
          <w:rFonts w:hint="eastAsia" w:ascii="黑体" w:hAnsi="宋体" w:eastAsia="黑体"/>
          <w:b/>
          <w:sz w:val="24"/>
        </w:rPr>
      </w:pPr>
      <w:r>
        <w:rPr>
          <w:rFonts w:hint="eastAsia" w:ascii="黑体" w:hAnsi="宋体" w:eastAsia="黑体"/>
          <w:b/>
          <w:sz w:val="24"/>
        </w:rPr>
        <w:t xml:space="preserve">（十四）签订、履行合同： </w:t>
      </w:r>
    </w:p>
    <w:p>
      <w:pPr>
        <w:keepNext w:val="0"/>
        <w:keepLines w:val="0"/>
        <w:pageBreakBefore w:val="0"/>
        <w:tabs>
          <w:tab w:val="left" w:pos="525"/>
          <w:tab w:val="left" w:pos="1050"/>
        </w:tabs>
        <w:kinsoku/>
        <w:wordWrap/>
        <w:overflowPunct/>
        <w:topLinePunct w:val="0"/>
        <w:autoSpaceDE/>
        <w:autoSpaceDN/>
        <w:bidi w:val="0"/>
        <w:adjustRightInd w:val="0"/>
        <w:snapToGrid w:val="0"/>
        <w:spacing w:line="360" w:lineRule="auto"/>
        <w:ind w:left="132" w:leftChars="63"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1．采购人</w:t>
      </w:r>
      <w:r>
        <w:rPr>
          <w:rFonts w:ascii="宋体" w:hAnsi="宋体"/>
          <w:bCs/>
          <w:color w:val="auto"/>
          <w:sz w:val="24"/>
          <w:highlight w:val="none"/>
        </w:rPr>
        <w:t>应当自中标通知书发出之日起三十日内，按照</w:t>
      </w:r>
      <w:r>
        <w:rPr>
          <w:rFonts w:hint="eastAsia" w:ascii="宋体" w:hAnsi="宋体"/>
          <w:bCs/>
          <w:color w:val="auto"/>
          <w:sz w:val="24"/>
          <w:highlight w:val="none"/>
          <w:lang w:eastAsia="zh-CN"/>
        </w:rPr>
        <w:t>采购文件</w:t>
      </w:r>
      <w:r>
        <w:rPr>
          <w:rFonts w:ascii="宋体" w:hAnsi="宋体"/>
          <w:bCs/>
          <w:color w:val="auto"/>
          <w:sz w:val="24"/>
          <w:highlight w:val="none"/>
        </w:rPr>
        <w:t>和中标供应商投标文件的约定，与中标供应商签订书面合同。所签订的合同不得对</w:t>
      </w:r>
      <w:r>
        <w:rPr>
          <w:rFonts w:hint="eastAsia" w:ascii="宋体" w:hAnsi="宋体"/>
          <w:bCs/>
          <w:color w:val="auto"/>
          <w:sz w:val="24"/>
          <w:highlight w:val="none"/>
          <w:lang w:eastAsia="zh-CN"/>
        </w:rPr>
        <w:t>采购文件</w:t>
      </w:r>
      <w:r>
        <w:rPr>
          <w:rFonts w:ascii="宋体" w:hAnsi="宋体"/>
          <w:bCs/>
          <w:color w:val="auto"/>
          <w:sz w:val="24"/>
          <w:highlight w:val="none"/>
        </w:rPr>
        <w:t>和中标供应商投标文件作实质性修改。</w:t>
      </w:r>
      <w:r>
        <w:rPr>
          <w:rFonts w:hint="eastAsia" w:ascii="宋体" w:hAnsi="宋体"/>
          <w:bCs/>
          <w:color w:val="auto"/>
          <w:sz w:val="24"/>
          <w:highlight w:val="none"/>
        </w:rPr>
        <w:t>采购人</w:t>
      </w:r>
      <w:r>
        <w:rPr>
          <w:rFonts w:ascii="宋体" w:hAnsi="宋体"/>
          <w:bCs/>
          <w:color w:val="auto"/>
          <w:sz w:val="24"/>
          <w:highlight w:val="none"/>
        </w:rPr>
        <w:t>不得向中标供应商提出任何不合理的要求，作为签订合同的条件，不得与中标供应商私下订立背离合同实质性内容的协议。</w:t>
      </w:r>
      <w:r>
        <w:rPr>
          <w:rFonts w:hint="eastAsia" w:ascii="宋体" w:hAnsi="宋体"/>
          <w:bCs/>
          <w:color w:val="auto"/>
          <w:sz w:val="24"/>
          <w:highlight w:val="none"/>
        </w:rPr>
        <w:t>合同经</w:t>
      </w:r>
      <w:r>
        <w:rPr>
          <w:rFonts w:hint="eastAsia" w:ascii="宋体" w:hAnsi="宋体"/>
          <w:bCs/>
          <w:color w:val="auto"/>
          <w:sz w:val="24"/>
          <w:highlight w:val="none"/>
          <w:lang w:eastAsia="zh-CN"/>
        </w:rPr>
        <w:t>江苏博智工程咨询有限公司</w:t>
      </w:r>
      <w:r>
        <w:rPr>
          <w:rFonts w:hint="eastAsia" w:ascii="宋体" w:hAnsi="宋体"/>
          <w:bCs/>
          <w:color w:val="auto"/>
          <w:sz w:val="24"/>
          <w:highlight w:val="none"/>
        </w:rPr>
        <w:t>见证后生效。</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rPr>
        <w:t>2</w:t>
      </w:r>
      <w:r>
        <w:rPr>
          <w:rFonts w:hint="eastAsia" w:ascii="宋体" w:hAnsi="宋体"/>
          <w:bCs/>
          <w:color w:val="auto"/>
          <w:sz w:val="24"/>
          <w:highlight w:val="none"/>
          <w:lang w:val="en-US" w:eastAsia="zh-CN"/>
        </w:rPr>
        <w:t>.</w:t>
      </w:r>
      <w:r>
        <w:rPr>
          <w:rFonts w:hint="eastAsia" w:ascii="宋体" w:hAnsi="宋体"/>
          <w:bCs/>
          <w:color w:val="auto"/>
          <w:sz w:val="24"/>
          <w:highlight w:val="none"/>
        </w:rPr>
        <w:t>中标供应商须</w:t>
      </w:r>
      <w:r>
        <w:rPr>
          <w:rFonts w:ascii="宋体" w:hAnsi="宋体"/>
          <w:bCs/>
          <w:color w:val="auto"/>
          <w:sz w:val="24"/>
          <w:highlight w:val="none"/>
        </w:rPr>
        <w:t>自中标通知书发出之日起十日内</w:t>
      </w:r>
      <w:r>
        <w:rPr>
          <w:rFonts w:hint="eastAsia" w:ascii="宋体" w:hAnsi="宋体"/>
          <w:bCs/>
          <w:color w:val="auto"/>
          <w:sz w:val="24"/>
          <w:highlight w:val="none"/>
        </w:rPr>
        <w:t>向采购人交纳中标合同总金额10%的履约保证金证。</w:t>
      </w:r>
      <w:r>
        <w:rPr>
          <w:rFonts w:ascii="宋体" w:hAnsi="宋体"/>
          <w:bCs/>
          <w:color w:val="auto"/>
          <w:sz w:val="24"/>
          <w:highlight w:val="none"/>
        </w:rPr>
        <w:t>履约保证金应该以支票、汇票、本票或者金融机构、担保机构出具保函等非现金形式提交。履约保证金在本项目验收合格并按相关规定扣除处罚款后退还，不计利息。</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bCs/>
          <w:sz w:val="24"/>
        </w:rPr>
      </w:pPr>
      <w:r>
        <w:rPr>
          <w:rFonts w:hint="eastAsia" w:ascii="宋体" w:hAnsi="宋体"/>
          <w:bCs/>
          <w:color w:val="auto"/>
          <w:sz w:val="24"/>
          <w:highlight w:val="none"/>
        </w:rPr>
        <w:t>3.采购代理机构监督合同的履行。中标供应商非因不可抗力未履行招、投标文件和合同规定的义务，一经查实，代理机构将根据具体情况提请政府采购监督管理部门作出相应处理。</w:t>
      </w:r>
    </w:p>
    <w:p>
      <w:pPr>
        <w:spacing w:line="360" w:lineRule="auto"/>
        <w:ind w:left="-2" w:leftChars="-1" w:firstLine="422" w:firstLineChars="175"/>
        <w:outlineLvl w:val="0"/>
        <w:rPr>
          <w:rFonts w:hint="eastAsia" w:ascii="黑体" w:hAnsi="宋体" w:eastAsia="黑体" w:cs="Times New Roman"/>
          <w:b/>
          <w:sz w:val="24"/>
        </w:rPr>
      </w:pPr>
      <w:r>
        <w:rPr>
          <w:rFonts w:hint="eastAsia" w:ascii="黑体" w:hAnsi="宋体" w:eastAsia="黑体" w:cs="Times New Roman"/>
          <w:b/>
          <w:sz w:val="24"/>
        </w:rPr>
        <w:t>（十五）中标服务费：</w:t>
      </w:r>
    </w:p>
    <w:p>
      <w:pPr>
        <w:spacing w:line="540" w:lineRule="exact"/>
        <w:ind w:firstLine="480" w:firstLineChars="200"/>
        <w:rPr>
          <w:rFonts w:hint="eastAsia" w:ascii="宋体" w:hAnsi="宋体"/>
          <w:sz w:val="24"/>
        </w:rPr>
      </w:pPr>
      <w:r>
        <w:rPr>
          <w:rFonts w:hint="eastAsia" w:ascii="宋体" w:hAnsi="宋体"/>
          <w:sz w:val="24"/>
        </w:rPr>
        <w:t>1.</w:t>
      </w:r>
      <w:r>
        <w:rPr>
          <w:rFonts w:hint="eastAsia" w:ascii="宋体" w:hAnsi="宋体"/>
          <w:bCs/>
          <w:sz w:val="24"/>
        </w:rPr>
        <w:t>本项目</w:t>
      </w:r>
      <w:r>
        <w:rPr>
          <w:rFonts w:hint="eastAsia" w:ascii="宋体" w:hAnsi="宋体"/>
          <w:bCs/>
          <w:sz w:val="24"/>
          <w:lang w:val="en-US" w:eastAsia="zh-CN"/>
        </w:rPr>
        <w:t>采购</w:t>
      </w:r>
      <w:r>
        <w:rPr>
          <w:rFonts w:hint="eastAsia" w:ascii="宋体" w:hAnsi="宋体"/>
          <w:bCs/>
          <w:sz w:val="24"/>
        </w:rPr>
        <w:t>代理服务费由</w:t>
      </w:r>
      <w:r>
        <w:rPr>
          <w:rFonts w:hint="eastAsia" w:ascii="宋体" w:hAnsi="宋体"/>
          <w:bCs/>
          <w:sz w:val="24"/>
          <w:lang w:val="en-US" w:eastAsia="zh-CN"/>
        </w:rPr>
        <w:t>中</w:t>
      </w:r>
      <w:r>
        <w:rPr>
          <w:rFonts w:hint="eastAsia" w:ascii="宋体" w:hAnsi="宋体"/>
          <w:bCs/>
          <w:sz w:val="24"/>
        </w:rPr>
        <w:t>标方支付，</w:t>
      </w:r>
      <w:r>
        <w:rPr>
          <w:rFonts w:hint="eastAsia" w:ascii="宋体" w:hAnsi="宋体"/>
          <w:sz w:val="24"/>
          <w:shd w:val="clear" w:color="auto" w:fill="FFFFFF"/>
        </w:rPr>
        <w:t>收费标准为：成交金额100万以下部分收费费率为1.5%；成交金额100－500万部分收费费率为0.8%。</w:t>
      </w:r>
    </w:p>
    <w:p>
      <w:pPr>
        <w:spacing w:line="540" w:lineRule="exact"/>
        <w:ind w:firstLine="480" w:firstLineChars="200"/>
        <w:rPr>
          <w:rFonts w:ascii="宋体" w:hAnsi="宋体"/>
          <w:sz w:val="24"/>
        </w:rPr>
      </w:pPr>
      <w:r>
        <w:rPr>
          <w:rFonts w:hint="eastAsia" w:ascii="宋体" w:hAnsi="宋体"/>
          <w:sz w:val="24"/>
        </w:rPr>
        <w:t>2.开具中标通知书时中标单位向采购代理机构一次性付清。</w:t>
      </w:r>
    </w:p>
    <w:p>
      <w:pPr>
        <w:spacing w:line="540" w:lineRule="exact"/>
        <w:ind w:firstLine="480" w:firstLineChars="200"/>
        <w:rPr>
          <w:rFonts w:hint="eastAsia" w:ascii="宋体" w:hAnsi="宋体"/>
          <w:sz w:val="24"/>
        </w:rPr>
      </w:pPr>
      <w:r>
        <w:rPr>
          <w:rFonts w:hint="eastAsia" w:ascii="宋体" w:hAnsi="宋体"/>
          <w:sz w:val="24"/>
        </w:rPr>
        <w:t>3.中标供应商如果未按规定缴纳采购代理服务费,采购代理机构将没收其投标保证金,并保留诉讼的权利。</w:t>
      </w:r>
    </w:p>
    <w:p>
      <w:pPr>
        <w:spacing w:line="360" w:lineRule="auto"/>
        <w:ind w:left="-2" w:leftChars="-1" w:firstLine="422" w:firstLineChars="175"/>
        <w:outlineLvl w:val="0"/>
        <w:rPr>
          <w:rFonts w:hint="eastAsia" w:ascii="黑体" w:hAnsi="宋体" w:eastAsia="黑体" w:cs="Times New Roman"/>
          <w:b/>
          <w:sz w:val="24"/>
        </w:rPr>
      </w:pPr>
      <w:r>
        <w:rPr>
          <w:rFonts w:hint="eastAsia" w:ascii="黑体" w:hAnsi="宋体" w:eastAsia="黑体" w:cs="Times New Roman"/>
          <w:b/>
          <w:sz w:val="24"/>
        </w:rPr>
        <w:t>（十六）其他：</w:t>
      </w:r>
    </w:p>
    <w:p>
      <w:pPr>
        <w:spacing w:line="540" w:lineRule="exact"/>
        <w:ind w:firstLine="480" w:firstLineChars="200"/>
        <w:rPr>
          <w:rFonts w:hint="eastAsia" w:ascii="宋体" w:hAnsi="宋体"/>
          <w:sz w:val="24"/>
        </w:rPr>
      </w:pPr>
      <w:r>
        <w:rPr>
          <w:rFonts w:hint="eastAsia" w:ascii="宋体" w:hAnsi="宋体"/>
          <w:sz w:val="24"/>
          <w:lang w:eastAsia="zh-CN"/>
        </w:rPr>
        <w:t>采购文件</w:t>
      </w:r>
      <w:r>
        <w:rPr>
          <w:rFonts w:hint="eastAsia" w:ascii="宋体" w:hAnsi="宋体"/>
          <w:sz w:val="24"/>
        </w:rPr>
        <w:t>的条款必须认真审阅，投标供应商应自行检查</w:t>
      </w:r>
      <w:r>
        <w:rPr>
          <w:rFonts w:hint="eastAsia" w:ascii="宋体" w:hAnsi="宋体"/>
          <w:sz w:val="24"/>
          <w:lang w:eastAsia="zh-CN"/>
        </w:rPr>
        <w:t>采购文件</w:t>
      </w:r>
      <w:r>
        <w:rPr>
          <w:rFonts w:hint="eastAsia" w:ascii="宋体" w:hAnsi="宋体"/>
          <w:sz w:val="24"/>
        </w:rPr>
        <w:t>页数是否齐全。若有遗漏、重复或不清楚，需立刻通知采购人予以更正；凡属对条款的误解所造成的投标价格失误，由投标供应商负责。</w:t>
      </w:r>
    </w:p>
    <w:p>
      <w:pPr>
        <w:spacing w:line="360" w:lineRule="auto"/>
        <w:ind w:left="-2" w:leftChars="-1" w:firstLine="422" w:firstLineChars="175"/>
        <w:outlineLvl w:val="0"/>
        <w:rPr>
          <w:rFonts w:hint="eastAsia" w:ascii="黑体" w:hAnsi="宋体" w:eastAsia="黑体" w:cs="Times New Roman"/>
          <w:b/>
          <w:sz w:val="24"/>
        </w:rPr>
      </w:pPr>
      <w:r>
        <w:rPr>
          <w:rFonts w:hint="eastAsia" w:ascii="黑体" w:hAnsi="宋体" w:eastAsia="黑体" w:cs="Times New Roman"/>
          <w:b/>
          <w:sz w:val="24"/>
        </w:rPr>
        <w:t>（十七）政府采购信用担保</w:t>
      </w:r>
    </w:p>
    <w:p>
      <w:pPr>
        <w:spacing w:line="500" w:lineRule="exact"/>
        <w:ind w:firstLine="480" w:firstLineChars="200"/>
        <w:rPr>
          <w:rFonts w:hint="eastAsia" w:ascii="宋体" w:hAnsi="宋体"/>
          <w:sz w:val="24"/>
          <w:shd w:val="clear" w:color="auto" w:fill="FFFFFF"/>
        </w:rPr>
      </w:pPr>
      <w:r>
        <w:rPr>
          <w:rFonts w:ascii="宋体" w:hAnsi="宋体"/>
          <w:sz w:val="24"/>
          <w:shd w:val="clear" w:color="auto" w:fill="FFFFFF"/>
        </w:rPr>
        <w:t>政府采购信用担保，是由专业担保机构为供应商向采购人、代理机构、金融机构提供的保证，主要包括投标担保、履约担保、融资担保三种形式。供应商可以根据自身情况，自行决定是否选择采用</w:t>
      </w:r>
      <w:r>
        <w:rPr>
          <w:rFonts w:hint="eastAsia" w:ascii="宋体" w:hAnsi="宋体"/>
          <w:sz w:val="24"/>
          <w:shd w:val="clear" w:color="auto" w:fill="FFFFFF"/>
        </w:rPr>
        <w:t>该</w:t>
      </w:r>
      <w:r>
        <w:rPr>
          <w:rFonts w:ascii="宋体" w:hAnsi="宋体"/>
          <w:sz w:val="24"/>
          <w:shd w:val="clear" w:color="auto" w:fill="FFFFFF"/>
        </w:rPr>
        <w:t>三种信用担保形式</w:t>
      </w:r>
      <w:r>
        <w:rPr>
          <w:rFonts w:hint="eastAsia" w:ascii="宋体" w:hAnsi="宋体"/>
          <w:sz w:val="24"/>
          <w:shd w:val="clear" w:color="auto" w:fill="FFFFFF"/>
        </w:rPr>
        <w:t>。</w:t>
      </w:r>
    </w:p>
    <w:p>
      <w:pPr>
        <w:spacing w:line="500" w:lineRule="exact"/>
        <w:ind w:firstLine="480" w:firstLineChars="200"/>
        <w:rPr>
          <w:rFonts w:ascii="宋体" w:hAnsi="宋体"/>
          <w:sz w:val="24"/>
          <w:shd w:val="clear" w:color="auto" w:fill="FFFFFF"/>
        </w:rPr>
      </w:pPr>
      <w:r>
        <w:rPr>
          <w:rFonts w:hint="eastAsia" w:ascii="宋体" w:hAnsi="宋体"/>
          <w:sz w:val="24"/>
          <w:shd w:val="clear" w:color="auto" w:fill="FFFFFF"/>
        </w:rPr>
        <w:t>1.</w:t>
      </w:r>
      <w:r>
        <w:rPr>
          <w:rFonts w:ascii="宋体" w:hAnsi="宋体"/>
          <w:sz w:val="24"/>
          <w:shd w:val="clear" w:color="auto" w:fill="FFFFFF"/>
        </w:rPr>
        <w:t>投标担保。</w:t>
      </w:r>
    </w:p>
    <w:p>
      <w:pPr>
        <w:spacing w:line="500" w:lineRule="exact"/>
        <w:ind w:firstLine="480" w:firstLineChars="200"/>
        <w:rPr>
          <w:rFonts w:ascii="宋体" w:hAnsi="宋体"/>
          <w:sz w:val="24"/>
          <w:shd w:val="clear" w:color="auto" w:fill="FFFFFF"/>
        </w:rPr>
      </w:pPr>
      <w:r>
        <w:rPr>
          <w:rFonts w:ascii="宋体" w:hAnsi="宋体"/>
          <w:sz w:val="24"/>
          <w:shd w:val="clear" w:color="auto" w:fill="FFFFFF"/>
        </w:rPr>
        <w:t>投标担保，是指由专业担保机构为供应商履行支付投标保证金的义务向采购人或者采购代理机构提供的保证担保。</w:t>
      </w:r>
      <w:r>
        <w:rPr>
          <w:rFonts w:hint="eastAsia" w:ascii="宋体" w:hAnsi="宋体"/>
          <w:sz w:val="24"/>
          <w:shd w:val="clear" w:color="auto" w:fill="FFFFFF"/>
        </w:rPr>
        <w:t>专业担保机构对供应商进行资信审查后出具投标担保函，</w:t>
      </w:r>
      <w:r>
        <w:rPr>
          <w:rFonts w:ascii="宋体" w:hAnsi="宋体"/>
          <w:sz w:val="24"/>
          <w:shd w:val="clear" w:color="auto" w:fill="FFFFFF"/>
        </w:rPr>
        <w:t>供应商在投标有效期内发生撤回投标文件，或中标后因自身原因不签署政府采购合同等行为而应实际支付保证金的，由专业担保机构按照担保函的约定履行担保责任。供应商可以自愿选择是否采取投标担保函的形式交纳投标保证金。政府采购投标担保函</w:t>
      </w:r>
      <w:r>
        <w:rPr>
          <w:rFonts w:hint="eastAsia" w:ascii="宋体" w:hAnsi="宋体"/>
          <w:sz w:val="24"/>
          <w:shd w:val="clear" w:color="auto" w:fill="FFFFFF"/>
        </w:rPr>
        <w:t>格式</w:t>
      </w:r>
      <w:r>
        <w:rPr>
          <w:rFonts w:ascii="宋体" w:hAnsi="宋体"/>
          <w:sz w:val="24"/>
          <w:shd w:val="clear" w:color="auto" w:fill="FFFFFF"/>
        </w:rPr>
        <w:t>见附件</w:t>
      </w:r>
      <w:r>
        <w:rPr>
          <w:rFonts w:hint="eastAsia" w:ascii="宋体" w:hAnsi="宋体"/>
          <w:sz w:val="24"/>
          <w:shd w:val="clear" w:color="auto" w:fill="FFFFFF"/>
        </w:rPr>
        <w:t>1</w:t>
      </w:r>
      <w:r>
        <w:rPr>
          <w:rFonts w:ascii="宋体" w:hAnsi="宋体"/>
          <w:sz w:val="24"/>
          <w:shd w:val="clear" w:color="auto" w:fill="FFFFFF"/>
        </w:rPr>
        <w:t>。</w:t>
      </w:r>
    </w:p>
    <w:p>
      <w:pPr>
        <w:spacing w:line="500" w:lineRule="exact"/>
        <w:ind w:firstLine="480" w:firstLineChars="200"/>
        <w:rPr>
          <w:rFonts w:ascii="宋体" w:hAnsi="宋体"/>
          <w:sz w:val="24"/>
          <w:shd w:val="clear" w:color="auto" w:fill="FFFFFF"/>
        </w:rPr>
      </w:pPr>
      <w:r>
        <w:rPr>
          <w:rFonts w:hint="eastAsia" w:ascii="宋体" w:hAnsi="宋体"/>
          <w:sz w:val="24"/>
          <w:shd w:val="clear" w:color="auto" w:fill="FFFFFF"/>
        </w:rPr>
        <w:t>2.</w:t>
      </w:r>
      <w:r>
        <w:rPr>
          <w:rFonts w:ascii="宋体" w:hAnsi="宋体"/>
          <w:sz w:val="24"/>
          <w:shd w:val="clear" w:color="auto" w:fill="FFFFFF"/>
        </w:rPr>
        <w:t>履约担保。</w:t>
      </w:r>
    </w:p>
    <w:p>
      <w:pPr>
        <w:spacing w:line="500" w:lineRule="exact"/>
        <w:ind w:firstLine="480" w:firstLineChars="200"/>
        <w:rPr>
          <w:rFonts w:hint="eastAsia" w:ascii="宋体" w:hAnsi="宋体"/>
          <w:sz w:val="24"/>
          <w:shd w:val="clear" w:color="auto" w:fill="FFFFFF"/>
        </w:rPr>
      </w:pPr>
      <w:r>
        <w:rPr>
          <w:rFonts w:ascii="宋体" w:hAnsi="宋体"/>
          <w:sz w:val="24"/>
          <w:shd w:val="clear" w:color="auto" w:fill="FFFFFF"/>
        </w:rPr>
        <w:t>履约担保，是指由专业担保机构为供应商支付履约保证金的义务向采购人提供的保证担保。</w:t>
      </w:r>
      <w:r>
        <w:rPr>
          <w:rFonts w:hint="eastAsia" w:ascii="宋体" w:hAnsi="宋体"/>
          <w:sz w:val="24"/>
          <w:shd w:val="clear" w:color="auto" w:fill="FFFFFF"/>
        </w:rPr>
        <w:t>专业担保机构根据中标供应商的中标、成交通知书为凭据，进行资信审查后出具履约担保函；</w:t>
      </w:r>
      <w:r>
        <w:rPr>
          <w:rFonts w:ascii="宋体" w:hAnsi="宋体"/>
          <w:sz w:val="24"/>
          <w:shd w:val="clear" w:color="auto" w:fill="FFFFFF"/>
        </w:rPr>
        <w:t>供应商未按政府采购合同履行约定义务而应实际支付保证金的，由专业担保机构按照担保函约定履行担保责任。供应商可以自愿选择是否采取履约担保函的形式交纳履约保证金。政府采购履约担保函</w:t>
      </w:r>
      <w:r>
        <w:rPr>
          <w:rFonts w:hint="eastAsia" w:ascii="宋体" w:hAnsi="宋体"/>
          <w:sz w:val="24"/>
          <w:shd w:val="clear" w:color="auto" w:fill="FFFFFF"/>
        </w:rPr>
        <w:t>格式</w:t>
      </w:r>
      <w:r>
        <w:rPr>
          <w:rFonts w:ascii="宋体" w:hAnsi="宋体"/>
          <w:sz w:val="24"/>
          <w:shd w:val="clear" w:color="auto" w:fill="FFFFFF"/>
        </w:rPr>
        <w:t>见附件</w:t>
      </w:r>
      <w:r>
        <w:rPr>
          <w:rFonts w:hint="eastAsia" w:ascii="宋体" w:hAnsi="宋体"/>
          <w:sz w:val="24"/>
          <w:shd w:val="clear" w:color="auto" w:fill="FFFFFF"/>
        </w:rPr>
        <w:t>2</w:t>
      </w:r>
      <w:r>
        <w:rPr>
          <w:rFonts w:ascii="宋体" w:hAnsi="宋体"/>
          <w:sz w:val="24"/>
          <w:shd w:val="clear" w:color="auto" w:fill="FFFFFF"/>
        </w:rPr>
        <w:t>。</w:t>
      </w:r>
    </w:p>
    <w:p>
      <w:pPr>
        <w:spacing w:line="500" w:lineRule="exact"/>
        <w:ind w:firstLine="480" w:firstLineChars="200"/>
        <w:rPr>
          <w:rFonts w:ascii="宋体" w:hAnsi="宋体"/>
          <w:sz w:val="24"/>
          <w:shd w:val="clear" w:color="auto" w:fill="FFFFFF"/>
        </w:rPr>
      </w:pPr>
      <w:r>
        <w:rPr>
          <w:rFonts w:hint="eastAsia" w:ascii="宋体" w:hAnsi="宋体"/>
          <w:sz w:val="24"/>
          <w:shd w:val="clear" w:color="auto" w:fill="FFFFFF"/>
        </w:rPr>
        <w:t>3.</w:t>
      </w:r>
      <w:r>
        <w:rPr>
          <w:rFonts w:ascii="宋体" w:hAnsi="宋体"/>
          <w:sz w:val="24"/>
          <w:shd w:val="clear" w:color="auto" w:fill="FFFFFF"/>
        </w:rPr>
        <w:t>融资担保。</w:t>
      </w:r>
    </w:p>
    <w:p>
      <w:pPr>
        <w:spacing w:line="500" w:lineRule="exact"/>
        <w:ind w:firstLine="480" w:firstLineChars="200"/>
        <w:rPr>
          <w:rFonts w:hint="eastAsia" w:ascii="宋体" w:hAnsi="宋体"/>
          <w:sz w:val="24"/>
          <w:shd w:val="clear" w:color="auto" w:fill="FFFFFF"/>
        </w:rPr>
      </w:pPr>
      <w:r>
        <w:rPr>
          <w:rFonts w:ascii="宋体" w:hAnsi="宋体"/>
          <w:sz w:val="24"/>
          <w:shd w:val="clear" w:color="auto" w:fill="FFFFFF"/>
        </w:rPr>
        <w:t>融资担保，是指专业担保机构为供应商向银行融资提供的保证担保。供应商可以自愿选择是否采取融资担保的形式为政府采购项目履约进行融资。</w:t>
      </w:r>
      <w:r>
        <w:rPr>
          <w:rFonts w:hint="eastAsia" w:ascii="宋体" w:hAnsi="宋体"/>
          <w:sz w:val="24"/>
          <w:shd w:val="clear" w:color="auto" w:fill="FFFFFF"/>
        </w:rPr>
        <w:t>政府采购信用担保融资，是指以政府采购作为平台帮助中小企业融资，政府采购中标、成交的中小企业供应商，以中标、成交通知书和政府采购合同作为抵押凭据直接向银行贷款，或通过担保公司担保后向银行贷款，解决政府采购中标、成交的中小企业在履行合同过程中的资金困难。</w:t>
      </w:r>
    </w:p>
    <w:p>
      <w:pPr>
        <w:spacing w:line="500" w:lineRule="exact"/>
        <w:ind w:firstLine="480" w:firstLineChars="200"/>
        <w:rPr>
          <w:rFonts w:hint="eastAsia" w:ascii="宋体" w:hAnsi="宋体"/>
          <w:sz w:val="24"/>
          <w:shd w:val="clear" w:color="auto" w:fill="FFFFFF"/>
        </w:rPr>
      </w:pPr>
      <w:r>
        <w:rPr>
          <w:rFonts w:hint="eastAsia" w:ascii="宋体" w:hAnsi="宋体"/>
          <w:sz w:val="24"/>
          <w:shd w:val="clear" w:color="auto" w:fill="FFFFFF"/>
        </w:rPr>
        <w:t>4.</w:t>
      </w:r>
      <w:r>
        <w:rPr>
          <w:rFonts w:ascii="宋体" w:hAnsi="宋体"/>
          <w:sz w:val="24"/>
          <w:shd w:val="clear" w:color="auto" w:fill="FFFFFF"/>
        </w:rPr>
        <w:t>政府采购信用担保合作担保机构</w:t>
      </w:r>
      <w:r>
        <w:rPr>
          <w:rFonts w:hint="eastAsia" w:ascii="宋体" w:hAnsi="宋体"/>
          <w:sz w:val="24"/>
          <w:shd w:val="clear" w:color="auto" w:fill="FFFFFF"/>
        </w:rPr>
        <w:t>和</w:t>
      </w:r>
      <w:r>
        <w:rPr>
          <w:rFonts w:ascii="宋体" w:hAnsi="宋体"/>
          <w:sz w:val="24"/>
          <w:shd w:val="clear" w:color="auto" w:fill="FFFFFF"/>
        </w:rPr>
        <w:t>信用融资合作银行</w:t>
      </w:r>
    </w:p>
    <w:p>
      <w:pPr>
        <w:spacing w:line="500" w:lineRule="exact"/>
        <w:ind w:firstLine="480" w:firstLineChars="200"/>
        <w:rPr>
          <w:rFonts w:hint="eastAsia" w:ascii="宋体" w:hAnsi="宋体"/>
          <w:sz w:val="24"/>
          <w:shd w:val="clear" w:color="auto" w:fill="FFFFFF"/>
        </w:rPr>
      </w:pPr>
      <w:r>
        <w:rPr>
          <w:rFonts w:ascii="宋体" w:hAnsi="宋体"/>
          <w:sz w:val="24"/>
          <w:shd w:val="clear" w:color="auto" w:fill="FFFFFF"/>
        </w:rPr>
        <w:t>中标供应商可以根据自身情况，自行决定是否选择采用投标、履约和融资三种信用担保形式，自主选择融资银行。</w:t>
      </w:r>
      <w:r>
        <w:rPr>
          <w:rFonts w:hint="eastAsia" w:ascii="宋体" w:hAnsi="宋体"/>
          <w:sz w:val="24"/>
          <w:shd w:val="clear" w:color="auto" w:fill="FFFFFF"/>
        </w:rPr>
        <w:t>除江苏</w:t>
      </w:r>
      <w:r>
        <w:rPr>
          <w:rFonts w:ascii="宋体" w:hAnsi="宋体"/>
          <w:sz w:val="24"/>
          <w:shd w:val="clear" w:color="auto" w:fill="FFFFFF"/>
        </w:rPr>
        <w:t>省</w:t>
      </w:r>
      <w:r>
        <w:rPr>
          <w:rFonts w:hint="eastAsia" w:ascii="宋体" w:hAnsi="宋体"/>
          <w:sz w:val="24"/>
          <w:shd w:val="clear" w:color="auto" w:fill="FFFFFF"/>
        </w:rPr>
        <w:t>财政厅</w:t>
      </w:r>
      <w:r>
        <w:rPr>
          <w:rFonts w:ascii="宋体" w:hAnsi="宋体"/>
          <w:sz w:val="24"/>
          <w:shd w:val="clear" w:color="auto" w:fill="FFFFFF"/>
        </w:rPr>
        <w:t>确定的江苏省再担保有限公司</w:t>
      </w:r>
      <w:r>
        <w:rPr>
          <w:rFonts w:hint="eastAsia" w:ascii="宋体" w:hAnsi="宋体"/>
          <w:sz w:val="24"/>
          <w:shd w:val="clear" w:color="auto" w:fill="FFFFFF"/>
        </w:rPr>
        <w:t>和无锡市财政局确定的</w:t>
      </w:r>
      <w:r>
        <w:rPr>
          <w:rFonts w:ascii="宋体" w:hAnsi="宋体"/>
          <w:sz w:val="24"/>
          <w:shd w:val="clear" w:color="auto" w:fill="FFFFFF"/>
        </w:rPr>
        <w:t>科发投资担保有限公司为</w:t>
      </w:r>
      <w:r>
        <w:rPr>
          <w:rFonts w:hint="eastAsia" w:ascii="宋体" w:hAnsi="宋体"/>
          <w:sz w:val="24"/>
          <w:shd w:val="clear" w:color="auto" w:fill="FFFFFF"/>
        </w:rPr>
        <w:t>无锡市</w:t>
      </w:r>
      <w:r>
        <w:rPr>
          <w:rFonts w:ascii="宋体" w:hAnsi="宋体"/>
          <w:sz w:val="24"/>
          <w:shd w:val="clear" w:color="auto" w:fill="FFFFFF"/>
        </w:rPr>
        <w:t>政府采购信用担保合作担保机构</w:t>
      </w:r>
      <w:r>
        <w:rPr>
          <w:rFonts w:hint="eastAsia" w:ascii="宋体" w:hAnsi="宋体"/>
          <w:sz w:val="24"/>
          <w:shd w:val="clear" w:color="auto" w:fill="FFFFFF"/>
        </w:rPr>
        <w:t>外</w:t>
      </w:r>
      <w:r>
        <w:rPr>
          <w:rFonts w:ascii="宋体" w:hAnsi="宋体"/>
          <w:sz w:val="24"/>
          <w:shd w:val="clear" w:color="auto" w:fill="FFFFFF"/>
        </w:rPr>
        <w:t>，民生银行南京分行、江苏银行和中信银行南京分行</w:t>
      </w:r>
      <w:r>
        <w:rPr>
          <w:rFonts w:hint="eastAsia" w:ascii="宋体" w:hAnsi="宋体"/>
          <w:sz w:val="24"/>
          <w:shd w:val="clear" w:color="auto" w:fill="FFFFFF"/>
        </w:rPr>
        <w:t>（</w:t>
      </w:r>
      <w:r>
        <w:rPr>
          <w:rFonts w:ascii="宋体" w:hAnsi="宋体"/>
          <w:sz w:val="24"/>
          <w:shd w:val="clear" w:color="auto" w:fill="FFFFFF"/>
        </w:rPr>
        <w:t>为江苏省政府采购信用融资合作银行</w:t>
      </w:r>
      <w:r>
        <w:rPr>
          <w:rFonts w:hint="eastAsia" w:ascii="宋体" w:hAnsi="宋体"/>
          <w:sz w:val="24"/>
          <w:shd w:val="clear" w:color="auto" w:fill="FFFFFF"/>
        </w:rPr>
        <w:t>）、</w:t>
      </w:r>
      <w:r>
        <w:rPr>
          <w:rFonts w:ascii="宋体" w:hAnsi="宋体"/>
          <w:sz w:val="24"/>
          <w:shd w:val="clear" w:color="auto" w:fill="FFFFFF"/>
        </w:rPr>
        <w:t>浙商银行无锡分行</w:t>
      </w:r>
      <w:r>
        <w:rPr>
          <w:rFonts w:hint="eastAsia" w:ascii="宋体" w:hAnsi="宋体"/>
          <w:sz w:val="24"/>
          <w:shd w:val="clear" w:color="auto" w:fill="FFFFFF"/>
        </w:rPr>
        <w:t>（</w:t>
      </w:r>
      <w:r>
        <w:rPr>
          <w:rFonts w:ascii="宋体" w:hAnsi="宋体"/>
          <w:sz w:val="24"/>
          <w:shd w:val="clear" w:color="auto" w:fill="FFFFFF"/>
        </w:rPr>
        <w:t>为</w:t>
      </w:r>
      <w:r>
        <w:rPr>
          <w:rFonts w:hint="eastAsia" w:ascii="宋体" w:hAnsi="宋体"/>
          <w:sz w:val="24"/>
          <w:shd w:val="clear" w:color="auto" w:fill="FFFFFF"/>
        </w:rPr>
        <w:t>无锡市</w:t>
      </w:r>
      <w:r>
        <w:rPr>
          <w:rFonts w:ascii="宋体" w:hAnsi="宋体"/>
          <w:sz w:val="24"/>
          <w:shd w:val="clear" w:color="auto" w:fill="FFFFFF"/>
        </w:rPr>
        <w:t>政府采购信用融资合作银行</w:t>
      </w:r>
      <w:r>
        <w:rPr>
          <w:rFonts w:hint="eastAsia" w:ascii="宋体" w:hAnsi="宋体"/>
          <w:sz w:val="24"/>
          <w:shd w:val="clear" w:color="auto" w:fill="FFFFFF"/>
        </w:rPr>
        <w:t>）</w:t>
      </w:r>
      <w:r>
        <w:rPr>
          <w:rFonts w:ascii="宋体" w:hAnsi="宋体"/>
          <w:sz w:val="24"/>
          <w:shd w:val="clear" w:color="auto" w:fill="FFFFFF"/>
        </w:rPr>
        <w:t>可以在</w:t>
      </w:r>
      <w:r>
        <w:rPr>
          <w:rFonts w:hint="eastAsia" w:ascii="宋体" w:hAnsi="宋体"/>
          <w:sz w:val="24"/>
          <w:shd w:val="clear" w:color="auto" w:fill="FFFFFF"/>
        </w:rPr>
        <w:t>无锡</w:t>
      </w:r>
      <w:r>
        <w:rPr>
          <w:rFonts w:ascii="宋体" w:hAnsi="宋体"/>
          <w:sz w:val="24"/>
          <w:shd w:val="clear" w:color="auto" w:fill="FFFFFF"/>
        </w:rPr>
        <w:t>市范围内依法开展政府采购信用担保融资业务。</w:t>
      </w:r>
    </w:p>
    <w:p>
      <w:pPr>
        <w:spacing w:line="500" w:lineRule="exact"/>
        <w:ind w:firstLine="480" w:firstLineChars="200"/>
        <w:rPr>
          <w:rFonts w:hint="eastAsia" w:ascii="宋体" w:hAnsi="宋体" w:eastAsia="宋体"/>
          <w:sz w:val="24"/>
          <w:shd w:val="clear" w:color="auto" w:fill="FFFFFF"/>
          <w:lang w:eastAsia="zh-CN"/>
        </w:rPr>
      </w:pPr>
      <w:r>
        <w:rPr>
          <w:rFonts w:hint="eastAsia" w:ascii="宋体" w:hAnsi="宋体"/>
          <w:sz w:val="24"/>
          <w:shd w:val="clear" w:color="auto" w:fill="FFFFFF"/>
        </w:rPr>
        <w:t>5.合作担保机构及银行出具的投标担保函、履约担保函及银行保函等，均具有《财政部关于开展政府采购信用担保试点工作的通知》中列明的担保效力。</w:t>
      </w:r>
      <w:r>
        <w:rPr>
          <w:rFonts w:ascii="宋体" w:hAnsi="宋体"/>
          <w:sz w:val="24"/>
          <w:shd w:val="clear" w:color="auto" w:fill="FFFFFF"/>
        </w:rPr>
        <w:t>除不可抗力外，无论基于何种原因，供应商一旦出现违约情形，承担保证责任的专业担保机构应当先行按照政府采购担保函及时进行偿付，偿付完成后，再按与供应商签订的协议约定内容进行追偿</w:t>
      </w:r>
      <w:r>
        <w:rPr>
          <w:rFonts w:hint="eastAsia" w:ascii="宋体" w:hAnsi="宋体"/>
          <w:sz w:val="24"/>
          <w:shd w:val="clear" w:color="auto" w:fill="FFFFFF"/>
          <w:lang w:eastAsia="zh-CN"/>
        </w:rPr>
        <w:t>。</w:t>
      </w:r>
    </w:p>
    <w:p>
      <w:pPr>
        <w:pageBreakBefore/>
        <w:spacing w:line="540" w:lineRule="exact"/>
        <w:rPr>
          <w:rFonts w:hint="eastAsia" w:ascii="宋体" w:hAnsi="宋体"/>
          <w:sz w:val="24"/>
          <w:shd w:val="clear" w:color="auto" w:fill="FFFFFF"/>
        </w:rPr>
      </w:pPr>
      <w:r>
        <w:rPr>
          <w:rFonts w:ascii="宋体" w:hAnsi="宋体"/>
          <w:sz w:val="24"/>
          <w:shd w:val="clear" w:color="auto" w:fill="FFFFFF"/>
        </w:rPr>
        <w:t>附件</w:t>
      </w:r>
      <w:r>
        <w:rPr>
          <w:rFonts w:hint="eastAsia" w:ascii="宋体" w:hAnsi="宋体"/>
          <w:sz w:val="24"/>
          <w:shd w:val="clear" w:color="auto" w:fill="FFFFFF"/>
        </w:rPr>
        <w:t>1.               政府采购投标担保函 （项目用）</w:t>
      </w:r>
    </w:p>
    <w:p>
      <w:pPr>
        <w:widowControl/>
        <w:tabs>
          <w:tab w:val="left" w:pos="360"/>
          <w:tab w:val="left" w:pos="960"/>
        </w:tabs>
        <w:spacing w:line="440" w:lineRule="exact"/>
        <w:jc w:val="left"/>
        <w:rPr>
          <w:rFonts w:hint="eastAsia" w:ascii="宋体" w:hAnsi="宋体"/>
          <w:sz w:val="24"/>
        </w:rPr>
      </w:pPr>
      <w:r>
        <w:rPr>
          <w:rFonts w:hint="eastAsia" w:ascii="宋体" w:hAnsi="宋体"/>
          <w:sz w:val="24"/>
        </w:rPr>
        <w:t>编号：</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 xml:space="preserve"> </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 xml:space="preserve">  </w:t>
      </w:r>
      <w:r>
        <w:rPr>
          <w:rFonts w:hint="eastAsia" w:ascii="宋体" w:hAnsi="宋体"/>
          <w:sz w:val="24"/>
          <w:u w:val="single"/>
        </w:rPr>
        <w:t xml:space="preserve">                    （采购人或采购代理机构）</w:t>
      </w:r>
      <w:r>
        <w:rPr>
          <w:rFonts w:hint="eastAsia" w:ascii="宋体" w:hAnsi="宋体"/>
          <w:sz w:val="24"/>
        </w:rPr>
        <w:t>：</w:t>
      </w:r>
    </w:p>
    <w:p>
      <w:pPr>
        <w:widowControl/>
        <w:tabs>
          <w:tab w:val="left" w:pos="360"/>
          <w:tab w:val="left" w:pos="960"/>
        </w:tabs>
        <w:spacing w:line="440" w:lineRule="exact"/>
        <w:ind w:firstLine="480" w:firstLineChars="200"/>
        <w:jc w:val="left"/>
        <w:rPr>
          <w:rFonts w:hint="eastAsia" w:ascii="宋体" w:hAnsi="宋体"/>
          <w:sz w:val="24"/>
          <w:u w:val="single"/>
        </w:rPr>
      </w:pPr>
      <w:r>
        <w:rPr>
          <w:rFonts w:hint="eastAsia" w:ascii="宋体" w:hAnsi="宋体"/>
          <w:sz w:val="24"/>
        </w:rPr>
        <w:t xml:space="preserve">鉴于 </w:t>
      </w:r>
      <w:r>
        <w:rPr>
          <w:rFonts w:hint="eastAsia" w:ascii="宋体" w:hAnsi="宋体"/>
          <w:sz w:val="24"/>
          <w:u w:val="single"/>
        </w:rPr>
        <w:t xml:space="preserve">              （以下简称“投标人”）</w:t>
      </w:r>
      <w:r>
        <w:rPr>
          <w:rFonts w:hint="eastAsia" w:ascii="宋体" w:hAnsi="宋体"/>
          <w:sz w:val="24"/>
        </w:rPr>
        <w:t xml:space="preserve">拟参加编号为 </w:t>
      </w:r>
      <w:r>
        <w:rPr>
          <w:rFonts w:hint="eastAsia" w:ascii="宋体" w:hAnsi="宋体"/>
          <w:sz w:val="24"/>
          <w:u w:val="single"/>
        </w:rPr>
        <w:t xml:space="preserve">           </w:t>
      </w:r>
      <w:r>
        <w:rPr>
          <w:rFonts w:hint="eastAsia" w:ascii="宋体" w:hAnsi="宋体"/>
          <w:sz w:val="24"/>
        </w:rPr>
        <w:t>的</w:t>
      </w:r>
      <w:r>
        <w:rPr>
          <w:rFonts w:hint="eastAsia" w:ascii="宋体" w:hAnsi="宋体"/>
          <w:sz w:val="24"/>
          <w:u w:val="single"/>
        </w:rPr>
        <w:t xml:space="preserve">                                       </w:t>
      </w:r>
    </w:p>
    <w:p>
      <w:pPr>
        <w:widowControl/>
        <w:tabs>
          <w:tab w:val="left" w:pos="360"/>
          <w:tab w:val="left" w:pos="960"/>
        </w:tabs>
        <w:spacing w:line="440" w:lineRule="exact"/>
        <w:jc w:val="left"/>
        <w:rPr>
          <w:rFonts w:hint="eastAsia" w:ascii="宋体" w:hAnsi="宋体"/>
          <w:sz w:val="24"/>
        </w:rPr>
      </w:pPr>
      <w:r>
        <w:rPr>
          <w:rFonts w:hint="eastAsia" w:ascii="宋体" w:hAnsi="宋体"/>
          <w:sz w:val="24"/>
          <w:u w:val="single"/>
        </w:rPr>
        <w:t>项目</w:t>
      </w:r>
      <w:r>
        <w:rPr>
          <w:rFonts w:hint="eastAsia" w:ascii="宋体" w:hAnsi="宋体"/>
          <w:sz w:val="24"/>
        </w:rPr>
        <w:t>（以下简称“本项目”）投标，根据本项目</w:t>
      </w:r>
      <w:r>
        <w:rPr>
          <w:rFonts w:hint="eastAsia" w:ascii="宋体" w:hAnsi="宋体"/>
          <w:sz w:val="24"/>
          <w:lang w:eastAsia="zh-CN"/>
        </w:rPr>
        <w:t>采购文件</w:t>
      </w:r>
      <w:r>
        <w:rPr>
          <w:rFonts w:hint="eastAsia" w:ascii="宋体" w:hAnsi="宋体"/>
          <w:sz w:val="24"/>
        </w:rPr>
        <w:t>，供应商参加投标时应向你方交纳投标保证金，且可以投标担保函的形式交纳投标保证金。应供应商的申请，我方以保证的方式向你方提供如下投标保证金担保：</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一、保证责任的情形及保证金额</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（一）在投标人出现下列情形之一时，我方承担保证责任：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1．中标后投标人无正当理由不与采购人或者采购代理机构签订《政府采购合同》；</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2．</w:t>
      </w:r>
      <w:r>
        <w:rPr>
          <w:rFonts w:hint="eastAsia" w:ascii="宋体" w:hAnsi="宋体"/>
          <w:sz w:val="24"/>
          <w:lang w:eastAsia="zh-CN"/>
        </w:rPr>
        <w:t>采购文件</w:t>
      </w:r>
      <w:r>
        <w:rPr>
          <w:rFonts w:hint="eastAsia" w:ascii="宋体" w:hAnsi="宋体"/>
          <w:sz w:val="24"/>
        </w:rPr>
        <w:t>规定的投标人应当缴纳保证金的其他情形。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（二）我方承担保证责任的最高金额为人民币</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），即本项目的投标保证金金额。</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二、保证的方式及保证期间</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我方保证的方式为：连带责任保证。</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我方的保证期间为：自本保函生效之日起</w:t>
      </w:r>
      <w:r>
        <w:rPr>
          <w:rFonts w:hint="eastAsia" w:ascii="宋体" w:hAnsi="宋体"/>
          <w:sz w:val="24"/>
          <w:u w:val="single"/>
        </w:rPr>
        <w:t xml:space="preserve">    </w:t>
      </w:r>
      <w:r>
        <w:rPr>
          <w:rFonts w:hint="eastAsia" w:ascii="宋体" w:hAnsi="宋体"/>
          <w:sz w:val="24"/>
        </w:rPr>
        <w:t>个月止。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三、承担保证责任的程序</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1．你方要求我方承担保证责任的，应在本保函保证期间内向我方发出书面索赔通知。索赔通知应写明要求索赔的金额，支付款项应到达的账号，并附有证明投标人发生我方应承担保证责任情形的事实材料。</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2．我方在收到索赔通知及相关证明材料后，在</w:t>
      </w:r>
      <w:r>
        <w:rPr>
          <w:rFonts w:hint="eastAsia" w:ascii="宋体" w:hAnsi="宋体"/>
          <w:sz w:val="24"/>
          <w:u w:val="single"/>
        </w:rPr>
        <w:t>　　　</w:t>
      </w:r>
      <w:r>
        <w:rPr>
          <w:rFonts w:hint="eastAsia" w:ascii="宋体" w:hAnsi="宋体"/>
          <w:sz w:val="24"/>
        </w:rPr>
        <w:t>个工作日内进行审查，符合应承担保证责任情形的，我方应按照你方的要求代投标人向你方支付投标保证金。</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四、保证责任的终止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1．保证期间届满你方未向我方书面主张保证责任的，自保证期间届满次日起，我方保证责任自动终止。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2．我方按照本保函向你贵方履行了保证责任后，自我方向你贵方支付款项（支付款项从我方账户划出）之日起，保证责任终止。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3．按照法律法规的规定或出现我方保证责任终止的其它情形的，我方在本保函项下的保证责任亦终止。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五、免责条款</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1．依照法律规定或你方与投标人的另行约定，全部或者部分免除投标人投标保证金义务时，我方亦免除相应的保证责任。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2．因你方原因致使投标人发生本保函第一条第（一）款约定情形的，我方不承担保证责任。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3．因不可抗力造成投标人发生本保函第一条约定情形的，我方不承担保证责任。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4．你方或其他有权机关对</w:t>
      </w:r>
      <w:r>
        <w:rPr>
          <w:rFonts w:hint="eastAsia" w:ascii="宋体" w:hAnsi="宋体"/>
          <w:sz w:val="24"/>
          <w:lang w:eastAsia="zh-CN"/>
        </w:rPr>
        <w:t>采购文件</w:t>
      </w:r>
      <w:r>
        <w:rPr>
          <w:rFonts w:hint="eastAsia" w:ascii="宋体" w:hAnsi="宋体"/>
          <w:sz w:val="24"/>
        </w:rPr>
        <w:t>进行任何澄清或修改，加重我方保证责任的，我方对加重部分不承担保证责任，但该澄清或修改经我方事先书面同意的除外。</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六、争议的解决</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因本保函发生的纠纷，由你我双方协商解决，协商不成的，通过诉讼程序解决，诉讼管辖地法院为</w:t>
      </w:r>
      <w:r>
        <w:rPr>
          <w:rFonts w:hint="eastAsia" w:ascii="宋体" w:hAnsi="宋体"/>
          <w:sz w:val="24"/>
          <w:u w:val="single"/>
        </w:rPr>
        <w:t xml:space="preserve"> </w:t>
      </w:r>
      <w:r>
        <w:rPr>
          <w:rFonts w:hint="eastAsia" w:ascii="宋体" w:hAnsi="宋体"/>
          <w:sz w:val="24"/>
          <w:u w:val="single"/>
          <w:lang w:val="en-US" w:eastAsia="zh-CN"/>
        </w:rPr>
        <w:t>采购</w:t>
      </w:r>
      <w:r>
        <w:rPr>
          <w:rFonts w:hint="eastAsia" w:ascii="宋体" w:hAnsi="宋体"/>
          <w:sz w:val="24"/>
          <w:u w:val="single"/>
        </w:rPr>
        <w:t xml:space="preserve">人住所地  </w:t>
      </w:r>
      <w:r>
        <w:rPr>
          <w:rFonts w:hint="eastAsia" w:ascii="宋体" w:hAnsi="宋体"/>
          <w:sz w:val="24"/>
        </w:rPr>
        <w:t>法院。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七、保函的生效</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本保函自我方加盖公章之日起生效。</w:t>
      </w: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保证人：（公章）                  年     月      日</w:t>
      </w: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p>
    <w:p>
      <w:pPr>
        <w:pageBreakBefore/>
        <w:spacing w:line="540" w:lineRule="exact"/>
        <w:rPr>
          <w:rFonts w:hint="eastAsia" w:ascii="宋体" w:hAnsi="宋体"/>
          <w:sz w:val="24"/>
          <w:shd w:val="clear" w:color="auto" w:fill="FFFFFF"/>
        </w:rPr>
      </w:pPr>
      <w:r>
        <w:rPr>
          <w:rFonts w:hint="eastAsia" w:ascii="宋体" w:hAnsi="宋体"/>
          <w:sz w:val="24"/>
          <w:shd w:val="clear" w:color="auto" w:fill="FFFFFF"/>
        </w:rPr>
        <w:t>附件2.                政府采购履约担保函（项目用）</w:t>
      </w:r>
    </w:p>
    <w:p>
      <w:pPr>
        <w:widowControl/>
        <w:tabs>
          <w:tab w:val="left" w:pos="360"/>
          <w:tab w:val="left" w:pos="960"/>
        </w:tabs>
        <w:spacing w:line="440" w:lineRule="exact"/>
        <w:jc w:val="left"/>
        <w:rPr>
          <w:rFonts w:hint="eastAsia" w:ascii="宋体" w:hAnsi="宋体"/>
          <w:sz w:val="24"/>
        </w:rPr>
      </w:pPr>
      <w:r>
        <w:rPr>
          <w:rFonts w:hint="eastAsia" w:ascii="宋体" w:hAnsi="宋体"/>
          <w:sz w:val="24"/>
        </w:rPr>
        <w:t>编号：</w:t>
      </w:r>
    </w:p>
    <w:p>
      <w:pPr>
        <w:widowControl/>
        <w:tabs>
          <w:tab w:val="left" w:pos="360"/>
          <w:tab w:val="left" w:pos="960"/>
        </w:tabs>
        <w:spacing w:line="440" w:lineRule="exact"/>
        <w:jc w:val="left"/>
        <w:rPr>
          <w:rFonts w:hint="eastAsia" w:ascii="宋体" w:hAnsi="宋体"/>
          <w:sz w:val="24"/>
          <w:u w:val="single"/>
        </w:rPr>
      </w:pPr>
      <w:r>
        <w:rPr>
          <w:rFonts w:hint="eastAsia" w:ascii="宋体" w:hAnsi="宋体"/>
          <w:sz w:val="24"/>
        </w:rPr>
        <w:t xml:space="preserve">  </w:t>
      </w:r>
      <w:r>
        <w:rPr>
          <w:rFonts w:hint="eastAsia" w:ascii="宋体" w:hAnsi="宋体"/>
          <w:sz w:val="24"/>
          <w:u w:val="single"/>
        </w:rPr>
        <w:t>（采购人）：</w:t>
      </w:r>
    </w:p>
    <w:p>
      <w:pPr>
        <w:widowControl/>
        <w:tabs>
          <w:tab w:val="left" w:pos="360"/>
          <w:tab w:val="left" w:pos="960"/>
        </w:tabs>
        <w:spacing w:line="440" w:lineRule="exact"/>
        <w:ind w:firstLine="360" w:firstLineChars="150"/>
        <w:jc w:val="left"/>
        <w:rPr>
          <w:rFonts w:hint="eastAsia" w:ascii="宋体" w:hAnsi="宋体"/>
          <w:sz w:val="24"/>
        </w:rPr>
      </w:pP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鉴于你方与</w:t>
      </w:r>
      <w:r>
        <w:rPr>
          <w:rFonts w:hint="eastAsia" w:ascii="宋体" w:hAnsi="宋体"/>
          <w:sz w:val="24"/>
          <w:u w:val="single"/>
        </w:rPr>
        <w:t xml:space="preserve">                    （以下简称供应商）</w:t>
      </w:r>
      <w:r>
        <w:rPr>
          <w:rFonts w:hint="eastAsia" w:ascii="宋体" w:hAnsi="宋体"/>
          <w:sz w:val="24"/>
        </w:rPr>
        <w:t>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日签定编号为   的《</w:t>
      </w:r>
      <w:r>
        <w:rPr>
          <w:rFonts w:hint="eastAsia" w:ascii="宋体" w:hAnsi="宋体"/>
          <w:sz w:val="24"/>
          <w:u w:val="single"/>
        </w:rPr>
        <w:t xml:space="preserve">           </w:t>
      </w:r>
      <w:r>
        <w:rPr>
          <w:rFonts w:hint="eastAsia" w:ascii="宋体" w:hAnsi="宋体"/>
          <w:sz w:val="24"/>
        </w:rPr>
        <w:t>政府采购合同》（以下简称主合同），且依据该合同的约定，供应商应在</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日前向你方交纳履约保证金，且可以履约担保函的形式交纳履约保证金。应供应商的申请，我方以保证的方式向你方提供如下履约保证金担保：</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一、保证责任的情形及保证金额</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（一）在供应商出现下列情形之一时，我方承担保证责任：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1．将中标项目转让给他人，或者在投标文件中未说明，且未经采购招标机构人同意，将中标项目分包给他人的；</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 xml:space="preserve">　　2．主合同约定的应当缴纳履约保证金的情形: </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（1）未按主合同约定的质量、数量和期限供应货物/提供服务/完成工程的；</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（2）                                                           。</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（二）我方的保证范围是主合同约定的合同价款总额的</w:t>
      </w:r>
      <w:r>
        <w:rPr>
          <w:rFonts w:hint="eastAsia" w:ascii="宋体" w:hAnsi="宋体"/>
          <w:sz w:val="24"/>
          <w:u w:val="single"/>
        </w:rPr>
        <w:t xml:space="preserve">        </w:t>
      </w:r>
      <w:r>
        <w:rPr>
          <w:rFonts w:hint="eastAsia" w:ascii="宋体" w:hAnsi="宋体"/>
          <w:sz w:val="24"/>
        </w:rPr>
        <w:t>%数额为</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 xml:space="preserve">），币种为 </w:t>
      </w:r>
      <w:r>
        <w:rPr>
          <w:rFonts w:hint="eastAsia" w:ascii="宋体" w:hAnsi="宋体"/>
          <w:sz w:val="24"/>
          <w:u w:val="single"/>
        </w:rPr>
        <w:t xml:space="preserve">       </w:t>
      </w:r>
      <w:r>
        <w:rPr>
          <w:rFonts w:hint="eastAsia" w:ascii="宋体" w:hAnsi="宋体"/>
          <w:sz w:val="24"/>
        </w:rPr>
        <w:t>。（即主合同履约保证金金额）</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二、保证的方式及保证期间</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我方保证的方式为：连带责任保证。</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我方保证的期间为：自本合同生效之日起至供应商按照主合同约定的供货/完工期限届满后</w:t>
      </w:r>
      <w:r>
        <w:rPr>
          <w:rFonts w:hint="eastAsia" w:ascii="宋体" w:hAnsi="宋体"/>
          <w:sz w:val="24"/>
          <w:u w:val="single"/>
        </w:rPr>
        <w:t xml:space="preserve">     </w:t>
      </w:r>
      <w:r>
        <w:rPr>
          <w:rFonts w:hint="eastAsia" w:ascii="宋体" w:hAnsi="宋体"/>
          <w:sz w:val="24"/>
        </w:rPr>
        <w:t>日内。</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如果供应商未按主合同约定向贵方供应货物/提供服务/完成工程的，由我方在保证金额内向你方支付上述款项。</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三、承担保证责任的程序</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1．你方要求我方承担保证责任的，应在本保函保证期间内向我方发出书面索赔通知。索赔通知应写明要求索赔的金额，支付款项应到达的帐号。并附有证明供应商违约事实的证明材料。</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如果你方与供应商因货物质量问题产生争议，你方还需同时提供</w:t>
      </w:r>
      <w:r>
        <w:rPr>
          <w:rFonts w:hint="eastAsia" w:ascii="宋体" w:hAnsi="宋体"/>
          <w:sz w:val="24"/>
          <w:u w:val="single"/>
        </w:rPr>
        <w:t xml:space="preserve">        </w:t>
      </w:r>
      <w:r>
        <w:rPr>
          <w:rFonts w:hint="eastAsia" w:ascii="宋体" w:hAnsi="宋体"/>
          <w:sz w:val="24"/>
        </w:rPr>
        <w:t>部门出具的质量检测报告，或经诉讼（仲裁）程序裁决后的裁决书、调解书，本保证人即按照检测结果或裁决书、调解书决定是否承担保证责任。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2． 我方收到你方的书面索赔通知及相应证明材料，在</w:t>
      </w:r>
      <w:r>
        <w:rPr>
          <w:rFonts w:hint="eastAsia" w:ascii="宋体" w:hAnsi="宋体"/>
          <w:sz w:val="24"/>
          <w:u w:val="single"/>
        </w:rPr>
        <w:t xml:space="preserve">     </w:t>
      </w:r>
      <w:r>
        <w:rPr>
          <w:rFonts w:hint="eastAsia" w:ascii="宋体" w:hAnsi="宋体"/>
          <w:sz w:val="24"/>
        </w:rPr>
        <w:t>工作日内进行核定后按照本保函的承诺承担保证责任。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四、保证责任的终止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2．我方按照本保函向你方履行了保证责任后，自我方向你方支付款项（支付款项从我方账户划出）之日起，保证责任即终止。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3．按照法律法规的规定或出现应终止我方保证责任的其它情形的，我方在本保函项下的保证责任亦终止。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五、免责条款</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1．因你方违反主合同约定致使供应商不能履行义务的，我方不承担保证责任。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2．依照法律法规的规定或你方与供应商的另行约定，全部或者部分免除供应商应缴纳的保证金义务的，我方亦免除相应的保证责任。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3．因不可抗力造成供应商不能履行供货义务的，我方不承担保证责任。</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六、争议的解决</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因本保函发生的纠纷，由你我双方协商解决，协商不成的，通过诉讼程序解决，诉讼管辖地法院为</w:t>
      </w:r>
      <w:r>
        <w:rPr>
          <w:rFonts w:hint="eastAsia" w:ascii="宋体" w:hAnsi="宋体"/>
          <w:sz w:val="24"/>
          <w:u w:val="single"/>
        </w:rPr>
        <w:t xml:space="preserve"> 采购人住所地 </w:t>
      </w:r>
      <w:r>
        <w:rPr>
          <w:rFonts w:hint="eastAsia" w:ascii="宋体" w:hAnsi="宋体"/>
          <w:sz w:val="24"/>
        </w:rPr>
        <w:t>法院。</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七、保函的生效</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本保函自我方加盖公章之日起生效。</w:t>
      </w:r>
    </w:p>
    <w:p>
      <w:pPr>
        <w:widowControl/>
        <w:tabs>
          <w:tab w:val="left" w:pos="360"/>
          <w:tab w:val="left" w:pos="960"/>
        </w:tabs>
        <w:spacing w:line="440" w:lineRule="exact"/>
        <w:jc w:val="left"/>
        <w:rPr>
          <w:rFonts w:hint="eastAsia" w:ascii="宋体" w:hAnsi="宋体"/>
          <w:sz w:val="24"/>
        </w:rPr>
      </w:pPr>
      <w:r>
        <w:rPr>
          <w:rFonts w:hint="eastAsia" w:ascii="宋体" w:hAnsi="宋体"/>
          <w:sz w:val="24"/>
        </w:rPr>
        <w:t xml:space="preserve">                                 </w:t>
      </w:r>
    </w:p>
    <w:p>
      <w:pPr>
        <w:widowControl/>
        <w:tabs>
          <w:tab w:val="left" w:pos="360"/>
          <w:tab w:val="left" w:pos="960"/>
        </w:tabs>
        <w:spacing w:line="440" w:lineRule="exact"/>
        <w:ind w:firstLine="840" w:firstLineChars="350"/>
        <w:jc w:val="left"/>
        <w:rPr>
          <w:rFonts w:hint="eastAsia" w:ascii="宋体" w:hAnsi="宋体"/>
          <w:sz w:val="24"/>
        </w:rPr>
      </w:pPr>
      <w:r>
        <w:rPr>
          <w:rFonts w:hint="eastAsia" w:ascii="宋体" w:hAnsi="宋体"/>
          <w:sz w:val="24"/>
        </w:rPr>
        <w:t>保证人：（公章）</w:t>
      </w:r>
    </w:p>
    <w:p>
      <w:pPr>
        <w:widowControl/>
        <w:tabs>
          <w:tab w:val="left" w:pos="360"/>
          <w:tab w:val="left" w:pos="960"/>
        </w:tabs>
        <w:spacing w:line="440" w:lineRule="exact"/>
        <w:ind w:firstLine="360" w:firstLineChars="150"/>
        <w:jc w:val="left"/>
        <w:rPr>
          <w:rFonts w:hint="eastAsia" w:ascii="宋体" w:hAnsi="宋体"/>
          <w:sz w:val="24"/>
        </w:rPr>
      </w:pPr>
      <w:r>
        <w:rPr>
          <w:rFonts w:hint="eastAsia" w:ascii="宋体" w:hAnsi="宋体"/>
          <w:sz w:val="24"/>
        </w:rPr>
        <w:t xml:space="preserve">                   </w:t>
      </w:r>
    </w:p>
    <w:p>
      <w:pPr>
        <w:widowControl/>
        <w:tabs>
          <w:tab w:val="left" w:pos="360"/>
          <w:tab w:val="left" w:pos="960"/>
        </w:tabs>
        <w:spacing w:line="440" w:lineRule="exact"/>
        <w:ind w:firstLine="720" w:firstLineChars="300"/>
        <w:jc w:val="left"/>
        <w:rPr>
          <w:rFonts w:hint="eastAsia" w:ascii="宋体" w:hAnsi="宋体"/>
          <w:sz w:val="24"/>
        </w:rPr>
      </w:pPr>
      <w:r>
        <w:rPr>
          <w:rFonts w:hint="eastAsia" w:ascii="宋体" w:hAnsi="宋体"/>
          <w:sz w:val="24"/>
        </w:rPr>
        <w:t xml:space="preserve"> 年     月      日</w:t>
      </w:r>
    </w:p>
    <w:p>
      <w:pPr>
        <w:pageBreakBefore/>
        <w:spacing w:line="540" w:lineRule="exact"/>
        <w:jc w:val="center"/>
        <w:rPr>
          <w:rFonts w:hint="eastAsia" w:ascii="黑体" w:eastAsia="黑体"/>
          <w:b/>
          <w:sz w:val="36"/>
          <w:szCs w:val="36"/>
          <w:lang w:eastAsia="zh-CN"/>
        </w:rPr>
      </w:pPr>
      <w:r>
        <w:rPr>
          <w:rFonts w:hint="eastAsia" w:ascii="黑体" w:eastAsia="黑体"/>
          <w:b/>
          <w:sz w:val="36"/>
          <w:szCs w:val="36"/>
          <w:lang w:val="en-US" w:eastAsia="zh-CN"/>
        </w:rPr>
        <w:t>三</w:t>
      </w:r>
      <w:r>
        <w:rPr>
          <w:rFonts w:hint="eastAsia" w:ascii="黑体" w:eastAsia="黑体"/>
          <w:b/>
          <w:sz w:val="36"/>
          <w:szCs w:val="36"/>
        </w:rPr>
        <w:t>．采购</w:t>
      </w:r>
      <w:r>
        <w:rPr>
          <w:rFonts w:hint="eastAsia" w:ascii="黑体" w:eastAsia="黑体"/>
          <w:b/>
          <w:sz w:val="36"/>
          <w:szCs w:val="36"/>
          <w:lang w:val="en-US" w:eastAsia="zh-CN"/>
        </w:rPr>
        <w:t>需求</w:t>
      </w:r>
    </w:p>
    <w:p>
      <w:pPr>
        <w:spacing w:line="360" w:lineRule="auto"/>
        <w:ind w:firstLine="480" w:firstLineChars="200"/>
        <w:jc w:val="left"/>
        <w:rPr>
          <w:rFonts w:hint="eastAsia" w:ascii="黑体" w:hAnsi="Times New Roman" w:eastAsia="黑体" w:cs="Times New Roman"/>
          <w:bCs/>
          <w:sz w:val="30"/>
          <w:szCs w:val="30"/>
        </w:rPr>
      </w:pPr>
      <w:r>
        <w:rPr>
          <w:rFonts w:hint="eastAsia" w:ascii="宋体" w:hAnsi="宋体" w:eastAsia="宋体" w:cs="Times New Roman"/>
          <w:sz w:val="24"/>
          <w:szCs w:val="24"/>
        </w:rPr>
        <w:t>投标人所投内容必须满足以下要求，不得有负偏离：</w:t>
      </w:r>
    </w:p>
    <w:p>
      <w:pPr>
        <w:spacing w:after="5" w:line="360" w:lineRule="auto"/>
        <w:ind w:firstLine="480" w:firstLineChars="200"/>
        <w:rPr>
          <w:rFonts w:hint="eastAsia" w:ascii="黑体" w:hAnsi="Times New Roman" w:eastAsia="黑体" w:cs="Times New Roman"/>
          <w:sz w:val="24"/>
          <w:szCs w:val="24"/>
          <w:u w:val="none" w:color="000000"/>
        </w:rPr>
      </w:pPr>
      <w:r>
        <w:rPr>
          <w:rFonts w:hint="eastAsia" w:ascii="黑体" w:hAnsi="Times New Roman" w:eastAsia="黑体" w:cs="Times New Roman"/>
          <w:sz w:val="24"/>
          <w:szCs w:val="24"/>
          <w:u w:val="none" w:color="000000"/>
        </w:rPr>
        <w:t>（一） 项目要求：</w:t>
      </w:r>
    </w:p>
    <w:p>
      <w:pPr>
        <w:tabs>
          <w:tab w:val="left" w:pos="1050"/>
          <w:tab w:val="left" w:pos="1080"/>
        </w:tabs>
        <w:spacing w:line="360" w:lineRule="auto"/>
        <w:ind w:firstLine="480" w:firstLineChars="200"/>
        <w:rPr>
          <w:rFonts w:hint="eastAsia" w:ascii="宋体" w:hAnsi="宋体" w:eastAsia="宋体" w:cs="Times New Roman"/>
          <w:bCs/>
          <w:sz w:val="24"/>
          <w:szCs w:val="24"/>
        </w:rPr>
      </w:pPr>
      <w:r>
        <w:rPr>
          <w:rFonts w:hint="eastAsia" w:ascii="宋体" w:hAnsi="宋体" w:eastAsia="宋体" w:cs="Times New Roman"/>
          <w:bCs/>
          <w:sz w:val="24"/>
          <w:szCs w:val="24"/>
        </w:rPr>
        <w:t>本次采购项目为无锡职业技术学院太湖校区的绿化养护。</w:t>
      </w:r>
      <w:r>
        <w:rPr>
          <w:rFonts w:hint="eastAsia" w:ascii="宋体" w:hAnsi="宋体" w:eastAsia="宋体" w:cs="Times New Roman"/>
          <w:sz w:val="24"/>
          <w:szCs w:val="24"/>
        </w:rPr>
        <w:t>基本情况和管理要求如下：</w:t>
      </w:r>
    </w:p>
    <w:p>
      <w:pPr>
        <w:spacing w:line="360" w:lineRule="auto"/>
        <w:ind w:firstLine="482" w:firstLineChars="200"/>
        <w:rPr>
          <w:rFonts w:hint="eastAsia" w:ascii="宋体" w:hAnsi="宋体" w:eastAsia="宋体" w:cs="Times New Roman"/>
          <w:b/>
          <w:sz w:val="24"/>
          <w:szCs w:val="24"/>
        </w:rPr>
      </w:pPr>
      <w:r>
        <w:rPr>
          <w:rFonts w:hint="eastAsia" w:ascii="宋体" w:hAnsi="宋体" w:eastAsia="宋体" w:cs="Times New Roman"/>
          <w:b/>
          <w:sz w:val="24"/>
          <w:szCs w:val="24"/>
        </w:rPr>
        <w:t>一、项目概况</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项目名称：无锡职业技术学院太湖校区绿化养护项目</w:t>
      </w:r>
    </w:p>
    <w:p>
      <w:pPr>
        <w:tabs>
          <w:tab w:val="left" w:pos="840"/>
          <w:tab w:val="left" w:pos="1260"/>
        </w:tabs>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项目地点：无锡市高浪西路1600号</w:t>
      </w:r>
    </w:p>
    <w:p>
      <w:pPr>
        <w:tabs>
          <w:tab w:val="left" w:pos="840"/>
          <w:tab w:val="left" w:pos="1260"/>
        </w:tabs>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项目期限：合同生效之日起三年。</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项目边界：</w:t>
      </w:r>
      <w:r>
        <w:rPr>
          <w:rFonts w:hint="eastAsia" w:ascii="宋体" w:hAnsi="宋体" w:eastAsia="宋体" w:cs="Times New Roman"/>
          <w:bCs/>
          <w:sz w:val="24"/>
          <w:szCs w:val="24"/>
        </w:rPr>
        <w:t>绿化管理养护绿地面积148868平方米、四季草花8064×4盆、地被修复等。详见“附件一：2019年无锡职业技术学院太湖校区绿化养护面积清单”。</w:t>
      </w:r>
    </w:p>
    <w:p>
      <w:pPr>
        <w:tabs>
          <w:tab w:val="left" w:pos="840"/>
          <w:tab w:val="left" w:pos="1260"/>
        </w:tabs>
        <w:spacing w:line="360" w:lineRule="auto"/>
        <w:ind w:firstLine="480" w:firstLineChars="200"/>
        <w:rPr>
          <w:rFonts w:ascii="宋体" w:hAnsi="宋体" w:eastAsia="宋体" w:cs="Times New Roman"/>
          <w:bCs/>
          <w:sz w:val="24"/>
        </w:rPr>
      </w:pPr>
      <w:r>
        <w:rPr>
          <w:rFonts w:hint="eastAsia" w:ascii="宋体" w:hAnsi="宋体" w:eastAsia="宋体" w:cs="Times New Roman"/>
          <w:bCs/>
          <w:sz w:val="24"/>
          <w:szCs w:val="24"/>
        </w:rPr>
        <w:t>项目内容：</w:t>
      </w:r>
      <w:r>
        <w:rPr>
          <w:rFonts w:hint="eastAsia" w:ascii="宋体" w:hAnsi="宋体" w:eastAsia="宋体" w:cs="Times New Roman"/>
          <w:bCs/>
          <w:sz w:val="24"/>
        </w:rPr>
        <w:t>1.各类树木(包括常绿乔木、灌木、片植绿篱、环状植物)的修剪、浇水、除虫、施肥等养护和优化工作；2.本区域范围内绿地的养护工作(包括杂草清除，树叶、垃圾、杂物的清理，草坪的修剪和施肥等)和优化；3.重要地块的美化(如内庭院、各出入口等区域)。以上内容和范围投标单位可到现场进行查看，以保证绿化养护方案的可行性及成活率。</w:t>
      </w:r>
    </w:p>
    <w:p>
      <w:pPr>
        <w:tabs>
          <w:tab w:val="left" w:pos="840"/>
          <w:tab w:val="left" w:pos="1260"/>
        </w:tabs>
        <w:spacing w:line="360" w:lineRule="auto"/>
        <w:ind w:firstLine="482" w:firstLineChars="200"/>
        <w:rPr>
          <w:rFonts w:hint="eastAsia" w:ascii="宋体" w:hAnsi="宋体" w:eastAsia="宋体" w:cs="Times New Roman"/>
          <w:b/>
          <w:bCs/>
          <w:sz w:val="24"/>
        </w:rPr>
      </w:pPr>
      <w:r>
        <w:rPr>
          <w:rFonts w:hint="eastAsia" w:ascii="宋体" w:hAnsi="宋体" w:eastAsia="宋体" w:cs="Times New Roman"/>
          <w:b/>
          <w:bCs/>
          <w:sz w:val="24"/>
        </w:rPr>
        <w:t>二、养护标准及要求</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(一)养护标准</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1.质量要求：达到绿化养护一级标准</w:t>
      </w:r>
      <w:r>
        <w:rPr>
          <w:rFonts w:hint="eastAsia" w:ascii="宋体" w:hAnsi="宋体" w:eastAsia="宋体" w:cs="Times New Roman"/>
          <w:bCs/>
          <w:color w:val="FF0000"/>
          <w:sz w:val="24"/>
        </w:rPr>
        <w:t>（另有约定项目除外，草花更换4次）</w:t>
      </w:r>
      <w:r>
        <w:rPr>
          <w:rFonts w:hint="eastAsia" w:ascii="宋体" w:hAnsi="宋体" w:eastAsia="宋体" w:cs="Times New Roman"/>
          <w:bCs/>
          <w:sz w:val="24"/>
        </w:rPr>
        <w:t>；</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2.确保现有树木的成活率100%，如有死亡，投标人按死亡树种、大小及树形补齐(因管理不善，导致相邻两株苗木死亡的，补植苗木后视情况扣罚履约保证金)；</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3.做好树木的修剪、浇水、除虫、施肥等工作，确保区域内绿化处于正常生长状态；</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4.做好草坪的修剪和杂草的清除。每年至少修剪三次，做到草皮中无杂草，草坪内无树叶、垃圾、杂物。草坪中草不超过8㎝，绿地内无露地皮现象；</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5.按季节不同及时做好重要地段的美化工作；</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6.工作人员相貌端正，工作认真，不迟到、不早退；</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7.各项日常绿化服务工作应有记录，每月进行一次汇总存档，工作区域内按标准要求设备友情提示牌，数量要适中，标志牌下面朝向观赏者，安放有序，外观完好、整洁；</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8.绿色无改变使用胜任和被破坏、践踏、占用，设置的护栏整齐有序，不得歪斜、损坏，无碍观赏；</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9.植物无枯枝、无黄叶、不萎蔫，无缺苗。花草植物绿地无明显杂草；</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10.乔木施肥，肥料应埋入土壤，树干周边土壤表面无肥料残留；</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11.浇水、施肥时不得污染地面、花池贴面；</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12.对存活率、造景、修剪、病虫进行控制；</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13.选种与光照度、温度、温度的耐受程度适宜；</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14.乔木剪除内生枝、重枝、病枝，造型自然、优美，侧枝离窗户至少1米，道路两侧不影响交通通行，无病株、病枝、病叶；</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15.绿篱修剪平整、不断行、整齐，绿篱外观整齐、线条流畅；</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16.年中耕除杂草、疏松表土10次以上，土壤疏松通透；服务区内花坛保质清晰图案和适宜高度，无枯萎现象，花坛土壤湿润，泥面不开裂；</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17.台风来临前，对枝叶过多或者高大植物进行一次剪枝，要把所有乔木用支架绑牢固；暴风雨前应检查好排水设施是否畅通，暴雨考完管道或者积水时应及时采取排水措施；台风暴雨过后及时解决所有乔木支撑，做好损失记录和报告；</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18.农药、汽油等有害物品要专人保管，专库存放；</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19.高空作业时，必须佩戴安全帽、安全绳等，做好必要的防护措施，使用高梯必须两人作业，做好配合防护；</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20.配置农药时，一定按照说明书要求进行，防止深度过高污染环境和伤害植物，使用后的农药包装用品等有毒有害垃圾集中回收处理；修剪前检查草坪草地上是否有石头、木棍及其他杂物；节约用水，根据植物需水量进行灌溉，通常草坪和灌木的浇灌次数较多，泔水相对较少，禁止使用自来水进行浇灌。</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21.对绿篱以内树木、绿地进行优化，做到常绿树与落叶树相结合，乔木与灌木相结合，树木与花卉搭配，观花与观果相印衬，藤本与花架相协调，营造四季有景，四季有花的理想效果高质量的三年优化方案。</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(二)其他要求</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(1)报价内容要求：投标报价应须符合国家、省、市的相关规定，符合无锡市最低工资标准且必须缴纳社会保险费。</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(2)</w:t>
      </w:r>
      <w:r>
        <w:rPr>
          <w:rFonts w:hint="eastAsia" w:ascii="宋体" w:hAnsi="宋体" w:eastAsia="宋体" w:cs="Times New Roman"/>
          <w:sz w:val="24"/>
          <w:szCs w:val="24"/>
        </w:rPr>
        <w:t xml:space="preserve"> 投标报价</w:t>
      </w:r>
      <w:r>
        <w:rPr>
          <w:rFonts w:ascii="宋体" w:hAnsi="宋体" w:eastAsia="宋体" w:cs="Times New Roman"/>
          <w:sz w:val="24"/>
          <w:szCs w:val="24"/>
        </w:rPr>
        <w:t>包括在</w:t>
      </w:r>
      <w:r>
        <w:rPr>
          <w:rFonts w:hint="eastAsia" w:ascii="宋体" w:hAnsi="宋体" w:eastAsia="宋体" w:cs="Times New Roman"/>
          <w:sz w:val="24"/>
          <w:szCs w:val="24"/>
        </w:rPr>
        <w:t>服务</w:t>
      </w:r>
      <w:r>
        <w:rPr>
          <w:rFonts w:ascii="宋体" w:hAnsi="宋体" w:eastAsia="宋体" w:cs="Times New Roman"/>
          <w:sz w:val="24"/>
          <w:szCs w:val="24"/>
        </w:rPr>
        <w:t>期内绿化养护</w:t>
      </w:r>
      <w:r>
        <w:rPr>
          <w:rFonts w:hint="eastAsia" w:ascii="宋体" w:hAnsi="宋体" w:eastAsia="宋体" w:cs="Times New Roman"/>
          <w:sz w:val="24"/>
          <w:szCs w:val="24"/>
        </w:rPr>
        <w:t>所</w:t>
      </w:r>
      <w:r>
        <w:rPr>
          <w:rFonts w:ascii="宋体" w:hAnsi="宋体" w:eastAsia="宋体" w:cs="Times New Roman"/>
          <w:sz w:val="24"/>
          <w:szCs w:val="24"/>
        </w:rPr>
        <w:t>需要的人工、材料、机械、</w:t>
      </w:r>
      <w:r>
        <w:rPr>
          <w:rFonts w:hint="eastAsia" w:ascii="宋体" w:hAnsi="宋体" w:eastAsia="宋体" w:cs="Times New Roman"/>
          <w:sz w:val="24"/>
          <w:szCs w:val="24"/>
        </w:rPr>
        <w:t>农药、化肥、易耗品、</w:t>
      </w:r>
      <w:r>
        <w:rPr>
          <w:rFonts w:ascii="宋体" w:hAnsi="宋体" w:eastAsia="宋体" w:cs="Times New Roman"/>
          <w:sz w:val="24"/>
          <w:szCs w:val="24"/>
        </w:rPr>
        <w:t>管理、维护、保险、利润、税金、政策性文件规定及合同包含的所有风险、责任等</w:t>
      </w:r>
      <w:r>
        <w:rPr>
          <w:rFonts w:hint="eastAsia" w:ascii="宋体" w:hAnsi="宋体" w:eastAsia="宋体" w:cs="Times New Roman"/>
          <w:sz w:val="24"/>
          <w:szCs w:val="24"/>
        </w:rPr>
        <w:t>一切</w:t>
      </w:r>
      <w:r>
        <w:rPr>
          <w:rFonts w:ascii="宋体" w:hAnsi="宋体" w:eastAsia="宋体" w:cs="Times New Roman"/>
          <w:sz w:val="24"/>
          <w:szCs w:val="24"/>
        </w:rPr>
        <w:t>费用</w:t>
      </w:r>
      <w:r>
        <w:rPr>
          <w:rFonts w:hint="eastAsia" w:ascii="宋体" w:hAnsi="宋体" w:eastAsia="宋体" w:cs="Times New Roman"/>
          <w:sz w:val="24"/>
          <w:szCs w:val="24"/>
        </w:rPr>
        <w:t>。投标人报价时应充分考虑服务期内所有可能影响到报价的因素，一旦投标结束最终中标，总价将包定，不予调整。如发生漏、缺、少项，都将被认为是投标人的报价让利行为，损失自负。</w:t>
      </w:r>
      <w:r>
        <w:rPr>
          <w:rFonts w:hint="eastAsia" w:ascii="宋体" w:hAnsi="宋体" w:eastAsia="宋体" w:cs="Times New Roman"/>
          <w:bCs/>
          <w:sz w:val="24"/>
        </w:rPr>
        <w:t>投标总报价即最终报价，不可在投标总报价的基础上再进行优惠，将优惠后的报价作为最终报价。</w:t>
      </w:r>
    </w:p>
    <w:p>
      <w:pPr>
        <w:tabs>
          <w:tab w:val="left" w:pos="840"/>
          <w:tab w:val="left" w:pos="1260"/>
        </w:tabs>
        <w:spacing w:line="360" w:lineRule="auto"/>
        <w:ind w:firstLine="480" w:firstLineChars="200"/>
        <w:rPr>
          <w:rFonts w:hint="eastAsia" w:ascii="宋体" w:hAnsi="宋体" w:eastAsia="宋体" w:cs="Times New Roman"/>
          <w:bCs/>
          <w:color w:val="FF0000"/>
          <w:sz w:val="24"/>
        </w:rPr>
      </w:pPr>
      <w:r>
        <w:rPr>
          <w:rFonts w:hint="eastAsia" w:ascii="宋体" w:hAnsi="宋体" w:eastAsia="宋体" w:cs="Times New Roman"/>
          <w:bCs/>
          <w:color w:val="FF0000"/>
          <w:sz w:val="24"/>
        </w:rPr>
        <w:t>(3) 人员配置最低要求：</w:t>
      </w:r>
      <w:r>
        <w:rPr>
          <w:rFonts w:hint="eastAsia" w:ascii="宋体" w:hAnsi="宋体" w:eastAsia="宋体" w:cs="Times New Roman"/>
          <w:color w:val="FF0000"/>
          <w:sz w:val="24"/>
          <w:szCs w:val="24"/>
          <w:shd w:val="clear" w:color="auto" w:fill="FFFFFF"/>
        </w:rPr>
        <w:t>项目负责人1名、普通养护人员8名，所有人员需常驻（</w:t>
      </w:r>
      <w:r>
        <w:rPr>
          <w:rFonts w:hint="eastAsia" w:ascii="宋体" w:hAnsi="宋体" w:eastAsia="宋体" w:cs="Times New Roman"/>
          <w:bCs/>
          <w:color w:val="FF0000"/>
          <w:sz w:val="24"/>
        </w:rPr>
        <w:t>住宿自行解决</w:t>
      </w:r>
      <w:r>
        <w:rPr>
          <w:rFonts w:hint="eastAsia" w:ascii="宋体" w:hAnsi="宋体" w:eastAsia="宋体" w:cs="Times New Roman"/>
          <w:color w:val="FF0000"/>
          <w:sz w:val="24"/>
          <w:szCs w:val="24"/>
          <w:shd w:val="clear" w:color="auto" w:fill="FFFFFF"/>
        </w:rPr>
        <w:t>），且不得兼职其他项目。</w:t>
      </w:r>
      <w:r>
        <w:rPr>
          <w:rFonts w:hint="eastAsia" w:ascii="宋体" w:hAnsi="宋体" w:eastAsia="宋体" w:cs="Times New Roman"/>
          <w:bCs/>
          <w:color w:val="FF0000"/>
          <w:sz w:val="24"/>
        </w:rPr>
        <w:t xml:space="preserve">有突击任务时，中标方需根据需求增加临时养护人员，费用不再另行增加。   </w:t>
      </w:r>
    </w:p>
    <w:p>
      <w:pPr>
        <w:tabs>
          <w:tab w:val="left" w:pos="840"/>
          <w:tab w:val="left" w:pos="1260"/>
        </w:tabs>
        <w:spacing w:line="360" w:lineRule="auto"/>
        <w:ind w:firstLine="480" w:firstLineChars="200"/>
        <w:rPr>
          <w:rFonts w:hint="eastAsia" w:ascii="宋体" w:hAnsi="宋体" w:eastAsia="宋体" w:cs="Times New Roman"/>
          <w:b/>
          <w:bCs/>
          <w:color w:val="FF0000"/>
          <w:sz w:val="24"/>
        </w:rPr>
      </w:pPr>
      <w:r>
        <w:rPr>
          <w:rFonts w:hint="eastAsia" w:ascii="宋体" w:hAnsi="宋体" w:eastAsia="宋体" w:cs="Times New Roman"/>
          <w:bCs/>
          <w:color w:val="FF0000"/>
          <w:sz w:val="24"/>
        </w:rPr>
        <w:t>（4）必须配备的工具设备及其他辅材：</w:t>
      </w:r>
      <w:r>
        <w:rPr>
          <w:rFonts w:ascii="宋体" w:hAnsi="宋体" w:eastAsia="宋体" w:cs="Times New Roman"/>
          <w:bCs/>
          <w:color w:val="FF0000"/>
          <w:sz w:val="24"/>
        </w:rPr>
        <w:t>四冲程背负式汽油吹风机、竹梯、割灌机、</w:t>
      </w:r>
      <w:r>
        <w:rPr>
          <w:rFonts w:hint="eastAsia" w:ascii="宋体" w:hAnsi="宋体" w:eastAsia="宋体" w:cs="Times New Roman"/>
          <w:bCs/>
          <w:color w:val="FF0000"/>
          <w:sz w:val="24"/>
        </w:rPr>
        <w:t>草坪机、绿篱机、高枝剪、水泵、油锯、锹、手锯、手剪、三轮电瓶车、打药机、草绳（帘）、杉木支撑等。</w:t>
      </w:r>
    </w:p>
    <w:p>
      <w:pPr>
        <w:tabs>
          <w:tab w:val="left" w:pos="840"/>
          <w:tab w:val="left" w:pos="1260"/>
        </w:tabs>
        <w:spacing w:line="360" w:lineRule="auto"/>
        <w:ind w:firstLine="480" w:firstLineChars="200"/>
        <w:rPr>
          <w:rFonts w:hint="eastAsia" w:ascii="宋体" w:hAnsi="宋体" w:eastAsia="宋体" w:cs="Times New Roman"/>
          <w:b/>
          <w:bCs/>
          <w:sz w:val="24"/>
        </w:rPr>
      </w:pPr>
      <w:r>
        <w:rPr>
          <w:rFonts w:hint="eastAsia" w:ascii="宋体" w:hAnsi="宋体" w:eastAsia="宋体" w:cs="Times New Roman"/>
          <w:bCs/>
          <w:sz w:val="24"/>
        </w:rPr>
        <w:t>(5)中标单位应按照相关规定，与所有聘用人员依法签订劳动合同，并报采购方备案。</w:t>
      </w:r>
    </w:p>
    <w:p>
      <w:pPr>
        <w:tabs>
          <w:tab w:val="left" w:pos="840"/>
          <w:tab w:val="left" w:pos="1260"/>
        </w:tabs>
        <w:spacing w:line="360" w:lineRule="auto"/>
        <w:ind w:firstLine="480" w:firstLineChars="200"/>
        <w:rPr>
          <w:rFonts w:ascii="宋体" w:hAnsi="宋体" w:eastAsia="宋体" w:cs="Times New Roman"/>
          <w:sz w:val="24"/>
          <w:szCs w:val="24"/>
        </w:rPr>
      </w:pPr>
      <w:r>
        <w:rPr>
          <w:rFonts w:hint="eastAsia" w:ascii="宋体" w:hAnsi="宋体" w:eastAsia="宋体" w:cs="Times New Roman"/>
          <w:bCs/>
          <w:sz w:val="24"/>
        </w:rPr>
        <w:t>(6)</w:t>
      </w:r>
      <w:r>
        <w:rPr>
          <w:rFonts w:ascii="宋体" w:hAnsi="宋体" w:eastAsia="宋体" w:cs="Times New Roman"/>
          <w:bCs/>
          <w:sz w:val="24"/>
        </w:rPr>
        <w:t xml:space="preserve"> </w:t>
      </w:r>
      <w:r>
        <w:rPr>
          <w:rFonts w:hint="eastAsia" w:ascii="宋体" w:hAnsi="宋体" w:eastAsia="宋体" w:cs="Times New Roman"/>
          <w:bCs/>
          <w:sz w:val="24"/>
        </w:rPr>
        <w:t>采购方</w:t>
      </w:r>
      <w:r>
        <w:rPr>
          <w:rFonts w:hint="eastAsia" w:ascii="宋体" w:hAnsi="宋体" w:eastAsia="宋体" w:cs="Times New Roman"/>
          <w:sz w:val="24"/>
          <w:szCs w:val="24"/>
        </w:rPr>
        <w:t>有权制定相应之管理措施、监督检查标准等，以保证中标人按照合同及其他双方议定之要求进行作业。</w:t>
      </w:r>
    </w:p>
    <w:p>
      <w:pPr>
        <w:tabs>
          <w:tab w:val="left" w:pos="840"/>
          <w:tab w:val="left" w:pos="1260"/>
        </w:tabs>
        <w:spacing w:line="360" w:lineRule="auto"/>
        <w:ind w:firstLine="480" w:firstLineChars="200"/>
        <w:rPr>
          <w:rFonts w:hint="eastAsia" w:ascii="宋体" w:hAnsi="宋体" w:eastAsia="宋体" w:cs="Times New Roman"/>
          <w:color w:val="FF0000"/>
          <w:sz w:val="24"/>
          <w:szCs w:val="24"/>
        </w:rPr>
      </w:pPr>
      <w:r>
        <w:rPr>
          <w:rFonts w:hint="eastAsia" w:ascii="宋体" w:hAnsi="宋体" w:eastAsia="宋体" w:cs="Times New Roman"/>
          <w:color w:val="FF0000"/>
          <w:sz w:val="24"/>
          <w:szCs w:val="24"/>
        </w:rPr>
        <w:t>（7）采购方提供绿化垃圾临时堆场，中标方须每半年清理场地内垃圾一次（外运后，采购方现场验收），未清运者或验收不合格，采购方委托第三方进行清理，清理费用从养护费中扣除。</w:t>
      </w:r>
    </w:p>
    <w:p>
      <w:pPr>
        <w:tabs>
          <w:tab w:val="left" w:pos="840"/>
          <w:tab w:val="left" w:pos="1260"/>
        </w:tabs>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（8）中标方有义务配合校方维护好正常的教学秩序，在正常的教学时间内，中标方不得在教学区动用带有噪音的机械作业。</w:t>
      </w:r>
    </w:p>
    <w:p>
      <w:pPr>
        <w:tabs>
          <w:tab w:val="left" w:pos="840"/>
          <w:tab w:val="left" w:pos="1260"/>
        </w:tabs>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（9）中标方不得因其他原因，随意将校方校区的绿化员工调离；确需调离的，需制定人员补充计划并经甲方批准后方可实施。</w:t>
      </w:r>
    </w:p>
    <w:p>
      <w:pPr>
        <w:tabs>
          <w:tab w:val="left" w:pos="840"/>
          <w:tab w:val="left" w:pos="1260"/>
        </w:tabs>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（10）中标方派驻校方的所有工作人员，必须按校方的有关规定办理相关手续并提交所有工作人员有效身份证明文件的复印件。考虑到学校工作的特殊性，中标人不得使用犯案人员或有劣迹人员。</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（11）养护单位必须有强有力的管理团队、有严格的规章制度和考核机制，如果因中标单位内部管理制度不健全不完善而影响到工作的，有一次扣除服务费2000元。</w:t>
      </w:r>
    </w:p>
    <w:p>
      <w:pPr>
        <w:tabs>
          <w:tab w:val="left" w:pos="840"/>
          <w:tab w:val="left" w:pos="1260"/>
        </w:tabs>
        <w:spacing w:line="360" w:lineRule="auto"/>
        <w:ind w:firstLine="480" w:firstLineChars="200"/>
        <w:rPr>
          <w:rFonts w:hint="eastAsia" w:ascii="宋体" w:hAnsi="宋体" w:eastAsia="宋体" w:cs="Times New Roman"/>
          <w:bCs/>
          <w:color w:val="FF0000"/>
          <w:sz w:val="24"/>
        </w:rPr>
      </w:pPr>
      <w:r>
        <w:rPr>
          <w:rFonts w:hint="eastAsia" w:ascii="宋体" w:hAnsi="宋体" w:eastAsia="宋体" w:cs="Times New Roman"/>
          <w:bCs/>
          <w:color w:val="FF0000"/>
          <w:sz w:val="24"/>
        </w:rPr>
        <w:t>（12）投标人务必仔细踏勘现场，确认苗木存活率，将已死或有可能死亡树木的替换费用纳入投标报价中。</w:t>
      </w:r>
    </w:p>
    <w:p>
      <w:pPr>
        <w:tabs>
          <w:tab w:val="left" w:pos="840"/>
          <w:tab w:val="left" w:pos="1260"/>
        </w:tabs>
        <w:spacing w:line="360" w:lineRule="auto"/>
        <w:ind w:firstLine="480" w:firstLineChars="200"/>
        <w:rPr>
          <w:rFonts w:hint="eastAsia" w:ascii="宋体" w:hAnsi="宋体" w:eastAsia="宋体" w:cs="Times New Roman"/>
          <w:bCs/>
          <w:color w:val="FF0000"/>
          <w:sz w:val="24"/>
        </w:rPr>
      </w:pPr>
      <w:r>
        <w:rPr>
          <w:rFonts w:hint="eastAsia" w:ascii="宋体" w:hAnsi="宋体" w:eastAsia="宋体" w:cs="Times New Roman"/>
          <w:bCs/>
          <w:color w:val="FF0000"/>
          <w:sz w:val="24"/>
        </w:rPr>
        <w:t>（13）所有暖季型草坪及退化严重的绿地需在冬季播撒黑麦草草籽；</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（14）养护单位要严格内部管理。如有下列情形，采购方有权单方面中止服务合同，并追究相关责任；如涉嫌违法，则由司法机关追究其法律责任：</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因管理不善造成人员伤亡事故的；</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在养护过程中发生违法违纪案件、治安行政处罚、逮捕判刑的；</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因养护不到位被投诉举报，造成恶劣影响并经查证属实的；</w:t>
      </w:r>
    </w:p>
    <w:p>
      <w:pPr>
        <w:tabs>
          <w:tab w:val="left" w:pos="840"/>
          <w:tab w:val="left" w:pos="1260"/>
        </w:tabs>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养护工作中违反职业道德，发生监守自盗的；</w:t>
      </w:r>
    </w:p>
    <w:p>
      <w:pPr>
        <w:tabs>
          <w:tab w:val="left" w:pos="840"/>
          <w:tab w:val="left" w:pos="1260"/>
        </w:tabs>
        <w:spacing w:line="360" w:lineRule="auto"/>
        <w:ind w:firstLine="480" w:firstLineChars="200"/>
        <w:rPr>
          <w:rFonts w:ascii="宋体" w:hAnsi="宋体" w:eastAsia="宋体" w:cs="Times New Roman"/>
          <w:bCs/>
          <w:sz w:val="24"/>
        </w:rPr>
      </w:pPr>
      <w:r>
        <w:rPr>
          <w:rFonts w:hint="eastAsia" w:ascii="宋体" w:hAnsi="宋体" w:eastAsia="宋体" w:cs="Times New Roman"/>
          <w:bCs/>
          <w:sz w:val="24"/>
        </w:rPr>
        <w:t>中标方将本项目转让或转包第三方的；</w:t>
      </w:r>
    </w:p>
    <w:p>
      <w:pPr>
        <w:tabs>
          <w:tab w:val="left" w:pos="840"/>
          <w:tab w:val="left" w:pos="1260"/>
        </w:tabs>
        <w:spacing w:line="360" w:lineRule="auto"/>
        <w:ind w:firstLine="480" w:firstLineChars="200"/>
        <w:rPr>
          <w:rFonts w:hint="eastAsia" w:ascii="宋体" w:hAnsi="宋体" w:eastAsia="宋体" w:cs="Times New Roman"/>
          <w:bCs/>
          <w:color w:val="FF0000"/>
          <w:sz w:val="24"/>
        </w:rPr>
      </w:pPr>
      <w:r>
        <w:rPr>
          <w:rFonts w:hint="eastAsia" w:ascii="宋体" w:hAnsi="宋体" w:eastAsia="宋体" w:cs="Times New Roman"/>
          <w:bCs/>
          <w:color w:val="FF0000"/>
          <w:sz w:val="24"/>
        </w:rPr>
        <w:t>中标方进场后，未按招标文件内要求、投标文件内承诺配备或擅自更换项目负责人、绿化养护人员及设备机械的；</w:t>
      </w:r>
    </w:p>
    <w:p>
      <w:pPr>
        <w:tabs>
          <w:tab w:val="left" w:pos="840"/>
          <w:tab w:val="left" w:pos="1260"/>
        </w:tabs>
        <w:spacing w:line="360" w:lineRule="auto"/>
        <w:ind w:firstLine="480" w:firstLineChars="200"/>
        <w:rPr>
          <w:rFonts w:hint="eastAsia" w:ascii="宋体" w:hAnsi="宋体" w:eastAsia="宋体" w:cs="Times New Roman"/>
          <w:bCs/>
          <w:sz w:val="24"/>
        </w:rPr>
      </w:pPr>
      <w:r>
        <w:rPr>
          <w:rFonts w:hint="eastAsia" w:ascii="宋体" w:hAnsi="宋体" w:eastAsia="宋体" w:cs="Times New Roman"/>
          <w:bCs/>
          <w:sz w:val="24"/>
        </w:rPr>
        <w:t>受到相关部门通报批评的、被媒体曝光查实的。</w:t>
      </w:r>
    </w:p>
    <w:p>
      <w:pPr>
        <w:spacing w:line="360" w:lineRule="auto"/>
        <w:ind w:firstLine="480" w:firstLineChars="200"/>
        <w:rPr>
          <w:rFonts w:hint="eastAsia" w:ascii="宋体" w:hAnsi="宋体" w:eastAsia="宋体" w:cs="宋体"/>
          <w:kern w:val="0"/>
          <w:sz w:val="24"/>
          <w:szCs w:val="24"/>
        </w:rPr>
      </w:pPr>
    </w:p>
    <w:p>
      <w:pPr>
        <w:spacing w:after="5" w:line="360" w:lineRule="auto"/>
        <w:ind w:firstLine="480" w:firstLineChars="200"/>
        <w:jc w:val="center"/>
        <w:rPr>
          <w:rFonts w:hint="eastAsia" w:ascii="宋体" w:hAnsi="宋体" w:eastAsia="宋体" w:cs="Times New Roman"/>
          <w:b/>
          <w:bCs/>
          <w:sz w:val="24"/>
          <w:szCs w:val="24"/>
        </w:rPr>
      </w:pPr>
      <w:r>
        <w:rPr>
          <w:rFonts w:ascii="宋体" w:hAnsi="宋体" w:eastAsia="宋体" w:cs="Times New Roman"/>
          <w:sz w:val="24"/>
          <w:szCs w:val="24"/>
        </w:rPr>
        <w:br w:type="page"/>
      </w:r>
      <w:r>
        <w:rPr>
          <w:rFonts w:hint="eastAsia" w:ascii="宋体" w:hAnsi="宋体" w:eastAsia="宋体" w:cs="Times New Roman"/>
          <w:b/>
          <w:bCs/>
          <w:sz w:val="24"/>
          <w:szCs w:val="24"/>
        </w:rPr>
        <w:t>绿地养护等级标准</w:t>
      </w:r>
    </w:p>
    <w:p>
      <w:pPr>
        <w:spacing w:line="360" w:lineRule="auto"/>
        <w:jc w:val="left"/>
        <w:rPr>
          <w:rFonts w:hint="eastAsia" w:ascii="宋体" w:hAnsi="宋体" w:eastAsia="宋体" w:cs="Times New Roman"/>
          <w:sz w:val="24"/>
          <w:szCs w:val="24"/>
        </w:rPr>
      </w:pPr>
      <w:r>
        <w:rPr>
          <w:rFonts w:hint="eastAsia" w:ascii="宋体" w:hAnsi="宋体" w:eastAsia="宋体" w:cs="Times New Roman"/>
          <w:sz w:val="24"/>
          <w:szCs w:val="24"/>
        </w:rPr>
        <w:t>根据绿地养护质量标准：《江苏省城市园林绿化植物养护技术规定》</w:t>
      </w:r>
    </w:p>
    <w:tbl>
      <w:tblPr>
        <w:tblStyle w:val="15"/>
        <w:tblW w:w="0" w:type="auto"/>
        <w:tblInd w:w="91" w:type="dxa"/>
        <w:tblLayout w:type="fixed"/>
        <w:tblCellMar>
          <w:top w:w="0" w:type="dxa"/>
          <w:left w:w="108" w:type="dxa"/>
          <w:bottom w:w="0" w:type="dxa"/>
          <w:right w:w="108" w:type="dxa"/>
        </w:tblCellMar>
      </w:tblPr>
      <w:tblGrid>
        <w:gridCol w:w="896"/>
        <w:gridCol w:w="4238"/>
        <w:gridCol w:w="4381"/>
      </w:tblGrid>
      <w:tr>
        <w:tblPrEx>
          <w:tblCellMar>
            <w:top w:w="0" w:type="dxa"/>
            <w:left w:w="108" w:type="dxa"/>
            <w:bottom w:w="0" w:type="dxa"/>
            <w:right w:w="108" w:type="dxa"/>
          </w:tblCellMar>
        </w:tblPrEx>
        <w:trPr>
          <w:trHeight w:val="105" w:hRule="atLeast"/>
        </w:trPr>
        <w:tc>
          <w:tcPr>
            <w:tcW w:w="896" w:type="dxa"/>
            <w:tcBorders>
              <w:top w:val="single" w:color="auto" w:sz="8" w:space="0"/>
              <w:left w:val="single" w:color="auto" w:sz="8" w:space="0"/>
              <w:bottom w:val="single" w:color="auto" w:sz="4" w:space="0"/>
              <w:right w:val="single" w:color="auto" w:sz="8" w:space="0"/>
            </w:tcBorders>
            <w:noWrap w:val="0"/>
            <w:vAlign w:val="center"/>
          </w:tcPr>
          <w:p>
            <w:pPr>
              <w:widowControl/>
              <w:adjustRightInd w:val="0"/>
              <w:snapToGrid w:val="0"/>
              <w:spacing w:line="300" w:lineRule="auto"/>
              <w:jc w:val="left"/>
              <w:rPr>
                <w:rFonts w:ascii="宋体" w:hAnsi="宋体" w:eastAsia="宋体" w:cs="宋体"/>
                <w:kern w:val="0"/>
                <w:sz w:val="24"/>
                <w:szCs w:val="24"/>
              </w:rPr>
            </w:pPr>
            <w:r>
              <w:rPr>
                <w:rFonts w:hint="eastAsia" w:ascii="宋体" w:hAnsi="宋体" w:eastAsia="宋体" w:cs="宋体"/>
                <w:kern w:val="0"/>
                <w:sz w:val="24"/>
                <w:szCs w:val="24"/>
              </w:rPr>
              <w:t>等级标准</w:t>
            </w:r>
          </w:p>
        </w:tc>
        <w:tc>
          <w:tcPr>
            <w:tcW w:w="4238" w:type="dxa"/>
            <w:tcBorders>
              <w:top w:val="single" w:color="auto" w:sz="8" w:space="0"/>
              <w:left w:val="nil"/>
              <w:bottom w:val="single" w:color="auto" w:sz="4"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一级养护标准</w:t>
            </w:r>
          </w:p>
        </w:tc>
        <w:tc>
          <w:tcPr>
            <w:tcW w:w="4381" w:type="dxa"/>
            <w:tcBorders>
              <w:top w:val="single" w:color="auto" w:sz="8" w:space="0"/>
              <w:left w:val="nil"/>
              <w:bottom w:val="single" w:color="auto" w:sz="4"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二级养护标准</w:t>
            </w:r>
          </w:p>
        </w:tc>
      </w:tr>
      <w:tr>
        <w:tblPrEx>
          <w:tblCellMar>
            <w:top w:w="0" w:type="dxa"/>
            <w:left w:w="108" w:type="dxa"/>
            <w:bottom w:w="0" w:type="dxa"/>
            <w:right w:w="108" w:type="dxa"/>
          </w:tblCellMar>
        </w:tblPrEx>
        <w:trPr>
          <w:cantSplit/>
          <w:trHeight w:val="455" w:hRule="atLeast"/>
        </w:trPr>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乔、灌木</w:t>
            </w:r>
          </w:p>
        </w:tc>
        <w:tc>
          <w:tcPr>
            <w:tcW w:w="4238"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00" w:lineRule="auto"/>
              <w:jc w:val="left"/>
              <w:rPr>
                <w:rFonts w:hint="eastAsia" w:ascii="宋体" w:hAnsi="宋体" w:eastAsia="宋体" w:cs="宋体"/>
                <w:color w:val="FF0000"/>
                <w:kern w:val="0"/>
                <w:sz w:val="24"/>
                <w:szCs w:val="24"/>
              </w:rPr>
            </w:pPr>
            <w:r>
              <w:rPr>
                <w:rFonts w:hint="eastAsia" w:ascii="宋体" w:hAnsi="宋体" w:eastAsia="宋体" w:cs="宋体"/>
                <w:kern w:val="0"/>
                <w:sz w:val="24"/>
                <w:szCs w:val="24"/>
              </w:rPr>
              <w:t>①生长旺盛，树冠整齐，主侧枝分枝均匀，数量适宜，内膛通风透光。       ②叶色正常，无卷叶、黄叶（生长季节），无病虫害。                                     ③枝干健壮，无枯、死枝，无蛀干害虫为害。                                     ④缺株在2％以下（含2％）。不得有连续2棵缺株，补植树木与原树木径级不超过30％。</w:t>
            </w:r>
            <w:r>
              <w:rPr>
                <w:rFonts w:hint="eastAsia" w:ascii="宋体" w:hAnsi="宋体" w:eastAsia="宋体" w:cs="宋体"/>
                <w:color w:val="FF0000"/>
                <w:kern w:val="0"/>
                <w:sz w:val="24"/>
                <w:szCs w:val="24"/>
              </w:rPr>
              <w:t>（校方要求补植树木与原品种树木规格一致）</w:t>
            </w:r>
          </w:p>
          <w:p>
            <w:pPr>
              <w:widowControl/>
              <w:adjustRightInd w:val="0"/>
              <w:snapToGrid w:val="0"/>
              <w:spacing w:line="300" w:lineRule="auto"/>
              <w:jc w:val="left"/>
              <w:rPr>
                <w:rFonts w:ascii="宋体" w:hAnsi="宋体" w:eastAsia="宋体" w:cs="宋体"/>
                <w:kern w:val="0"/>
                <w:sz w:val="24"/>
                <w:szCs w:val="24"/>
              </w:rPr>
            </w:pPr>
            <w:r>
              <w:rPr>
                <w:rFonts w:hint="eastAsia" w:ascii="宋体" w:hAnsi="宋体" w:eastAsia="宋体" w:cs="宋体"/>
                <w:kern w:val="0"/>
                <w:sz w:val="24"/>
                <w:szCs w:val="24"/>
              </w:rPr>
              <w:t>⑤树穴内无垃圾杂草、土壤松疏。</w:t>
            </w:r>
          </w:p>
        </w:tc>
        <w:tc>
          <w:tcPr>
            <w:tcW w:w="4381" w:type="dxa"/>
            <w:vMerge w:val="restart"/>
            <w:tcBorders>
              <w:top w:val="single" w:color="auto" w:sz="4" w:space="0"/>
              <w:left w:val="single" w:color="auto" w:sz="4" w:space="0"/>
              <w:bottom w:val="single" w:color="auto" w:sz="4" w:space="0"/>
              <w:right w:val="single" w:color="auto" w:sz="8" w:space="0"/>
            </w:tcBorders>
            <w:noWrap w:val="0"/>
            <w:vAlign w:val="top"/>
          </w:tcPr>
          <w:p>
            <w:pPr>
              <w:widowControl/>
              <w:adjustRightInd w:val="0"/>
              <w:snapToGrid w:val="0"/>
              <w:spacing w:line="300" w:lineRule="auto"/>
              <w:jc w:val="left"/>
              <w:rPr>
                <w:rFonts w:hint="eastAsia" w:ascii="宋体" w:hAnsi="宋体" w:eastAsia="宋体" w:cs="宋体"/>
                <w:kern w:val="0"/>
                <w:sz w:val="24"/>
                <w:szCs w:val="24"/>
              </w:rPr>
            </w:pPr>
            <w:r>
              <w:rPr>
                <w:rFonts w:hint="eastAsia" w:ascii="宋体" w:hAnsi="宋体" w:eastAsia="宋体" w:cs="宋体"/>
                <w:kern w:val="0"/>
                <w:sz w:val="24"/>
                <w:szCs w:val="24"/>
              </w:rPr>
              <w:t>①生长正常，树冠基本完整，主侧枝分枝基本均匀，数量适宜，内膛通风透光。                ②叶色基本正常，有少量黄叶（生长季节）、焦叶、卷叶，有少量虫粪。           ③枝干生长正常，无明显枯死枝，害虫害虽有发生，但能即使防除。         ④缺株在4％以下（含4％）。不得有连续3棵缺株，补植树木与原树木径级不超过35％。</w:t>
            </w:r>
          </w:p>
          <w:p>
            <w:pPr>
              <w:widowControl/>
              <w:adjustRightInd w:val="0"/>
              <w:snapToGrid w:val="0"/>
              <w:spacing w:line="300" w:lineRule="auto"/>
              <w:jc w:val="left"/>
              <w:rPr>
                <w:rFonts w:ascii="宋体" w:hAnsi="宋体" w:eastAsia="宋体" w:cs="宋体"/>
                <w:kern w:val="0"/>
                <w:sz w:val="24"/>
                <w:szCs w:val="24"/>
              </w:rPr>
            </w:pPr>
            <w:r>
              <w:rPr>
                <w:rFonts w:hint="eastAsia" w:ascii="宋体" w:hAnsi="宋体" w:eastAsia="宋体" w:cs="宋体"/>
                <w:kern w:val="0"/>
                <w:sz w:val="24"/>
                <w:szCs w:val="24"/>
              </w:rPr>
              <w:t>⑤树穴内无垃圾及高型杂草、土壤不板结。</w:t>
            </w:r>
          </w:p>
        </w:tc>
      </w:tr>
      <w:tr>
        <w:tblPrEx>
          <w:tblCellMar>
            <w:top w:w="0" w:type="dxa"/>
            <w:left w:w="108" w:type="dxa"/>
            <w:bottom w:w="0" w:type="dxa"/>
            <w:right w:w="108" w:type="dxa"/>
          </w:tblCellMar>
        </w:tblPrEx>
        <w:trPr>
          <w:cantSplit/>
          <w:trHeight w:val="455" w:hRule="atLeast"/>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23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381" w:type="dxa"/>
            <w:vMerge w:val="continue"/>
            <w:tcBorders>
              <w:top w:val="single" w:color="auto" w:sz="8" w:space="0"/>
              <w:left w:val="single" w:color="auto" w:sz="4" w:space="0"/>
              <w:bottom w:val="single" w:color="auto" w:sz="4" w:space="0"/>
              <w:right w:val="single" w:color="auto" w:sz="8" w:space="0"/>
            </w:tcBorders>
            <w:noWrap w:val="0"/>
            <w:vAlign w:val="center"/>
          </w:tcPr>
          <w:p>
            <w:pPr>
              <w:rPr>
                <w:rFonts w:ascii="宋体" w:hAnsi="宋体" w:eastAsia="宋体" w:cs="Times New Roman"/>
                <w:sz w:val="24"/>
                <w:szCs w:val="24"/>
              </w:rPr>
            </w:pPr>
          </w:p>
        </w:tc>
      </w:tr>
      <w:tr>
        <w:tblPrEx>
          <w:tblCellMar>
            <w:top w:w="0" w:type="dxa"/>
            <w:left w:w="108" w:type="dxa"/>
            <w:bottom w:w="0" w:type="dxa"/>
            <w:right w:w="108" w:type="dxa"/>
          </w:tblCellMar>
        </w:tblPrEx>
        <w:trPr>
          <w:cantSplit/>
          <w:trHeight w:val="455" w:hRule="atLeast"/>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23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381" w:type="dxa"/>
            <w:vMerge w:val="continue"/>
            <w:tcBorders>
              <w:top w:val="single" w:color="auto" w:sz="8" w:space="0"/>
              <w:left w:val="single" w:color="auto" w:sz="4" w:space="0"/>
              <w:bottom w:val="single" w:color="auto" w:sz="4" w:space="0"/>
              <w:right w:val="single" w:color="auto" w:sz="8" w:space="0"/>
            </w:tcBorders>
            <w:noWrap w:val="0"/>
            <w:vAlign w:val="center"/>
          </w:tcPr>
          <w:p>
            <w:pPr>
              <w:rPr>
                <w:rFonts w:ascii="宋体" w:hAnsi="宋体" w:eastAsia="宋体" w:cs="Times New Roman"/>
                <w:sz w:val="24"/>
                <w:szCs w:val="24"/>
              </w:rPr>
            </w:pPr>
          </w:p>
        </w:tc>
      </w:tr>
      <w:tr>
        <w:tblPrEx>
          <w:tblCellMar>
            <w:top w:w="0" w:type="dxa"/>
            <w:left w:w="108" w:type="dxa"/>
            <w:bottom w:w="0" w:type="dxa"/>
            <w:right w:w="108" w:type="dxa"/>
          </w:tblCellMar>
        </w:tblPrEx>
        <w:trPr>
          <w:cantSplit/>
          <w:trHeight w:val="455" w:hRule="atLeast"/>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23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381" w:type="dxa"/>
            <w:vMerge w:val="continue"/>
            <w:tcBorders>
              <w:top w:val="single" w:color="auto" w:sz="8" w:space="0"/>
              <w:left w:val="single" w:color="auto" w:sz="4" w:space="0"/>
              <w:bottom w:val="single" w:color="auto" w:sz="4" w:space="0"/>
              <w:right w:val="single" w:color="auto" w:sz="8" w:space="0"/>
            </w:tcBorders>
            <w:noWrap w:val="0"/>
            <w:vAlign w:val="center"/>
          </w:tcPr>
          <w:p>
            <w:pPr>
              <w:rPr>
                <w:rFonts w:ascii="宋体" w:hAnsi="宋体" w:eastAsia="宋体" w:cs="Times New Roman"/>
                <w:sz w:val="24"/>
                <w:szCs w:val="24"/>
              </w:rPr>
            </w:pPr>
          </w:p>
        </w:tc>
      </w:tr>
      <w:tr>
        <w:tblPrEx>
          <w:tblCellMar>
            <w:top w:w="0" w:type="dxa"/>
            <w:left w:w="108" w:type="dxa"/>
            <w:bottom w:w="0" w:type="dxa"/>
            <w:right w:w="108" w:type="dxa"/>
          </w:tblCellMar>
        </w:tblPrEx>
        <w:trPr>
          <w:cantSplit/>
          <w:trHeight w:val="571" w:hRule="atLeast"/>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23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381" w:type="dxa"/>
            <w:vMerge w:val="continue"/>
            <w:tcBorders>
              <w:top w:val="single" w:color="auto" w:sz="8" w:space="0"/>
              <w:left w:val="single" w:color="auto" w:sz="4" w:space="0"/>
              <w:bottom w:val="single" w:color="auto" w:sz="4" w:space="0"/>
              <w:right w:val="single" w:color="auto" w:sz="8" w:space="0"/>
            </w:tcBorders>
            <w:noWrap w:val="0"/>
            <w:vAlign w:val="center"/>
          </w:tcPr>
          <w:p>
            <w:pPr>
              <w:rPr>
                <w:rFonts w:ascii="宋体" w:hAnsi="宋体" w:eastAsia="宋体" w:cs="Times New Roman"/>
                <w:sz w:val="24"/>
                <w:szCs w:val="24"/>
              </w:rPr>
            </w:pPr>
          </w:p>
        </w:tc>
      </w:tr>
      <w:tr>
        <w:tblPrEx>
          <w:tblCellMar>
            <w:top w:w="0" w:type="dxa"/>
            <w:left w:w="108" w:type="dxa"/>
            <w:bottom w:w="0" w:type="dxa"/>
            <w:right w:w="108" w:type="dxa"/>
          </w:tblCellMar>
        </w:tblPrEx>
        <w:trPr>
          <w:cantSplit/>
          <w:trHeight w:val="455" w:hRule="atLeast"/>
        </w:trPr>
        <w:tc>
          <w:tcPr>
            <w:tcW w:w="8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草坪</w:t>
            </w:r>
          </w:p>
        </w:tc>
        <w:tc>
          <w:tcPr>
            <w:tcW w:w="4238"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00" w:lineRule="auto"/>
              <w:jc w:val="left"/>
              <w:rPr>
                <w:rFonts w:ascii="宋体" w:hAnsi="宋体" w:eastAsia="宋体" w:cs="宋体"/>
                <w:kern w:val="0"/>
                <w:sz w:val="24"/>
                <w:szCs w:val="24"/>
              </w:rPr>
            </w:pPr>
            <w:r>
              <w:rPr>
                <w:rFonts w:hint="eastAsia" w:ascii="宋体" w:hAnsi="宋体" w:eastAsia="宋体" w:cs="宋体"/>
                <w:kern w:val="0"/>
                <w:sz w:val="24"/>
                <w:szCs w:val="24"/>
              </w:rPr>
              <w:t>①生长旺盛，草根不裸露。                   ②生长季节不枯黄，杂草率≤15％，覆盖率达95％以上；                 ③修剪及时，修剪高度符合要求，无垃圾及堆料堆物。                   ④草坪空秃面积不超过0.1㎡。</w:t>
            </w:r>
          </w:p>
        </w:tc>
        <w:tc>
          <w:tcPr>
            <w:tcW w:w="4381" w:type="dxa"/>
            <w:vMerge w:val="restart"/>
            <w:tcBorders>
              <w:top w:val="single" w:color="auto" w:sz="4" w:space="0"/>
              <w:left w:val="single" w:color="auto" w:sz="4" w:space="0"/>
              <w:bottom w:val="single" w:color="000000" w:sz="8" w:space="0"/>
              <w:right w:val="single" w:color="auto" w:sz="8" w:space="0"/>
            </w:tcBorders>
            <w:noWrap w:val="0"/>
            <w:vAlign w:val="top"/>
          </w:tcPr>
          <w:p>
            <w:pPr>
              <w:widowControl/>
              <w:adjustRightInd w:val="0"/>
              <w:snapToGrid w:val="0"/>
              <w:spacing w:line="300" w:lineRule="auto"/>
              <w:jc w:val="left"/>
              <w:rPr>
                <w:rFonts w:ascii="宋体" w:hAnsi="宋体" w:eastAsia="宋体" w:cs="宋体"/>
                <w:kern w:val="0"/>
                <w:sz w:val="24"/>
                <w:szCs w:val="24"/>
              </w:rPr>
            </w:pPr>
            <w:r>
              <w:rPr>
                <w:rFonts w:hint="eastAsia" w:ascii="宋体" w:hAnsi="宋体" w:eastAsia="宋体" w:cs="宋体"/>
                <w:kern w:val="0"/>
                <w:sz w:val="24"/>
                <w:szCs w:val="24"/>
              </w:rPr>
              <w:t>①生长良好，杂草率≤25％，覆盖率达90％。                              ②修剪高度符合要求，能及时处理堆料堆物。                            ③单块空秃面积不超过0.3㎡。</w:t>
            </w:r>
          </w:p>
        </w:tc>
      </w:tr>
      <w:tr>
        <w:tblPrEx>
          <w:tblCellMar>
            <w:top w:w="0" w:type="dxa"/>
            <w:left w:w="108" w:type="dxa"/>
            <w:bottom w:w="0" w:type="dxa"/>
            <w:right w:w="108" w:type="dxa"/>
          </w:tblCellMar>
        </w:tblPrEx>
        <w:trPr>
          <w:cantSplit/>
          <w:trHeight w:val="455" w:hRule="atLeast"/>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23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381" w:type="dxa"/>
            <w:vMerge w:val="continue"/>
            <w:tcBorders>
              <w:top w:val="nil"/>
              <w:left w:val="single" w:color="auto" w:sz="4" w:space="0"/>
              <w:bottom w:val="single" w:color="000000" w:sz="8" w:space="0"/>
              <w:right w:val="single" w:color="auto" w:sz="8" w:space="0"/>
            </w:tcBorders>
            <w:noWrap w:val="0"/>
            <w:vAlign w:val="center"/>
          </w:tcPr>
          <w:p>
            <w:pPr>
              <w:rPr>
                <w:rFonts w:ascii="宋体" w:hAnsi="宋体" w:eastAsia="宋体" w:cs="Times New Roman"/>
                <w:sz w:val="24"/>
                <w:szCs w:val="24"/>
              </w:rPr>
            </w:pPr>
          </w:p>
        </w:tc>
      </w:tr>
      <w:tr>
        <w:tblPrEx>
          <w:tblCellMar>
            <w:top w:w="0" w:type="dxa"/>
            <w:left w:w="108" w:type="dxa"/>
            <w:bottom w:w="0" w:type="dxa"/>
            <w:right w:w="108" w:type="dxa"/>
          </w:tblCellMar>
        </w:tblPrEx>
        <w:trPr>
          <w:cantSplit/>
          <w:trHeight w:val="597" w:hRule="atLeast"/>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23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381" w:type="dxa"/>
            <w:vMerge w:val="continue"/>
            <w:tcBorders>
              <w:top w:val="nil"/>
              <w:left w:val="single" w:color="auto" w:sz="4" w:space="0"/>
              <w:bottom w:val="single" w:color="000000" w:sz="8" w:space="0"/>
              <w:right w:val="single" w:color="auto" w:sz="8" w:space="0"/>
            </w:tcBorders>
            <w:noWrap w:val="0"/>
            <w:vAlign w:val="center"/>
          </w:tcPr>
          <w:p>
            <w:pPr>
              <w:rPr>
                <w:rFonts w:ascii="宋体" w:hAnsi="宋体" w:eastAsia="宋体" w:cs="Times New Roman"/>
                <w:sz w:val="24"/>
                <w:szCs w:val="24"/>
              </w:rPr>
            </w:pPr>
          </w:p>
        </w:tc>
      </w:tr>
      <w:tr>
        <w:tblPrEx>
          <w:tblCellMar>
            <w:top w:w="0" w:type="dxa"/>
            <w:left w:w="108" w:type="dxa"/>
            <w:bottom w:w="0" w:type="dxa"/>
            <w:right w:w="108" w:type="dxa"/>
          </w:tblCellMar>
        </w:tblPrEx>
        <w:trPr>
          <w:cantSplit/>
          <w:trHeight w:val="455" w:hRule="atLeast"/>
        </w:trPr>
        <w:tc>
          <w:tcPr>
            <w:tcW w:w="89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23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Times New Roman"/>
                <w:sz w:val="24"/>
                <w:szCs w:val="24"/>
              </w:rPr>
            </w:pPr>
          </w:p>
        </w:tc>
        <w:tc>
          <w:tcPr>
            <w:tcW w:w="4381" w:type="dxa"/>
            <w:vMerge w:val="continue"/>
            <w:tcBorders>
              <w:top w:val="nil"/>
              <w:left w:val="single" w:color="auto" w:sz="4" w:space="0"/>
              <w:bottom w:val="single" w:color="000000" w:sz="8" w:space="0"/>
              <w:right w:val="single" w:color="auto" w:sz="8" w:space="0"/>
            </w:tcBorders>
            <w:noWrap w:val="0"/>
            <w:vAlign w:val="center"/>
          </w:tcPr>
          <w:p>
            <w:pPr>
              <w:rPr>
                <w:rFonts w:ascii="宋体" w:hAnsi="宋体" w:eastAsia="宋体" w:cs="Times New Roman"/>
                <w:sz w:val="24"/>
                <w:szCs w:val="24"/>
              </w:rPr>
            </w:pPr>
          </w:p>
        </w:tc>
      </w:tr>
      <w:tr>
        <w:tblPrEx>
          <w:tblCellMar>
            <w:top w:w="0" w:type="dxa"/>
            <w:left w:w="108" w:type="dxa"/>
            <w:bottom w:w="0" w:type="dxa"/>
            <w:right w:w="108" w:type="dxa"/>
          </w:tblCellMar>
        </w:tblPrEx>
        <w:trPr>
          <w:cantSplit/>
          <w:trHeight w:val="131" w:hRule="atLeast"/>
        </w:trPr>
        <w:tc>
          <w:tcPr>
            <w:tcW w:w="896" w:type="dxa"/>
            <w:vMerge w:val="restart"/>
            <w:tcBorders>
              <w:top w:val="single" w:color="auto" w:sz="4" w:space="0"/>
              <w:left w:val="single" w:color="auto" w:sz="8" w:space="0"/>
              <w:bottom w:val="single" w:color="000000" w:sz="8"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花卉</w:t>
            </w:r>
          </w:p>
        </w:tc>
        <w:tc>
          <w:tcPr>
            <w:tcW w:w="4238" w:type="dxa"/>
            <w:tcBorders>
              <w:top w:val="single" w:color="auto" w:sz="4" w:space="0"/>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①全年换花六次。</w:t>
            </w:r>
            <w:r>
              <w:rPr>
                <w:rFonts w:hint="eastAsia" w:ascii="宋体" w:hAnsi="宋体" w:eastAsia="宋体" w:cs="宋体"/>
                <w:color w:val="FF0000"/>
                <w:kern w:val="0"/>
                <w:sz w:val="24"/>
                <w:szCs w:val="24"/>
              </w:rPr>
              <w:t>（校方要求更换四次，每次养护三个月）</w:t>
            </w:r>
          </w:p>
        </w:tc>
        <w:tc>
          <w:tcPr>
            <w:tcW w:w="4381"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①全年换花四次。</w:t>
            </w:r>
          </w:p>
        </w:tc>
      </w:tr>
      <w:tr>
        <w:tblPrEx>
          <w:tblCellMar>
            <w:top w:w="0" w:type="dxa"/>
            <w:left w:w="108" w:type="dxa"/>
            <w:bottom w:w="0" w:type="dxa"/>
            <w:right w:w="108" w:type="dxa"/>
          </w:tblCellMar>
        </w:tblPrEx>
        <w:trPr>
          <w:cantSplit/>
          <w:trHeight w:val="419" w:hRule="atLeast"/>
        </w:trPr>
        <w:tc>
          <w:tcPr>
            <w:tcW w:w="896" w:type="dxa"/>
            <w:vMerge w:val="continue"/>
            <w:tcBorders>
              <w:top w:val="nil"/>
              <w:left w:val="single" w:color="auto" w:sz="8" w:space="0"/>
              <w:bottom w:val="single" w:color="000000" w:sz="8" w:space="0"/>
              <w:right w:val="single" w:color="auto" w:sz="8" w:space="0"/>
            </w:tcBorders>
            <w:noWrap w:val="0"/>
            <w:vAlign w:val="center"/>
          </w:tcPr>
          <w:p>
            <w:pPr>
              <w:rPr>
                <w:rFonts w:ascii="宋体" w:hAnsi="宋体" w:eastAsia="宋体" w:cs="Times New Roman"/>
                <w:sz w:val="24"/>
                <w:szCs w:val="24"/>
              </w:rPr>
            </w:pPr>
          </w:p>
        </w:tc>
        <w:tc>
          <w:tcPr>
            <w:tcW w:w="4238"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②花卉生长正常，无枯枝残花（残花量≤10％），无缺株、倒伏。</w:t>
            </w:r>
          </w:p>
        </w:tc>
        <w:tc>
          <w:tcPr>
            <w:tcW w:w="4381"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②花卉生长正常，缺株、倒伏不超过3～5处，无枯枝残花（残花量≤15％）。</w:t>
            </w:r>
          </w:p>
        </w:tc>
      </w:tr>
      <w:tr>
        <w:tblPrEx>
          <w:tblCellMar>
            <w:top w:w="0" w:type="dxa"/>
            <w:left w:w="108" w:type="dxa"/>
            <w:bottom w:w="0" w:type="dxa"/>
            <w:right w:w="108" w:type="dxa"/>
          </w:tblCellMar>
        </w:tblPrEx>
        <w:trPr>
          <w:cantSplit/>
          <w:trHeight w:val="335" w:hRule="atLeast"/>
        </w:trPr>
        <w:tc>
          <w:tcPr>
            <w:tcW w:w="896" w:type="dxa"/>
            <w:vMerge w:val="continue"/>
            <w:tcBorders>
              <w:top w:val="nil"/>
              <w:left w:val="single" w:color="auto" w:sz="8" w:space="0"/>
              <w:bottom w:val="single" w:color="000000" w:sz="8" w:space="0"/>
              <w:right w:val="single" w:color="auto" w:sz="8" w:space="0"/>
            </w:tcBorders>
            <w:noWrap w:val="0"/>
            <w:vAlign w:val="center"/>
          </w:tcPr>
          <w:p>
            <w:pPr>
              <w:rPr>
                <w:rFonts w:ascii="宋体" w:hAnsi="宋体" w:eastAsia="宋体" w:cs="Times New Roman"/>
                <w:sz w:val="24"/>
                <w:szCs w:val="24"/>
              </w:rPr>
            </w:pPr>
          </w:p>
        </w:tc>
        <w:tc>
          <w:tcPr>
            <w:tcW w:w="4238"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③花坛图案清晰，色彩鲜艳，花朵繁茂，花期一致，覆盖面达85％以上。</w:t>
            </w:r>
            <w:r>
              <w:rPr>
                <w:rFonts w:hint="eastAsia" w:ascii="宋体" w:hAnsi="宋体" w:eastAsia="宋体" w:cs="宋体"/>
                <w:color w:val="FF0000"/>
                <w:kern w:val="0"/>
                <w:sz w:val="24"/>
                <w:szCs w:val="24"/>
              </w:rPr>
              <w:t>（校方要求</w:t>
            </w:r>
            <w:r>
              <w:rPr>
                <w:rFonts w:hint="eastAsia" w:ascii="Times New Roman" w:hAnsi="宋体" w:eastAsia="宋体" w:cs="宋体"/>
                <w:color w:val="FF0000"/>
                <w:kern w:val="0"/>
                <w:sz w:val="24"/>
                <w:szCs w:val="24"/>
              </w:rPr>
              <w:t>覆盖面达90%以上</w:t>
            </w:r>
            <w:r>
              <w:rPr>
                <w:rFonts w:hint="eastAsia" w:ascii="宋体" w:hAnsi="宋体" w:eastAsia="宋体" w:cs="宋体"/>
                <w:color w:val="FF0000"/>
                <w:kern w:val="0"/>
                <w:sz w:val="24"/>
                <w:szCs w:val="24"/>
              </w:rPr>
              <w:t>）</w:t>
            </w:r>
          </w:p>
        </w:tc>
        <w:tc>
          <w:tcPr>
            <w:tcW w:w="4381"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③花期基本整齐，覆盖面达75％以上。</w:t>
            </w:r>
          </w:p>
        </w:tc>
      </w:tr>
      <w:tr>
        <w:tblPrEx>
          <w:tblCellMar>
            <w:top w:w="0" w:type="dxa"/>
            <w:left w:w="108" w:type="dxa"/>
            <w:bottom w:w="0" w:type="dxa"/>
            <w:right w:w="108" w:type="dxa"/>
          </w:tblCellMar>
        </w:tblPrEx>
        <w:trPr>
          <w:cantSplit/>
          <w:trHeight w:val="252" w:hRule="atLeast"/>
        </w:trPr>
        <w:tc>
          <w:tcPr>
            <w:tcW w:w="896" w:type="dxa"/>
            <w:vMerge w:val="continue"/>
            <w:tcBorders>
              <w:top w:val="nil"/>
              <w:left w:val="single" w:color="auto" w:sz="8" w:space="0"/>
              <w:bottom w:val="single" w:color="000000" w:sz="8" w:space="0"/>
              <w:right w:val="single" w:color="auto" w:sz="8" w:space="0"/>
            </w:tcBorders>
            <w:noWrap w:val="0"/>
            <w:vAlign w:val="center"/>
          </w:tcPr>
          <w:p>
            <w:pPr>
              <w:rPr>
                <w:rFonts w:ascii="宋体" w:hAnsi="宋体" w:eastAsia="宋体" w:cs="Times New Roman"/>
                <w:sz w:val="24"/>
                <w:szCs w:val="24"/>
              </w:rPr>
            </w:pPr>
          </w:p>
        </w:tc>
        <w:tc>
          <w:tcPr>
            <w:tcW w:w="4238" w:type="dxa"/>
            <w:tcBorders>
              <w:top w:val="nil"/>
              <w:left w:val="nil"/>
              <w:bottom w:val="single" w:color="auto" w:sz="8"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④花镜花卉层次分明，高矮有序。</w:t>
            </w:r>
          </w:p>
        </w:tc>
        <w:tc>
          <w:tcPr>
            <w:tcW w:w="4381" w:type="dxa"/>
            <w:tcBorders>
              <w:top w:val="nil"/>
              <w:left w:val="nil"/>
              <w:bottom w:val="single" w:color="auto" w:sz="8"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cantSplit/>
          <w:trHeight w:val="236" w:hRule="atLeast"/>
        </w:trPr>
        <w:tc>
          <w:tcPr>
            <w:tcW w:w="896" w:type="dxa"/>
            <w:vMerge w:val="restart"/>
            <w:tcBorders>
              <w:top w:val="nil"/>
              <w:left w:val="single" w:color="auto" w:sz="8" w:space="0"/>
              <w:bottom w:val="single" w:color="000000" w:sz="8"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绿篱及地被</w:t>
            </w:r>
          </w:p>
        </w:tc>
        <w:tc>
          <w:tcPr>
            <w:tcW w:w="4238"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①生长茂盛，枝条茂密。</w:t>
            </w:r>
          </w:p>
        </w:tc>
        <w:tc>
          <w:tcPr>
            <w:tcW w:w="4381"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①生长正常。无明显枯枝、断枝。</w:t>
            </w:r>
          </w:p>
        </w:tc>
      </w:tr>
      <w:tr>
        <w:tblPrEx>
          <w:tblCellMar>
            <w:top w:w="0" w:type="dxa"/>
            <w:left w:w="108" w:type="dxa"/>
            <w:bottom w:w="0" w:type="dxa"/>
            <w:right w:w="108" w:type="dxa"/>
          </w:tblCellMar>
        </w:tblPrEx>
        <w:trPr>
          <w:cantSplit/>
          <w:trHeight w:val="157" w:hRule="atLeast"/>
        </w:trPr>
        <w:tc>
          <w:tcPr>
            <w:tcW w:w="896" w:type="dxa"/>
            <w:vMerge w:val="continue"/>
            <w:tcBorders>
              <w:top w:val="nil"/>
              <w:left w:val="single" w:color="auto" w:sz="8" w:space="0"/>
              <w:bottom w:val="single" w:color="000000" w:sz="8" w:space="0"/>
              <w:right w:val="single" w:color="auto" w:sz="8" w:space="0"/>
            </w:tcBorders>
            <w:noWrap w:val="0"/>
            <w:vAlign w:val="center"/>
          </w:tcPr>
          <w:p>
            <w:pPr>
              <w:rPr>
                <w:rFonts w:ascii="宋体" w:hAnsi="宋体" w:eastAsia="宋体" w:cs="Times New Roman"/>
                <w:sz w:val="24"/>
                <w:szCs w:val="24"/>
              </w:rPr>
            </w:pPr>
          </w:p>
        </w:tc>
        <w:tc>
          <w:tcPr>
            <w:tcW w:w="4238"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②修剪成型，完整无缺。</w:t>
            </w:r>
          </w:p>
        </w:tc>
        <w:tc>
          <w:tcPr>
            <w:tcW w:w="4381" w:type="dxa"/>
            <w:tcBorders>
              <w:top w:val="nil"/>
              <w:left w:val="nil"/>
              <w:bottom w:val="nil"/>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②修剪及时，形状较完整。</w:t>
            </w:r>
          </w:p>
        </w:tc>
      </w:tr>
      <w:tr>
        <w:tblPrEx>
          <w:tblCellMar>
            <w:top w:w="0" w:type="dxa"/>
            <w:left w:w="108" w:type="dxa"/>
            <w:bottom w:w="0" w:type="dxa"/>
            <w:right w:w="108" w:type="dxa"/>
          </w:tblCellMar>
        </w:tblPrEx>
        <w:trPr>
          <w:cantSplit/>
          <w:trHeight w:val="147" w:hRule="atLeast"/>
        </w:trPr>
        <w:tc>
          <w:tcPr>
            <w:tcW w:w="896" w:type="dxa"/>
            <w:vMerge w:val="continue"/>
            <w:tcBorders>
              <w:top w:val="nil"/>
              <w:left w:val="single" w:color="auto" w:sz="8" w:space="0"/>
              <w:bottom w:val="single" w:color="000000" w:sz="8" w:space="0"/>
              <w:right w:val="single" w:color="auto" w:sz="8" w:space="0"/>
            </w:tcBorders>
            <w:noWrap w:val="0"/>
            <w:vAlign w:val="center"/>
          </w:tcPr>
          <w:p>
            <w:pPr>
              <w:rPr>
                <w:rFonts w:ascii="宋体" w:hAnsi="宋体" w:eastAsia="宋体" w:cs="Times New Roman"/>
                <w:sz w:val="24"/>
                <w:szCs w:val="24"/>
              </w:rPr>
            </w:pPr>
          </w:p>
        </w:tc>
        <w:tc>
          <w:tcPr>
            <w:tcW w:w="4238" w:type="dxa"/>
            <w:tcBorders>
              <w:top w:val="nil"/>
              <w:left w:val="nil"/>
              <w:bottom w:val="single" w:color="auto" w:sz="8"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③无垃圾杂物。</w:t>
            </w:r>
          </w:p>
        </w:tc>
        <w:tc>
          <w:tcPr>
            <w:tcW w:w="4381" w:type="dxa"/>
            <w:tcBorders>
              <w:top w:val="nil"/>
              <w:left w:val="nil"/>
              <w:bottom w:val="single" w:color="auto" w:sz="8"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③基本无垃圾杂物。</w:t>
            </w:r>
          </w:p>
        </w:tc>
      </w:tr>
      <w:tr>
        <w:tblPrEx>
          <w:tblCellMar>
            <w:top w:w="0" w:type="dxa"/>
            <w:left w:w="108" w:type="dxa"/>
            <w:bottom w:w="0" w:type="dxa"/>
            <w:right w:w="108" w:type="dxa"/>
          </w:tblCellMar>
        </w:tblPrEx>
        <w:trPr>
          <w:cantSplit/>
          <w:trHeight w:val="100" w:hRule="atLeast"/>
        </w:trPr>
        <w:tc>
          <w:tcPr>
            <w:tcW w:w="896" w:type="dxa"/>
            <w:vMerge w:val="restart"/>
            <w:tcBorders>
              <w:top w:val="nil"/>
              <w:left w:val="single" w:color="auto" w:sz="8" w:space="0"/>
              <w:bottom w:val="single" w:color="000000" w:sz="8" w:space="0"/>
              <w:right w:val="single" w:color="auto" w:sz="8" w:space="0"/>
            </w:tcBorders>
            <w:noWrap w:val="0"/>
            <w:vAlign w:val="center"/>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混合花境</w:t>
            </w:r>
          </w:p>
        </w:tc>
        <w:tc>
          <w:tcPr>
            <w:tcW w:w="8619" w:type="dxa"/>
            <w:gridSpan w:val="2"/>
            <w:tcBorders>
              <w:top w:val="single" w:color="auto" w:sz="8" w:space="0"/>
              <w:left w:val="nil"/>
              <w:bottom w:val="nil"/>
              <w:right w:val="single" w:color="auto" w:sz="4" w:space="0"/>
            </w:tcBorders>
            <w:noWrap w:val="0"/>
            <w:vAlign w:val="top"/>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花境养护要求：</w:t>
            </w:r>
          </w:p>
        </w:tc>
      </w:tr>
      <w:tr>
        <w:tblPrEx>
          <w:tblCellMar>
            <w:top w:w="0" w:type="dxa"/>
            <w:left w:w="108" w:type="dxa"/>
            <w:bottom w:w="0" w:type="dxa"/>
            <w:right w:w="108" w:type="dxa"/>
          </w:tblCellMar>
        </w:tblPrEx>
        <w:trPr>
          <w:cantSplit/>
          <w:trHeight w:val="157" w:hRule="atLeast"/>
        </w:trPr>
        <w:tc>
          <w:tcPr>
            <w:tcW w:w="896" w:type="dxa"/>
            <w:vMerge w:val="continue"/>
            <w:tcBorders>
              <w:top w:val="nil"/>
              <w:left w:val="single" w:color="auto" w:sz="8" w:space="0"/>
              <w:bottom w:val="single" w:color="000000" w:sz="8" w:space="0"/>
              <w:right w:val="single" w:color="auto" w:sz="8" w:space="0"/>
            </w:tcBorders>
            <w:noWrap w:val="0"/>
            <w:vAlign w:val="center"/>
          </w:tcPr>
          <w:p>
            <w:pPr>
              <w:rPr>
                <w:rFonts w:ascii="宋体" w:hAnsi="宋体" w:eastAsia="宋体" w:cs="Times New Roman"/>
                <w:sz w:val="24"/>
                <w:szCs w:val="24"/>
              </w:rPr>
            </w:pPr>
          </w:p>
        </w:tc>
        <w:tc>
          <w:tcPr>
            <w:tcW w:w="8619" w:type="dxa"/>
            <w:gridSpan w:val="2"/>
            <w:tcBorders>
              <w:top w:val="nil"/>
              <w:left w:val="nil"/>
              <w:bottom w:val="nil"/>
              <w:right w:val="single" w:color="auto" w:sz="4" w:space="0"/>
            </w:tcBorders>
            <w:noWrap w:val="0"/>
            <w:vAlign w:val="top"/>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①花境养护设施量清单内品种数量及各品种种植面积要保持不变。</w:t>
            </w:r>
          </w:p>
        </w:tc>
      </w:tr>
      <w:tr>
        <w:tblPrEx>
          <w:tblCellMar>
            <w:top w:w="0" w:type="dxa"/>
            <w:left w:w="108" w:type="dxa"/>
            <w:bottom w:w="0" w:type="dxa"/>
            <w:right w:w="108" w:type="dxa"/>
          </w:tblCellMar>
        </w:tblPrEx>
        <w:trPr>
          <w:cantSplit/>
          <w:trHeight w:val="168" w:hRule="atLeast"/>
        </w:trPr>
        <w:tc>
          <w:tcPr>
            <w:tcW w:w="896" w:type="dxa"/>
            <w:vMerge w:val="continue"/>
            <w:tcBorders>
              <w:top w:val="nil"/>
              <w:left w:val="single" w:color="auto" w:sz="8" w:space="0"/>
              <w:bottom w:val="single" w:color="000000" w:sz="8" w:space="0"/>
              <w:right w:val="single" w:color="auto" w:sz="8" w:space="0"/>
            </w:tcBorders>
            <w:noWrap w:val="0"/>
            <w:vAlign w:val="center"/>
          </w:tcPr>
          <w:p>
            <w:pPr>
              <w:rPr>
                <w:rFonts w:ascii="宋体" w:hAnsi="宋体" w:eastAsia="宋体" w:cs="Times New Roman"/>
                <w:sz w:val="24"/>
                <w:szCs w:val="24"/>
              </w:rPr>
            </w:pPr>
          </w:p>
        </w:tc>
        <w:tc>
          <w:tcPr>
            <w:tcW w:w="8619" w:type="dxa"/>
            <w:gridSpan w:val="2"/>
            <w:tcBorders>
              <w:top w:val="nil"/>
              <w:left w:val="nil"/>
              <w:bottom w:val="nil"/>
              <w:right w:val="single" w:color="auto" w:sz="4" w:space="0"/>
            </w:tcBorders>
            <w:noWrap w:val="0"/>
            <w:vAlign w:val="top"/>
          </w:tcPr>
          <w:p>
            <w:pPr>
              <w:widowControl/>
              <w:adjustRightInd w:val="0"/>
              <w:snapToGrid w:val="0"/>
              <w:spacing w:line="300" w:lineRule="auto"/>
              <w:ind w:firstLine="200"/>
              <w:jc w:val="left"/>
              <w:rPr>
                <w:rFonts w:ascii="宋体" w:hAnsi="宋体" w:eastAsia="宋体" w:cs="宋体"/>
                <w:kern w:val="0"/>
                <w:sz w:val="24"/>
                <w:szCs w:val="24"/>
              </w:rPr>
            </w:pPr>
            <w:r>
              <w:rPr>
                <w:rFonts w:hint="eastAsia" w:ascii="宋体" w:hAnsi="宋体" w:eastAsia="宋体" w:cs="宋体"/>
                <w:kern w:val="0"/>
                <w:sz w:val="24"/>
                <w:szCs w:val="24"/>
              </w:rPr>
              <w:t>②现有花境内木本、宿根(球、块根)花卉比例与布局、位置不能变。</w:t>
            </w:r>
          </w:p>
        </w:tc>
      </w:tr>
      <w:tr>
        <w:tblPrEx>
          <w:tblCellMar>
            <w:top w:w="0" w:type="dxa"/>
            <w:left w:w="108" w:type="dxa"/>
            <w:bottom w:w="0" w:type="dxa"/>
            <w:right w:w="108" w:type="dxa"/>
          </w:tblCellMar>
        </w:tblPrEx>
        <w:trPr>
          <w:cantSplit/>
          <w:trHeight w:val="87" w:hRule="atLeast"/>
        </w:trPr>
        <w:tc>
          <w:tcPr>
            <w:tcW w:w="896" w:type="dxa"/>
            <w:vMerge w:val="continue"/>
            <w:tcBorders>
              <w:top w:val="nil"/>
              <w:left w:val="single" w:color="auto" w:sz="8" w:space="0"/>
              <w:bottom w:val="single" w:color="000000" w:sz="8" w:space="0"/>
              <w:right w:val="single" w:color="auto" w:sz="8" w:space="0"/>
            </w:tcBorders>
            <w:noWrap w:val="0"/>
            <w:vAlign w:val="center"/>
          </w:tcPr>
          <w:p>
            <w:pPr>
              <w:rPr>
                <w:rFonts w:ascii="宋体" w:hAnsi="宋体" w:eastAsia="宋体" w:cs="Times New Roman"/>
                <w:sz w:val="24"/>
                <w:szCs w:val="24"/>
              </w:rPr>
            </w:pPr>
          </w:p>
        </w:tc>
        <w:tc>
          <w:tcPr>
            <w:tcW w:w="8619" w:type="dxa"/>
            <w:gridSpan w:val="2"/>
            <w:tcBorders>
              <w:top w:val="nil"/>
              <w:left w:val="nil"/>
              <w:bottom w:val="single" w:color="auto" w:sz="8" w:space="0"/>
              <w:right w:val="single" w:color="auto" w:sz="4" w:space="0"/>
            </w:tcBorders>
            <w:noWrap w:val="0"/>
            <w:vAlign w:val="top"/>
          </w:tcPr>
          <w:p>
            <w:pPr>
              <w:widowControl/>
              <w:adjustRightInd w:val="0"/>
              <w:snapToGrid w:val="0"/>
              <w:spacing w:line="300" w:lineRule="auto"/>
              <w:ind w:firstLine="240" w:firstLineChars="100"/>
              <w:jc w:val="left"/>
              <w:rPr>
                <w:rFonts w:ascii="宋体" w:hAnsi="宋体" w:eastAsia="宋体" w:cs="宋体"/>
                <w:kern w:val="0"/>
                <w:sz w:val="24"/>
                <w:szCs w:val="24"/>
              </w:rPr>
            </w:pPr>
            <w:r>
              <w:rPr>
                <w:rFonts w:hint="eastAsia" w:ascii="宋体" w:hAnsi="宋体" w:eastAsia="宋体" w:cs="宋体"/>
                <w:kern w:val="0"/>
                <w:sz w:val="24"/>
                <w:szCs w:val="24"/>
              </w:rPr>
              <w:t>③长正常，无病虫害，无残花败叶，按自然花期开花。</w:t>
            </w:r>
          </w:p>
        </w:tc>
      </w:tr>
    </w:tbl>
    <w:p>
      <w:pPr>
        <w:spacing w:line="360" w:lineRule="auto"/>
        <w:ind w:firstLine="480" w:firstLineChars="200"/>
        <w:jc w:val="left"/>
        <w:rPr>
          <w:rFonts w:hint="eastAsia" w:ascii="宋体" w:hAnsi="宋体" w:eastAsia="宋体" w:cs="Times New Roman"/>
          <w:bCs/>
          <w:sz w:val="24"/>
          <w:szCs w:val="24"/>
        </w:rPr>
      </w:pPr>
    </w:p>
    <w:p>
      <w:pPr>
        <w:spacing w:line="360" w:lineRule="auto"/>
        <w:ind w:firstLine="480" w:firstLineChars="200"/>
        <w:jc w:val="left"/>
        <w:rPr>
          <w:rFonts w:hint="eastAsia" w:ascii="宋体" w:hAnsi="宋体" w:eastAsia="宋体" w:cs="Times New Roman"/>
          <w:bCs/>
          <w:sz w:val="24"/>
          <w:szCs w:val="24"/>
        </w:rPr>
      </w:pPr>
    </w:p>
    <w:p>
      <w:pPr>
        <w:spacing w:line="360" w:lineRule="auto"/>
        <w:ind w:firstLine="482" w:firstLineChars="200"/>
        <w:jc w:val="center"/>
        <w:rPr>
          <w:rFonts w:hint="eastAsia" w:ascii="宋体" w:hAnsi="宋体" w:eastAsia="宋体" w:cs="Times New Roman"/>
          <w:b/>
          <w:bCs/>
          <w:sz w:val="24"/>
          <w:szCs w:val="24"/>
        </w:rPr>
      </w:pPr>
      <w:r>
        <w:rPr>
          <w:rFonts w:hint="eastAsia" w:ascii="宋体" w:hAnsi="宋体" w:eastAsia="宋体" w:cs="Times New Roman"/>
          <w:b/>
          <w:bCs/>
          <w:sz w:val="24"/>
          <w:szCs w:val="24"/>
        </w:rPr>
        <w:t>绿地养护等级标准</w:t>
      </w:r>
    </w:p>
    <w:tbl>
      <w:tblPr>
        <w:tblStyle w:val="15"/>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3347"/>
        <w:gridCol w:w="2890"/>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blHeader/>
          <w:jc w:val="center"/>
        </w:trPr>
        <w:tc>
          <w:tcPr>
            <w:tcW w:w="1403" w:type="dxa"/>
            <w:noWrap w:val="0"/>
            <w:vAlign w:val="center"/>
          </w:tcPr>
          <w:p>
            <w:pPr>
              <w:widowControl w:val="0"/>
              <w:jc w:val="center"/>
              <w:rPr>
                <w:rFonts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类别</w:t>
            </w:r>
          </w:p>
        </w:tc>
        <w:tc>
          <w:tcPr>
            <w:tcW w:w="3347" w:type="dxa"/>
            <w:noWrap w:val="0"/>
            <w:vAlign w:val="center"/>
          </w:tcPr>
          <w:p>
            <w:pPr>
              <w:widowControl w:val="0"/>
              <w:jc w:val="center"/>
              <w:rPr>
                <w:rFonts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一级</w:t>
            </w:r>
          </w:p>
        </w:tc>
        <w:tc>
          <w:tcPr>
            <w:tcW w:w="2890" w:type="dxa"/>
            <w:noWrap w:val="0"/>
            <w:vAlign w:val="center"/>
          </w:tcPr>
          <w:p>
            <w:pPr>
              <w:widowControl w:val="0"/>
              <w:jc w:val="center"/>
              <w:rPr>
                <w:rFonts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二级</w:t>
            </w:r>
          </w:p>
        </w:tc>
        <w:tc>
          <w:tcPr>
            <w:tcW w:w="2251" w:type="dxa"/>
            <w:noWrap w:val="0"/>
            <w:vAlign w:val="center"/>
          </w:tcPr>
          <w:p>
            <w:pPr>
              <w:widowControl w:val="0"/>
              <w:jc w:val="center"/>
              <w:rPr>
                <w:rFonts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道路</w:t>
            </w:r>
          </w:p>
          <w:p>
            <w:pPr>
              <w:widowControl w:val="0"/>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绿地</w:t>
            </w:r>
          </w:p>
        </w:tc>
        <w:tc>
          <w:tcPr>
            <w:tcW w:w="3347" w:type="dxa"/>
            <w:noWrap w:val="0"/>
            <w:vAlign w:val="center"/>
          </w:tcPr>
          <w:p>
            <w:pPr>
              <w:widowControl w:val="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群落合理完整，层次丰富，黄土不裸露，树木种间株间生长空间与层次处理得当，整体观赏效果好。</w:t>
            </w:r>
          </w:p>
        </w:tc>
        <w:tc>
          <w:tcPr>
            <w:tcW w:w="2890" w:type="dxa"/>
            <w:noWrap w:val="0"/>
            <w:vAlign w:val="center"/>
          </w:tcPr>
          <w:p>
            <w:pPr>
              <w:widowControl w:val="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林相结构合理，以乔木为主的树坛，其下应有灌木，地表不裸露。</w:t>
            </w:r>
          </w:p>
        </w:tc>
        <w:tc>
          <w:tcPr>
            <w:tcW w:w="2251" w:type="dxa"/>
            <w:noWrap w:val="0"/>
            <w:vAlign w:val="center"/>
          </w:tcPr>
          <w:p>
            <w:pPr>
              <w:widowControl w:val="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植物种植成片或带状，有完整的景观效果，地表不裸露。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1"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行道树</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植株青枝绿叶，长势茂盛（含地被植物），树冠丰满完整。植株无徒长枝、病虫枝、过密枝、并生枝、交叉枝、下垂枝、枯枝、伤损枝。树穴有平整盖板或种植地被植物，黄土不裸露。道路行道树要有群体特色效果，品种统一，姿态协调，补植树木品种规格也应保持一致。无缺株、死树，植株不倾斜，无断桩、坏桩，桩位扎缚规范化。基本无病虫害危害迹象。其中蛀干性害虫危害率不超过3％。有防治措施。</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树冠完整，长势良好。植株基本无徒长枝、病虫枝、过密枝、并生枝、交叉枝、下垂枝、枯枝。树穴有平整盖板或种植地被植物，黄土不裸露。行道树品种统一，有良好的外观和遮荫效果，无死树，无缺株现象，基本无断桩，坏桩，桩位扎缚有效。病虫害危害未达到明显程度。其中，蛀干性害虫危害不超过5％。有一定的防治措施。</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保持树冠基本完整。树穴有完整覆盖。无死树、无缺株现象。有病虫害控制措施，其中，蛀干性害虫危害率不超过10％。有一定的防治措施。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5"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其它</w:t>
            </w:r>
          </w:p>
          <w:p>
            <w:pPr>
              <w:widowControl w:val="0"/>
              <w:jc w:val="center"/>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树木</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生长旺盛，树冠整齐，主侧枝分枝均匀，数量适宜，内膛通风透光。</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叶色正常，无卷叶、黄叶（生长季节），无病虫害。</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枝干健壮，无枯死枝，无蛀干性病虫危害。</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4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④</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缺株在2%以下（含2%）。不得连续2棵缺株，补植树木与原树木径级不超过20%。</w:t>
            </w:r>
          </w:p>
          <w:p>
            <w:pPr>
              <w:widowControl w:val="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5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⑤</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树穴内无垃圾杂草、土壤松疏。</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生长正常，树冠基本完整，主侧枝分枝基本均匀，数量适宜，内膛通风透光。</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叶色基本正常，有少量黄叶（生长季节）、焦叶、卷叶，有少量虫粪。</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枝干生长正常，无明显枯死枝，病虫害虽有发生，但能及时根除。</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4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④</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缺株在4%以下（含4%）。不得连续3棵缺株，补植树木与原树木径级不超过30%。</w:t>
            </w:r>
          </w:p>
          <w:p>
            <w:pPr>
              <w:widowControl w:val="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5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⑤</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树穴无垃圾杂草、土壤不板结。</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生长基本正常，树冠基本完整，选留主侧枝基本合理，内膛基本通风透气。</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叶色基本正常，有部分黄叶（生长季节）、焦叶、卷叶，有部分虫粪，有被虫咬食的痕迹。</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枝干生长正常，有少量枯死枝，有少量蛀干病虫为害。</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4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④</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缺株在6%以下（含6%）。不得连续4棵缺株，补植树木与原树木径级不超过40%。</w:t>
            </w:r>
          </w:p>
          <w:p>
            <w:pPr>
              <w:widowControl w:val="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5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⑤</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树穴内基本无垃圾及高型杂草。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花卉</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植株健壮，花型正，花色艳，株行距适宜，不露底土，覆盖面达90%以上。</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花卉生长正常，无枯枝残花，无缺株、倒伏。</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花坛图案清晰，色彩鲜艳，花朵繁茂，花期一致。</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4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④</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花径花卉层次分明，高矮有序。</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花卉植株生长良好，花色艳丽，具有一定的株行距，不露底土，覆盖面达85%以上。</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花卉生长正常，缺株、倒伏不超过3处，无枯枝残花。</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花期基本一致。</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有整体色彩效果,不露底土，覆盖面达80%以上。</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花卉生长基本正常，缺株、倒伏不超过5处, 基本无枯枝残花。</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适时开花。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绿篱</w:t>
            </w:r>
          </w:p>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及</w:t>
            </w:r>
          </w:p>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地被</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生长茂盛，枝条茂密。</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修剪成型，完整无缺。</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无垃圾杂物。</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生长正常。无明显枯枝、断枝。</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修剪及时，形状较完整。</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基本无垃圾杂物。</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生长基本正常，有少量枯枝、断枝。</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修剪能在规定时间内完成。</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无明显的垃圾杂物。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草坪</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生长旺盛，草根不裸露。</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生长季节不枯黄，杂草率≤10%，覆盖率达98%以上。</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修剪及时，修剪高度符合要求，无垃圾及堆料堆物。</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4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④</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集中空秃面积不超过0.1㎡。</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生长良好，杂草率≤20%，覆盖率达95%以上。</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修剪高度符合要求，能及时处理堆料堆物。</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单块空秃面积不超过0.2㎡。</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1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①</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生长基本正常，杂草率≤30%，覆盖率达90%以上。</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2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②</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修剪高度基本符合要求，堆料堆场清理能在规定期限内完成。</w:t>
            </w:r>
          </w:p>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fldChar w:fldCharType="begin"/>
            </w:r>
            <w:r>
              <w:rPr>
                <w:rFonts w:hint="eastAsia" w:ascii="宋体" w:hAnsi="宋体" w:eastAsia="宋体" w:cs="宋体"/>
                <w:kern w:val="0"/>
                <w:sz w:val="24"/>
                <w:szCs w:val="24"/>
                <w:lang w:val="en-US" w:eastAsia="zh-CN" w:bidi="ar-SA"/>
              </w:rPr>
              <w:instrText xml:space="preserve"> = 3 \* GB3 </w:instrText>
            </w:r>
            <w:r>
              <w:rPr>
                <w:rFonts w:hint="eastAsia" w:ascii="宋体" w:hAnsi="宋体" w:eastAsia="宋体" w:cs="宋体"/>
                <w:kern w:val="0"/>
                <w:sz w:val="24"/>
                <w:szCs w:val="24"/>
                <w:lang w:val="en-US" w:eastAsia="zh-CN" w:bidi="ar-SA"/>
              </w:rPr>
              <w:fldChar w:fldCharType="separate"/>
            </w:r>
            <w:r>
              <w:rPr>
                <w:rFonts w:hint="eastAsia" w:ascii="宋体" w:hAnsi="宋体" w:eastAsia="宋体" w:cs="宋体"/>
                <w:kern w:val="0"/>
                <w:sz w:val="24"/>
                <w:szCs w:val="24"/>
                <w:lang w:val="en-US" w:eastAsia="zh-CN" w:bidi="ar-SA"/>
              </w:rPr>
              <w:t>③</w:t>
            </w:r>
            <w:r>
              <w:rPr>
                <w:rFonts w:hint="eastAsia" w:ascii="宋体" w:hAnsi="宋体" w:eastAsia="宋体" w:cs="宋体"/>
                <w:kern w:val="0"/>
                <w:sz w:val="24"/>
                <w:szCs w:val="24"/>
                <w:lang w:val="en-US" w:eastAsia="zh-CN" w:bidi="ar-SA"/>
              </w:rPr>
              <w:fldChar w:fldCharType="end"/>
            </w:r>
            <w:r>
              <w:rPr>
                <w:rFonts w:hint="eastAsia" w:ascii="宋体" w:hAnsi="宋体" w:eastAsia="宋体" w:cs="宋体"/>
                <w:kern w:val="0"/>
                <w:sz w:val="24"/>
                <w:szCs w:val="24"/>
                <w:lang w:val="en-US" w:eastAsia="zh-CN" w:bidi="ar-SA"/>
              </w:rPr>
              <w:t>单块空秃面积不超过0.3㎡.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病虫害</w:t>
            </w:r>
          </w:p>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控制</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食叶性害虫危害的叶片每株小于5%，刺吸性害虫危害的叶片每株小于10%，蛀干性害虫率小于3%，基本无危害迹象。</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食叶性害虫危害的叶片每株小于10%，刺吸性害虫危害的叶片每株小于20%，蛀干性害虫危害率小于5%，无明显危害迹象。</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食叶性害虫危害的叶片每株小于15%，刺吸性害虫危害的叶片每株小于30%，蛀干性害虫危害率小于10%，无因病害而引起断枝倒伏现象。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杂草</w:t>
            </w:r>
          </w:p>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控制</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无杂草。</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基本无杂草。无缠绕性、攀援性杂草。杂草高度控制在6cm以下，不影响景观效果。</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无缠绕性、攀援性杂草。控制杂草高度以不影响景观效果为度。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设施</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建筑小品、辅助设施完好无损，并做到经常出新。</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建筑小品、辅助设施整洁无损。</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有必要的防护措施。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03" w:type="dxa"/>
            <w:noWrap w:val="0"/>
            <w:vAlign w:val="center"/>
          </w:tcPr>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环境</w:t>
            </w:r>
          </w:p>
          <w:p>
            <w:pPr>
              <w:widowControl w:val="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卫生</w:t>
            </w:r>
          </w:p>
        </w:tc>
        <w:tc>
          <w:tcPr>
            <w:tcW w:w="3347"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绿地整洁，无垃圾</w:t>
            </w:r>
            <w:r>
              <w:rPr>
                <w:rFonts w:hint="eastAsia" w:ascii="宋体" w:hAnsi="宋体" w:eastAsia="宋体" w:cs="宋体"/>
                <w:color w:val="FF0000"/>
                <w:kern w:val="0"/>
                <w:sz w:val="24"/>
                <w:szCs w:val="24"/>
                <w:lang w:val="en-US" w:eastAsia="zh-CN" w:bidi="ar-SA"/>
              </w:rPr>
              <w:t>（白色垃圾除外）</w:t>
            </w:r>
            <w:r>
              <w:rPr>
                <w:rFonts w:hint="eastAsia" w:ascii="宋体" w:hAnsi="宋体" w:eastAsia="宋体" w:cs="宋体"/>
                <w:kern w:val="0"/>
                <w:sz w:val="24"/>
                <w:szCs w:val="24"/>
                <w:lang w:val="en-US" w:eastAsia="zh-CN" w:bidi="ar-SA"/>
              </w:rPr>
              <w:t>。</w:t>
            </w:r>
          </w:p>
        </w:tc>
        <w:tc>
          <w:tcPr>
            <w:tcW w:w="2890"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绿地整洁，无垃圾。</w:t>
            </w:r>
          </w:p>
        </w:tc>
        <w:tc>
          <w:tcPr>
            <w:tcW w:w="2251" w:type="dxa"/>
            <w:noWrap w:val="0"/>
            <w:vAlign w:val="center"/>
          </w:tcPr>
          <w:p>
            <w:pPr>
              <w:widowControl w:val="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绿地整洁，基本无垃圾。</w:t>
            </w:r>
          </w:p>
        </w:tc>
      </w:tr>
    </w:tbl>
    <w:p>
      <w:pPr>
        <w:rPr>
          <w:rFonts w:hint="eastAsia" w:ascii="Times New Roman" w:hAnsi="Times New Roman" w:eastAsia="宋体" w:cs="Times New Roman"/>
          <w:lang w:eastAsia="zh-C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pStyle w:val="3"/>
        <w:numPr>
          <w:ilvl w:val="0"/>
          <w:numId w:val="0"/>
        </w:num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rPr>
          <w:rFonts w:hint="eastAsia" w:ascii="宋体" w:hAnsi="宋体" w:eastAsia="宋体" w:cs="Times New Roman"/>
        </w:rPr>
      </w:pPr>
    </w:p>
    <w:p>
      <w:pPr>
        <w:pStyle w:val="3"/>
        <w:numPr>
          <w:ilvl w:val="0"/>
          <w:numId w:val="0"/>
        </w:numPr>
        <w:jc w:val="both"/>
        <w:rPr>
          <w:rFonts w:hint="eastAsia" w:ascii="宋体" w:hAnsi="宋体" w:eastAsia="宋体"/>
        </w:rPr>
        <w:sectPr>
          <w:headerReference r:id="rId3" w:type="default"/>
          <w:footerReference r:id="rId4" w:type="default"/>
          <w:footerReference r:id="rId5" w:type="even"/>
          <w:pgSz w:w="11906" w:h="16838"/>
          <w:pgMar w:top="1440" w:right="1440" w:bottom="1440" w:left="1287" w:header="851" w:footer="992" w:gutter="0"/>
          <w:cols w:space="720" w:num="1"/>
          <w:docGrid w:type="lines" w:linePitch="312" w:charSpace="0"/>
        </w:sectPr>
      </w:pPr>
    </w:p>
    <w:p>
      <w:pPr>
        <w:tabs>
          <w:tab w:val="left" w:pos="945"/>
          <w:tab w:val="left" w:pos="1080"/>
        </w:tabs>
        <w:spacing w:line="360" w:lineRule="auto"/>
        <w:ind w:left="525"/>
        <w:jc w:val="center"/>
        <w:rPr>
          <w:rFonts w:ascii="黑体" w:hAnsi="宋体" w:eastAsia="黑体" w:cs="宋体"/>
          <w:kern w:val="0"/>
          <w:sz w:val="28"/>
          <w:szCs w:val="28"/>
        </w:rPr>
      </w:pPr>
      <w:r>
        <w:rPr>
          <w:rFonts w:hint="eastAsia" w:ascii="黑体" w:hAnsi="宋体" w:eastAsia="黑体" w:cs="宋体"/>
          <w:kern w:val="0"/>
          <w:sz w:val="28"/>
          <w:szCs w:val="28"/>
        </w:rPr>
        <w:t>无锡职业技术学院太湖校区绿化养护全年主要工作任务及目标要求</w:t>
      </w:r>
    </w:p>
    <w:tbl>
      <w:tblPr>
        <w:tblStyle w:val="15"/>
        <w:tblW w:w="0" w:type="auto"/>
        <w:tblInd w:w="0" w:type="dxa"/>
        <w:tblLayout w:type="fixed"/>
        <w:tblCellMar>
          <w:top w:w="0" w:type="dxa"/>
          <w:left w:w="108" w:type="dxa"/>
          <w:bottom w:w="0" w:type="dxa"/>
          <w:right w:w="108" w:type="dxa"/>
        </w:tblCellMar>
      </w:tblPr>
      <w:tblGrid>
        <w:gridCol w:w="697"/>
        <w:gridCol w:w="783"/>
        <w:gridCol w:w="416"/>
        <w:gridCol w:w="2465"/>
        <w:gridCol w:w="7879"/>
        <w:gridCol w:w="1193"/>
        <w:gridCol w:w="1132"/>
      </w:tblGrid>
      <w:tr>
        <w:tblPrEx>
          <w:tblCellMar>
            <w:top w:w="0" w:type="dxa"/>
            <w:left w:w="108" w:type="dxa"/>
            <w:bottom w:w="0" w:type="dxa"/>
            <w:right w:w="108" w:type="dxa"/>
          </w:tblCellMar>
        </w:tblPrEx>
        <w:trPr>
          <w:trHeight w:val="540" w:hRule="atLeast"/>
        </w:trPr>
        <w:tc>
          <w:tcPr>
            <w:tcW w:w="148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月份</w:t>
            </w:r>
          </w:p>
        </w:tc>
        <w:tc>
          <w:tcPr>
            <w:tcW w:w="288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主要工作任务</w:t>
            </w:r>
          </w:p>
        </w:tc>
        <w:tc>
          <w:tcPr>
            <w:tcW w:w="78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目标要求</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时间计划</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报价组成（%）</w:t>
            </w:r>
          </w:p>
        </w:tc>
      </w:tr>
      <w:tr>
        <w:tblPrEx>
          <w:tblCellMar>
            <w:top w:w="0" w:type="dxa"/>
            <w:left w:w="108" w:type="dxa"/>
            <w:bottom w:w="0" w:type="dxa"/>
            <w:right w:w="108" w:type="dxa"/>
          </w:tblCellMar>
        </w:tblPrEx>
        <w:trPr>
          <w:trHeight w:val="559" w:hRule="atLeast"/>
        </w:trPr>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冬季</w:t>
            </w:r>
          </w:p>
        </w:tc>
        <w:tc>
          <w:tcPr>
            <w:tcW w:w="783"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12月</w:t>
            </w:r>
          </w:p>
          <w:p>
            <w:pPr>
              <w:jc w:val="center"/>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冬季草花更换</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12月中旬，完成冬季草花更换，草花应图案清晰、色彩鲜艳、花朵繁茂、花期一致，种植密度不低于64株/平方米，视品种植株大小应适当提高密度，保持基本不见裸土</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783" w:type="dxa"/>
            <w:vMerge w:val="continue"/>
            <w:tcBorders>
              <w:left w:val="single" w:color="auto" w:sz="4" w:space="0"/>
              <w:right w:val="single" w:color="auto" w:sz="4" w:space="0"/>
            </w:tcBorders>
            <w:noWrap w:val="0"/>
            <w:vAlign w:val="center"/>
          </w:tcPr>
          <w:p>
            <w:pPr>
              <w:jc w:val="center"/>
              <w:rPr>
                <w:rFonts w:hint="eastAsia"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树木整形修剪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对以香樟、无患子为代表的常绿和落叶行道树进行疏枝和整形修剪，本月应完成行道树整形以及紫薇、木芙蓉、月季、美人蕉、水生植物等品种的越冬修剪</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安全管理</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树木修剪前应重点针对高空作业人员进行安全技术交底和正确示范，并做好安全防护措施，并上报安全交底记录和照片</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草坪修剪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黑麦草、退化草坪等每15天修剪1次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9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抗雪减灾应急保障</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月上旬完成抗雪减灾应急预案编制，最低标准应急物料（铁锹10把、长竹竿30根、扫帚10把）、车辆（卡车1辆、水车1辆）、人员（10人）等全部落实到位，加固倾斜松动树木，抽稀和加固竹林，并按照考核小组统一部署组织应急抢险演练，保障期间应做到1小时内排除险情，2天内完成倒伏树木扶正</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left w:val="single" w:color="auto" w:sz="4" w:space="0"/>
              <w:right w:val="single" w:color="auto" w:sz="4" w:space="0"/>
            </w:tcBorders>
            <w:noWrap w:val="0"/>
            <w:vAlign w:val="center"/>
          </w:tcPr>
          <w:p>
            <w:pPr>
              <w:jc w:val="center"/>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灌冻水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12月下旬，土壤封冻前，对所有乔灌草浇灌一次冻水，浇足浇透，以浸透土壤15-20cm为宜。</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台账资料</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12月上旬上报，台账包括年度工作总结、项目经理每日巡查记录等，1月中旬上报</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restart"/>
            <w:tcBorders>
              <w:top w:val="single" w:color="auto" w:sz="4" w:space="0"/>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1月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草坪修剪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黑麦草等中旬修剪1次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left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抗雪减灾应急保障</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继续按照抗雪减灾应急预案做好应急保障，保障期间应做到1小时内排除险情，2天内完成倒伏树木扶正</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随机</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left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安全管理</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春节前一周应对所有作业工人进行节日安全交底，并上报春节值班表</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春节保障</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春节前一周对绿地内的绿化垃圾进行一次全面清理，并按照抗雪减灾应急预案做好春节期间应急保障</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抗雪减灾应急保障</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继续按照抗雪减灾应急预案做好应急保障，保障期间应做到1小时内排除险情，2天内完成倒伏树木扶正</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随机</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草坪修剪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黑麦草等中旬修剪1次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树木整形修剪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完成除行道树以外的香樟、广玉兰、女贞、桂花等常绿树种的疏枝整形修剪</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70" w:hRule="atLeast"/>
        </w:trPr>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春季</w:t>
            </w: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施肥、松土</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结合对所有乔灌木树穴松土整饬，施腐熟有机肥，施肥量不低于1kg/m</w:t>
            </w:r>
            <w:r>
              <w:rPr>
                <w:rFonts w:hint="eastAsia" w:ascii="宋体" w:hAnsi="宋体" w:eastAsia="宋体" w:cs="宋体"/>
                <w:kern w:val="0"/>
                <w:sz w:val="20"/>
                <w:szCs w:val="20"/>
                <w:vertAlign w:val="superscript"/>
              </w:rPr>
              <w:t>2</w:t>
            </w:r>
            <w:r>
              <w:rPr>
                <w:rFonts w:hint="eastAsia" w:ascii="宋体" w:hAnsi="宋体" w:eastAsia="宋体" w:cs="宋体"/>
                <w:kern w:val="0"/>
                <w:sz w:val="20"/>
                <w:szCs w:val="20"/>
              </w:rPr>
              <w:t>，对绿篱、色块、黑麦草和草花等地被植物施一次复合肥，施肥量不低于15g/m</w:t>
            </w:r>
            <w:r>
              <w:rPr>
                <w:rFonts w:hint="eastAsia" w:ascii="宋体" w:hAnsi="宋体" w:eastAsia="宋体" w:cs="宋体"/>
                <w:kern w:val="0"/>
                <w:sz w:val="20"/>
                <w:szCs w:val="20"/>
                <w:vertAlign w:val="superscript"/>
              </w:rPr>
              <w:t>2</w:t>
            </w:r>
            <w:r>
              <w:rPr>
                <w:rFonts w:hint="eastAsia" w:ascii="宋体" w:hAnsi="宋体" w:eastAsia="宋体" w:cs="宋体"/>
                <w:kern w:val="0"/>
                <w:sz w:val="20"/>
                <w:szCs w:val="20"/>
              </w:rPr>
              <w:t>，施肥可与春灌结合，提高吸收率</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春灌</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对所有绿地进行一次全面春灌，要求浇足浇透，以浸透土壤15-20cm为宜</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撤除防寒设施</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撤除热带树种防寒设施</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除草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每10天除一次杂草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草坪修剪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黑麦草每15天修剪1次，中旬天堂草、绿篱、球类修剪1次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9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病虫害防治</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主要应针对病虫害越冬代进行防治，摘除</w:t>
            </w:r>
            <w:r>
              <w:rPr>
                <w:rFonts w:hint="eastAsia" w:ascii="宋体" w:hAnsi="宋体" w:eastAsia="宋体" w:cs="宋体"/>
                <w:b/>
                <w:bCs/>
                <w:kern w:val="0"/>
                <w:sz w:val="20"/>
                <w:szCs w:val="20"/>
              </w:rPr>
              <w:t>大袋蛾</w:t>
            </w:r>
            <w:r>
              <w:rPr>
                <w:rFonts w:hint="eastAsia" w:ascii="宋体" w:hAnsi="宋体" w:eastAsia="宋体" w:cs="宋体"/>
                <w:kern w:val="0"/>
                <w:sz w:val="20"/>
                <w:szCs w:val="20"/>
              </w:rPr>
              <w:t>虫囊（香樟、樱花、柏类、桂花等）；清除</w:t>
            </w:r>
            <w:r>
              <w:rPr>
                <w:rFonts w:hint="eastAsia" w:ascii="宋体" w:hAnsi="宋体" w:eastAsia="宋体" w:cs="宋体"/>
                <w:b/>
                <w:bCs/>
                <w:kern w:val="0"/>
                <w:sz w:val="20"/>
                <w:szCs w:val="20"/>
              </w:rPr>
              <w:t>刺蛾</w:t>
            </w:r>
            <w:r>
              <w:rPr>
                <w:rFonts w:hint="eastAsia" w:ascii="宋体" w:hAnsi="宋体" w:eastAsia="宋体" w:cs="宋体"/>
                <w:kern w:val="0"/>
                <w:sz w:val="20"/>
                <w:szCs w:val="20"/>
              </w:rPr>
              <w:t>虫茧（栾树、枫杨、红叶李、杨树、柳树、桃树等）；对草坪、麦冬、葱兰等土壤中的金龟子幼虫（</w:t>
            </w:r>
            <w:r>
              <w:rPr>
                <w:rFonts w:hint="eastAsia" w:ascii="宋体" w:hAnsi="宋体" w:eastAsia="宋体" w:cs="宋体"/>
                <w:b/>
                <w:bCs/>
                <w:kern w:val="0"/>
                <w:sz w:val="20"/>
                <w:szCs w:val="20"/>
              </w:rPr>
              <w:t>蛴螬</w:t>
            </w:r>
            <w:r>
              <w:rPr>
                <w:rFonts w:hint="eastAsia" w:ascii="宋体" w:hAnsi="宋体" w:eastAsia="宋体" w:cs="宋体"/>
                <w:kern w:val="0"/>
                <w:sz w:val="20"/>
                <w:szCs w:val="20"/>
              </w:rPr>
              <w:t>）视情况通过人工翻土或药物进行防治；开始对</w:t>
            </w:r>
            <w:r>
              <w:rPr>
                <w:rFonts w:hint="eastAsia" w:ascii="宋体" w:hAnsi="宋体" w:eastAsia="宋体" w:cs="宋体"/>
                <w:b/>
                <w:bCs/>
                <w:kern w:val="0"/>
                <w:sz w:val="20"/>
                <w:szCs w:val="20"/>
              </w:rPr>
              <w:t>蚜虫</w:t>
            </w:r>
            <w:r>
              <w:rPr>
                <w:rFonts w:hint="eastAsia" w:ascii="宋体" w:hAnsi="宋体" w:eastAsia="宋体" w:cs="宋体"/>
                <w:kern w:val="0"/>
                <w:sz w:val="20"/>
                <w:szCs w:val="20"/>
              </w:rPr>
              <w:t>、</w:t>
            </w:r>
            <w:r>
              <w:rPr>
                <w:rFonts w:hint="eastAsia" w:ascii="宋体" w:hAnsi="宋体" w:eastAsia="宋体" w:cs="宋体"/>
                <w:b/>
                <w:bCs/>
                <w:kern w:val="0"/>
                <w:sz w:val="20"/>
                <w:szCs w:val="20"/>
              </w:rPr>
              <w:t>黄杨绢野螟</w:t>
            </w:r>
            <w:r>
              <w:rPr>
                <w:rFonts w:hint="eastAsia" w:ascii="宋体" w:hAnsi="宋体" w:eastAsia="宋体" w:cs="宋体"/>
                <w:kern w:val="0"/>
                <w:sz w:val="20"/>
                <w:szCs w:val="20"/>
              </w:rPr>
              <w:t>、</w:t>
            </w:r>
            <w:r>
              <w:rPr>
                <w:rFonts w:hint="eastAsia" w:ascii="宋体" w:hAnsi="宋体" w:eastAsia="宋体" w:cs="宋体"/>
                <w:b/>
                <w:bCs/>
                <w:kern w:val="0"/>
                <w:sz w:val="20"/>
                <w:szCs w:val="20"/>
              </w:rPr>
              <w:t>金叶女贞叶斑病</w:t>
            </w:r>
            <w:r>
              <w:rPr>
                <w:rFonts w:hint="eastAsia" w:ascii="宋体" w:hAnsi="宋体" w:eastAsia="宋体" w:cs="宋体"/>
                <w:kern w:val="0"/>
                <w:sz w:val="20"/>
                <w:szCs w:val="20"/>
              </w:rPr>
              <w:t>进行防治</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春季草花更换</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完成春季草花更换，草花应图案清晰、色彩鲜艳、花朵繁茂、花期一致，种植密度不低于64株/平方米，视品种植株大小应适当提高密度，保持基本不见裸土</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每15天修剪一次黑麦草、绿篱、球类，乔木剥芽1次，黑麦草低修剪，开花植物花后2周内完成整形修剪并施肥</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浇水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每10天对绿地浇一次透水</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除草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每10天除一次杂草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清扫香樟落叶及其他垃圾</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加大保洁力度，及时清扫香樟落叶及绿化带内各类垃圾（石块等）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66"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病虫害防治</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本月是春季病虫害发生和为害高峰，重点防治对象：</w:t>
            </w:r>
            <w:r>
              <w:rPr>
                <w:rFonts w:hint="eastAsia" w:ascii="宋体" w:hAnsi="宋体" w:eastAsia="宋体" w:cs="宋体"/>
                <w:b/>
                <w:bCs/>
                <w:kern w:val="0"/>
                <w:sz w:val="20"/>
                <w:szCs w:val="20"/>
              </w:rPr>
              <w:t>蚜虫</w:t>
            </w:r>
            <w:r>
              <w:rPr>
                <w:rFonts w:hint="eastAsia" w:ascii="宋体" w:hAnsi="宋体" w:eastAsia="宋体" w:cs="宋体"/>
                <w:kern w:val="0"/>
                <w:sz w:val="20"/>
                <w:szCs w:val="20"/>
              </w:rPr>
              <w:t>（栾树、槐树、红叶李、樱花、梅花、桃树、金枝槐、海棠、紫荆、木槿、石榴、竹子、海桐、法冬、夹竹桃、黄杨、火棘、栀子、月季、蔷薇等）、</w:t>
            </w:r>
            <w:r>
              <w:rPr>
                <w:rFonts w:hint="eastAsia" w:ascii="宋体" w:hAnsi="宋体" w:eastAsia="宋体" w:cs="宋体"/>
                <w:b/>
                <w:bCs/>
                <w:kern w:val="0"/>
                <w:sz w:val="20"/>
                <w:szCs w:val="20"/>
              </w:rPr>
              <w:t>介壳虫</w:t>
            </w:r>
            <w:r>
              <w:rPr>
                <w:rFonts w:hint="eastAsia" w:ascii="宋体" w:hAnsi="宋体" w:eastAsia="宋体" w:cs="宋体"/>
                <w:kern w:val="0"/>
                <w:sz w:val="20"/>
                <w:szCs w:val="20"/>
              </w:rPr>
              <w:t>（香樟、广玉兰、含笑、香橼、独干女贞、桂花、桔子等）</w:t>
            </w:r>
            <w:r>
              <w:rPr>
                <w:rFonts w:hint="eastAsia" w:ascii="宋体" w:hAnsi="宋体" w:eastAsia="宋体" w:cs="宋体"/>
                <w:b/>
                <w:bCs/>
                <w:kern w:val="0"/>
                <w:sz w:val="20"/>
                <w:szCs w:val="20"/>
              </w:rPr>
              <w:t>、紫薇绒蚧</w:t>
            </w:r>
            <w:r>
              <w:rPr>
                <w:rFonts w:hint="eastAsia" w:ascii="宋体" w:hAnsi="宋体" w:eastAsia="宋体" w:cs="宋体"/>
                <w:kern w:val="0"/>
                <w:sz w:val="20"/>
                <w:szCs w:val="20"/>
              </w:rPr>
              <w:t>（紫薇、石榴）、</w:t>
            </w:r>
            <w:r>
              <w:rPr>
                <w:rFonts w:hint="eastAsia" w:ascii="宋体" w:hAnsi="宋体" w:eastAsia="宋体" w:cs="宋体"/>
                <w:b/>
                <w:bCs/>
                <w:kern w:val="0"/>
                <w:sz w:val="20"/>
                <w:szCs w:val="20"/>
              </w:rPr>
              <w:t>天牛</w:t>
            </w:r>
            <w:r>
              <w:rPr>
                <w:rFonts w:hint="eastAsia" w:ascii="宋体" w:hAnsi="宋体" w:eastAsia="宋体" w:cs="宋体"/>
                <w:kern w:val="0"/>
                <w:sz w:val="20"/>
                <w:szCs w:val="20"/>
              </w:rPr>
              <w:t>（栾树、无患子、合欢、红枫、法梧、杨树、柳树、桃树、槐树等）、</w:t>
            </w:r>
            <w:r>
              <w:rPr>
                <w:rFonts w:hint="eastAsia" w:ascii="宋体" w:hAnsi="宋体" w:eastAsia="宋体" w:cs="宋体"/>
                <w:b/>
                <w:bCs/>
                <w:kern w:val="0"/>
                <w:sz w:val="20"/>
                <w:szCs w:val="20"/>
              </w:rPr>
              <w:t>蛴螬</w:t>
            </w:r>
            <w:r>
              <w:rPr>
                <w:rFonts w:hint="eastAsia" w:ascii="宋体" w:hAnsi="宋体" w:eastAsia="宋体" w:cs="宋体"/>
                <w:kern w:val="0"/>
                <w:sz w:val="20"/>
                <w:szCs w:val="20"/>
              </w:rPr>
              <w:t>（草坪、麦冬、葱兰）、</w:t>
            </w:r>
            <w:r>
              <w:rPr>
                <w:rFonts w:hint="eastAsia" w:ascii="宋体" w:hAnsi="宋体" w:eastAsia="宋体" w:cs="宋体"/>
                <w:b/>
                <w:bCs/>
                <w:kern w:val="0"/>
                <w:sz w:val="20"/>
                <w:szCs w:val="20"/>
              </w:rPr>
              <w:t>尺蠖</w:t>
            </w:r>
            <w:r>
              <w:rPr>
                <w:rFonts w:hint="eastAsia" w:ascii="宋体" w:hAnsi="宋体" w:eastAsia="宋体" w:cs="宋体"/>
                <w:kern w:val="0"/>
                <w:sz w:val="20"/>
                <w:szCs w:val="20"/>
              </w:rPr>
              <w:t>（国槐、金枝槐、大叶黄杨）、</w:t>
            </w:r>
            <w:r>
              <w:rPr>
                <w:rFonts w:hint="eastAsia" w:ascii="宋体" w:hAnsi="宋体" w:eastAsia="宋体" w:cs="宋体"/>
                <w:b/>
                <w:bCs/>
                <w:kern w:val="0"/>
                <w:sz w:val="20"/>
                <w:szCs w:val="20"/>
              </w:rPr>
              <w:t>红蜘蛛</w:t>
            </w:r>
            <w:r>
              <w:rPr>
                <w:rFonts w:hint="eastAsia" w:ascii="宋体" w:hAnsi="宋体" w:eastAsia="宋体" w:cs="宋体"/>
                <w:kern w:val="0"/>
                <w:sz w:val="20"/>
                <w:szCs w:val="20"/>
              </w:rPr>
              <w:t>（香樟、月季、海棠、桂花、桃树、红叶李、木槿、紫荆等）、</w:t>
            </w:r>
            <w:r>
              <w:rPr>
                <w:rFonts w:hint="eastAsia" w:ascii="宋体" w:hAnsi="宋体" w:eastAsia="宋体" w:cs="宋体"/>
                <w:b/>
                <w:bCs/>
                <w:kern w:val="0"/>
                <w:sz w:val="20"/>
                <w:szCs w:val="20"/>
              </w:rPr>
              <w:t>杜鹃网蝽</w:t>
            </w:r>
            <w:r>
              <w:rPr>
                <w:rFonts w:hint="eastAsia" w:ascii="宋体" w:hAnsi="宋体" w:eastAsia="宋体" w:cs="宋体"/>
                <w:kern w:val="0"/>
                <w:sz w:val="20"/>
                <w:szCs w:val="20"/>
              </w:rPr>
              <w:t>（杜鹃）、</w:t>
            </w:r>
            <w:r>
              <w:rPr>
                <w:rFonts w:hint="eastAsia" w:ascii="宋体" w:hAnsi="宋体" w:eastAsia="宋体" w:cs="宋体"/>
                <w:b/>
                <w:bCs/>
                <w:kern w:val="0"/>
                <w:sz w:val="20"/>
                <w:szCs w:val="20"/>
              </w:rPr>
              <w:t>黄杨绢野螟</w:t>
            </w:r>
            <w:r>
              <w:rPr>
                <w:rFonts w:hint="eastAsia" w:ascii="宋体" w:hAnsi="宋体" w:eastAsia="宋体" w:cs="宋体"/>
                <w:kern w:val="0"/>
                <w:sz w:val="20"/>
                <w:szCs w:val="20"/>
              </w:rPr>
              <w:t>、</w:t>
            </w:r>
            <w:r>
              <w:rPr>
                <w:rFonts w:hint="eastAsia" w:ascii="宋体" w:hAnsi="宋体" w:eastAsia="宋体" w:cs="宋体"/>
                <w:b/>
                <w:bCs/>
                <w:kern w:val="0"/>
                <w:sz w:val="20"/>
                <w:szCs w:val="20"/>
              </w:rPr>
              <w:t>大叶黄杨斑蛾</w:t>
            </w:r>
            <w:r>
              <w:rPr>
                <w:rFonts w:hint="eastAsia" w:ascii="宋体" w:hAnsi="宋体" w:eastAsia="宋体" w:cs="宋体"/>
                <w:kern w:val="0"/>
                <w:sz w:val="20"/>
                <w:szCs w:val="20"/>
              </w:rPr>
              <w:t>，</w:t>
            </w:r>
            <w:r>
              <w:rPr>
                <w:rFonts w:hint="eastAsia" w:ascii="宋体" w:hAnsi="宋体" w:eastAsia="宋体" w:cs="宋体"/>
                <w:b/>
                <w:bCs/>
                <w:kern w:val="0"/>
                <w:sz w:val="20"/>
                <w:szCs w:val="20"/>
              </w:rPr>
              <w:t>金叶女贞叶斑病</w:t>
            </w:r>
            <w:r>
              <w:rPr>
                <w:rFonts w:hint="eastAsia" w:ascii="宋体" w:hAnsi="宋体" w:eastAsia="宋体" w:cs="宋体"/>
                <w:kern w:val="0"/>
                <w:sz w:val="20"/>
                <w:szCs w:val="20"/>
              </w:rPr>
              <w:t>、</w:t>
            </w:r>
            <w:r>
              <w:rPr>
                <w:rFonts w:hint="eastAsia" w:ascii="宋体" w:hAnsi="宋体" w:eastAsia="宋体" w:cs="宋体"/>
                <w:b/>
                <w:bCs/>
                <w:kern w:val="0"/>
                <w:sz w:val="20"/>
                <w:szCs w:val="20"/>
              </w:rPr>
              <w:t>月季黑斑病</w:t>
            </w:r>
            <w:r>
              <w:rPr>
                <w:rFonts w:hint="eastAsia" w:ascii="宋体" w:hAnsi="宋体" w:eastAsia="宋体" w:cs="宋体"/>
                <w:kern w:val="0"/>
                <w:sz w:val="20"/>
                <w:szCs w:val="20"/>
              </w:rPr>
              <w:t>、</w:t>
            </w:r>
            <w:r>
              <w:rPr>
                <w:rFonts w:hint="eastAsia" w:ascii="宋体" w:hAnsi="宋体" w:eastAsia="宋体" w:cs="宋体"/>
                <w:b/>
                <w:bCs/>
                <w:kern w:val="0"/>
                <w:sz w:val="20"/>
                <w:szCs w:val="20"/>
              </w:rPr>
              <w:t>白粉病</w:t>
            </w:r>
            <w:r>
              <w:rPr>
                <w:rFonts w:hint="eastAsia" w:ascii="宋体" w:hAnsi="宋体" w:eastAsia="宋体" w:cs="宋体"/>
                <w:kern w:val="0"/>
                <w:sz w:val="20"/>
                <w:szCs w:val="20"/>
              </w:rPr>
              <w:t>（紫薇、月季、狭叶十大功劳、大叶黄杨等）。每7天进行一次药物防治。</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每15天修剪一次草坪、绿篱、球类，乔木剥芽1次，黑麦草低修剪，开花植物花后2周内完成整形修剪</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浇水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每5天对绿地浇一次透水</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7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29</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追肥</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5月上旬对草坪、草花、绿篱追施复合肥，施肥量不低于不低于15g/ m</w:t>
            </w:r>
            <w:r>
              <w:rPr>
                <w:rFonts w:hint="eastAsia" w:ascii="宋体" w:hAnsi="宋体" w:eastAsia="宋体" w:cs="宋体"/>
                <w:kern w:val="0"/>
                <w:sz w:val="20"/>
                <w:szCs w:val="20"/>
                <w:vertAlign w:val="superscript"/>
              </w:rPr>
              <w:t>2</w:t>
            </w:r>
            <w:r>
              <w:rPr>
                <w:rFonts w:hint="eastAsia" w:ascii="宋体" w:hAnsi="宋体" w:eastAsia="宋体" w:cs="宋体"/>
                <w:kern w:val="0"/>
                <w:sz w:val="20"/>
                <w:szCs w:val="20"/>
              </w:rPr>
              <w:t>，对花后植物追施腐熟有机肥，施肥量不低于1kg/m</w:t>
            </w:r>
            <w:r>
              <w:rPr>
                <w:rFonts w:hint="eastAsia" w:ascii="宋体" w:hAnsi="宋体" w:eastAsia="宋体" w:cs="宋体"/>
                <w:kern w:val="0"/>
                <w:sz w:val="20"/>
                <w:szCs w:val="20"/>
                <w:vertAlign w:val="superscript"/>
              </w:rPr>
              <w:t>2</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除草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每10天除一次杂草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松土</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中旬旬对所有乔灌木树穴进行翻土整饬，灌木、色块、草坪切边</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清扫香樟落叶</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5月上旬继续对香樟落叶进行及时清扫</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常绿树补植</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10月上旬对常绿树种缺株、死苗及受损、外形不佳苗木规格数量进行排查统计，制定补植计划，本月完成常绿树种补植，补植苗木规格不得低于原来标准</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16"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病虫害防治</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重点防治对象：</w:t>
            </w:r>
            <w:r>
              <w:rPr>
                <w:rFonts w:hint="eastAsia" w:ascii="宋体" w:hAnsi="宋体" w:eastAsia="宋体" w:cs="宋体"/>
                <w:b/>
                <w:bCs/>
                <w:kern w:val="0"/>
                <w:sz w:val="20"/>
                <w:szCs w:val="20"/>
              </w:rPr>
              <w:t>木虱</w:t>
            </w:r>
            <w:r>
              <w:rPr>
                <w:rFonts w:hint="eastAsia" w:ascii="宋体" w:hAnsi="宋体" w:eastAsia="宋体" w:cs="宋体"/>
                <w:kern w:val="0"/>
                <w:sz w:val="20"/>
                <w:szCs w:val="20"/>
              </w:rPr>
              <w:t>（青桐、合欢）、</w:t>
            </w:r>
            <w:r>
              <w:rPr>
                <w:rFonts w:hint="eastAsia" w:ascii="宋体" w:hAnsi="宋体" w:eastAsia="宋体" w:cs="宋体"/>
                <w:b/>
                <w:bCs/>
                <w:kern w:val="0"/>
                <w:sz w:val="20"/>
                <w:szCs w:val="20"/>
              </w:rPr>
              <w:t>刺蛾</w:t>
            </w:r>
            <w:r>
              <w:rPr>
                <w:rFonts w:hint="eastAsia" w:ascii="宋体" w:hAnsi="宋体" w:eastAsia="宋体" w:cs="宋体"/>
                <w:kern w:val="0"/>
                <w:sz w:val="20"/>
                <w:szCs w:val="20"/>
              </w:rPr>
              <w:t>（法梧、杨树、柳树、枫杨、槐树、桃树、梅花、海棠、樱花、红叶李等）、</w:t>
            </w:r>
            <w:r>
              <w:rPr>
                <w:rFonts w:hint="eastAsia" w:ascii="宋体" w:hAnsi="宋体" w:eastAsia="宋体" w:cs="宋体"/>
                <w:b/>
                <w:bCs/>
                <w:kern w:val="0"/>
                <w:sz w:val="20"/>
                <w:szCs w:val="20"/>
              </w:rPr>
              <w:t>蚜虫</w:t>
            </w:r>
            <w:r>
              <w:rPr>
                <w:rFonts w:hint="eastAsia" w:ascii="宋体" w:hAnsi="宋体" w:eastAsia="宋体" w:cs="宋体"/>
                <w:kern w:val="0"/>
                <w:sz w:val="20"/>
                <w:szCs w:val="20"/>
              </w:rPr>
              <w:t>（栾树、槐树、红叶李、樱花、梅花、桃树、金枝槐、海棠、紫荆、木槿、石榴、竹子、海桐、法冬、夹竹桃、黄杨、火棘、栀子、月季、蔷薇等）、</w:t>
            </w:r>
            <w:r>
              <w:rPr>
                <w:rFonts w:hint="eastAsia" w:ascii="宋体" w:hAnsi="宋体" w:eastAsia="宋体" w:cs="宋体"/>
                <w:b/>
                <w:bCs/>
                <w:kern w:val="0"/>
                <w:sz w:val="20"/>
                <w:szCs w:val="20"/>
              </w:rPr>
              <w:t>介壳虫（香樟、广玉兰、含笑、香橼、独干女贞、桂花、桔子等）、紫薇绒蚧</w:t>
            </w:r>
            <w:r>
              <w:rPr>
                <w:rFonts w:hint="eastAsia" w:ascii="宋体" w:hAnsi="宋体" w:eastAsia="宋体" w:cs="宋体"/>
                <w:kern w:val="0"/>
                <w:sz w:val="20"/>
                <w:szCs w:val="20"/>
              </w:rPr>
              <w:t>（紫薇、石榴）、</w:t>
            </w:r>
            <w:r>
              <w:rPr>
                <w:rFonts w:hint="eastAsia" w:ascii="宋体" w:hAnsi="宋体" w:eastAsia="宋体" w:cs="宋体"/>
                <w:b/>
                <w:bCs/>
                <w:kern w:val="0"/>
                <w:sz w:val="20"/>
                <w:szCs w:val="20"/>
              </w:rPr>
              <w:t>天牛</w:t>
            </w:r>
            <w:r>
              <w:rPr>
                <w:rFonts w:hint="eastAsia" w:ascii="宋体" w:hAnsi="宋体" w:eastAsia="宋体" w:cs="宋体"/>
                <w:kern w:val="0"/>
                <w:sz w:val="20"/>
                <w:szCs w:val="20"/>
              </w:rPr>
              <w:t>（栾树、无患子、合欢、红枫、法梧、杨树、柳树、桃树、槐树等）、</w:t>
            </w:r>
            <w:r>
              <w:rPr>
                <w:rFonts w:hint="eastAsia" w:ascii="宋体" w:hAnsi="宋体" w:eastAsia="宋体" w:cs="宋体"/>
                <w:b/>
                <w:bCs/>
                <w:kern w:val="0"/>
                <w:sz w:val="20"/>
                <w:szCs w:val="20"/>
              </w:rPr>
              <w:t>尺蠖</w:t>
            </w:r>
            <w:r>
              <w:rPr>
                <w:rFonts w:hint="eastAsia" w:ascii="宋体" w:hAnsi="宋体" w:eastAsia="宋体" w:cs="宋体"/>
                <w:kern w:val="0"/>
                <w:sz w:val="20"/>
                <w:szCs w:val="20"/>
              </w:rPr>
              <w:t>（国槐、金枝槐、大叶黄杨）、</w:t>
            </w:r>
            <w:r>
              <w:rPr>
                <w:rFonts w:hint="eastAsia" w:ascii="宋体" w:hAnsi="宋体" w:eastAsia="宋体" w:cs="宋体"/>
                <w:b/>
                <w:bCs/>
                <w:kern w:val="0"/>
                <w:sz w:val="20"/>
                <w:szCs w:val="20"/>
              </w:rPr>
              <w:t>红蜘蛛</w:t>
            </w:r>
            <w:r>
              <w:rPr>
                <w:rFonts w:hint="eastAsia" w:ascii="宋体" w:hAnsi="宋体" w:eastAsia="宋体" w:cs="宋体"/>
                <w:kern w:val="0"/>
                <w:sz w:val="20"/>
                <w:szCs w:val="20"/>
              </w:rPr>
              <w:t>（香樟、月季、海棠、桂花、桃树、红叶李、木槿、紫荆等）、</w:t>
            </w:r>
            <w:r>
              <w:rPr>
                <w:rFonts w:hint="eastAsia" w:ascii="宋体" w:hAnsi="宋体" w:eastAsia="宋体" w:cs="宋体"/>
                <w:b/>
                <w:bCs/>
                <w:kern w:val="0"/>
                <w:sz w:val="20"/>
                <w:szCs w:val="20"/>
              </w:rPr>
              <w:t>黄杨绢野螟</w:t>
            </w:r>
            <w:r>
              <w:rPr>
                <w:rFonts w:hint="eastAsia" w:ascii="宋体" w:hAnsi="宋体" w:eastAsia="宋体" w:cs="宋体"/>
                <w:kern w:val="0"/>
                <w:sz w:val="20"/>
                <w:szCs w:val="20"/>
              </w:rPr>
              <w:t>、</w:t>
            </w:r>
            <w:r>
              <w:rPr>
                <w:rFonts w:hint="eastAsia" w:ascii="宋体" w:hAnsi="宋体" w:eastAsia="宋体" w:cs="宋体"/>
                <w:b/>
                <w:bCs/>
                <w:kern w:val="0"/>
                <w:sz w:val="20"/>
                <w:szCs w:val="20"/>
              </w:rPr>
              <w:t>大叶黄杨斑蛾</w:t>
            </w:r>
            <w:r>
              <w:rPr>
                <w:rFonts w:hint="eastAsia" w:ascii="宋体" w:hAnsi="宋体" w:eastAsia="宋体" w:cs="宋体"/>
                <w:kern w:val="0"/>
                <w:sz w:val="20"/>
                <w:szCs w:val="20"/>
              </w:rPr>
              <w:t>，</w:t>
            </w:r>
            <w:r>
              <w:rPr>
                <w:rFonts w:hint="eastAsia" w:ascii="宋体" w:hAnsi="宋体" w:eastAsia="宋体" w:cs="宋体"/>
                <w:b/>
                <w:bCs/>
                <w:kern w:val="0"/>
                <w:sz w:val="20"/>
                <w:szCs w:val="20"/>
              </w:rPr>
              <w:t>金叶女贞叶斑病</w:t>
            </w:r>
            <w:r>
              <w:rPr>
                <w:rFonts w:hint="eastAsia" w:ascii="宋体" w:hAnsi="宋体" w:eastAsia="宋体" w:cs="宋体"/>
                <w:kern w:val="0"/>
                <w:sz w:val="20"/>
                <w:szCs w:val="20"/>
              </w:rPr>
              <w:t>、</w:t>
            </w:r>
            <w:r>
              <w:rPr>
                <w:rFonts w:hint="eastAsia" w:ascii="宋体" w:hAnsi="宋体" w:eastAsia="宋体" w:cs="宋体"/>
                <w:b/>
                <w:bCs/>
                <w:kern w:val="0"/>
                <w:sz w:val="20"/>
                <w:szCs w:val="20"/>
              </w:rPr>
              <w:t>月季黑斑病</w:t>
            </w:r>
            <w:r>
              <w:rPr>
                <w:rFonts w:hint="eastAsia" w:ascii="宋体" w:hAnsi="宋体" w:eastAsia="宋体" w:cs="宋体"/>
                <w:kern w:val="0"/>
                <w:sz w:val="20"/>
                <w:szCs w:val="20"/>
              </w:rPr>
              <w:t>、</w:t>
            </w:r>
            <w:r>
              <w:rPr>
                <w:rFonts w:hint="eastAsia" w:ascii="宋体" w:hAnsi="宋体" w:eastAsia="宋体" w:cs="宋体"/>
                <w:b/>
                <w:bCs/>
                <w:kern w:val="0"/>
                <w:sz w:val="20"/>
                <w:szCs w:val="20"/>
              </w:rPr>
              <w:t>白粉病</w:t>
            </w:r>
            <w:r>
              <w:rPr>
                <w:rFonts w:hint="eastAsia" w:ascii="宋体" w:hAnsi="宋体" w:eastAsia="宋体" w:cs="宋体"/>
                <w:kern w:val="0"/>
                <w:sz w:val="20"/>
                <w:szCs w:val="20"/>
              </w:rPr>
              <w:t>（紫薇、月季、狭叶十大功劳、大叶黄杨等）。每7天进行一次药物防治。</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夏季</w:t>
            </w: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每15天修剪一次草坪、绿篱、球类，乔木剥芽1次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浇水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每3天对绿地浇一次透水</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除草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每10天除一次杂草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防台防汛应急保障</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月上旬完成防台防汛应急预案编制，最低标准应急物料（铁锹10把、排水泵2台、油锯2台、手锯10把、杉木棍60根）、车辆（卡车1辆、水车1辆）、人员（10人）等全部落实到位，加固倾斜松动的树木，抽稀和加固竹林，并按照考核小组统一部署组织应急抢险演练，保障期间应做到1小时内排除险情，2天内完成倒伏树木扶正</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39</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排水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6月上旬完成林带排水系统整饬，至少每5排树一条排水沟，排水沟底宽及深度不低于50cm，排水导入地表水系或道路排水管网</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95"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病虫害防治</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重点防治对象：</w:t>
            </w:r>
            <w:r>
              <w:rPr>
                <w:rFonts w:hint="eastAsia" w:ascii="宋体" w:hAnsi="宋体" w:eastAsia="宋体" w:cs="宋体"/>
                <w:b/>
                <w:bCs/>
                <w:kern w:val="0"/>
                <w:sz w:val="20"/>
                <w:szCs w:val="20"/>
              </w:rPr>
              <w:t>木虱</w:t>
            </w:r>
            <w:r>
              <w:rPr>
                <w:rFonts w:hint="eastAsia" w:ascii="宋体" w:hAnsi="宋体" w:eastAsia="宋体" w:cs="宋体"/>
                <w:kern w:val="0"/>
                <w:sz w:val="20"/>
                <w:szCs w:val="20"/>
              </w:rPr>
              <w:t>（青桐、合欢）、</w:t>
            </w:r>
            <w:r>
              <w:rPr>
                <w:rFonts w:hint="eastAsia" w:ascii="宋体" w:hAnsi="宋体" w:eastAsia="宋体" w:cs="宋体"/>
                <w:b/>
                <w:bCs/>
                <w:kern w:val="0"/>
                <w:sz w:val="20"/>
                <w:szCs w:val="20"/>
              </w:rPr>
              <w:t>刺蛾</w:t>
            </w:r>
            <w:r>
              <w:rPr>
                <w:rFonts w:hint="eastAsia" w:ascii="宋体" w:hAnsi="宋体" w:eastAsia="宋体" w:cs="宋体"/>
                <w:kern w:val="0"/>
                <w:sz w:val="20"/>
                <w:szCs w:val="20"/>
              </w:rPr>
              <w:t>（法梧、杨树、柳树、枫杨、槐树、桃树、梅花、海棠、樱花、红叶李等）、</w:t>
            </w:r>
            <w:r>
              <w:rPr>
                <w:rFonts w:hint="eastAsia" w:ascii="宋体" w:hAnsi="宋体" w:eastAsia="宋体" w:cs="宋体"/>
                <w:b/>
                <w:bCs/>
                <w:kern w:val="0"/>
                <w:sz w:val="20"/>
                <w:szCs w:val="20"/>
              </w:rPr>
              <w:t>蚜虫</w:t>
            </w:r>
            <w:r>
              <w:rPr>
                <w:rFonts w:hint="eastAsia" w:ascii="宋体" w:hAnsi="宋体" w:eastAsia="宋体" w:cs="宋体"/>
                <w:kern w:val="0"/>
                <w:sz w:val="20"/>
                <w:szCs w:val="20"/>
              </w:rPr>
              <w:t>（栾树、槐树、红叶李、樱花、梅花、桃树、金枝槐、海棠、紫荆、木槿、石榴、竹子、海桐、法冬、夹竹桃、黄杨、火棘、栀子、月季、蔷薇等）、</w:t>
            </w:r>
            <w:r>
              <w:rPr>
                <w:rFonts w:hint="eastAsia" w:ascii="宋体" w:hAnsi="宋体" w:eastAsia="宋体" w:cs="宋体"/>
                <w:b/>
                <w:bCs/>
                <w:kern w:val="0"/>
                <w:sz w:val="20"/>
                <w:szCs w:val="20"/>
              </w:rPr>
              <w:t>介壳虫</w:t>
            </w:r>
            <w:r>
              <w:rPr>
                <w:rFonts w:hint="eastAsia" w:ascii="宋体" w:hAnsi="宋体" w:eastAsia="宋体" w:cs="宋体"/>
                <w:kern w:val="0"/>
                <w:sz w:val="20"/>
                <w:szCs w:val="20"/>
              </w:rPr>
              <w:t>（香樟、广玉兰、含笑、香橼、独干女贞、桂花、桔子等）、</w:t>
            </w:r>
            <w:r>
              <w:rPr>
                <w:rFonts w:hint="eastAsia" w:ascii="宋体" w:hAnsi="宋体" w:eastAsia="宋体" w:cs="宋体"/>
                <w:b/>
                <w:bCs/>
                <w:kern w:val="0"/>
                <w:sz w:val="20"/>
                <w:szCs w:val="20"/>
              </w:rPr>
              <w:t>紫薇绒蚧</w:t>
            </w:r>
            <w:r>
              <w:rPr>
                <w:rFonts w:hint="eastAsia" w:ascii="宋体" w:hAnsi="宋体" w:eastAsia="宋体" w:cs="宋体"/>
                <w:kern w:val="0"/>
                <w:sz w:val="20"/>
                <w:szCs w:val="20"/>
              </w:rPr>
              <w:t>（紫薇、石榴）、</w:t>
            </w:r>
            <w:r>
              <w:rPr>
                <w:rFonts w:hint="eastAsia" w:ascii="宋体" w:hAnsi="宋体" w:eastAsia="宋体" w:cs="宋体"/>
                <w:b/>
                <w:bCs/>
                <w:kern w:val="0"/>
                <w:sz w:val="20"/>
                <w:szCs w:val="20"/>
              </w:rPr>
              <w:t>天牛</w:t>
            </w:r>
            <w:r>
              <w:rPr>
                <w:rFonts w:hint="eastAsia" w:ascii="宋体" w:hAnsi="宋体" w:eastAsia="宋体" w:cs="宋体"/>
                <w:kern w:val="0"/>
                <w:sz w:val="20"/>
                <w:szCs w:val="20"/>
              </w:rPr>
              <w:t>（栾树、无患子、合欢、红枫、法梧、杨树、柳树、桃树、槐树等）、</w:t>
            </w:r>
            <w:r>
              <w:rPr>
                <w:rFonts w:hint="eastAsia" w:ascii="宋体" w:hAnsi="宋体" w:eastAsia="宋体" w:cs="宋体"/>
                <w:b/>
                <w:bCs/>
                <w:kern w:val="0"/>
                <w:sz w:val="20"/>
                <w:szCs w:val="20"/>
              </w:rPr>
              <w:t>尺蠖</w:t>
            </w:r>
            <w:r>
              <w:rPr>
                <w:rFonts w:hint="eastAsia" w:ascii="宋体" w:hAnsi="宋体" w:eastAsia="宋体" w:cs="宋体"/>
                <w:kern w:val="0"/>
                <w:sz w:val="20"/>
                <w:szCs w:val="20"/>
              </w:rPr>
              <w:t>（国槐、金枝槐、大叶黄杨）、</w:t>
            </w:r>
            <w:r>
              <w:rPr>
                <w:rFonts w:hint="eastAsia" w:ascii="宋体" w:hAnsi="宋体" w:eastAsia="宋体" w:cs="宋体"/>
                <w:b/>
                <w:bCs/>
                <w:kern w:val="0"/>
                <w:sz w:val="20"/>
                <w:szCs w:val="20"/>
              </w:rPr>
              <w:t>红蜘蛛</w:t>
            </w:r>
            <w:r>
              <w:rPr>
                <w:rFonts w:hint="eastAsia" w:ascii="宋体" w:hAnsi="宋体" w:eastAsia="宋体" w:cs="宋体"/>
                <w:kern w:val="0"/>
                <w:sz w:val="20"/>
                <w:szCs w:val="20"/>
              </w:rPr>
              <w:t>（香樟、月季、海棠、桂花、桃树、红叶李、木槿、紫荆等）、</w:t>
            </w:r>
            <w:r>
              <w:rPr>
                <w:rFonts w:hint="eastAsia" w:ascii="宋体" w:hAnsi="宋体" w:eastAsia="宋体" w:cs="宋体"/>
                <w:b/>
                <w:bCs/>
                <w:kern w:val="0"/>
                <w:sz w:val="20"/>
                <w:szCs w:val="20"/>
              </w:rPr>
              <w:t>黄杨绢野螟</w:t>
            </w:r>
            <w:r>
              <w:rPr>
                <w:rFonts w:hint="eastAsia" w:ascii="宋体" w:hAnsi="宋体" w:eastAsia="宋体" w:cs="宋体"/>
                <w:kern w:val="0"/>
                <w:sz w:val="20"/>
                <w:szCs w:val="20"/>
              </w:rPr>
              <w:t>、</w:t>
            </w:r>
            <w:r>
              <w:rPr>
                <w:rFonts w:hint="eastAsia" w:ascii="宋体" w:hAnsi="宋体" w:eastAsia="宋体" w:cs="宋体"/>
                <w:b/>
                <w:bCs/>
                <w:kern w:val="0"/>
                <w:sz w:val="20"/>
                <w:szCs w:val="20"/>
              </w:rPr>
              <w:t>大叶黄杨斑蛾</w:t>
            </w:r>
            <w:r>
              <w:rPr>
                <w:rFonts w:hint="eastAsia" w:ascii="宋体" w:hAnsi="宋体" w:eastAsia="宋体" w:cs="宋体"/>
                <w:kern w:val="0"/>
                <w:sz w:val="20"/>
                <w:szCs w:val="20"/>
              </w:rPr>
              <w:t>，</w:t>
            </w:r>
            <w:r>
              <w:rPr>
                <w:rFonts w:hint="eastAsia" w:ascii="宋体" w:hAnsi="宋体" w:eastAsia="宋体" w:cs="宋体"/>
                <w:b/>
                <w:bCs/>
                <w:kern w:val="0"/>
                <w:sz w:val="20"/>
                <w:szCs w:val="20"/>
              </w:rPr>
              <w:t>金叶女贞叶斑病</w:t>
            </w:r>
            <w:r>
              <w:rPr>
                <w:rFonts w:hint="eastAsia" w:ascii="宋体" w:hAnsi="宋体" w:eastAsia="宋体" w:cs="宋体"/>
                <w:kern w:val="0"/>
                <w:sz w:val="20"/>
                <w:szCs w:val="20"/>
              </w:rPr>
              <w:t>、</w:t>
            </w:r>
            <w:r>
              <w:rPr>
                <w:rFonts w:hint="eastAsia" w:ascii="宋体" w:hAnsi="宋体" w:eastAsia="宋体" w:cs="宋体"/>
                <w:b/>
                <w:bCs/>
                <w:kern w:val="0"/>
                <w:sz w:val="20"/>
                <w:szCs w:val="20"/>
              </w:rPr>
              <w:t>月季黑斑病</w:t>
            </w:r>
            <w:r>
              <w:rPr>
                <w:rFonts w:hint="eastAsia" w:ascii="宋体" w:hAnsi="宋体" w:eastAsia="宋体" w:cs="宋体"/>
                <w:kern w:val="0"/>
                <w:sz w:val="20"/>
                <w:szCs w:val="20"/>
              </w:rPr>
              <w:t>、</w:t>
            </w:r>
            <w:r>
              <w:rPr>
                <w:rFonts w:hint="eastAsia" w:ascii="宋体" w:hAnsi="宋体" w:eastAsia="宋体" w:cs="宋体"/>
                <w:b/>
                <w:bCs/>
                <w:kern w:val="0"/>
                <w:sz w:val="20"/>
                <w:szCs w:val="20"/>
              </w:rPr>
              <w:t>白粉病</w:t>
            </w:r>
            <w:r>
              <w:rPr>
                <w:rFonts w:hint="eastAsia" w:ascii="宋体" w:hAnsi="宋体" w:eastAsia="宋体" w:cs="宋体"/>
                <w:kern w:val="0"/>
                <w:sz w:val="20"/>
                <w:szCs w:val="20"/>
              </w:rPr>
              <w:t>（紫薇、月季、狭叶十大功劳、大叶黄杨等）。每7天进行一次药物防治。</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安全管理</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针对高温期间作业安全管理工作进行安全技术交底，发放相应防暑降温物资，并上报安全交底记录、防暑降温物资领取记录和照片</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每15天修剪一次草坪、绿篱、球类，乔木剥芽1次，黑麦草低修剪</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浇水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每天对绿地浇一次透水，视天气情况对乔灌木树穴翻土灌水</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除草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每10天除一次杂草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防台防汛应急保障</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继续按照防台防汛应急预案做好应急保障，保障期间应做到1小时内排除险情，2天内完成倒伏树木扶正</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随机</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病虫害防治</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重点防治对象：</w:t>
            </w:r>
            <w:r>
              <w:rPr>
                <w:rFonts w:hint="eastAsia" w:ascii="宋体" w:hAnsi="宋体" w:eastAsia="宋体" w:cs="宋体"/>
                <w:b/>
                <w:bCs/>
                <w:kern w:val="0"/>
                <w:sz w:val="20"/>
                <w:szCs w:val="20"/>
              </w:rPr>
              <w:t>天牛</w:t>
            </w:r>
            <w:r>
              <w:rPr>
                <w:rFonts w:hint="eastAsia" w:ascii="宋体" w:hAnsi="宋体" w:eastAsia="宋体" w:cs="宋体"/>
                <w:kern w:val="0"/>
                <w:sz w:val="20"/>
                <w:szCs w:val="20"/>
              </w:rPr>
              <w:t>、</w:t>
            </w:r>
            <w:r>
              <w:rPr>
                <w:rFonts w:hint="eastAsia" w:ascii="宋体" w:hAnsi="宋体" w:eastAsia="宋体" w:cs="宋体"/>
                <w:b/>
                <w:bCs/>
                <w:kern w:val="0"/>
                <w:sz w:val="20"/>
                <w:szCs w:val="20"/>
              </w:rPr>
              <w:t>刺蛾</w:t>
            </w:r>
            <w:r>
              <w:rPr>
                <w:rFonts w:hint="eastAsia" w:ascii="宋体" w:hAnsi="宋体" w:eastAsia="宋体" w:cs="宋体"/>
                <w:kern w:val="0"/>
                <w:sz w:val="20"/>
                <w:szCs w:val="20"/>
              </w:rPr>
              <w:t>、</w:t>
            </w:r>
            <w:r>
              <w:rPr>
                <w:rFonts w:hint="eastAsia" w:ascii="宋体" w:hAnsi="宋体" w:eastAsia="宋体" w:cs="宋体"/>
                <w:b/>
                <w:bCs/>
                <w:kern w:val="0"/>
                <w:sz w:val="20"/>
                <w:szCs w:val="20"/>
              </w:rPr>
              <w:t>樟巢螟</w:t>
            </w:r>
            <w:r>
              <w:rPr>
                <w:rFonts w:hint="eastAsia" w:ascii="宋体" w:hAnsi="宋体" w:eastAsia="宋体" w:cs="宋体"/>
                <w:kern w:val="0"/>
                <w:sz w:val="20"/>
                <w:szCs w:val="20"/>
              </w:rPr>
              <w:t>（香樟）、</w:t>
            </w:r>
            <w:r>
              <w:rPr>
                <w:rFonts w:hint="eastAsia" w:ascii="宋体" w:hAnsi="宋体" w:eastAsia="宋体" w:cs="宋体"/>
                <w:b/>
                <w:bCs/>
                <w:kern w:val="0"/>
                <w:sz w:val="20"/>
                <w:szCs w:val="20"/>
              </w:rPr>
              <w:t>葱兰夜蛾</w:t>
            </w:r>
            <w:r>
              <w:rPr>
                <w:rFonts w:hint="eastAsia" w:ascii="宋体" w:hAnsi="宋体" w:eastAsia="宋体" w:cs="宋体"/>
                <w:kern w:val="0"/>
                <w:sz w:val="20"/>
                <w:szCs w:val="20"/>
              </w:rPr>
              <w:t>（葱兰）。每7天进行一次药物防治，樟巢螟虫巢进行1次人工剪除销毁。</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夏季草花更换</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7月份完成夏季草花更换，草花应图案清晰、色彩鲜艳、花朵繁茂、花期一致，种植密度不低于64株/平方米，视品种植株大小应适当提高密度，保持基本不见裸土</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每15天修剪一次草坪、绿篱、球类，乔木剥芽1次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浇水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每天对绿地浇一次透水，视天气情况对乔灌木树穴翻土灌水</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除草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每10天除一次杂草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防台防汛应急保障</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继续按照防台防汛应急预案做好应急保障，保障期间应做到1小时内排除险情，2天内完成倒伏树木扶正</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随机</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20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病虫害防治</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重点防治对象：</w:t>
            </w:r>
            <w:r>
              <w:rPr>
                <w:rFonts w:hint="eastAsia" w:ascii="宋体" w:hAnsi="宋体" w:eastAsia="宋体" w:cs="宋体"/>
                <w:b/>
                <w:bCs/>
                <w:kern w:val="0"/>
                <w:sz w:val="20"/>
                <w:szCs w:val="20"/>
              </w:rPr>
              <w:t>刺蛾</w:t>
            </w:r>
            <w:r>
              <w:rPr>
                <w:rFonts w:hint="eastAsia" w:ascii="宋体" w:hAnsi="宋体" w:eastAsia="宋体" w:cs="宋体"/>
                <w:kern w:val="0"/>
                <w:sz w:val="20"/>
                <w:szCs w:val="20"/>
              </w:rPr>
              <w:t>、</w:t>
            </w:r>
            <w:r>
              <w:rPr>
                <w:rFonts w:hint="eastAsia" w:ascii="宋体" w:hAnsi="宋体" w:eastAsia="宋体" w:cs="宋体"/>
                <w:b/>
                <w:bCs/>
                <w:kern w:val="0"/>
                <w:sz w:val="20"/>
                <w:szCs w:val="20"/>
              </w:rPr>
              <w:t>樟巢螟</w:t>
            </w:r>
            <w:r>
              <w:rPr>
                <w:rFonts w:hint="eastAsia" w:ascii="宋体" w:hAnsi="宋体" w:eastAsia="宋体" w:cs="宋体"/>
                <w:kern w:val="0"/>
                <w:sz w:val="20"/>
                <w:szCs w:val="20"/>
              </w:rPr>
              <w:t>（香樟）、</w:t>
            </w:r>
            <w:r>
              <w:rPr>
                <w:rFonts w:hint="eastAsia" w:ascii="宋体" w:hAnsi="宋体" w:eastAsia="宋体" w:cs="宋体"/>
                <w:b/>
                <w:bCs/>
                <w:kern w:val="0"/>
                <w:sz w:val="20"/>
                <w:szCs w:val="20"/>
              </w:rPr>
              <w:t>尺蠖</w:t>
            </w:r>
            <w:r>
              <w:rPr>
                <w:rFonts w:hint="eastAsia" w:ascii="宋体" w:hAnsi="宋体" w:eastAsia="宋体" w:cs="宋体"/>
                <w:kern w:val="0"/>
                <w:sz w:val="20"/>
                <w:szCs w:val="20"/>
              </w:rPr>
              <w:t>（国槐、金枝槐、大叶黄杨）、</w:t>
            </w:r>
            <w:r>
              <w:rPr>
                <w:rFonts w:hint="eastAsia" w:ascii="宋体" w:hAnsi="宋体" w:eastAsia="宋体" w:cs="宋体"/>
                <w:b/>
                <w:bCs/>
                <w:kern w:val="0"/>
                <w:sz w:val="20"/>
                <w:szCs w:val="20"/>
              </w:rPr>
              <w:t>红蜘蛛</w:t>
            </w:r>
            <w:r>
              <w:rPr>
                <w:rFonts w:hint="eastAsia" w:ascii="宋体" w:hAnsi="宋体" w:eastAsia="宋体" w:cs="宋体"/>
                <w:kern w:val="0"/>
                <w:sz w:val="20"/>
                <w:szCs w:val="20"/>
              </w:rPr>
              <w:t>（香樟、月季、海棠、桂花、桃树、红叶李、木槿、紫荆等）、</w:t>
            </w:r>
            <w:r>
              <w:rPr>
                <w:rFonts w:hint="eastAsia" w:ascii="宋体" w:hAnsi="宋体" w:eastAsia="宋体" w:cs="宋体"/>
                <w:b/>
                <w:bCs/>
                <w:kern w:val="0"/>
                <w:sz w:val="20"/>
                <w:szCs w:val="20"/>
              </w:rPr>
              <w:t>紫薇绒蚧</w:t>
            </w:r>
            <w:r>
              <w:rPr>
                <w:rFonts w:hint="eastAsia" w:ascii="宋体" w:hAnsi="宋体" w:eastAsia="宋体" w:cs="宋体"/>
                <w:kern w:val="0"/>
                <w:sz w:val="20"/>
                <w:szCs w:val="20"/>
              </w:rPr>
              <w:t>（紫薇、石榴）、</w:t>
            </w:r>
            <w:r>
              <w:rPr>
                <w:rFonts w:hint="eastAsia" w:ascii="宋体" w:hAnsi="宋体" w:eastAsia="宋体" w:cs="宋体"/>
                <w:b/>
                <w:bCs/>
                <w:kern w:val="0"/>
                <w:sz w:val="20"/>
                <w:szCs w:val="20"/>
              </w:rPr>
              <w:t>斜纹夜蛾</w:t>
            </w:r>
            <w:r>
              <w:rPr>
                <w:rFonts w:hint="eastAsia" w:ascii="宋体" w:hAnsi="宋体" w:eastAsia="宋体" w:cs="宋体"/>
                <w:kern w:val="0"/>
                <w:sz w:val="20"/>
                <w:szCs w:val="20"/>
              </w:rPr>
              <w:t>（白三叶、草坪）、</w:t>
            </w:r>
            <w:r>
              <w:rPr>
                <w:rFonts w:hint="eastAsia" w:ascii="宋体" w:hAnsi="宋体" w:eastAsia="宋体" w:cs="宋体"/>
                <w:b/>
                <w:bCs/>
                <w:kern w:val="0"/>
                <w:sz w:val="20"/>
                <w:szCs w:val="20"/>
              </w:rPr>
              <w:t>粘虫</w:t>
            </w:r>
            <w:r>
              <w:rPr>
                <w:rFonts w:hint="eastAsia" w:ascii="宋体" w:hAnsi="宋体" w:eastAsia="宋体" w:cs="宋体"/>
                <w:kern w:val="0"/>
                <w:sz w:val="20"/>
                <w:szCs w:val="20"/>
              </w:rPr>
              <w:t>（草坪）、</w:t>
            </w:r>
            <w:r>
              <w:rPr>
                <w:rFonts w:hint="eastAsia" w:ascii="宋体" w:hAnsi="宋体" w:eastAsia="宋体" w:cs="宋体"/>
                <w:b/>
                <w:bCs/>
                <w:kern w:val="0"/>
                <w:sz w:val="20"/>
                <w:szCs w:val="20"/>
              </w:rPr>
              <w:t>草地螟</w:t>
            </w:r>
            <w:r>
              <w:rPr>
                <w:rFonts w:hint="eastAsia" w:ascii="宋体" w:hAnsi="宋体" w:eastAsia="宋体" w:cs="宋体"/>
                <w:kern w:val="0"/>
                <w:sz w:val="20"/>
                <w:szCs w:val="20"/>
              </w:rPr>
              <w:t>（草坪）、</w:t>
            </w:r>
            <w:r>
              <w:rPr>
                <w:rFonts w:hint="eastAsia" w:ascii="宋体" w:hAnsi="宋体" w:eastAsia="宋体" w:cs="宋体"/>
                <w:b/>
                <w:bCs/>
                <w:kern w:val="0"/>
                <w:sz w:val="20"/>
                <w:szCs w:val="20"/>
              </w:rPr>
              <w:t>葱兰夜蛾</w:t>
            </w:r>
            <w:r>
              <w:rPr>
                <w:rFonts w:hint="eastAsia" w:ascii="宋体" w:hAnsi="宋体" w:eastAsia="宋体" w:cs="宋体"/>
                <w:kern w:val="0"/>
                <w:sz w:val="20"/>
                <w:szCs w:val="20"/>
              </w:rPr>
              <w:t>（葱兰）、</w:t>
            </w:r>
            <w:r>
              <w:rPr>
                <w:rFonts w:hint="eastAsia" w:ascii="宋体" w:hAnsi="宋体" w:eastAsia="宋体" w:cs="宋体"/>
                <w:b/>
                <w:bCs/>
                <w:kern w:val="0"/>
                <w:sz w:val="20"/>
                <w:szCs w:val="20"/>
              </w:rPr>
              <w:t>蛴螬</w:t>
            </w:r>
            <w:r>
              <w:rPr>
                <w:rFonts w:hint="eastAsia" w:ascii="宋体" w:hAnsi="宋体" w:eastAsia="宋体" w:cs="宋体"/>
                <w:kern w:val="0"/>
                <w:sz w:val="20"/>
                <w:szCs w:val="20"/>
              </w:rPr>
              <w:t>（草坪）、</w:t>
            </w:r>
            <w:r>
              <w:rPr>
                <w:rFonts w:hint="eastAsia" w:ascii="宋体" w:hAnsi="宋体" w:eastAsia="宋体" w:cs="宋体"/>
                <w:b/>
                <w:bCs/>
                <w:kern w:val="0"/>
                <w:sz w:val="20"/>
                <w:szCs w:val="20"/>
              </w:rPr>
              <w:t>黄杨绢野螟</w:t>
            </w:r>
            <w:r>
              <w:rPr>
                <w:rFonts w:hint="eastAsia" w:ascii="宋体" w:hAnsi="宋体" w:eastAsia="宋体" w:cs="宋体"/>
                <w:kern w:val="0"/>
                <w:sz w:val="20"/>
                <w:szCs w:val="20"/>
              </w:rPr>
              <w:t>、</w:t>
            </w:r>
            <w:r>
              <w:rPr>
                <w:rFonts w:hint="eastAsia" w:ascii="宋体" w:hAnsi="宋体" w:eastAsia="宋体" w:cs="宋体"/>
                <w:b/>
                <w:bCs/>
                <w:kern w:val="0"/>
                <w:sz w:val="20"/>
                <w:szCs w:val="20"/>
              </w:rPr>
              <w:t>杜鹃网蝽</w:t>
            </w:r>
            <w:r>
              <w:rPr>
                <w:rFonts w:hint="eastAsia" w:ascii="宋体" w:hAnsi="宋体" w:eastAsia="宋体" w:cs="宋体"/>
                <w:kern w:val="0"/>
                <w:sz w:val="20"/>
                <w:szCs w:val="20"/>
              </w:rPr>
              <w:t>（杜鹃）、</w:t>
            </w:r>
            <w:r>
              <w:rPr>
                <w:rFonts w:hint="eastAsia" w:ascii="宋体" w:hAnsi="宋体" w:eastAsia="宋体" w:cs="宋体"/>
                <w:b/>
                <w:bCs/>
                <w:kern w:val="0"/>
                <w:sz w:val="20"/>
                <w:szCs w:val="20"/>
              </w:rPr>
              <w:t>康氏粉蚧</w:t>
            </w:r>
            <w:r>
              <w:rPr>
                <w:rFonts w:hint="eastAsia" w:ascii="宋体" w:hAnsi="宋体" w:eastAsia="宋体" w:cs="宋体"/>
                <w:kern w:val="0"/>
                <w:sz w:val="20"/>
                <w:szCs w:val="20"/>
              </w:rPr>
              <w:t>（金叶女贞），</w:t>
            </w:r>
            <w:r>
              <w:rPr>
                <w:rFonts w:hint="eastAsia" w:ascii="宋体" w:hAnsi="宋体" w:eastAsia="宋体" w:cs="宋体"/>
                <w:b/>
                <w:bCs/>
                <w:kern w:val="0"/>
                <w:sz w:val="20"/>
                <w:szCs w:val="20"/>
              </w:rPr>
              <w:t>合欢枯萎病</w:t>
            </w:r>
            <w:r>
              <w:rPr>
                <w:rFonts w:hint="eastAsia" w:ascii="宋体" w:hAnsi="宋体" w:eastAsia="宋体" w:cs="宋体"/>
                <w:kern w:val="0"/>
                <w:sz w:val="20"/>
                <w:szCs w:val="20"/>
              </w:rPr>
              <w:t>、</w:t>
            </w:r>
            <w:r>
              <w:rPr>
                <w:rFonts w:hint="eastAsia" w:ascii="宋体" w:hAnsi="宋体" w:eastAsia="宋体" w:cs="宋体"/>
                <w:b/>
                <w:bCs/>
                <w:kern w:val="0"/>
                <w:sz w:val="20"/>
                <w:szCs w:val="20"/>
              </w:rPr>
              <w:t>金叶女贞叶斑病</w:t>
            </w:r>
            <w:r>
              <w:rPr>
                <w:rFonts w:hint="eastAsia" w:ascii="宋体" w:hAnsi="宋体" w:eastAsia="宋体" w:cs="宋体"/>
                <w:kern w:val="0"/>
                <w:sz w:val="20"/>
                <w:szCs w:val="20"/>
              </w:rPr>
              <w:t>、</w:t>
            </w:r>
            <w:r>
              <w:rPr>
                <w:rFonts w:hint="eastAsia" w:ascii="宋体" w:hAnsi="宋体" w:eastAsia="宋体" w:cs="宋体"/>
                <w:b/>
                <w:bCs/>
                <w:kern w:val="0"/>
                <w:sz w:val="20"/>
                <w:szCs w:val="20"/>
              </w:rPr>
              <w:t>白粉病</w:t>
            </w:r>
            <w:r>
              <w:rPr>
                <w:rFonts w:hint="eastAsia" w:ascii="宋体" w:hAnsi="宋体" w:eastAsia="宋体" w:cs="宋体"/>
                <w:kern w:val="0"/>
                <w:sz w:val="20"/>
                <w:szCs w:val="20"/>
              </w:rPr>
              <w:t>（紫薇、月季、狭叶十大功劳、大叶黄杨等）。每7天进行一次药物防治，樟巢螟虫巢进行1次人工剪除销毁。</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秋季</w:t>
            </w: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每15天修剪一次草坪、绿篱、球类，乔木每月剥芽1次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浇水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每2天对绿地浇一次透水</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除草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每10天除一次杂草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防台防汛应急保障</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继续按照防台防汛应急预案做好应急保障，保障期间应做到1小时内排除险情，2天内完成倒伏树木扶正</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随机</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秋季草花更换</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下旬完成秋季草花更换，草花应图案清晰、色彩鲜艳、花朵繁茂、花期一致，种植密度不低于64株/平方米，视品种植株大小应适当提高密度，保持基本不见裸土</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2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病虫害防治</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本月是秋季病虫害发生和为害高峰，重点防治对象：</w:t>
            </w:r>
            <w:r>
              <w:rPr>
                <w:rFonts w:hint="eastAsia" w:ascii="宋体" w:hAnsi="宋体" w:eastAsia="宋体" w:cs="宋体"/>
                <w:b/>
                <w:bCs/>
                <w:kern w:val="0"/>
                <w:sz w:val="20"/>
                <w:szCs w:val="20"/>
              </w:rPr>
              <w:t>天牛</w:t>
            </w:r>
            <w:r>
              <w:rPr>
                <w:rFonts w:hint="eastAsia" w:ascii="宋体" w:hAnsi="宋体" w:eastAsia="宋体" w:cs="宋体"/>
                <w:kern w:val="0"/>
                <w:sz w:val="20"/>
                <w:szCs w:val="20"/>
              </w:rPr>
              <w:t>、</w:t>
            </w:r>
            <w:r>
              <w:rPr>
                <w:rFonts w:hint="eastAsia" w:ascii="宋体" w:hAnsi="宋体" w:eastAsia="宋体" w:cs="宋体"/>
                <w:b/>
                <w:bCs/>
                <w:kern w:val="0"/>
                <w:sz w:val="20"/>
                <w:szCs w:val="20"/>
              </w:rPr>
              <w:t>刺蛾</w:t>
            </w:r>
            <w:r>
              <w:rPr>
                <w:rFonts w:hint="eastAsia" w:ascii="宋体" w:hAnsi="宋体" w:eastAsia="宋体" w:cs="宋体"/>
                <w:kern w:val="0"/>
                <w:sz w:val="20"/>
                <w:szCs w:val="20"/>
              </w:rPr>
              <w:t>、</w:t>
            </w:r>
            <w:r>
              <w:rPr>
                <w:rFonts w:hint="eastAsia" w:ascii="宋体" w:hAnsi="宋体" w:eastAsia="宋体" w:cs="宋体"/>
                <w:b/>
                <w:bCs/>
                <w:kern w:val="0"/>
                <w:sz w:val="20"/>
                <w:szCs w:val="20"/>
              </w:rPr>
              <w:t>樟巢螟</w:t>
            </w:r>
            <w:r>
              <w:rPr>
                <w:rFonts w:hint="eastAsia" w:ascii="宋体" w:hAnsi="宋体" w:eastAsia="宋体" w:cs="宋体"/>
                <w:kern w:val="0"/>
                <w:sz w:val="20"/>
                <w:szCs w:val="20"/>
              </w:rPr>
              <w:t>、</w:t>
            </w:r>
            <w:r>
              <w:rPr>
                <w:rFonts w:hint="eastAsia" w:ascii="宋体" w:hAnsi="宋体" w:eastAsia="宋体" w:cs="宋体"/>
                <w:b/>
                <w:bCs/>
                <w:kern w:val="0"/>
                <w:sz w:val="20"/>
                <w:szCs w:val="20"/>
              </w:rPr>
              <w:t>斜纹夜蛾</w:t>
            </w:r>
            <w:r>
              <w:rPr>
                <w:rFonts w:hint="eastAsia" w:ascii="宋体" w:hAnsi="宋体" w:eastAsia="宋体" w:cs="宋体"/>
                <w:kern w:val="0"/>
                <w:sz w:val="20"/>
                <w:szCs w:val="20"/>
              </w:rPr>
              <w:t>（白三叶、草坪）、</w:t>
            </w:r>
            <w:r>
              <w:rPr>
                <w:rFonts w:hint="eastAsia" w:ascii="宋体" w:hAnsi="宋体" w:eastAsia="宋体" w:cs="宋体"/>
                <w:b/>
                <w:bCs/>
                <w:kern w:val="0"/>
                <w:sz w:val="20"/>
                <w:szCs w:val="20"/>
              </w:rPr>
              <w:t>葱兰夜蛾</w:t>
            </w:r>
            <w:r>
              <w:rPr>
                <w:rFonts w:hint="eastAsia" w:ascii="宋体" w:hAnsi="宋体" w:eastAsia="宋体" w:cs="宋体"/>
                <w:kern w:val="0"/>
                <w:sz w:val="20"/>
                <w:szCs w:val="20"/>
              </w:rPr>
              <w:t>（葱兰）、</w:t>
            </w:r>
            <w:r>
              <w:rPr>
                <w:rFonts w:hint="eastAsia" w:ascii="宋体" w:hAnsi="宋体" w:eastAsia="宋体" w:cs="宋体"/>
                <w:b/>
                <w:bCs/>
                <w:kern w:val="0"/>
                <w:sz w:val="20"/>
                <w:szCs w:val="20"/>
              </w:rPr>
              <w:t>木蠹蛾</w:t>
            </w:r>
            <w:r>
              <w:rPr>
                <w:rFonts w:hint="eastAsia" w:ascii="宋体" w:hAnsi="宋体" w:eastAsia="宋体" w:cs="宋体"/>
                <w:kern w:val="0"/>
                <w:sz w:val="20"/>
                <w:szCs w:val="20"/>
              </w:rPr>
              <w:t>（银杏、杨树、柳树、榆树、桃树、樱花、法冬、海棠、法梧、栾树等）、</w:t>
            </w:r>
            <w:r>
              <w:rPr>
                <w:rFonts w:hint="eastAsia" w:ascii="宋体" w:hAnsi="宋体" w:eastAsia="宋体" w:cs="宋体"/>
                <w:b/>
                <w:bCs/>
                <w:kern w:val="0"/>
                <w:sz w:val="20"/>
                <w:szCs w:val="20"/>
              </w:rPr>
              <w:t>木虱</w:t>
            </w:r>
            <w:r>
              <w:rPr>
                <w:rFonts w:hint="eastAsia" w:ascii="宋体" w:hAnsi="宋体" w:eastAsia="宋体" w:cs="宋体"/>
                <w:kern w:val="0"/>
                <w:sz w:val="20"/>
                <w:szCs w:val="20"/>
              </w:rPr>
              <w:t>（青桐、合欢）、</w:t>
            </w:r>
            <w:r>
              <w:rPr>
                <w:rFonts w:hint="eastAsia" w:ascii="宋体" w:hAnsi="宋体" w:eastAsia="宋体" w:cs="宋体"/>
                <w:b/>
                <w:bCs/>
                <w:kern w:val="0"/>
                <w:sz w:val="20"/>
                <w:szCs w:val="20"/>
              </w:rPr>
              <w:t>介壳虫</w:t>
            </w:r>
            <w:r>
              <w:rPr>
                <w:rFonts w:hint="eastAsia" w:ascii="宋体" w:hAnsi="宋体" w:eastAsia="宋体" w:cs="宋体"/>
                <w:kern w:val="0"/>
                <w:sz w:val="20"/>
                <w:szCs w:val="20"/>
              </w:rPr>
              <w:t>（香樟、广玉兰、含笑、香橼、独干女贞、桂花、桔子等）、</w:t>
            </w:r>
            <w:r>
              <w:rPr>
                <w:rFonts w:hint="eastAsia" w:ascii="宋体" w:hAnsi="宋体" w:eastAsia="宋体" w:cs="宋体"/>
                <w:b/>
                <w:bCs/>
                <w:kern w:val="0"/>
                <w:sz w:val="20"/>
                <w:szCs w:val="20"/>
              </w:rPr>
              <w:t>蚜虫</w:t>
            </w:r>
            <w:r>
              <w:rPr>
                <w:rFonts w:hint="eastAsia" w:ascii="宋体" w:hAnsi="宋体" w:eastAsia="宋体" w:cs="宋体"/>
                <w:kern w:val="0"/>
                <w:sz w:val="20"/>
                <w:szCs w:val="20"/>
              </w:rPr>
              <w:t>（栾树、槐树、红叶李、樱花、梅花、桃树、金枝槐、海棠、紫荆、木槿、石榴、竹子、海桐、法冬、夹竹桃、黄杨、火棘、栀子、月季、蔷薇等）、</w:t>
            </w:r>
            <w:r>
              <w:rPr>
                <w:rFonts w:hint="eastAsia" w:ascii="宋体" w:hAnsi="宋体" w:eastAsia="宋体" w:cs="宋体"/>
                <w:b/>
                <w:bCs/>
                <w:kern w:val="0"/>
                <w:sz w:val="20"/>
                <w:szCs w:val="20"/>
              </w:rPr>
              <w:t>舟蛾</w:t>
            </w:r>
            <w:r>
              <w:rPr>
                <w:rFonts w:hint="eastAsia" w:ascii="宋体" w:hAnsi="宋体" w:eastAsia="宋体" w:cs="宋体"/>
                <w:kern w:val="0"/>
                <w:sz w:val="20"/>
                <w:szCs w:val="20"/>
              </w:rPr>
              <w:t>（杨树、柳树、榆叶梅、海棠、樱花、桃树等）、</w:t>
            </w:r>
            <w:r>
              <w:rPr>
                <w:rFonts w:hint="eastAsia" w:ascii="宋体" w:hAnsi="宋体" w:eastAsia="宋体" w:cs="宋体"/>
                <w:b/>
                <w:bCs/>
                <w:kern w:val="0"/>
                <w:sz w:val="20"/>
                <w:szCs w:val="20"/>
              </w:rPr>
              <w:t>尺蠖</w:t>
            </w:r>
            <w:r>
              <w:rPr>
                <w:rFonts w:hint="eastAsia" w:ascii="宋体" w:hAnsi="宋体" w:eastAsia="宋体" w:cs="宋体"/>
                <w:kern w:val="0"/>
                <w:sz w:val="20"/>
                <w:szCs w:val="20"/>
              </w:rPr>
              <w:t>（国槐、金枝槐、大叶黄杨）、</w:t>
            </w:r>
            <w:r>
              <w:rPr>
                <w:rFonts w:hint="eastAsia" w:ascii="宋体" w:hAnsi="宋体" w:eastAsia="宋体" w:cs="宋体"/>
                <w:b/>
                <w:bCs/>
                <w:kern w:val="0"/>
                <w:sz w:val="20"/>
                <w:szCs w:val="20"/>
              </w:rPr>
              <w:t>红蜘蛛</w:t>
            </w:r>
            <w:r>
              <w:rPr>
                <w:rFonts w:hint="eastAsia" w:ascii="宋体" w:hAnsi="宋体" w:eastAsia="宋体" w:cs="宋体"/>
                <w:kern w:val="0"/>
                <w:sz w:val="20"/>
                <w:szCs w:val="20"/>
              </w:rPr>
              <w:t>（香樟、月季、海棠、桂花、桃树、红叶李、木槿、紫荆等）、</w:t>
            </w:r>
            <w:r>
              <w:rPr>
                <w:rFonts w:hint="eastAsia" w:ascii="宋体" w:hAnsi="宋体" w:eastAsia="宋体" w:cs="宋体"/>
                <w:b/>
                <w:bCs/>
                <w:kern w:val="0"/>
                <w:sz w:val="20"/>
                <w:szCs w:val="20"/>
              </w:rPr>
              <w:t>杜鹃网蝽</w:t>
            </w:r>
            <w:r>
              <w:rPr>
                <w:rFonts w:hint="eastAsia" w:ascii="宋体" w:hAnsi="宋体" w:eastAsia="宋体" w:cs="宋体"/>
                <w:kern w:val="0"/>
                <w:sz w:val="20"/>
                <w:szCs w:val="20"/>
              </w:rPr>
              <w:t>（杜鹃）、</w:t>
            </w:r>
            <w:r>
              <w:rPr>
                <w:rFonts w:hint="eastAsia" w:ascii="宋体" w:hAnsi="宋体" w:eastAsia="宋体" w:cs="宋体"/>
                <w:b/>
                <w:bCs/>
                <w:kern w:val="0"/>
                <w:sz w:val="20"/>
                <w:szCs w:val="20"/>
              </w:rPr>
              <w:t>蛴螬</w:t>
            </w:r>
            <w:r>
              <w:rPr>
                <w:rFonts w:hint="eastAsia" w:ascii="宋体" w:hAnsi="宋体" w:eastAsia="宋体" w:cs="宋体"/>
                <w:kern w:val="0"/>
                <w:sz w:val="20"/>
                <w:szCs w:val="20"/>
              </w:rPr>
              <w:t>（草坪）、各类天蛾幼虫，</w:t>
            </w:r>
            <w:r>
              <w:rPr>
                <w:rFonts w:hint="eastAsia" w:ascii="宋体" w:hAnsi="宋体" w:eastAsia="宋体" w:cs="宋体"/>
                <w:b/>
                <w:bCs/>
                <w:kern w:val="0"/>
                <w:sz w:val="20"/>
                <w:szCs w:val="20"/>
              </w:rPr>
              <w:t>月季黑斑病</w:t>
            </w:r>
            <w:r>
              <w:rPr>
                <w:rFonts w:hint="eastAsia" w:ascii="宋体" w:hAnsi="宋体" w:eastAsia="宋体" w:cs="宋体"/>
                <w:kern w:val="0"/>
                <w:sz w:val="20"/>
                <w:szCs w:val="20"/>
              </w:rPr>
              <w:t>、</w:t>
            </w:r>
            <w:r>
              <w:rPr>
                <w:rFonts w:hint="eastAsia" w:ascii="宋体" w:hAnsi="宋体" w:eastAsia="宋体" w:cs="宋体"/>
                <w:b/>
                <w:bCs/>
                <w:kern w:val="0"/>
                <w:sz w:val="20"/>
                <w:szCs w:val="20"/>
              </w:rPr>
              <w:t>白粉病、草坪斑枯病、草坪褐斑病、樱花褐斑病、大叶黄杨枯萎病。</w:t>
            </w:r>
            <w:r>
              <w:rPr>
                <w:rFonts w:hint="eastAsia" w:ascii="宋体" w:hAnsi="宋体" w:eastAsia="宋体" w:cs="宋体"/>
                <w:kern w:val="0"/>
                <w:sz w:val="20"/>
                <w:szCs w:val="20"/>
              </w:rPr>
              <w:t>每7天进行一次药物防治，樟巢螟虫巢进行1次人工剪除销毁。</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59</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籽播黑麦草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上旬起对籽播黑麦草路段草坪进行疏草、打孔，每7天低修剪1次，下旬播种路段经验收后进行播种</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籽播黑麦草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上旬完成所有路段黑麦草播种工作</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61</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每15天修剪一次绿篱、球类，未播黑麦草路段草坪每15天修剪1次，乔木每月剥芽2次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62</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浇水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黑麦草播种路段每天浇1次透水，其他则5天</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63</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除草</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每15天除一次杂草</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64</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追肥</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10月下旬对黑麦草、草花、绿篱追施复合肥，施肥量不低于15g/m</w:t>
            </w:r>
            <w:r>
              <w:rPr>
                <w:rFonts w:hint="eastAsia" w:ascii="宋体" w:hAnsi="宋体" w:eastAsia="宋体" w:cs="宋体"/>
                <w:kern w:val="0"/>
                <w:sz w:val="20"/>
                <w:szCs w:val="20"/>
                <w:vertAlign w:val="superscript"/>
              </w:rPr>
              <w:t>2</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65</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落叶清扫</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10月下旬完成所有绿地内落叶清扫，消除火灾隐患</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落叶树补植</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10月上旬对落叶树种缺株、死苗及受损、外形不佳苗木规格数量进行排查统计，制定补植计划，本月完成落叶树和藤本植物补植，补植苗木规格不得低于原来标准</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67</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病虫害防治</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重点防治对象：</w:t>
            </w:r>
            <w:r>
              <w:rPr>
                <w:rFonts w:hint="eastAsia" w:ascii="宋体" w:hAnsi="宋体" w:eastAsia="宋体" w:cs="宋体"/>
                <w:b/>
                <w:bCs/>
                <w:kern w:val="0"/>
                <w:sz w:val="20"/>
                <w:szCs w:val="20"/>
              </w:rPr>
              <w:t>蚜虫</w:t>
            </w:r>
            <w:r>
              <w:rPr>
                <w:rFonts w:hint="eastAsia" w:ascii="宋体" w:hAnsi="宋体" w:eastAsia="宋体" w:cs="宋体"/>
                <w:kern w:val="0"/>
                <w:sz w:val="20"/>
                <w:szCs w:val="20"/>
              </w:rPr>
              <w:t>（栾树、槐树、红叶李、樱花、梅花、桃树、金枝槐、海棠、紫荆、木槿、石榴、竹子、海桐、法冬、夹竹桃、黄杨、火棘、栀子、月季、蔷薇等）</w:t>
            </w:r>
            <w:r>
              <w:rPr>
                <w:rFonts w:hint="eastAsia" w:ascii="宋体" w:hAnsi="宋体" w:eastAsia="宋体" w:cs="宋体"/>
                <w:b/>
                <w:bCs/>
                <w:kern w:val="0"/>
                <w:sz w:val="20"/>
                <w:szCs w:val="20"/>
              </w:rPr>
              <w:t>、蛴螬</w:t>
            </w:r>
            <w:r>
              <w:rPr>
                <w:rFonts w:hint="eastAsia" w:ascii="宋体" w:hAnsi="宋体" w:eastAsia="宋体" w:cs="宋体"/>
                <w:kern w:val="0"/>
                <w:sz w:val="20"/>
                <w:szCs w:val="20"/>
              </w:rPr>
              <w:t>（草坪）</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11月</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68</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翻土</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对所有乔灌木树穴、生态林进行翻土，翻土深度不低于20cm，灌木、草坪切边</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69</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浇水</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黑麦草播种地块每3天浇1次透水，其他则10天</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70</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草坪修剪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黑麦草每15天修剪1次</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71</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安全管理</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树木修剪前应重点针对高空作业人员进行安全技术交底和正确示范，并做好安全防护措施，并上报安全交底记录和照片</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5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72</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落叶树整形修剪</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完成除行道树以外的榉树、朴树、白玉兰、栾树、槐树、无患子、合欢、樱花、海棠、桃树、梅花、红叶李、紫荆等落叶树种的疏枝整形修剪</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02"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73</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施基肥</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对所有乔灌木施腐熟有机肥，施肥量不低于1kg/m2，施肥可与树穴翻土结合进行</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74</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防寒设施</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11月中旬，对所有不耐寒树种统一进行包扎</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99" w:hRule="atLeast"/>
        </w:trPr>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75</w:t>
            </w:r>
          </w:p>
        </w:tc>
        <w:tc>
          <w:tcPr>
            <w:tcW w:w="246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树干刷白</w:t>
            </w:r>
          </w:p>
        </w:tc>
        <w:tc>
          <w:tcPr>
            <w:tcW w:w="787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刷白时间：11月中旬-12月中旬，范围：所有乔木及花灌木，高度：乔木1.3m、花灌木0.8m，质量：不流淌、无疙瘩、均匀严密、无刷花刷漏，配比：100斤水+20斤生石灰+1包石硫合剂，用量：石硫合剂10cm树木200棵1包、片林1亩1包</w:t>
            </w:r>
          </w:p>
        </w:tc>
        <w:tc>
          <w:tcPr>
            <w:tcW w:w="11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3-4周</w:t>
            </w:r>
          </w:p>
        </w:tc>
        <w:tc>
          <w:tcPr>
            <w:tcW w:w="11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12240" w:type="dxa"/>
            <w:gridSpan w:val="5"/>
            <w:tcBorders>
              <w:top w:val="nil"/>
              <w:left w:val="nil"/>
              <w:bottom w:val="nil"/>
              <w:right w:val="nil"/>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注：本表工作任务中加粗的为当月重点工作，浇水等部分目标要求及作业时间安排视气候情况可相应调整。</w:t>
            </w:r>
          </w:p>
        </w:tc>
        <w:tc>
          <w:tcPr>
            <w:tcW w:w="1193" w:type="dxa"/>
            <w:tcBorders>
              <w:top w:val="nil"/>
              <w:left w:val="nil"/>
              <w:bottom w:val="nil"/>
              <w:right w:val="nil"/>
            </w:tcBorders>
            <w:noWrap w:val="0"/>
            <w:vAlign w:val="center"/>
          </w:tcPr>
          <w:p>
            <w:pPr>
              <w:widowControl/>
              <w:jc w:val="center"/>
              <w:rPr>
                <w:rFonts w:ascii="宋体" w:hAnsi="宋体" w:eastAsia="宋体" w:cs="宋体"/>
                <w:kern w:val="0"/>
                <w:sz w:val="20"/>
                <w:szCs w:val="20"/>
              </w:rPr>
            </w:pPr>
          </w:p>
        </w:tc>
        <w:tc>
          <w:tcPr>
            <w:tcW w:w="1132" w:type="dxa"/>
            <w:tcBorders>
              <w:top w:val="nil"/>
              <w:left w:val="nil"/>
              <w:bottom w:val="nil"/>
              <w:right w:val="nil"/>
            </w:tcBorders>
            <w:noWrap w:val="0"/>
            <w:vAlign w:val="center"/>
          </w:tcPr>
          <w:p>
            <w:pPr>
              <w:widowControl/>
              <w:jc w:val="center"/>
              <w:rPr>
                <w:rFonts w:ascii="宋体" w:hAnsi="宋体" w:eastAsia="宋体" w:cs="宋体"/>
                <w:kern w:val="0"/>
                <w:sz w:val="20"/>
                <w:szCs w:val="20"/>
              </w:rPr>
            </w:pPr>
          </w:p>
        </w:tc>
      </w:tr>
    </w:tbl>
    <w:p>
      <w:pPr>
        <w:pStyle w:val="3"/>
        <w:numPr>
          <w:ilvl w:val="0"/>
          <w:numId w:val="0"/>
        </w:numPr>
        <w:jc w:val="both"/>
        <w:rPr>
          <w:rFonts w:hint="eastAsia" w:ascii="宋体" w:hAnsi="宋体" w:eastAsia="宋体"/>
        </w:rPr>
        <w:sectPr>
          <w:pgSz w:w="16838" w:h="11906" w:orient="landscape"/>
          <w:pgMar w:top="1287" w:right="1440" w:bottom="1440" w:left="1440" w:header="851" w:footer="992" w:gutter="0"/>
          <w:cols w:space="720" w:num="1"/>
          <w:rtlGutter w:val="0"/>
          <w:docGrid w:type="lines" w:linePitch="316" w:charSpace="0"/>
        </w:sectPr>
      </w:pPr>
    </w:p>
    <w:p>
      <w:pPr>
        <w:pStyle w:val="3"/>
        <w:numPr>
          <w:ilvl w:val="0"/>
          <w:numId w:val="0"/>
        </w:numPr>
        <w:ind w:firstLine="1767" w:firstLineChars="400"/>
        <w:jc w:val="both"/>
        <w:rPr>
          <w:rFonts w:hint="eastAsia" w:ascii="宋体" w:hAnsi="宋体" w:eastAsia="宋体" w:cs="Times New Roman"/>
          <w:sz w:val="24"/>
          <w:szCs w:val="24"/>
        </w:rPr>
      </w:pPr>
      <w:r>
        <w:rPr>
          <w:rFonts w:hint="eastAsia" w:ascii="宋体" w:hAnsi="宋体" w:eastAsia="宋体" w:cs="Times New Roman"/>
        </w:rPr>
        <w:t>第四部分．合同条款</w:t>
      </w:r>
      <w:r>
        <w:rPr>
          <w:rFonts w:hint="eastAsia" w:ascii="宋体" w:hAnsi="宋体" w:eastAsia="宋体" w:cs="Times New Roman"/>
          <w:sz w:val="24"/>
          <w:szCs w:val="24"/>
        </w:rPr>
        <w:t>(格式,报价时不需填写）</w:t>
      </w:r>
    </w:p>
    <w:p>
      <w:pPr>
        <w:spacing w:line="360" w:lineRule="auto"/>
        <w:rPr>
          <w:rFonts w:hint="eastAsia" w:ascii="宋体" w:hAnsi="宋体" w:eastAsia="宋体" w:cs="Times New Roman"/>
          <w:bCs/>
          <w:sz w:val="24"/>
          <w:szCs w:val="24"/>
          <w:u w:val="single"/>
        </w:rPr>
      </w:pPr>
      <w:r>
        <w:rPr>
          <w:rFonts w:hint="eastAsia" w:ascii="宋体" w:hAnsi="宋体" w:eastAsia="宋体" w:cs="Times New Roman"/>
          <w:bCs/>
          <w:sz w:val="24"/>
          <w:szCs w:val="24"/>
        </w:rPr>
        <w:t>甲方（采购人）：</w:t>
      </w:r>
      <w:r>
        <w:rPr>
          <w:rFonts w:hint="eastAsia" w:ascii="宋体" w:hAnsi="宋体" w:eastAsia="宋体" w:cs="Times New Roman"/>
          <w:bCs/>
          <w:sz w:val="24"/>
          <w:szCs w:val="24"/>
          <w:u w:val="single"/>
        </w:rPr>
        <w:t xml:space="preserve">                         </w:t>
      </w:r>
    </w:p>
    <w:p>
      <w:pPr>
        <w:spacing w:line="360" w:lineRule="auto"/>
        <w:rPr>
          <w:rFonts w:hint="eastAsia" w:ascii="宋体" w:hAnsi="宋体" w:eastAsia="宋体" w:cs="Times New Roman"/>
          <w:bCs/>
          <w:sz w:val="24"/>
          <w:szCs w:val="24"/>
          <w:u w:val="single"/>
        </w:rPr>
      </w:pPr>
      <w:r>
        <w:rPr>
          <w:rFonts w:hint="eastAsia" w:ascii="宋体" w:hAnsi="宋体" w:eastAsia="宋体" w:cs="Times New Roman"/>
          <w:bCs/>
          <w:sz w:val="24"/>
          <w:szCs w:val="24"/>
        </w:rPr>
        <w:t>乙方（中标人）：</w:t>
      </w:r>
      <w:r>
        <w:rPr>
          <w:rFonts w:hint="eastAsia" w:ascii="宋体" w:hAnsi="宋体" w:eastAsia="宋体" w:cs="Times New Roman"/>
          <w:bCs/>
          <w:sz w:val="24"/>
          <w:szCs w:val="24"/>
          <w:u w:val="single"/>
        </w:rPr>
        <w:t xml:space="preserve">                         </w:t>
      </w:r>
    </w:p>
    <w:p>
      <w:pPr>
        <w:numPr>
          <w:ilvl w:val="0"/>
          <w:numId w:val="5"/>
        </w:numPr>
        <w:tabs>
          <w:tab w:val="left" w:pos="735"/>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采购编号：</w:t>
      </w:r>
      <w:r>
        <w:rPr>
          <w:rFonts w:hint="eastAsia" w:ascii="宋体" w:hAnsi="宋体" w:eastAsia="宋体" w:cs="Times New Roman"/>
          <w:bCs/>
          <w:sz w:val="24"/>
          <w:szCs w:val="24"/>
          <w:u w:val="single"/>
        </w:rPr>
        <w:t xml:space="preserve">  </w:t>
      </w:r>
      <w:r>
        <w:rPr>
          <w:rFonts w:ascii="宋体" w:hAnsi="宋体" w:eastAsia="宋体" w:cs="Times New Roman"/>
          <w:bCs/>
          <w:sz w:val="24"/>
          <w:szCs w:val="24"/>
          <w:u w:val="single"/>
        </w:rPr>
        <w:t xml:space="preserve">                       </w:t>
      </w:r>
      <w:r>
        <w:rPr>
          <w:rFonts w:hint="eastAsia" w:ascii="宋体" w:hAnsi="宋体" w:eastAsia="宋体" w:cs="Times New Roman"/>
          <w:bCs/>
          <w:sz w:val="24"/>
          <w:szCs w:val="24"/>
          <w:u w:val="single"/>
        </w:rPr>
        <w:t xml:space="preserve">   </w:t>
      </w:r>
    </w:p>
    <w:p>
      <w:pPr>
        <w:numPr>
          <w:ilvl w:val="0"/>
          <w:numId w:val="5"/>
        </w:numPr>
        <w:tabs>
          <w:tab w:val="left" w:pos="735"/>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 xml:space="preserve">采购内容： </w:t>
      </w:r>
    </w:p>
    <w:p>
      <w:pPr>
        <w:numPr>
          <w:ilvl w:val="0"/>
          <w:numId w:val="5"/>
        </w:numPr>
        <w:tabs>
          <w:tab w:val="left" w:pos="735"/>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中标总金额：人民币（大写）</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元 ；人民币（小写）</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 xml:space="preserve">元 </w:t>
      </w:r>
    </w:p>
    <w:p>
      <w:pPr>
        <w:numPr>
          <w:ilvl w:val="0"/>
          <w:numId w:val="5"/>
        </w:numPr>
        <w:tabs>
          <w:tab w:val="left" w:pos="735"/>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质量和服务要求及验收标准：</w:t>
      </w:r>
      <w:r>
        <w:rPr>
          <w:rFonts w:hint="eastAsia" w:ascii="宋体" w:hAnsi="宋体" w:eastAsia="宋体" w:cs="Times New Roman"/>
          <w:bCs/>
          <w:sz w:val="24"/>
          <w:szCs w:val="24"/>
          <w:u w:val="single"/>
        </w:rPr>
        <w:t xml:space="preserve">                                            </w:t>
      </w:r>
    </w:p>
    <w:p>
      <w:pPr>
        <w:numPr>
          <w:ilvl w:val="0"/>
          <w:numId w:val="5"/>
        </w:numPr>
        <w:tabs>
          <w:tab w:val="left" w:pos="735"/>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服务期限：</w:t>
      </w:r>
      <w:r>
        <w:rPr>
          <w:rFonts w:hint="eastAsia" w:ascii="宋体" w:hAnsi="宋体" w:eastAsia="宋体" w:cs="Times New Roman"/>
          <w:bCs/>
          <w:sz w:val="24"/>
          <w:szCs w:val="24"/>
          <w:u w:val="single"/>
        </w:rPr>
        <w:t xml:space="preserve">                                                      </w:t>
      </w:r>
    </w:p>
    <w:p>
      <w:pPr>
        <w:numPr>
          <w:ilvl w:val="0"/>
          <w:numId w:val="5"/>
        </w:numPr>
        <w:tabs>
          <w:tab w:val="left" w:pos="735"/>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服务地点和方式：</w:t>
      </w:r>
      <w:r>
        <w:rPr>
          <w:rFonts w:hint="eastAsia" w:ascii="宋体" w:hAnsi="宋体" w:eastAsia="宋体" w:cs="Times New Roman"/>
          <w:bCs/>
          <w:sz w:val="24"/>
          <w:szCs w:val="24"/>
          <w:u w:val="single"/>
        </w:rPr>
        <w:t xml:space="preserve">                                                      </w:t>
      </w:r>
    </w:p>
    <w:p>
      <w:pPr>
        <w:numPr>
          <w:ilvl w:val="0"/>
          <w:numId w:val="5"/>
        </w:numPr>
        <w:tabs>
          <w:tab w:val="left" w:pos="0"/>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货款支付步骤和办法：</w:t>
      </w:r>
      <w:r>
        <w:rPr>
          <w:rFonts w:hint="eastAsia" w:ascii="宋体" w:hAnsi="宋体" w:eastAsia="宋体" w:cs="Times New Roman"/>
          <w:bCs/>
          <w:sz w:val="24"/>
          <w:szCs w:val="24"/>
          <w:u w:val="single"/>
        </w:rPr>
        <w:t xml:space="preserve">                                                  </w:t>
      </w:r>
    </w:p>
    <w:p>
      <w:pPr>
        <w:numPr>
          <w:ilvl w:val="0"/>
          <w:numId w:val="5"/>
        </w:numPr>
        <w:tabs>
          <w:tab w:val="left" w:pos="0"/>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违约责任：</w:t>
      </w:r>
      <w:r>
        <w:rPr>
          <w:rFonts w:hint="eastAsia" w:ascii="宋体" w:hAnsi="宋体" w:eastAsia="宋体" w:cs="Times New Roman"/>
          <w:bCs/>
          <w:sz w:val="24"/>
          <w:szCs w:val="24"/>
          <w:u w:val="single"/>
        </w:rPr>
        <w:t xml:space="preserve">                                                            </w:t>
      </w:r>
    </w:p>
    <w:p>
      <w:pPr>
        <w:numPr>
          <w:ilvl w:val="0"/>
          <w:numId w:val="5"/>
        </w:numPr>
        <w:tabs>
          <w:tab w:val="left" w:pos="0"/>
          <w:tab w:val="left" w:pos="1260"/>
          <w:tab w:val="clear" w:pos="450"/>
        </w:tabs>
        <w:spacing w:line="360" w:lineRule="auto"/>
        <w:ind w:left="0" w:firstLine="525"/>
        <w:rPr>
          <w:rFonts w:hint="eastAsia" w:ascii="宋体" w:hAnsi="宋体" w:eastAsia="宋体" w:cs="Times New Roman"/>
          <w:bCs/>
          <w:sz w:val="24"/>
          <w:szCs w:val="24"/>
        </w:rPr>
      </w:pPr>
      <w:r>
        <w:rPr>
          <w:rFonts w:ascii="宋体" w:hAnsi="宋体" w:eastAsia="宋体" w:cs="Times New Roman"/>
          <w:sz w:val="24"/>
          <w:szCs w:val="24"/>
        </w:rPr>
        <w:t>解决争议的方</w:t>
      </w:r>
      <w:r>
        <w:rPr>
          <w:rFonts w:hint="eastAsia" w:ascii="宋体" w:hAnsi="宋体" w:eastAsia="宋体" w:cs="Times New Roman"/>
          <w:sz w:val="24"/>
          <w:szCs w:val="24"/>
        </w:rPr>
        <w:t>式：</w:t>
      </w:r>
      <w:r>
        <w:rPr>
          <w:rFonts w:hint="eastAsia" w:ascii="宋体" w:hAnsi="宋体" w:eastAsia="宋体" w:cs="Times New Roman"/>
          <w:sz w:val="24"/>
          <w:szCs w:val="24"/>
          <w:u w:val="single"/>
        </w:rPr>
        <w:t xml:space="preserve">                                                      </w:t>
      </w:r>
    </w:p>
    <w:p>
      <w:pPr>
        <w:numPr>
          <w:ilvl w:val="0"/>
          <w:numId w:val="5"/>
        </w:numPr>
        <w:tabs>
          <w:tab w:val="left" w:pos="0"/>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其它事项：</w:t>
      </w:r>
      <w:r>
        <w:rPr>
          <w:rFonts w:hint="eastAsia" w:ascii="宋体" w:hAnsi="宋体" w:eastAsia="宋体" w:cs="Times New Roman"/>
          <w:bCs/>
          <w:sz w:val="24"/>
          <w:szCs w:val="24"/>
          <w:u w:val="single"/>
        </w:rPr>
        <w:t xml:space="preserve">                                                            </w:t>
      </w:r>
    </w:p>
    <w:p>
      <w:pPr>
        <w:numPr>
          <w:ilvl w:val="0"/>
          <w:numId w:val="5"/>
        </w:numPr>
        <w:tabs>
          <w:tab w:val="left" w:pos="0"/>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合同不可分割部分：</w:t>
      </w:r>
    </w:p>
    <w:p>
      <w:pPr>
        <w:tabs>
          <w:tab w:val="left" w:pos="0"/>
          <w:tab w:val="left" w:pos="1260"/>
        </w:tabs>
        <w:spacing w:line="360" w:lineRule="auto"/>
        <w:ind w:firstLine="1260"/>
        <w:jc w:val="left"/>
        <w:rPr>
          <w:rFonts w:hint="eastAsia" w:ascii="宋体" w:hAnsi="宋体" w:eastAsia="宋体" w:cs="Times New Roman"/>
          <w:bCs/>
          <w:sz w:val="24"/>
          <w:szCs w:val="24"/>
        </w:rPr>
      </w:pPr>
      <w:r>
        <w:rPr>
          <w:rFonts w:hint="eastAsia" w:ascii="宋体" w:hAnsi="宋体" w:eastAsia="宋体" w:cs="Times New Roman"/>
          <w:bCs/>
          <w:sz w:val="24"/>
          <w:szCs w:val="24"/>
        </w:rPr>
        <w:t>招标文件、投标文件、合同条款及中标通知书，乙方在投标、评标过程中所作其它有关承诺、声明、书面澄清等均为合同不可分割的部分，与主合同具有同等法律效力。</w:t>
      </w:r>
    </w:p>
    <w:p>
      <w:pPr>
        <w:numPr>
          <w:ilvl w:val="0"/>
          <w:numId w:val="5"/>
        </w:numPr>
        <w:tabs>
          <w:tab w:val="left" w:pos="0"/>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合同备案：</w:t>
      </w:r>
    </w:p>
    <w:p>
      <w:pPr>
        <w:tabs>
          <w:tab w:val="left" w:pos="0"/>
          <w:tab w:val="left" w:pos="1260"/>
        </w:tabs>
        <w:spacing w:line="360" w:lineRule="auto"/>
        <w:ind w:left="840" w:leftChars="400" w:firstLine="420"/>
        <w:rPr>
          <w:rFonts w:hint="eastAsia" w:ascii="宋体" w:hAnsi="宋体" w:eastAsia="宋体" w:cs="Times New Roman"/>
          <w:bCs/>
          <w:sz w:val="24"/>
          <w:szCs w:val="24"/>
        </w:rPr>
      </w:pPr>
      <w:r>
        <w:rPr>
          <w:rFonts w:hint="eastAsia" w:ascii="宋体" w:hAnsi="宋体" w:eastAsia="宋体" w:cs="Times New Roman"/>
          <w:bCs/>
          <w:sz w:val="24"/>
          <w:szCs w:val="24"/>
        </w:rPr>
        <w:t>合同一式肆份，甲方执三份、乙方执一份。</w:t>
      </w:r>
    </w:p>
    <w:p>
      <w:pPr>
        <w:numPr>
          <w:ilvl w:val="0"/>
          <w:numId w:val="5"/>
        </w:numPr>
        <w:tabs>
          <w:tab w:val="left" w:pos="0"/>
          <w:tab w:val="left" w:pos="1260"/>
          <w:tab w:val="clear" w:pos="450"/>
        </w:tabs>
        <w:spacing w:line="360" w:lineRule="auto"/>
        <w:ind w:left="0" w:firstLine="525"/>
        <w:rPr>
          <w:rFonts w:hint="eastAsia" w:ascii="宋体" w:hAnsi="宋体" w:eastAsia="宋体" w:cs="Times New Roman"/>
          <w:bCs/>
          <w:sz w:val="24"/>
          <w:szCs w:val="24"/>
        </w:rPr>
      </w:pPr>
      <w:r>
        <w:rPr>
          <w:rFonts w:hint="eastAsia" w:ascii="宋体" w:hAnsi="宋体" w:eastAsia="宋体" w:cs="Times New Roman"/>
          <w:bCs/>
          <w:sz w:val="24"/>
          <w:szCs w:val="24"/>
        </w:rPr>
        <w:t>合同生效：</w:t>
      </w:r>
    </w:p>
    <w:p>
      <w:pPr>
        <w:tabs>
          <w:tab w:val="left" w:pos="0"/>
          <w:tab w:val="left" w:pos="1260"/>
        </w:tabs>
        <w:spacing w:line="360" w:lineRule="auto"/>
        <w:ind w:firstLine="1154" w:firstLineChars="481"/>
        <w:rPr>
          <w:rFonts w:hint="eastAsia" w:ascii="宋体" w:hAnsi="宋体" w:eastAsia="宋体" w:cs="Times New Roman"/>
          <w:bCs/>
          <w:sz w:val="24"/>
          <w:szCs w:val="24"/>
        </w:rPr>
      </w:pPr>
      <w:r>
        <w:rPr>
          <w:rFonts w:hint="eastAsia" w:ascii="宋体" w:hAnsi="宋体" w:eastAsia="宋体" w:cs="Times New Roman"/>
          <w:bCs/>
          <w:sz w:val="24"/>
          <w:szCs w:val="24"/>
        </w:rPr>
        <w:t xml:space="preserve"> 本合同由甲乙双方签字、盖章后生效。</w:t>
      </w:r>
    </w:p>
    <w:p>
      <w:pPr>
        <w:tabs>
          <w:tab w:val="left" w:pos="0"/>
          <w:tab w:val="left" w:pos="1260"/>
        </w:tabs>
        <w:spacing w:line="360" w:lineRule="auto"/>
        <w:ind w:firstLine="1154" w:firstLineChars="481"/>
        <w:rPr>
          <w:rFonts w:hint="eastAsia" w:ascii="宋体" w:hAnsi="宋体" w:eastAsia="宋体" w:cs="Times New Roman"/>
          <w:bCs/>
          <w:sz w:val="24"/>
          <w:szCs w:val="24"/>
        </w:rPr>
      </w:pPr>
    </w:p>
    <w:p>
      <w:pPr>
        <w:spacing w:line="360" w:lineRule="auto"/>
        <w:rPr>
          <w:rFonts w:hint="eastAsia" w:ascii="宋体" w:hAnsi="宋体" w:eastAsia="宋体" w:cs="Times New Roman"/>
          <w:bCs/>
          <w:sz w:val="24"/>
          <w:szCs w:val="24"/>
          <w:u w:val="single"/>
        </w:rPr>
      </w:pPr>
      <w:r>
        <w:rPr>
          <w:rFonts w:hint="eastAsia" w:ascii="宋体" w:hAnsi="宋体" w:eastAsia="宋体" w:cs="Times New Roman"/>
          <w:bCs/>
          <w:sz w:val="24"/>
          <w:szCs w:val="24"/>
        </w:rPr>
        <w:t>甲方（采购人）：</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（盖章）   乙方（中标人）：</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（盖章）</w:t>
      </w:r>
    </w:p>
    <w:p>
      <w:pPr>
        <w:spacing w:line="360" w:lineRule="auto"/>
        <w:rPr>
          <w:rFonts w:hint="eastAsia" w:ascii="宋体" w:hAnsi="宋体" w:eastAsia="宋体" w:cs="Times New Roman"/>
          <w:bCs/>
          <w:sz w:val="24"/>
          <w:szCs w:val="24"/>
          <w:u w:val="single"/>
        </w:rPr>
      </w:pPr>
      <w:r>
        <w:rPr>
          <w:rFonts w:hint="eastAsia" w:ascii="宋体" w:hAnsi="宋体" w:eastAsia="宋体" w:cs="Times New Roman"/>
          <w:bCs/>
          <w:sz w:val="24"/>
          <w:szCs w:val="24"/>
        </w:rPr>
        <w:t>法定（授权）代表人：</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 xml:space="preserve">    法定（授权）代表人：</w:t>
      </w:r>
      <w:r>
        <w:rPr>
          <w:rFonts w:hint="eastAsia" w:ascii="宋体" w:hAnsi="宋体" w:eastAsia="宋体" w:cs="Times New Roman"/>
          <w:bCs/>
          <w:sz w:val="24"/>
          <w:szCs w:val="24"/>
          <w:u w:val="single"/>
        </w:rPr>
        <w:t xml:space="preserve">                 </w:t>
      </w:r>
    </w:p>
    <w:p>
      <w:pPr>
        <w:spacing w:line="360" w:lineRule="auto"/>
        <w:rPr>
          <w:rFonts w:hint="eastAsia" w:ascii="宋体" w:hAnsi="宋体" w:eastAsia="宋体" w:cs="Times New Roman"/>
          <w:bCs/>
          <w:sz w:val="24"/>
          <w:szCs w:val="24"/>
          <w:u w:val="single"/>
        </w:rPr>
      </w:pPr>
      <w:r>
        <w:rPr>
          <w:rFonts w:hint="eastAsia" w:ascii="宋体" w:hAnsi="宋体" w:eastAsia="宋体" w:cs="Times New Roman"/>
          <w:bCs/>
          <w:sz w:val="24"/>
          <w:szCs w:val="24"/>
        </w:rPr>
        <w:t>日期：</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年</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月</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日    日期：</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年</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月</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日</w:t>
      </w:r>
    </w:p>
    <w:p>
      <w:pPr>
        <w:spacing w:line="360" w:lineRule="auto"/>
        <w:ind w:firstLine="480" w:firstLineChars="200"/>
        <w:rPr>
          <w:rFonts w:hint="eastAsia" w:ascii="宋体" w:hAnsi="宋体" w:eastAsia="宋体" w:cs="Times New Roman"/>
          <w:bCs/>
          <w:sz w:val="24"/>
          <w:szCs w:val="24"/>
          <w:u w:val="single"/>
        </w:rPr>
      </w:pPr>
      <w:r>
        <w:rPr>
          <w:rFonts w:hint="eastAsia" w:ascii="宋体" w:hAnsi="宋体" w:eastAsia="宋体" w:cs="Times New Roman"/>
          <w:bCs/>
          <w:sz w:val="24"/>
          <w:szCs w:val="24"/>
        </w:rPr>
        <w:t xml:space="preserve">                               </w:t>
      </w:r>
    </w:p>
    <w:p>
      <w:pPr>
        <w:spacing w:line="360" w:lineRule="auto"/>
        <w:jc w:val="left"/>
        <w:rPr>
          <w:rFonts w:hint="eastAsia" w:ascii="宋体" w:hAnsi="宋体" w:eastAsia="宋体" w:cs="Times New Roman"/>
          <w:bCs/>
          <w:sz w:val="24"/>
          <w:szCs w:val="24"/>
        </w:rPr>
      </w:pPr>
    </w:p>
    <w:p>
      <w:pPr>
        <w:spacing w:line="360" w:lineRule="auto"/>
        <w:jc w:val="center"/>
        <w:rPr>
          <w:rFonts w:hint="eastAsia" w:ascii="黑体" w:hAnsi="Times New Roman" w:eastAsia="黑体" w:cs="Times New Roman"/>
          <w:bCs/>
          <w:sz w:val="28"/>
          <w:szCs w:val="28"/>
        </w:rPr>
      </w:pPr>
      <w:r>
        <w:rPr>
          <w:rFonts w:hint="eastAsia" w:ascii="黑体" w:hAnsi="Times New Roman" w:eastAsia="黑体" w:cs="Times New Roman"/>
          <w:bCs/>
          <w:sz w:val="28"/>
          <w:szCs w:val="28"/>
        </w:rPr>
        <w:t>合同条款（格式）</w:t>
      </w:r>
    </w:p>
    <w:p>
      <w:pPr>
        <w:spacing w:line="360" w:lineRule="auto"/>
        <w:ind w:firstLine="523" w:firstLineChars="218"/>
        <w:rPr>
          <w:rFonts w:hint="eastAsia" w:ascii="宋体" w:hAnsi="宋体" w:eastAsia="宋体" w:cs="Times New Roman"/>
          <w:bCs/>
          <w:sz w:val="24"/>
          <w:szCs w:val="24"/>
        </w:rPr>
      </w:pPr>
      <w:r>
        <w:rPr>
          <w:rFonts w:hint="eastAsia" w:ascii="宋体" w:hAnsi="宋体" w:eastAsia="宋体" w:cs="Times New Roman"/>
          <w:bCs/>
          <w:sz w:val="24"/>
          <w:szCs w:val="24"/>
        </w:rPr>
        <w:t>根据无锡职业技术学院招标编号</w:t>
      </w:r>
      <w:r>
        <w:rPr>
          <w:rFonts w:ascii="宋体" w:hAnsi="宋体" w:eastAsia="宋体" w:cs="Times New Roman"/>
          <w:bCs/>
          <w:sz w:val="24"/>
          <w:szCs w:val="24"/>
        </w:rPr>
        <w:t xml:space="preserve">                 </w:t>
      </w:r>
      <w:r>
        <w:rPr>
          <w:rFonts w:hint="eastAsia" w:ascii="宋体" w:hAnsi="宋体" w:eastAsia="宋体" w:cs="Times New Roman"/>
          <w:bCs/>
          <w:sz w:val="24"/>
          <w:szCs w:val="24"/>
        </w:rPr>
        <w:t>招标文件和该文件的中标通知书及乙方投标文件，甲乙双方就此次绿化养护及相关问题，同意按下列条款规定执行。</w:t>
      </w:r>
    </w:p>
    <w:p>
      <w:pPr>
        <w:widowControl w:val="0"/>
        <w:spacing w:line="360" w:lineRule="auto"/>
        <w:ind w:firstLine="480" w:firstLineChars="200"/>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一、合同内容</w:t>
      </w:r>
    </w:p>
    <w:p>
      <w:pPr>
        <w:spacing w:line="360" w:lineRule="auto"/>
        <w:ind w:firstLine="480"/>
        <w:rPr>
          <w:rFonts w:ascii="宋体" w:hAnsi="宋体" w:eastAsia="宋体" w:cs="Times New Roman"/>
          <w:bCs/>
          <w:sz w:val="24"/>
          <w:szCs w:val="24"/>
        </w:rPr>
      </w:pPr>
      <w:r>
        <w:rPr>
          <w:rFonts w:ascii="宋体" w:hAnsi="宋体" w:eastAsia="宋体" w:cs="Times New Roman"/>
          <w:bCs/>
          <w:sz w:val="24"/>
          <w:szCs w:val="24"/>
        </w:rPr>
        <w:t>1、绿化管护范围：详见绿化养护清单</w:t>
      </w:r>
    </w:p>
    <w:p>
      <w:pPr>
        <w:spacing w:line="360" w:lineRule="auto"/>
        <w:ind w:firstLine="480"/>
        <w:rPr>
          <w:rFonts w:ascii="宋体" w:hAnsi="宋体" w:eastAsia="宋体" w:cs="Times New Roman"/>
          <w:bCs/>
          <w:sz w:val="24"/>
          <w:szCs w:val="24"/>
        </w:rPr>
      </w:pPr>
      <w:r>
        <w:rPr>
          <w:rFonts w:hint="eastAsia" w:ascii="宋体" w:hAnsi="宋体" w:eastAsia="宋体" w:cs="Times New Roman"/>
          <w:bCs/>
          <w:sz w:val="24"/>
          <w:szCs w:val="24"/>
        </w:rPr>
        <w:t>2</w:t>
      </w:r>
      <w:r>
        <w:rPr>
          <w:rFonts w:ascii="宋体" w:hAnsi="宋体" w:eastAsia="宋体" w:cs="Times New Roman"/>
          <w:bCs/>
          <w:sz w:val="24"/>
          <w:szCs w:val="24"/>
        </w:rPr>
        <w:t>、</w:t>
      </w:r>
      <w:r>
        <w:rPr>
          <w:rFonts w:hint="eastAsia" w:ascii="宋体" w:hAnsi="宋体" w:eastAsia="宋体" w:cs="Times New Roman"/>
          <w:bCs/>
          <w:sz w:val="24"/>
          <w:szCs w:val="24"/>
        </w:rPr>
        <w:t>绿化养护服务</w:t>
      </w:r>
      <w:r>
        <w:rPr>
          <w:rFonts w:ascii="宋体" w:hAnsi="宋体" w:eastAsia="宋体" w:cs="Times New Roman"/>
          <w:bCs/>
          <w:sz w:val="24"/>
          <w:szCs w:val="24"/>
        </w:rPr>
        <w:t>期限</w:t>
      </w:r>
      <w:r>
        <w:rPr>
          <w:rFonts w:hint="eastAsia" w:ascii="宋体" w:hAnsi="宋体" w:eastAsia="宋体" w:cs="Times New Roman"/>
          <w:bCs/>
          <w:sz w:val="24"/>
          <w:szCs w:val="24"/>
        </w:rPr>
        <w:t>：</w:t>
      </w:r>
      <w:r>
        <w:rPr>
          <w:rFonts w:hint="eastAsia" w:ascii="宋体" w:hAnsi="宋体" w:eastAsia="宋体" w:cs="Times New Roman"/>
          <w:sz w:val="24"/>
          <w:szCs w:val="24"/>
        </w:rPr>
        <w:t>合同签订生效之日起三年。</w:t>
      </w:r>
    </w:p>
    <w:p>
      <w:pPr>
        <w:widowControl w:val="0"/>
        <w:spacing w:line="360" w:lineRule="auto"/>
        <w:ind w:firstLine="420"/>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二、下列文件为本合同不可分割部分</w:t>
      </w:r>
    </w:p>
    <w:p>
      <w:pPr>
        <w:widowControl w:val="0"/>
        <w:spacing w:line="360" w:lineRule="auto"/>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w:t>
      </w:r>
      <w:r>
        <w:rPr>
          <w:rFonts w:hint="eastAsia" w:ascii="宋体" w:hAnsi="宋体" w:eastAsia="宋体" w:cs="Times New Roman"/>
          <w:bCs/>
          <w:kern w:val="2"/>
          <w:sz w:val="24"/>
          <w:szCs w:val="24"/>
          <w:lang w:val="en-US" w:eastAsia="zh-CN" w:bidi="ar-SA"/>
        </w:rPr>
        <w:t>招标文件、投标文件、合同条款及中标通知书，乙方在投标、评标过程中所作其它有关承诺、声明、书面澄清等均为合同不可分割的部分，与主合同具有同等法律效力。</w:t>
      </w:r>
    </w:p>
    <w:p>
      <w:pPr>
        <w:widowControl w:val="0"/>
        <w:spacing w:line="360" w:lineRule="auto"/>
        <w:ind w:firstLine="480"/>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三、合同价款：合同价款人民币（大写）        </w:t>
      </w:r>
      <w:r>
        <w:rPr>
          <w:rFonts w:hint="eastAsia" w:ascii="宋体" w:hAnsi="宋体" w:eastAsia="宋体" w:cs="Times New Roman"/>
          <w:bCs/>
          <w:kern w:val="2"/>
          <w:sz w:val="24"/>
          <w:szCs w:val="24"/>
          <w:lang w:val="en-US" w:eastAsia="zh-CN" w:bidi="ar-SA"/>
        </w:rPr>
        <w:t xml:space="preserve">    </w:t>
      </w:r>
      <w:r>
        <w:rPr>
          <w:rFonts w:ascii="宋体" w:hAnsi="宋体" w:eastAsia="宋体" w:cs="Times New Roman"/>
          <w:bCs/>
          <w:kern w:val="2"/>
          <w:sz w:val="24"/>
          <w:szCs w:val="24"/>
          <w:lang w:val="en-US" w:eastAsia="zh-CN" w:bidi="ar-SA"/>
        </w:rPr>
        <w:t xml:space="preserve">   元（￥：　　</w:t>
      </w:r>
      <w:r>
        <w:rPr>
          <w:rFonts w:hint="eastAsia" w:ascii="宋体" w:hAnsi="宋体" w:eastAsia="宋体" w:cs="Times New Roman"/>
          <w:bCs/>
          <w:kern w:val="2"/>
          <w:sz w:val="24"/>
          <w:szCs w:val="24"/>
          <w:lang w:val="en-US" w:eastAsia="zh-CN" w:bidi="ar-SA"/>
        </w:rPr>
        <w:t xml:space="preserve"> </w:t>
      </w:r>
      <w:r>
        <w:rPr>
          <w:rFonts w:ascii="宋体" w:hAnsi="宋体" w:eastAsia="宋体" w:cs="Times New Roman"/>
          <w:bCs/>
          <w:kern w:val="2"/>
          <w:sz w:val="24"/>
          <w:szCs w:val="24"/>
          <w:lang w:val="en-US" w:eastAsia="zh-CN" w:bidi="ar-SA"/>
        </w:rPr>
        <w:t>　　　）</w:t>
      </w:r>
      <w:r>
        <w:rPr>
          <w:rFonts w:hint="eastAsia" w:ascii="宋体" w:hAnsi="宋体" w:eastAsia="宋体" w:cs="Times New Roman"/>
          <w:bCs/>
          <w:kern w:val="2"/>
          <w:sz w:val="24"/>
          <w:szCs w:val="24"/>
          <w:lang w:val="en-US" w:eastAsia="zh-CN" w:bidi="ar-SA"/>
        </w:rPr>
        <w:t>。</w:t>
      </w:r>
    </w:p>
    <w:p>
      <w:pPr>
        <w:widowControl w:val="0"/>
        <w:spacing w:line="360" w:lineRule="auto"/>
        <w:ind w:firstLine="48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bCs/>
          <w:kern w:val="2"/>
          <w:sz w:val="24"/>
          <w:szCs w:val="24"/>
          <w:lang w:val="en-US" w:eastAsia="zh-CN" w:bidi="ar-SA"/>
        </w:rPr>
        <w:t>付款办法：</w:t>
      </w:r>
      <w:r>
        <w:rPr>
          <w:rFonts w:hint="eastAsia" w:ascii="宋体" w:hAnsi="宋体" w:eastAsia="宋体" w:cs="Times New Roman"/>
          <w:color w:val="FF0000"/>
          <w:kern w:val="2"/>
          <w:sz w:val="24"/>
          <w:szCs w:val="24"/>
          <w:lang w:val="en-US" w:eastAsia="zh-CN" w:bidi="ar-SA"/>
        </w:rPr>
        <w:t>养护费自签订合同生效之日起算，养护管理费</w:t>
      </w:r>
      <w:r>
        <w:rPr>
          <w:rFonts w:hint="eastAsia" w:ascii="宋体" w:hAnsi="宋体" w:eastAsia="宋体" w:cs="宋体"/>
          <w:color w:val="FF0000"/>
          <w:kern w:val="0"/>
          <w:sz w:val="24"/>
          <w:szCs w:val="24"/>
          <w:lang w:val="en-US" w:eastAsia="zh-CN" w:bidi="ar-SA"/>
        </w:rPr>
        <w:t>每3个月结束</w:t>
      </w:r>
      <w:r>
        <w:rPr>
          <w:rFonts w:hint="eastAsia" w:ascii="宋体" w:hAnsi="宋体" w:eastAsia="宋体" w:cs="Times New Roman"/>
          <w:color w:val="FF0000"/>
          <w:kern w:val="2"/>
          <w:sz w:val="24"/>
          <w:szCs w:val="24"/>
          <w:lang w:val="en-US" w:eastAsia="zh-CN" w:bidi="ar-SA"/>
        </w:rPr>
        <w:t>经采购方考核合格后向中标单位逐季支付。</w:t>
      </w:r>
    </w:p>
    <w:p>
      <w:pPr>
        <w:widowControl/>
        <w:spacing w:line="360" w:lineRule="auto"/>
        <w:ind w:firstLine="480" w:firstLineChars="200"/>
        <w:jc w:val="left"/>
        <w:rPr>
          <w:rFonts w:hint="eastAsia" w:ascii="宋体" w:hAnsi="宋体" w:eastAsia="宋体" w:cs="Times New Roman"/>
          <w:bCs/>
          <w:kern w:val="0"/>
          <w:sz w:val="24"/>
          <w:szCs w:val="24"/>
          <w:lang w:val="en-US" w:eastAsia="zh-CN" w:bidi="ar-SA"/>
        </w:rPr>
      </w:pPr>
      <w:r>
        <w:rPr>
          <w:rFonts w:hint="eastAsia" w:ascii="宋体" w:hAnsi="宋体" w:eastAsia="宋体" w:cs="Times New Roman"/>
          <w:bCs/>
          <w:kern w:val="0"/>
          <w:sz w:val="24"/>
          <w:szCs w:val="24"/>
          <w:lang w:val="en-US" w:eastAsia="zh-CN" w:bidi="ar-SA"/>
        </w:rPr>
        <w:t>四、考核</w:t>
      </w:r>
    </w:p>
    <w:p>
      <w:pPr>
        <w:spacing w:line="360" w:lineRule="auto"/>
        <w:ind w:firstLine="570"/>
        <w:rPr>
          <w:rFonts w:hint="eastAsia" w:ascii="宋体" w:hAnsi="宋体" w:eastAsia="宋体" w:cs="Times New Roman"/>
          <w:sz w:val="24"/>
          <w:szCs w:val="24"/>
        </w:rPr>
      </w:pPr>
      <w:r>
        <w:rPr>
          <w:rFonts w:hint="eastAsia" w:ascii="宋体" w:hAnsi="宋体" w:eastAsia="宋体" w:cs="Times New Roman"/>
          <w:sz w:val="24"/>
          <w:szCs w:val="24"/>
        </w:rPr>
        <w:t>甲方每月按照服务范围和服务标准开展绿化养护质量评审，考核总分为</w:t>
      </w:r>
      <w:r>
        <w:rPr>
          <w:rFonts w:ascii="宋体" w:hAnsi="宋体" w:eastAsia="宋体" w:cs="Times New Roman"/>
          <w:sz w:val="24"/>
          <w:szCs w:val="24"/>
        </w:rPr>
        <w:t>100</w:t>
      </w:r>
      <w:r>
        <w:rPr>
          <w:rFonts w:hint="eastAsia" w:ascii="宋体" w:hAnsi="宋体" w:eastAsia="宋体" w:cs="Times New Roman"/>
          <w:sz w:val="24"/>
          <w:szCs w:val="24"/>
        </w:rPr>
        <w:t>分。考核细则详见“附件二：无锡职业技术学院绿化养护管理考核办法”。</w:t>
      </w:r>
    </w:p>
    <w:p>
      <w:pPr>
        <w:widowControl/>
        <w:spacing w:line="360" w:lineRule="auto"/>
        <w:ind w:firstLine="600" w:firstLineChars="250"/>
        <w:jc w:val="left"/>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如乙方多次出现差错，完成目标任务差，甲方可随时解除合同，由此造成的经济损失乙方自负。</w:t>
      </w:r>
    </w:p>
    <w:p>
      <w:pPr>
        <w:spacing w:line="360" w:lineRule="auto"/>
        <w:ind w:left="420" w:leftChars="200" w:firstLine="168" w:firstLineChars="70"/>
        <w:rPr>
          <w:rFonts w:hint="eastAsia" w:ascii="宋体" w:hAnsi="宋体" w:eastAsia="宋体" w:cs="Times New Roman"/>
          <w:bCs/>
          <w:sz w:val="24"/>
          <w:szCs w:val="24"/>
        </w:rPr>
      </w:pPr>
      <w:r>
        <w:rPr>
          <w:rFonts w:hint="eastAsia" w:ascii="宋体" w:hAnsi="宋体" w:eastAsia="宋体" w:cs="Times New Roman"/>
          <w:bCs/>
          <w:sz w:val="24"/>
          <w:szCs w:val="24"/>
        </w:rPr>
        <w:t>五、合同履行保证金：</w:t>
      </w:r>
    </w:p>
    <w:p>
      <w:pPr>
        <w:widowControl/>
        <w:spacing w:line="360" w:lineRule="auto"/>
        <w:ind w:firstLine="600" w:firstLineChars="250"/>
        <w:jc w:val="left"/>
        <w:rPr>
          <w:rFonts w:hint="eastAsia" w:ascii="宋体" w:hAnsi="宋体" w:eastAsia="宋体" w:cs="Times New Roman"/>
          <w:kern w:val="0"/>
          <w:sz w:val="24"/>
          <w:szCs w:val="24"/>
          <w:lang w:val="en-US" w:eastAsia="zh-CN" w:bidi="ar-SA"/>
        </w:rPr>
      </w:pPr>
      <w:r>
        <w:rPr>
          <w:rFonts w:hint="eastAsia" w:ascii="宋体" w:hAnsi="宋体" w:eastAsia="宋体" w:cs="Times New Roman"/>
          <w:kern w:val="0"/>
          <w:sz w:val="24"/>
          <w:szCs w:val="24"/>
          <w:lang w:val="en-US" w:eastAsia="zh-CN" w:bidi="ar-SA"/>
        </w:rPr>
        <w:t>乙方需向甲方交纳合同履行保证金伍万元（RMB50000.00元）整，本合同到期后10个工作日内，返还合同履行保证金。如发生下列情况，合同履行保证金不予返还或相应扣减：</w:t>
      </w:r>
      <w:r>
        <w:rPr>
          <w:rFonts w:hint="eastAsia" w:ascii="宋体" w:hAnsi="宋体" w:eastAsia="宋体" w:cs="Times New Roman"/>
          <w:kern w:val="0"/>
          <w:sz w:val="24"/>
          <w:szCs w:val="24"/>
          <w:lang w:val="en-US" w:eastAsia="zh-CN" w:bidi="ar-SA"/>
        </w:rPr>
        <w:br w:type="textWrapping"/>
      </w:r>
      <w:r>
        <w:rPr>
          <w:rFonts w:hint="eastAsia" w:ascii="宋体" w:hAnsi="宋体" w:eastAsia="宋体" w:cs="Times New Roman"/>
          <w:kern w:val="0"/>
          <w:sz w:val="24"/>
          <w:szCs w:val="24"/>
          <w:lang w:val="en-US" w:eastAsia="zh-CN" w:bidi="ar-SA"/>
        </w:rPr>
        <w:t>　　1、乙方未履行本合同约定的义务；</w:t>
      </w:r>
      <w:r>
        <w:rPr>
          <w:rFonts w:hint="eastAsia" w:ascii="宋体" w:hAnsi="宋体" w:eastAsia="宋体" w:cs="Times New Roman"/>
          <w:kern w:val="0"/>
          <w:sz w:val="24"/>
          <w:szCs w:val="24"/>
          <w:lang w:val="en-US" w:eastAsia="zh-CN" w:bidi="ar-SA"/>
        </w:rPr>
        <w:br w:type="textWrapping"/>
      </w:r>
      <w:r>
        <w:rPr>
          <w:rFonts w:hint="eastAsia" w:ascii="宋体" w:hAnsi="宋体" w:eastAsia="宋体" w:cs="Times New Roman"/>
          <w:kern w:val="0"/>
          <w:sz w:val="24"/>
          <w:szCs w:val="24"/>
          <w:lang w:val="en-US" w:eastAsia="zh-CN" w:bidi="ar-SA"/>
        </w:rPr>
        <w:t>　　2、因乙方原因给甲方造成经济损失；</w:t>
      </w:r>
    </w:p>
    <w:p>
      <w:pPr>
        <w:spacing w:line="360" w:lineRule="auto"/>
        <w:ind w:firstLine="480" w:firstLineChars="200"/>
        <w:rPr>
          <w:rFonts w:hint="eastAsia" w:ascii="宋体" w:hAnsi="宋体" w:eastAsia="宋体" w:cs="Times New Roman"/>
          <w:bCs/>
          <w:sz w:val="24"/>
          <w:szCs w:val="24"/>
        </w:rPr>
      </w:pPr>
      <w:r>
        <w:rPr>
          <w:rFonts w:hint="eastAsia" w:ascii="宋体" w:hAnsi="宋体" w:eastAsia="宋体" w:cs="Times New Roman"/>
          <w:bCs/>
          <w:sz w:val="24"/>
          <w:szCs w:val="24"/>
        </w:rPr>
        <w:t>3、合同续签。</w:t>
      </w:r>
    </w:p>
    <w:p>
      <w:pPr>
        <w:widowControl w:val="0"/>
        <w:spacing w:line="360" w:lineRule="auto"/>
        <w:ind w:firstLine="480"/>
        <w:jc w:val="both"/>
        <w:rPr>
          <w:rFonts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六</w:t>
      </w:r>
      <w:r>
        <w:rPr>
          <w:rFonts w:ascii="宋体" w:hAnsi="宋体" w:eastAsia="宋体" w:cs="Times New Roman"/>
          <w:bCs/>
          <w:kern w:val="2"/>
          <w:sz w:val="24"/>
          <w:szCs w:val="24"/>
          <w:lang w:val="en-US" w:eastAsia="zh-CN" w:bidi="ar-SA"/>
        </w:rPr>
        <w:t>、甲方权利和义务</w:t>
      </w:r>
    </w:p>
    <w:p>
      <w:pPr>
        <w:spacing w:line="360" w:lineRule="auto"/>
        <w:ind w:firstLine="480"/>
        <w:rPr>
          <w:rFonts w:ascii="宋体" w:hAnsi="宋体" w:eastAsia="宋体" w:cs="Times New Roman"/>
          <w:bCs/>
          <w:sz w:val="24"/>
          <w:szCs w:val="24"/>
        </w:rPr>
      </w:pPr>
      <w:r>
        <w:rPr>
          <w:rFonts w:ascii="宋体" w:hAnsi="宋体" w:eastAsia="宋体" w:cs="Times New Roman"/>
          <w:bCs/>
          <w:sz w:val="24"/>
          <w:szCs w:val="24"/>
        </w:rPr>
        <w:t>1、根据甲方绿化养护要求及乙方投标文件中的承诺，对乙方提供的服务及履行本合同情况实行验收考核。</w:t>
      </w:r>
    </w:p>
    <w:p>
      <w:pPr>
        <w:spacing w:line="360" w:lineRule="auto"/>
        <w:ind w:firstLine="228"/>
        <w:rPr>
          <w:rFonts w:hint="eastAsia" w:ascii="宋体" w:hAnsi="宋体" w:eastAsia="宋体" w:cs="Times New Roman"/>
          <w:bCs/>
          <w:sz w:val="24"/>
          <w:szCs w:val="24"/>
        </w:rPr>
      </w:pPr>
      <w:r>
        <w:rPr>
          <w:rFonts w:ascii="宋体" w:hAnsi="宋体" w:eastAsia="宋体" w:cs="Times New Roman"/>
          <w:bCs/>
          <w:sz w:val="24"/>
          <w:szCs w:val="24"/>
        </w:rPr>
        <w:t xml:space="preserve">  2、因突发事件及重大活动，甲方需调动乙方人员、设备时，乙方应服从安排予以配合。</w:t>
      </w:r>
    </w:p>
    <w:p>
      <w:pPr>
        <w:spacing w:line="360" w:lineRule="auto"/>
        <w:ind w:firstLine="480"/>
        <w:rPr>
          <w:rFonts w:ascii="宋体" w:hAnsi="宋体" w:eastAsia="宋体" w:cs="Times New Roman"/>
          <w:bCs/>
          <w:sz w:val="24"/>
          <w:szCs w:val="24"/>
        </w:rPr>
      </w:pPr>
      <w:r>
        <w:rPr>
          <w:rFonts w:ascii="宋体" w:hAnsi="宋体" w:eastAsia="宋体" w:cs="Times New Roman"/>
          <w:bCs/>
          <w:sz w:val="24"/>
          <w:szCs w:val="24"/>
        </w:rPr>
        <w:t>3、按照</w:t>
      </w:r>
      <w:r>
        <w:rPr>
          <w:rFonts w:hint="eastAsia" w:ascii="宋体" w:hAnsi="宋体" w:eastAsia="宋体" w:cs="Times New Roman"/>
          <w:bCs/>
          <w:sz w:val="24"/>
          <w:szCs w:val="24"/>
        </w:rPr>
        <w:t>招标文件要求和相关规定</w:t>
      </w:r>
      <w:r>
        <w:rPr>
          <w:rFonts w:ascii="宋体" w:hAnsi="宋体" w:eastAsia="宋体" w:cs="Times New Roman"/>
          <w:bCs/>
          <w:sz w:val="24"/>
          <w:szCs w:val="24"/>
        </w:rPr>
        <w:t>，</w:t>
      </w:r>
      <w:r>
        <w:rPr>
          <w:rFonts w:hint="eastAsia" w:ascii="宋体" w:hAnsi="宋体" w:eastAsia="宋体" w:cs="Times New Roman"/>
          <w:bCs/>
          <w:sz w:val="24"/>
          <w:szCs w:val="24"/>
        </w:rPr>
        <w:t>由甲方对乙方养护</w:t>
      </w:r>
      <w:r>
        <w:rPr>
          <w:rFonts w:ascii="宋体" w:hAnsi="宋体" w:eastAsia="宋体" w:cs="Times New Roman"/>
          <w:bCs/>
          <w:sz w:val="24"/>
          <w:szCs w:val="24"/>
        </w:rPr>
        <w:t>管理</w:t>
      </w:r>
      <w:r>
        <w:rPr>
          <w:rFonts w:hint="eastAsia" w:ascii="宋体" w:hAnsi="宋体" w:eastAsia="宋体" w:cs="Times New Roman"/>
          <w:bCs/>
          <w:sz w:val="24"/>
          <w:szCs w:val="24"/>
        </w:rPr>
        <w:t>工作进行检查</w:t>
      </w:r>
      <w:r>
        <w:rPr>
          <w:rFonts w:ascii="宋体" w:hAnsi="宋体" w:eastAsia="宋体" w:cs="Times New Roman"/>
          <w:bCs/>
          <w:sz w:val="24"/>
          <w:szCs w:val="24"/>
        </w:rPr>
        <w:t>考核根据考核结果支付养护费用。</w:t>
      </w:r>
    </w:p>
    <w:p>
      <w:pPr>
        <w:spacing w:line="360" w:lineRule="auto"/>
        <w:ind w:firstLine="228"/>
        <w:rPr>
          <w:rFonts w:ascii="宋体" w:hAnsi="宋体" w:eastAsia="宋体" w:cs="Times New Roman"/>
          <w:bCs/>
          <w:sz w:val="24"/>
          <w:szCs w:val="24"/>
        </w:rPr>
      </w:pPr>
      <w:r>
        <w:rPr>
          <w:rFonts w:ascii="宋体" w:hAnsi="宋体" w:eastAsia="宋体" w:cs="Times New Roman"/>
          <w:bCs/>
          <w:sz w:val="24"/>
          <w:szCs w:val="24"/>
        </w:rPr>
        <w:t xml:space="preserve">  4、</w:t>
      </w:r>
      <w:r>
        <w:rPr>
          <w:rFonts w:hint="eastAsia" w:ascii="宋体" w:hAnsi="宋体" w:eastAsia="宋体" w:cs="Times New Roman"/>
          <w:bCs/>
          <w:sz w:val="24"/>
          <w:szCs w:val="24"/>
        </w:rPr>
        <w:t>甲方有义务在适当的范围内公开考核结果。</w:t>
      </w:r>
    </w:p>
    <w:p>
      <w:pPr>
        <w:spacing w:line="360" w:lineRule="auto"/>
        <w:ind w:firstLine="480"/>
        <w:rPr>
          <w:rFonts w:ascii="宋体" w:hAnsi="宋体" w:eastAsia="宋体" w:cs="Times New Roman"/>
          <w:bCs/>
          <w:sz w:val="24"/>
          <w:szCs w:val="24"/>
        </w:rPr>
      </w:pPr>
      <w:r>
        <w:rPr>
          <w:rFonts w:ascii="宋体" w:hAnsi="宋体" w:eastAsia="宋体" w:cs="Times New Roman"/>
          <w:bCs/>
          <w:sz w:val="24"/>
          <w:szCs w:val="24"/>
        </w:rPr>
        <w:t>5、若中标的投标单位在养护期间，将</w:t>
      </w:r>
      <w:r>
        <w:rPr>
          <w:rFonts w:hint="eastAsia" w:ascii="宋体" w:hAnsi="宋体" w:eastAsia="宋体" w:cs="Times New Roman"/>
          <w:bCs/>
          <w:sz w:val="24"/>
          <w:szCs w:val="24"/>
        </w:rPr>
        <w:t>绿化</w:t>
      </w:r>
      <w:r>
        <w:rPr>
          <w:rFonts w:ascii="宋体" w:hAnsi="宋体" w:eastAsia="宋体" w:cs="Times New Roman"/>
          <w:bCs/>
          <w:sz w:val="24"/>
          <w:szCs w:val="24"/>
        </w:rPr>
        <w:t>养护管理转包他人，</w:t>
      </w:r>
      <w:r>
        <w:rPr>
          <w:rFonts w:hint="eastAsia" w:ascii="宋体" w:hAnsi="宋体" w:eastAsia="宋体" w:cs="Times New Roman"/>
          <w:bCs/>
          <w:sz w:val="24"/>
          <w:szCs w:val="24"/>
        </w:rPr>
        <w:t>甲方可单方</w:t>
      </w:r>
      <w:r>
        <w:rPr>
          <w:rFonts w:ascii="宋体" w:hAnsi="宋体" w:eastAsia="宋体" w:cs="Times New Roman"/>
          <w:bCs/>
          <w:sz w:val="24"/>
          <w:szCs w:val="24"/>
        </w:rPr>
        <w:t>解除合同</w:t>
      </w:r>
      <w:r>
        <w:rPr>
          <w:rFonts w:hint="eastAsia" w:ascii="宋体" w:hAnsi="宋体" w:eastAsia="宋体" w:cs="Times New Roman"/>
          <w:bCs/>
          <w:sz w:val="24"/>
          <w:szCs w:val="24"/>
        </w:rPr>
        <w:t>。</w:t>
      </w:r>
    </w:p>
    <w:p>
      <w:pPr>
        <w:widowControl w:val="0"/>
        <w:tabs>
          <w:tab w:val="left" w:pos="540"/>
        </w:tabs>
        <w:spacing w:line="360" w:lineRule="auto"/>
        <w:ind w:firstLine="181"/>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w:t>
      </w:r>
      <w:r>
        <w:rPr>
          <w:rFonts w:hint="eastAsia" w:ascii="宋体" w:hAnsi="宋体" w:eastAsia="宋体" w:cs="Times New Roman"/>
          <w:bCs/>
          <w:kern w:val="2"/>
          <w:sz w:val="24"/>
          <w:szCs w:val="24"/>
          <w:lang w:val="en-US" w:eastAsia="zh-CN" w:bidi="ar-SA"/>
        </w:rPr>
        <w:t>七</w:t>
      </w:r>
      <w:r>
        <w:rPr>
          <w:rFonts w:ascii="宋体" w:hAnsi="宋体" w:eastAsia="宋体" w:cs="Times New Roman"/>
          <w:bCs/>
          <w:kern w:val="2"/>
          <w:sz w:val="24"/>
          <w:szCs w:val="24"/>
          <w:lang w:val="en-US" w:eastAsia="zh-CN" w:bidi="ar-SA"/>
        </w:rPr>
        <w:t>、乙方权利和义务</w:t>
      </w:r>
    </w:p>
    <w:p>
      <w:pPr>
        <w:widowControl w:val="0"/>
        <w:tabs>
          <w:tab w:val="left" w:pos="540"/>
        </w:tabs>
        <w:spacing w:line="360" w:lineRule="auto"/>
        <w:ind w:firstLine="181"/>
        <w:jc w:val="both"/>
        <w:rPr>
          <w:rFonts w:hint="eastAsia"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1、乙方根据</w:t>
      </w:r>
      <w:r>
        <w:rPr>
          <w:rFonts w:hint="eastAsia" w:ascii="宋体" w:hAnsi="宋体" w:eastAsia="宋体" w:cs="Times New Roman"/>
          <w:bCs/>
          <w:kern w:val="2"/>
          <w:sz w:val="24"/>
          <w:szCs w:val="24"/>
          <w:lang w:val="en-US" w:eastAsia="zh-CN" w:bidi="ar-SA"/>
        </w:rPr>
        <w:t>绿化</w:t>
      </w:r>
      <w:r>
        <w:rPr>
          <w:rFonts w:ascii="宋体" w:hAnsi="宋体" w:eastAsia="宋体" w:cs="Times New Roman"/>
          <w:bCs/>
          <w:kern w:val="2"/>
          <w:sz w:val="24"/>
          <w:szCs w:val="24"/>
          <w:lang w:val="en-US" w:eastAsia="zh-CN" w:bidi="ar-SA"/>
        </w:rPr>
        <w:t>养护技术规范、绿化养护质量标准和有关要求，积极主动保质保量地完成绿化养护工作</w:t>
      </w:r>
      <w:r>
        <w:rPr>
          <w:rFonts w:hint="eastAsia" w:ascii="宋体" w:hAnsi="宋体" w:eastAsia="宋体" w:cs="Times New Roman"/>
          <w:bCs/>
          <w:kern w:val="2"/>
          <w:sz w:val="24"/>
          <w:szCs w:val="24"/>
          <w:lang w:val="en-US" w:eastAsia="zh-CN" w:bidi="ar-SA"/>
        </w:rPr>
        <w:t>。</w:t>
      </w:r>
    </w:p>
    <w:p>
      <w:pPr>
        <w:widowControl w:val="0"/>
        <w:tabs>
          <w:tab w:val="left" w:pos="540"/>
        </w:tabs>
        <w:spacing w:line="360" w:lineRule="auto"/>
        <w:ind w:firstLine="181"/>
        <w:jc w:val="both"/>
        <w:rPr>
          <w:rFonts w:hint="eastAsia"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2、接受并主动配合甲方及行业管理部门的检查</w:t>
      </w:r>
      <w:r>
        <w:rPr>
          <w:rFonts w:hint="eastAsia" w:ascii="宋体" w:hAnsi="宋体" w:eastAsia="宋体" w:cs="Times New Roman"/>
          <w:bCs/>
          <w:kern w:val="2"/>
          <w:sz w:val="24"/>
          <w:szCs w:val="24"/>
          <w:lang w:val="en-US" w:eastAsia="zh-CN" w:bidi="ar-SA"/>
        </w:rPr>
        <w:t>。</w:t>
      </w:r>
    </w:p>
    <w:p>
      <w:pPr>
        <w:widowControl w:val="0"/>
        <w:tabs>
          <w:tab w:val="left" w:pos="540"/>
        </w:tabs>
        <w:spacing w:line="360" w:lineRule="auto"/>
        <w:ind w:firstLine="181"/>
        <w:jc w:val="both"/>
        <w:rPr>
          <w:rFonts w:hint="eastAsia"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3、养护范围之外的突击性、突发性工作，乙方须</w:t>
      </w:r>
      <w:r>
        <w:rPr>
          <w:rFonts w:hint="eastAsia" w:ascii="宋体" w:hAnsi="宋体" w:eastAsia="宋体" w:cs="Times New Roman"/>
          <w:bCs/>
          <w:kern w:val="2"/>
          <w:sz w:val="24"/>
          <w:szCs w:val="24"/>
          <w:lang w:val="en-US" w:eastAsia="zh-CN" w:bidi="ar-SA"/>
        </w:rPr>
        <w:t>无条件</w:t>
      </w:r>
      <w:r>
        <w:rPr>
          <w:rFonts w:ascii="宋体" w:hAnsi="宋体" w:eastAsia="宋体" w:cs="Times New Roman"/>
          <w:bCs/>
          <w:kern w:val="2"/>
          <w:sz w:val="24"/>
          <w:szCs w:val="24"/>
          <w:lang w:val="en-US" w:eastAsia="zh-CN" w:bidi="ar-SA"/>
        </w:rPr>
        <w:t>服从甲方的安排，不得无故拖延</w:t>
      </w:r>
      <w:r>
        <w:rPr>
          <w:rFonts w:hint="eastAsia" w:ascii="宋体" w:hAnsi="宋体" w:eastAsia="宋体" w:cs="Times New Roman"/>
          <w:bCs/>
          <w:kern w:val="2"/>
          <w:sz w:val="24"/>
          <w:szCs w:val="24"/>
          <w:lang w:val="en-US" w:eastAsia="zh-CN" w:bidi="ar-SA"/>
        </w:rPr>
        <w:t>。</w:t>
      </w:r>
    </w:p>
    <w:p>
      <w:pPr>
        <w:widowControl w:val="0"/>
        <w:tabs>
          <w:tab w:val="left" w:pos="540"/>
        </w:tabs>
        <w:spacing w:line="360" w:lineRule="auto"/>
        <w:ind w:firstLine="181"/>
        <w:jc w:val="both"/>
        <w:rPr>
          <w:rFonts w:hint="eastAsia"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4、因乙方养护管理不善而损坏的植物、设施应负责</w:t>
      </w:r>
      <w:r>
        <w:rPr>
          <w:rFonts w:hint="eastAsia" w:ascii="宋体" w:hAnsi="宋体" w:eastAsia="宋体" w:cs="Times New Roman"/>
          <w:bCs/>
          <w:kern w:val="2"/>
          <w:sz w:val="24"/>
          <w:szCs w:val="24"/>
          <w:lang w:val="en-US" w:eastAsia="zh-CN" w:bidi="ar-SA"/>
        </w:rPr>
        <w:t>免费</w:t>
      </w:r>
      <w:r>
        <w:rPr>
          <w:rFonts w:ascii="宋体" w:hAnsi="宋体" w:eastAsia="宋体" w:cs="Times New Roman"/>
          <w:bCs/>
          <w:kern w:val="2"/>
          <w:sz w:val="24"/>
          <w:szCs w:val="24"/>
          <w:lang w:val="en-US" w:eastAsia="zh-CN" w:bidi="ar-SA"/>
        </w:rPr>
        <w:t>及时补植和修复</w:t>
      </w:r>
      <w:r>
        <w:rPr>
          <w:rFonts w:hint="eastAsia" w:ascii="宋体" w:hAnsi="宋体" w:eastAsia="宋体" w:cs="Times New Roman"/>
          <w:bCs/>
          <w:kern w:val="2"/>
          <w:sz w:val="24"/>
          <w:szCs w:val="24"/>
          <w:lang w:val="en-US" w:eastAsia="zh-CN" w:bidi="ar-SA"/>
        </w:rPr>
        <w:t>（乔木</w:t>
      </w:r>
      <w:r>
        <w:rPr>
          <w:rFonts w:ascii="宋体" w:hAnsi="宋体" w:eastAsia="宋体" w:cs="Times New Roman"/>
          <w:bCs/>
          <w:kern w:val="2"/>
          <w:sz w:val="24"/>
          <w:szCs w:val="24"/>
          <w:lang w:val="en-US" w:eastAsia="zh-CN" w:bidi="ar-SA"/>
        </w:rPr>
        <w:t>补</w:t>
      </w:r>
      <w:r>
        <w:rPr>
          <w:rFonts w:hint="eastAsia" w:ascii="宋体" w:hAnsi="宋体" w:eastAsia="宋体" w:cs="Times New Roman"/>
          <w:bCs/>
          <w:kern w:val="2"/>
          <w:sz w:val="24"/>
          <w:szCs w:val="24"/>
          <w:lang w:val="en-US" w:eastAsia="zh-CN" w:bidi="ar-SA"/>
        </w:rPr>
        <w:t>种需同品种、同规格，免费保活一年）</w:t>
      </w:r>
      <w:r>
        <w:rPr>
          <w:rFonts w:ascii="宋体" w:hAnsi="宋体" w:eastAsia="宋体" w:cs="Times New Roman"/>
          <w:bCs/>
          <w:kern w:val="2"/>
          <w:sz w:val="24"/>
          <w:szCs w:val="24"/>
          <w:lang w:val="en-US" w:eastAsia="zh-CN" w:bidi="ar-SA"/>
        </w:rPr>
        <w:t>，或照价赔偿</w:t>
      </w:r>
      <w:r>
        <w:rPr>
          <w:rFonts w:hint="eastAsia" w:ascii="宋体" w:hAnsi="宋体" w:eastAsia="宋体" w:cs="Times New Roman"/>
          <w:bCs/>
          <w:kern w:val="2"/>
          <w:sz w:val="24"/>
          <w:szCs w:val="24"/>
          <w:lang w:val="en-US" w:eastAsia="zh-CN" w:bidi="ar-SA"/>
        </w:rPr>
        <w:t>。</w:t>
      </w:r>
      <w:r>
        <w:rPr>
          <w:rFonts w:ascii="宋体" w:hAnsi="宋体" w:eastAsia="宋体" w:cs="Times New Roman"/>
          <w:bCs/>
          <w:kern w:val="2"/>
          <w:sz w:val="24"/>
          <w:szCs w:val="24"/>
          <w:lang w:val="en-US" w:eastAsia="zh-CN" w:bidi="ar-SA"/>
        </w:rPr>
        <w:t>合同期限届满时，乙方应保证本合同养护项目设施</w:t>
      </w:r>
      <w:r>
        <w:rPr>
          <w:rFonts w:hint="eastAsia" w:ascii="宋体" w:hAnsi="宋体" w:eastAsia="宋体" w:cs="Times New Roman"/>
          <w:bCs/>
          <w:kern w:val="2"/>
          <w:sz w:val="24"/>
          <w:szCs w:val="24"/>
          <w:lang w:val="en-US" w:eastAsia="zh-CN" w:bidi="ar-SA"/>
        </w:rPr>
        <w:t>数</w:t>
      </w:r>
      <w:r>
        <w:rPr>
          <w:rFonts w:ascii="宋体" w:hAnsi="宋体" w:eastAsia="宋体" w:cs="Times New Roman"/>
          <w:bCs/>
          <w:kern w:val="2"/>
          <w:sz w:val="24"/>
          <w:szCs w:val="24"/>
          <w:lang w:val="en-US" w:eastAsia="zh-CN" w:bidi="ar-SA"/>
        </w:rPr>
        <w:t>量完好无损。未完好的，甲方可自行或委托他人补齐或修复，费用由乙方负责。</w:t>
      </w:r>
    </w:p>
    <w:p>
      <w:pPr>
        <w:widowControl w:val="0"/>
        <w:tabs>
          <w:tab w:val="left" w:pos="540"/>
        </w:tabs>
        <w:spacing w:line="360" w:lineRule="auto"/>
        <w:ind w:firstLine="181"/>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5、乙方在每</w:t>
      </w:r>
      <w:r>
        <w:rPr>
          <w:rFonts w:hint="eastAsia" w:ascii="宋体" w:hAnsi="宋体" w:eastAsia="宋体" w:cs="Times New Roman"/>
          <w:bCs/>
          <w:kern w:val="2"/>
          <w:sz w:val="24"/>
          <w:szCs w:val="24"/>
          <w:lang w:val="en-US" w:eastAsia="zh-CN" w:bidi="ar-SA"/>
        </w:rPr>
        <w:t>个周期</w:t>
      </w:r>
      <w:r>
        <w:rPr>
          <w:rFonts w:ascii="宋体" w:hAnsi="宋体" w:eastAsia="宋体" w:cs="Times New Roman"/>
          <w:bCs/>
          <w:kern w:val="2"/>
          <w:sz w:val="24"/>
          <w:szCs w:val="24"/>
          <w:lang w:val="en-US" w:eastAsia="zh-CN" w:bidi="ar-SA"/>
        </w:rPr>
        <w:t>经验收考核后，</w:t>
      </w:r>
      <w:r>
        <w:rPr>
          <w:rFonts w:hint="eastAsia" w:ascii="宋体" w:hAnsi="宋体" w:eastAsia="宋体" w:cs="Times New Roman"/>
          <w:bCs/>
          <w:kern w:val="2"/>
          <w:sz w:val="24"/>
          <w:szCs w:val="24"/>
          <w:lang w:val="en-US" w:eastAsia="zh-CN" w:bidi="ar-SA"/>
        </w:rPr>
        <w:t>根据招标文件规定</w:t>
      </w:r>
      <w:r>
        <w:rPr>
          <w:rFonts w:ascii="宋体" w:hAnsi="宋体" w:eastAsia="宋体" w:cs="Times New Roman"/>
          <w:bCs/>
          <w:kern w:val="2"/>
          <w:sz w:val="24"/>
          <w:szCs w:val="24"/>
          <w:lang w:val="en-US" w:eastAsia="zh-CN" w:bidi="ar-SA"/>
        </w:rPr>
        <w:t>领取养护费用；</w:t>
      </w:r>
    </w:p>
    <w:p>
      <w:pPr>
        <w:widowControl w:val="0"/>
        <w:tabs>
          <w:tab w:val="left" w:pos="540"/>
        </w:tabs>
        <w:spacing w:line="360" w:lineRule="auto"/>
        <w:ind w:firstLine="181"/>
        <w:jc w:val="both"/>
        <w:rPr>
          <w:rFonts w:hint="eastAsia" w:ascii="宋体" w:hAnsi="宋体" w:eastAsia="宋体" w:cs="Times New Roman"/>
          <w:b/>
          <w:bCs/>
          <w:color w:val="C00000"/>
          <w:kern w:val="2"/>
          <w:sz w:val="24"/>
          <w:szCs w:val="24"/>
          <w:lang w:val="en-US" w:eastAsia="zh-CN" w:bidi="ar-SA"/>
        </w:rPr>
      </w:pPr>
      <w:r>
        <w:rPr>
          <w:rFonts w:ascii="宋体" w:hAnsi="宋体" w:eastAsia="宋体" w:cs="Times New Roman"/>
          <w:bCs/>
          <w:kern w:val="2"/>
          <w:sz w:val="24"/>
          <w:szCs w:val="24"/>
          <w:lang w:val="en-US" w:eastAsia="zh-CN" w:bidi="ar-SA"/>
        </w:rPr>
        <w:t xml:space="preserve">  6、乙方应做好详细的养护台账，建立养护档案，</w:t>
      </w:r>
      <w:r>
        <w:rPr>
          <w:rFonts w:ascii="宋体" w:hAnsi="宋体" w:eastAsia="宋体" w:cs="Times New Roman"/>
          <w:b/>
          <w:bCs/>
          <w:color w:val="C00000"/>
          <w:kern w:val="2"/>
          <w:sz w:val="24"/>
          <w:szCs w:val="24"/>
          <w:highlight w:val="yellow"/>
          <w:lang w:val="en-US" w:eastAsia="zh-CN" w:bidi="ar-SA"/>
        </w:rPr>
        <w:t>每月</w:t>
      </w:r>
      <w:r>
        <w:rPr>
          <w:rFonts w:hint="eastAsia" w:ascii="宋体" w:hAnsi="宋体" w:eastAsia="宋体" w:cs="Times New Roman"/>
          <w:b/>
          <w:bCs/>
          <w:color w:val="C00000"/>
          <w:kern w:val="2"/>
          <w:sz w:val="24"/>
          <w:szCs w:val="24"/>
          <w:highlight w:val="yellow"/>
          <w:lang w:val="en-US" w:eastAsia="zh-CN" w:bidi="ar-SA"/>
        </w:rPr>
        <w:t>按规定</w:t>
      </w:r>
      <w:r>
        <w:rPr>
          <w:rFonts w:ascii="宋体" w:hAnsi="宋体" w:eastAsia="宋体" w:cs="Times New Roman"/>
          <w:b/>
          <w:bCs/>
          <w:color w:val="C00000"/>
          <w:kern w:val="2"/>
          <w:sz w:val="24"/>
          <w:szCs w:val="24"/>
          <w:highlight w:val="yellow"/>
          <w:lang w:val="en-US" w:eastAsia="zh-CN" w:bidi="ar-SA"/>
        </w:rPr>
        <w:t>将</w:t>
      </w:r>
      <w:r>
        <w:rPr>
          <w:rFonts w:hint="eastAsia" w:ascii="宋体" w:hAnsi="宋体" w:eastAsia="宋体" w:cs="Times New Roman"/>
          <w:b/>
          <w:bCs/>
          <w:color w:val="C00000"/>
          <w:kern w:val="2"/>
          <w:sz w:val="24"/>
          <w:szCs w:val="24"/>
          <w:highlight w:val="yellow"/>
          <w:lang w:val="en-US" w:eastAsia="zh-CN" w:bidi="ar-SA"/>
        </w:rPr>
        <w:t>当</w:t>
      </w:r>
      <w:r>
        <w:rPr>
          <w:rFonts w:ascii="宋体" w:hAnsi="宋体" w:eastAsia="宋体" w:cs="Times New Roman"/>
          <w:b/>
          <w:bCs/>
          <w:color w:val="C00000"/>
          <w:kern w:val="2"/>
          <w:sz w:val="24"/>
          <w:szCs w:val="24"/>
          <w:highlight w:val="yellow"/>
          <w:lang w:val="en-US" w:eastAsia="zh-CN" w:bidi="ar-SA"/>
        </w:rPr>
        <w:t>月的养护总结及下月的工作计划报送</w:t>
      </w:r>
      <w:r>
        <w:rPr>
          <w:rFonts w:hint="eastAsia" w:ascii="宋体" w:hAnsi="宋体" w:eastAsia="宋体" w:cs="Times New Roman"/>
          <w:b/>
          <w:bCs/>
          <w:color w:val="C00000"/>
          <w:kern w:val="2"/>
          <w:sz w:val="24"/>
          <w:szCs w:val="24"/>
          <w:highlight w:val="yellow"/>
          <w:lang w:val="en-US" w:eastAsia="zh-CN" w:bidi="ar-SA"/>
        </w:rPr>
        <w:t>甲方,</w:t>
      </w:r>
      <w:r>
        <w:rPr>
          <w:rFonts w:hint="eastAsia" w:ascii="宋体" w:hAnsi="宋体" w:eastAsia="宋体" w:cs="Times New Roman"/>
          <w:b/>
          <w:bCs/>
          <w:color w:val="C00000"/>
          <w:kern w:val="2"/>
          <w:sz w:val="24"/>
          <w:szCs w:val="24"/>
          <w:highlight w:val="green"/>
          <w:lang w:val="en-US" w:eastAsia="zh-CN" w:bidi="ar-SA"/>
        </w:rPr>
        <w:t>工</w:t>
      </w:r>
      <w:r>
        <w:rPr>
          <w:rFonts w:ascii="宋体" w:hAnsi="宋体" w:eastAsia="宋体" w:cs="Times New Roman"/>
          <w:b/>
          <w:bCs/>
          <w:color w:val="C00000"/>
          <w:kern w:val="2"/>
          <w:sz w:val="24"/>
          <w:szCs w:val="24"/>
          <w:highlight w:val="green"/>
          <w:lang w:val="en-US" w:eastAsia="zh-CN" w:bidi="ar-SA"/>
        </w:rPr>
        <w:t>作计划经</w:t>
      </w:r>
      <w:r>
        <w:rPr>
          <w:rFonts w:hint="eastAsia" w:ascii="宋体" w:hAnsi="宋体" w:eastAsia="宋体" w:cs="Times New Roman"/>
          <w:b/>
          <w:bCs/>
          <w:color w:val="C00000"/>
          <w:kern w:val="2"/>
          <w:sz w:val="24"/>
          <w:szCs w:val="24"/>
          <w:highlight w:val="green"/>
          <w:lang w:val="en-US" w:eastAsia="zh-CN" w:bidi="ar-SA"/>
        </w:rPr>
        <w:t>甲方</w:t>
      </w:r>
      <w:r>
        <w:rPr>
          <w:rFonts w:ascii="宋体" w:hAnsi="宋体" w:eastAsia="宋体" w:cs="Times New Roman"/>
          <w:b/>
          <w:bCs/>
          <w:color w:val="C00000"/>
          <w:kern w:val="2"/>
          <w:sz w:val="24"/>
          <w:szCs w:val="24"/>
          <w:highlight w:val="green"/>
          <w:lang w:val="en-US" w:eastAsia="zh-CN" w:bidi="ar-SA"/>
        </w:rPr>
        <w:t>审核后执行。</w:t>
      </w:r>
    </w:p>
    <w:p>
      <w:pPr>
        <w:widowControl w:val="0"/>
        <w:tabs>
          <w:tab w:val="left" w:pos="540"/>
        </w:tabs>
        <w:spacing w:line="360" w:lineRule="auto"/>
        <w:ind w:firstLine="181"/>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w:t>
      </w:r>
      <w:r>
        <w:rPr>
          <w:rFonts w:hint="eastAsia" w:ascii="宋体" w:hAnsi="宋体" w:eastAsia="宋体" w:cs="Times New Roman"/>
          <w:bCs/>
          <w:kern w:val="2"/>
          <w:sz w:val="24"/>
          <w:szCs w:val="24"/>
          <w:lang w:val="en-US" w:eastAsia="zh-CN" w:bidi="ar-SA"/>
        </w:rPr>
        <w:t>八</w:t>
      </w:r>
      <w:r>
        <w:rPr>
          <w:rFonts w:ascii="宋体" w:hAnsi="宋体" w:eastAsia="宋体" w:cs="Times New Roman"/>
          <w:bCs/>
          <w:kern w:val="2"/>
          <w:sz w:val="24"/>
          <w:szCs w:val="24"/>
          <w:lang w:val="en-US" w:eastAsia="zh-CN" w:bidi="ar-SA"/>
        </w:rPr>
        <w:t>、绿化养护内容的调整</w:t>
      </w:r>
    </w:p>
    <w:p>
      <w:pPr>
        <w:widowControl w:val="0"/>
        <w:tabs>
          <w:tab w:val="left" w:pos="540"/>
        </w:tabs>
        <w:spacing w:line="360" w:lineRule="auto"/>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1、合同签订时因实际绿化养护面积与招标文件中所述面积有差异，以实际养护面积为准，且不再因此调整合同金额；</w:t>
      </w:r>
    </w:p>
    <w:p>
      <w:pPr>
        <w:widowControl w:val="0"/>
        <w:tabs>
          <w:tab w:val="left" w:pos="540"/>
        </w:tabs>
        <w:spacing w:line="360" w:lineRule="auto"/>
        <w:ind w:firstLine="340" w:firstLineChars="142"/>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2、在合同履行过程中，若绿化养护面积出现重大变化</w:t>
      </w:r>
      <w:r>
        <w:rPr>
          <w:rFonts w:hint="eastAsia" w:ascii="宋体" w:hAnsi="宋体" w:eastAsia="宋体" w:cs="Times New Roman"/>
          <w:bCs/>
          <w:kern w:val="2"/>
          <w:sz w:val="24"/>
          <w:szCs w:val="24"/>
          <w:lang w:val="en-US" w:eastAsia="zh-CN" w:bidi="ar-SA"/>
        </w:rPr>
        <w:t>(规划调整、改造等)</w:t>
      </w:r>
      <w:r>
        <w:rPr>
          <w:rFonts w:ascii="宋体" w:hAnsi="宋体" w:eastAsia="宋体" w:cs="Times New Roman"/>
          <w:bCs/>
          <w:kern w:val="2"/>
          <w:sz w:val="24"/>
          <w:szCs w:val="24"/>
          <w:lang w:val="en-US" w:eastAsia="zh-CN" w:bidi="ar-SA"/>
        </w:rPr>
        <w:t>时，以原合同综合平均单价和实际增减面积据实调整养护金额。</w:t>
      </w:r>
    </w:p>
    <w:p>
      <w:pPr>
        <w:widowControl w:val="0"/>
        <w:tabs>
          <w:tab w:val="left" w:pos="540"/>
        </w:tabs>
        <w:spacing w:line="360" w:lineRule="auto"/>
        <w:ind w:firstLine="398" w:firstLineChars="166"/>
        <w:jc w:val="both"/>
        <w:rPr>
          <w:rFonts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九</w:t>
      </w:r>
      <w:r>
        <w:rPr>
          <w:rFonts w:ascii="宋体" w:hAnsi="宋体" w:eastAsia="宋体" w:cs="Times New Roman"/>
          <w:bCs/>
          <w:kern w:val="2"/>
          <w:sz w:val="24"/>
          <w:szCs w:val="24"/>
          <w:lang w:val="en-US" w:eastAsia="zh-CN" w:bidi="ar-SA"/>
        </w:rPr>
        <w:t>、绿化养护基本要求</w:t>
      </w:r>
    </w:p>
    <w:p>
      <w:pPr>
        <w:widowControl w:val="0"/>
        <w:tabs>
          <w:tab w:val="left" w:pos="540"/>
        </w:tabs>
        <w:spacing w:line="360" w:lineRule="auto"/>
        <w:ind w:firstLine="181"/>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1、为确保养护质量，乙方需对中标后的</w:t>
      </w:r>
      <w:r>
        <w:rPr>
          <w:rFonts w:hint="eastAsia" w:ascii="宋体" w:hAnsi="宋体" w:eastAsia="宋体" w:cs="Times New Roman"/>
          <w:bCs/>
          <w:kern w:val="2"/>
          <w:sz w:val="24"/>
          <w:szCs w:val="24"/>
          <w:lang w:val="en-US" w:eastAsia="zh-CN" w:bidi="ar-SA"/>
        </w:rPr>
        <w:t>绿化</w:t>
      </w:r>
      <w:r>
        <w:rPr>
          <w:rFonts w:ascii="宋体" w:hAnsi="宋体" w:eastAsia="宋体" w:cs="Times New Roman"/>
          <w:bCs/>
          <w:kern w:val="2"/>
          <w:sz w:val="24"/>
          <w:szCs w:val="24"/>
          <w:lang w:val="en-US" w:eastAsia="zh-CN" w:bidi="ar-SA"/>
        </w:rPr>
        <w:t>落实专人进行动态养护管理，全天候作业。</w:t>
      </w:r>
    </w:p>
    <w:p>
      <w:pPr>
        <w:widowControl w:val="0"/>
        <w:tabs>
          <w:tab w:val="left" w:pos="540"/>
        </w:tabs>
        <w:spacing w:line="360" w:lineRule="auto"/>
        <w:ind w:firstLine="181"/>
        <w:jc w:val="both"/>
        <w:rPr>
          <w:rFonts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2、养护过程中，乙方必须采取周密的安全措施，以避免对人身和财产的损害。如因乙方操作不当、养护不当（如蛀干害虫未及时防治引起枝条砸落</w:t>
      </w:r>
      <w:r>
        <w:rPr>
          <w:rFonts w:hint="eastAsia" w:ascii="宋体" w:hAnsi="宋体" w:eastAsia="宋体" w:cs="Times New Roman"/>
          <w:bCs/>
          <w:kern w:val="2"/>
          <w:sz w:val="24"/>
          <w:szCs w:val="24"/>
          <w:lang w:val="en-US" w:eastAsia="zh-CN" w:bidi="ar-SA"/>
        </w:rPr>
        <w:t>、苗木倾倒等</w:t>
      </w:r>
      <w:r>
        <w:rPr>
          <w:rFonts w:ascii="宋体" w:hAnsi="宋体" w:eastAsia="宋体" w:cs="Times New Roman"/>
          <w:bCs/>
          <w:kern w:val="2"/>
          <w:sz w:val="24"/>
          <w:szCs w:val="24"/>
          <w:lang w:val="en-US" w:eastAsia="zh-CN" w:bidi="ar-SA"/>
        </w:rPr>
        <w:t>）或管理不善而造成人身伤害或财产损失的，由乙方自行承担。</w:t>
      </w:r>
    </w:p>
    <w:p>
      <w:pPr>
        <w:widowControl w:val="0"/>
        <w:tabs>
          <w:tab w:val="left" w:pos="540"/>
        </w:tabs>
        <w:spacing w:line="360" w:lineRule="auto"/>
        <w:ind w:firstLine="181"/>
        <w:jc w:val="both"/>
        <w:rPr>
          <w:rFonts w:hint="eastAsia" w:ascii="宋体" w:hAnsi="宋体" w:eastAsia="宋体" w:cs="Times New Roman"/>
          <w:bCs/>
          <w:kern w:val="2"/>
          <w:sz w:val="24"/>
          <w:szCs w:val="24"/>
          <w:lang w:val="en-US" w:eastAsia="zh-CN" w:bidi="ar-SA"/>
        </w:rPr>
      </w:pPr>
      <w:r>
        <w:rPr>
          <w:rFonts w:ascii="宋体" w:hAnsi="宋体" w:eastAsia="宋体" w:cs="Times New Roman"/>
          <w:bCs/>
          <w:kern w:val="2"/>
          <w:sz w:val="24"/>
          <w:szCs w:val="24"/>
          <w:lang w:val="en-US" w:eastAsia="zh-CN" w:bidi="ar-SA"/>
        </w:rPr>
        <w:t xml:space="preserve">  3、</w:t>
      </w:r>
      <w:r>
        <w:rPr>
          <w:rFonts w:hint="eastAsia" w:ascii="宋体" w:hAnsi="宋体" w:eastAsia="宋体" w:cs="Times New Roman"/>
          <w:bCs/>
          <w:kern w:val="2"/>
          <w:sz w:val="24"/>
          <w:szCs w:val="24"/>
          <w:lang w:val="en-US" w:eastAsia="zh-CN" w:bidi="ar-SA"/>
        </w:rPr>
        <w:t>遇</w:t>
      </w:r>
      <w:r>
        <w:rPr>
          <w:rFonts w:ascii="宋体" w:hAnsi="宋体" w:eastAsia="宋体" w:cs="Times New Roman"/>
          <w:bCs/>
          <w:kern w:val="2"/>
          <w:sz w:val="24"/>
          <w:szCs w:val="24"/>
          <w:lang w:val="en-US" w:eastAsia="zh-CN" w:bidi="ar-SA"/>
        </w:rPr>
        <w:t>台风、暴雨、大雪等自然灾害引起树木突然倒塌，碰线、碰屋</w:t>
      </w:r>
      <w:r>
        <w:rPr>
          <w:rFonts w:hint="eastAsia" w:ascii="宋体" w:hAnsi="宋体" w:eastAsia="宋体" w:cs="Times New Roman"/>
          <w:bCs/>
          <w:kern w:val="2"/>
          <w:sz w:val="24"/>
          <w:szCs w:val="24"/>
          <w:lang w:val="en-US" w:eastAsia="zh-CN" w:bidi="ar-SA"/>
        </w:rPr>
        <w:t>等</w:t>
      </w:r>
      <w:r>
        <w:rPr>
          <w:rFonts w:ascii="宋体" w:hAnsi="宋体" w:eastAsia="宋体" w:cs="Times New Roman"/>
          <w:bCs/>
          <w:kern w:val="2"/>
          <w:sz w:val="24"/>
          <w:szCs w:val="24"/>
          <w:lang w:val="en-US" w:eastAsia="zh-CN" w:bidi="ar-SA"/>
        </w:rPr>
        <w:t>造成的</w:t>
      </w:r>
      <w:r>
        <w:rPr>
          <w:rFonts w:hint="eastAsia" w:ascii="宋体" w:hAnsi="宋体" w:eastAsia="宋体" w:cs="Times New Roman"/>
          <w:bCs/>
          <w:kern w:val="2"/>
          <w:sz w:val="24"/>
          <w:szCs w:val="24"/>
          <w:lang w:val="en-US" w:eastAsia="zh-CN" w:bidi="ar-SA"/>
        </w:rPr>
        <w:t>突发事件</w:t>
      </w:r>
      <w:r>
        <w:rPr>
          <w:rFonts w:ascii="宋体" w:hAnsi="宋体" w:eastAsia="宋体" w:cs="Times New Roman"/>
          <w:bCs/>
          <w:kern w:val="2"/>
          <w:sz w:val="24"/>
          <w:szCs w:val="24"/>
          <w:lang w:val="en-US" w:eastAsia="zh-CN" w:bidi="ar-SA"/>
        </w:rPr>
        <w:t>，乙方在接到甲方通知后应迅速组织力量，半小时内到达现场并及时处理。</w:t>
      </w:r>
    </w:p>
    <w:p>
      <w:pPr>
        <w:widowControl w:val="0"/>
        <w:tabs>
          <w:tab w:val="left" w:pos="540"/>
        </w:tabs>
        <w:spacing w:line="360" w:lineRule="auto"/>
        <w:ind w:firstLine="420" w:firstLineChars="175"/>
        <w:jc w:val="both"/>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4、</w:t>
      </w:r>
      <w:r>
        <w:rPr>
          <w:rFonts w:ascii="宋体" w:hAnsi="宋体" w:eastAsia="宋体" w:cs="Times New Roman"/>
          <w:bCs/>
          <w:kern w:val="2"/>
          <w:sz w:val="24"/>
          <w:szCs w:val="24"/>
          <w:lang w:val="en-US" w:eastAsia="zh-CN" w:bidi="ar-SA"/>
        </w:rPr>
        <w:t>对于乙方养护期间由于养护工作不能及时完成，且造成较大影响的，甲方有权安排第三方进行养护，所发生的费用从乙方月度养护费中扣除。</w:t>
      </w:r>
    </w:p>
    <w:p>
      <w:pPr>
        <w:widowControl w:val="0"/>
        <w:tabs>
          <w:tab w:val="left" w:pos="540"/>
        </w:tabs>
        <w:spacing w:line="360" w:lineRule="auto"/>
        <w:ind w:firstLine="420" w:firstLineChars="175"/>
        <w:jc w:val="both"/>
        <w:rPr>
          <w:rFonts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5</w:t>
      </w:r>
      <w:r>
        <w:rPr>
          <w:rFonts w:ascii="宋体" w:hAnsi="宋体" w:eastAsia="宋体" w:cs="Times New Roman"/>
          <w:bCs/>
          <w:kern w:val="2"/>
          <w:sz w:val="24"/>
          <w:szCs w:val="24"/>
          <w:lang w:val="en-US" w:eastAsia="zh-CN" w:bidi="ar-SA"/>
        </w:rPr>
        <w:t>、乙方养护期间的乔灌花草保存率低于要求的，必须在适合的季节及时补植同品种、同规格的苗木，并确保成活。若乙方未按规定补植，甲方有权安排第三方进行种植，所发生的苗木费及补植费用从履约保证金中扣除。</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6</w:t>
      </w:r>
      <w:r>
        <w:rPr>
          <w:rFonts w:ascii="宋体" w:hAnsi="宋体" w:eastAsia="宋体" w:cs="Times New Roman"/>
          <w:bCs/>
          <w:sz w:val="24"/>
          <w:szCs w:val="24"/>
        </w:rPr>
        <w:t>、如遇重大破坏和偷盗案件</w:t>
      </w:r>
      <w:r>
        <w:rPr>
          <w:rFonts w:hint="eastAsia" w:ascii="宋体" w:hAnsi="宋体" w:eastAsia="宋体" w:cs="Times New Roman"/>
          <w:bCs/>
          <w:sz w:val="24"/>
          <w:szCs w:val="24"/>
        </w:rPr>
        <w:t>等</w:t>
      </w:r>
      <w:r>
        <w:rPr>
          <w:rFonts w:ascii="宋体" w:hAnsi="宋体" w:eastAsia="宋体" w:cs="Times New Roman"/>
          <w:bCs/>
          <w:sz w:val="24"/>
          <w:szCs w:val="24"/>
        </w:rPr>
        <w:t>重大事件</w:t>
      </w:r>
      <w:r>
        <w:rPr>
          <w:rFonts w:hint="eastAsia" w:ascii="宋体" w:hAnsi="宋体" w:eastAsia="宋体" w:cs="Times New Roman"/>
          <w:bCs/>
          <w:sz w:val="24"/>
          <w:szCs w:val="24"/>
        </w:rPr>
        <w:t>，乙方应</w:t>
      </w:r>
      <w:r>
        <w:rPr>
          <w:rFonts w:ascii="宋体" w:hAnsi="宋体" w:eastAsia="宋体" w:cs="Times New Roman"/>
          <w:bCs/>
          <w:sz w:val="24"/>
          <w:szCs w:val="24"/>
        </w:rPr>
        <w:t>及时上报</w:t>
      </w:r>
      <w:r>
        <w:rPr>
          <w:rFonts w:hint="eastAsia" w:ascii="宋体" w:hAnsi="宋体" w:eastAsia="宋体" w:cs="Times New Roman"/>
          <w:bCs/>
          <w:sz w:val="24"/>
          <w:szCs w:val="24"/>
        </w:rPr>
        <w:t>并组织人员</w:t>
      </w:r>
      <w:r>
        <w:rPr>
          <w:rFonts w:ascii="宋体" w:hAnsi="宋体" w:eastAsia="宋体" w:cs="Times New Roman"/>
          <w:bCs/>
          <w:sz w:val="24"/>
          <w:szCs w:val="24"/>
        </w:rPr>
        <w:t>24小时</w:t>
      </w:r>
      <w:r>
        <w:rPr>
          <w:rFonts w:hint="eastAsia" w:ascii="宋体" w:hAnsi="宋体" w:eastAsia="宋体" w:cs="Times New Roman"/>
          <w:bCs/>
          <w:sz w:val="24"/>
          <w:szCs w:val="24"/>
        </w:rPr>
        <w:t>看护。</w:t>
      </w:r>
    </w:p>
    <w:p>
      <w:pPr>
        <w:widowControl w:val="0"/>
        <w:tabs>
          <w:tab w:val="left" w:pos="540"/>
        </w:tabs>
        <w:spacing w:line="360" w:lineRule="auto"/>
        <w:ind w:firstLine="398" w:firstLineChars="166"/>
        <w:jc w:val="both"/>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十、</w:t>
      </w:r>
      <w:bookmarkStart w:id="10" w:name="_Toc13543221"/>
      <w:r>
        <w:rPr>
          <w:rFonts w:ascii="宋体" w:hAnsi="宋体" w:eastAsia="宋体" w:cs="Times New Roman"/>
          <w:bCs/>
          <w:kern w:val="2"/>
          <w:sz w:val="24"/>
          <w:szCs w:val="24"/>
          <w:lang w:val="en-US" w:eastAsia="zh-CN" w:bidi="ar-SA"/>
        </w:rPr>
        <w:t>合同的解除和转让</w:t>
      </w:r>
      <w:bookmarkEnd w:id="10"/>
    </w:p>
    <w:p>
      <w:pPr>
        <w:spacing w:line="360" w:lineRule="auto"/>
        <w:rPr>
          <w:rFonts w:hint="eastAsia" w:ascii="宋体" w:hAnsi="宋体" w:eastAsia="宋体" w:cs="Times New Roman"/>
          <w:bCs/>
          <w:sz w:val="24"/>
          <w:szCs w:val="24"/>
        </w:rPr>
      </w:pPr>
      <w:r>
        <w:rPr>
          <w:rFonts w:ascii="宋体" w:hAnsi="宋体" w:eastAsia="宋体" w:cs="Times New Roman"/>
          <w:bCs/>
          <w:sz w:val="24"/>
          <w:szCs w:val="24"/>
        </w:rPr>
        <w:t xml:space="preserve">    1、合同的解除</w:t>
      </w:r>
      <w:r>
        <w:rPr>
          <w:rFonts w:hint="eastAsia" w:ascii="宋体" w:hAnsi="宋体" w:eastAsia="宋体" w:cs="Times New Roman"/>
          <w:bCs/>
          <w:sz w:val="24"/>
          <w:szCs w:val="24"/>
        </w:rPr>
        <w:t>：</w:t>
      </w:r>
    </w:p>
    <w:p>
      <w:pPr>
        <w:spacing w:line="360" w:lineRule="auto"/>
        <w:ind w:firstLine="420"/>
        <w:rPr>
          <w:rFonts w:ascii="宋体" w:hAnsi="宋体" w:eastAsia="宋体" w:cs="Times New Roman"/>
          <w:bCs/>
          <w:sz w:val="24"/>
          <w:szCs w:val="24"/>
        </w:rPr>
      </w:pPr>
      <w:r>
        <w:rPr>
          <w:rFonts w:ascii="宋体" w:hAnsi="宋体" w:eastAsia="宋体" w:cs="Times New Roman"/>
          <w:bCs/>
          <w:sz w:val="24"/>
          <w:szCs w:val="24"/>
        </w:rPr>
        <w:t>（1）甲方和乙方协商一致，可以解除合同。</w:t>
      </w:r>
    </w:p>
    <w:p>
      <w:pPr>
        <w:spacing w:line="360" w:lineRule="auto"/>
        <w:ind w:firstLine="420"/>
        <w:rPr>
          <w:rFonts w:ascii="宋体" w:hAnsi="宋体" w:eastAsia="宋体" w:cs="Times New Roman"/>
          <w:bCs/>
          <w:sz w:val="24"/>
          <w:szCs w:val="24"/>
        </w:rPr>
      </w:pPr>
      <w:r>
        <w:rPr>
          <w:rFonts w:ascii="宋体" w:hAnsi="宋体" w:eastAsia="宋体" w:cs="Times New Roman"/>
          <w:bCs/>
          <w:sz w:val="24"/>
          <w:szCs w:val="24"/>
        </w:rPr>
        <w:t>（2）有下列情形之一，合同一方可以解除合同：</w:t>
      </w:r>
    </w:p>
    <w:p>
      <w:pPr>
        <w:spacing w:line="360" w:lineRule="auto"/>
        <w:ind w:firstLine="420"/>
        <w:rPr>
          <w:rFonts w:ascii="宋体" w:hAnsi="宋体" w:eastAsia="宋体" w:cs="Times New Roman"/>
          <w:bCs/>
          <w:sz w:val="24"/>
          <w:szCs w:val="24"/>
        </w:rPr>
      </w:pPr>
      <w:r>
        <w:rPr>
          <w:rFonts w:ascii="宋体" w:hAnsi="宋体" w:eastAsia="宋体" w:cs="Times New Roman"/>
          <w:bCs/>
          <w:sz w:val="24"/>
          <w:szCs w:val="24"/>
        </w:rPr>
        <w:t xml:space="preserve"> ① 因不可抗力致使不能实现合同目的，未受不可抗力影响的一方有权解除合同；</w:t>
      </w:r>
    </w:p>
    <w:p>
      <w:pPr>
        <w:spacing w:line="360" w:lineRule="auto"/>
        <w:ind w:firstLine="420"/>
        <w:rPr>
          <w:rFonts w:ascii="宋体" w:hAnsi="宋体" w:eastAsia="宋体" w:cs="Times New Roman"/>
          <w:bCs/>
          <w:sz w:val="24"/>
          <w:szCs w:val="24"/>
        </w:rPr>
      </w:pPr>
      <w:r>
        <w:rPr>
          <w:rFonts w:ascii="宋体" w:hAnsi="宋体" w:eastAsia="宋体" w:cs="Times New Roman"/>
          <w:bCs/>
          <w:sz w:val="24"/>
          <w:szCs w:val="24"/>
        </w:rPr>
        <w:t xml:space="preserve"> ② 因合同一方违约导致合同不能履行，另一方有权解除合同。</w:t>
      </w:r>
    </w:p>
    <w:p>
      <w:pPr>
        <w:spacing w:line="360" w:lineRule="auto"/>
        <w:ind w:firstLine="420"/>
        <w:rPr>
          <w:rFonts w:ascii="宋体" w:hAnsi="宋体" w:eastAsia="宋体" w:cs="Times New Roman"/>
          <w:bCs/>
          <w:sz w:val="24"/>
          <w:szCs w:val="24"/>
        </w:rPr>
      </w:pPr>
      <w:r>
        <w:rPr>
          <w:rFonts w:ascii="宋体" w:hAnsi="宋体" w:eastAsia="宋体" w:cs="Times New Roman"/>
          <w:bCs/>
          <w:sz w:val="24"/>
          <w:szCs w:val="24"/>
        </w:rPr>
        <w:t xml:space="preserve"> ③ 有权解除合同的一方，应当在违约事实或不可抗力发生之后三十天内书面通知对方以主张解除合同，合同在书面通知到达对方时解除。</w:t>
      </w:r>
    </w:p>
    <w:p>
      <w:pPr>
        <w:spacing w:line="360" w:lineRule="auto"/>
        <w:rPr>
          <w:rFonts w:hint="eastAsia" w:ascii="宋体" w:hAnsi="宋体" w:eastAsia="宋体" w:cs="Times New Roman"/>
          <w:bCs/>
          <w:sz w:val="24"/>
          <w:szCs w:val="24"/>
        </w:rPr>
      </w:pPr>
      <w:r>
        <w:rPr>
          <w:rFonts w:ascii="宋体" w:hAnsi="宋体" w:eastAsia="宋体" w:cs="Times New Roman"/>
          <w:bCs/>
          <w:sz w:val="24"/>
          <w:szCs w:val="24"/>
        </w:rPr>
        <w:t xml:space="preserve">    2、合同的转让</w:t>
      </w:r>
      <w:r>
        <w:rPr>
          <w:rFonts w:hint="eastAsia" w:ascii="宋体" w:hAnsi="宋体" w:eastAsia="宋体" w:cs="Times New Roman"/>
          <w:bCs/>
          <w:sz w:val="24"/>
          <w:szCs w:val="24"/>
        </w:rPr>
        <w:t>：</w:t>
      </w:r>
    </w:p>
    <w:p>
      <w:pPr>
        <w:spacing w:line="360" w:lineRule="auto"/>
        <w:ind w:firstLine="420"/>
        <w:rPr>
          <w:rFonts w:ascii="宋体" w:hAnsi="宋体" w:eastAsia="宋体" w:cs="Times New Roman"/>
          <w:bCs/>
          <w:sz w:val="24"/>
          <w:szCs w:val="24"/>
        </w:rPr>
      </w:pPr>
      <w:r>
        <w:rPr>
          <w:rFonts w:ascii="宋体" w:hAnsi="宋体" w:eastAsia="宋体" w:cs="Times New Roman"/>
          <w:bCs/>
          <w:sz w:val="24"/>
          <w:szCs w:val="24"/>
        </w:rPr>
        <w:t>合同的部分和全部都不得转让。</w:t>
      </w:r>
      <w:bookmarkStart w:id="11" w:name="_Toc13543222"/>
    </w:p>
    <w:p>
      <w:pPr>
        <w:spacing w:line="360" w:lineRule="auto"/>
        <w:ind w:firstLine="420"/>
        <w:rPr>
          <w:rFonts w:hint="eastAsia" w:ascii="宋体" w:hAnsi="宋体" w:eastAsia="宋体" w:cs="Times New Roman"/>
          <w:bCs/>
          <w:sz w:val="24"/>
          <w:szCs w:val="24"/>
        </w:rPr>
      </w:pPr>
      <w:r>
        <w:rPr>
          <w:rFonts w:hint="eastAsia" w:ascii="宋体" w:hAnsi="宋体" w:eastAsia="宋体" w:cs="Times New Roman"/>
          <w:bCs/>
          <w:sz w:val="24"/>
          <w:szCs w:val="24"/>
        </w:rPr>
        <w:t>十一</w:t>
      </w:r>
      <w:r>
        <w:rPr>
          <w:rFonts w:ascii="宋体" w:hAnsi="宋体" w:eastAsia="宋体" w:cs="Times New Roman"/>
          <w:bCs/>
          <w:sz w:val="24"/>
          <w:szCs w:val="24"/>
        </w:rPr>
        <w:t>、合同的生效</w:t>
      </w:r>
      <w:bookmarkEnd w:id="11"/>
    </w:p>
    <w:p>
      <w:pPr>
        <w:spacing w:line="360" w:lineRule="auto"/>
        <w:ind w:firstLine="420"/>
        <w:rPr>
          <w:rFonts w:ascii="宋体" w:hAnsi="宋体" w:eastAsia="宋体" w:cs="Times New Roman"/>
          <w:bCs/>
          <w:sz w:val="24"/>
          <w:szCs w:val="24"/>
        </w:rPr>
      </w:pPr>
      <w:r>
        <w:rPr>
          <w:rFonts w:hint="eastAsia" w:ascii="宋体" w:hAnsi="宋体" w:eastAsia="宋体" w:cs="Times New Roman"/>
          <w:bCs/>
          <w:sz w:val="24"/>
          <w:szCs w:val="24"/>
        </w:rPr>
        <w:t>合同经甲乙双方代表签字盖章并经见证后即生效。</w:t>
      </w:r>
    </w:p>
    <w:p>
      <w:pPr>
        <w:spacing w:line="360" w:lineRule="auto"/>
        <w:ind w:firstLine="480" w:firstLineChars="200"/>
        <w:rPr>
          <w:rFonts w:hint="eastAsia" w:ascii="宋体" w:hAnsi="宋体" w:eastAsia="宋体" w:cs="Times New Roman"/>
          <w:bCs/>
          <w:sz w:val="24"/>
          <w:szCs w:val="24"/>
        </w:rPr>
      </w:pPr>
      <w:bookmarkStart w:id="12" w:name="_Toc13543223"/>
      <w:r>
        <w:rPr>
          <w:rFonts w:ascii="宋体" w:hAnsi="宋体" w:eastAsia="宋体" w:cs="Times New Roman"/>
          <w:bCs/>
          <w:sz w:val="24"/>
          <w:szCs w:val="24"/>
        </w:rPr>
        <w:t>十</w:t>
      </w:r>
      <w:r>
        <w:rPr>
          <w:rFonts w:hint="eastAsia" w:ascii="宋体" w:hAnsi="宋体" w:eastAsia="宋体" w:cs="Times New Roman"/>
          <w:bCs/>
          <w:sz w:val="24"/>
          <w:szCs w:val="24"/>
        </w:rPr>
        <w:t>二</w:t>
      </w:r>
      <w:r>
        <w:rPr>
          <w:rFonts w:ascii="宋体" w:hAnsi="宋体" w:eastAsia="宋体" w:cs="Times New Roman"/>
          <w:bCs/>
          <w:sz w:val="24"/>
          <w:szCs w:val="24"/>
        </w:rPr>
        <w:t>、争议解决</w:t>
      </w:r>
      <w:bookmarkEnd w:id="12"/>
    </w:p>
    <w:p>
      <w:pPr>
        <w:pStyle w:val="27"/>
        <w:spacing w:line="360" w:lineRule="auto"/>
        <w:ind w:firstLineChars="0"/>
        <w:jc w:val="left"/>
        <w:rPr>
          <w:rFonts w:hint="eastAsia" w:ascii="宋体" w:hAnsi="宋体" w:eastAsia="宋体" w:cs="Times New Roman"/>
          <w:sz w:val="24"/>
        </w:rPr>
      </w:pPr>
      <w:r>
        <w:rPr>
          <w:rFonts w:ascii="宋体" w:hAnsi="宋体" w:eastAsia="宋体" w:cs="Times New Roman"/>
          <w:bCs/>
          <w:sz w:val="24"/>
        </w:rPr>
        <w:t>甲乙双方因合同发生争议，签约双方应友好协商解决。</w:t>
      </w:r>
    </w:p>
    <w:p>
      <w:pPr>
        <w:adjustRightInd w:val="0"/>
        <w:snapToGrid w:val="0"/>
        <w:spacing w:line="360" w:lineRule="auto"/>
        <w:jc w:val="both"/>
        <w:rPr>
          <w:rFonts w:hint="eastAsia" w:ascii="黑体" w:eastAsia="黑体"/>
          <w:b/>
          <w:bCs/>
          <w:color w:val="auto"/>
          <w:sz w:val="32"/>
          <w:szCs w:val="32"/>
          <w:highlight w:val="none"/>
        </w:rPr>
      </w:pPr>
    </w:p>
    <w:p>
      <w:pPr>
        <w:adjustRightInd w:val="0"/>
        <w:snapToGrid w:val="0"/>
        <w:spacing w:line="360" w:lineRule="auto"/>
        <w:jc w:val="center"/>
        <w:rPr>
          <w:rFonts w:hint="eastAsia" w:ascii="黑体" w:eastAsia="黑体"/>
          <w:b/>
          <w:bCs/>
          <w:color w:val="auto"/>
          <w:sz w:val="32"/>
          <w:szCs w:val="32"/>
          <w:highlight w:val="none"/>
        </w:rPr>
      </w:pPr>
    </w:p>
    <w:p>
      <w:pPr>
        <w:adjustRightInd w:val="0"/>
        <w:snapToGrid w:val="0"/>
        <w:spacing w:line="360" w:lineRule="auto"/>
        <w:jc w:val="center"/>
        <w:rPr>
          <w:rFonts w:hint="eastAsia" w:ascii="黑体" w:eastAsia="黑体"/>
          <w:b/>
          <w:bCs/>
          <w:color w:val="auto"/>
          <w:sz w:val="32"/>
          <w:szCs w:val="32"/>
          <w:highlight w:val="none"/>
        </w:rPr>
      </w:pPr>
    </w:p>
    <w:p>
      <w:pPr>
        <w:adjustRightInd w:val="0"/>
        <w:snapToGrid w:val="0"/>
        <w:spacing w:line="360" w:lineRule="auto"/>
        <w:jc w:val="center"/>
        <w:rPr>
          <w:rFonts w:hint="eastAsia" w:ascii="黑体" w:eastAsia="黑体"/>
          <w:b/>
          <w:bCs/>
          <w:color w:val="auto"/>
          <w:sz w:val="32"/>
          <w:szCs w:val="32"/>
          <w:highlight w:val="none"/>
        </w:rPr>
      </w:pPr>
    </w:p>
    <w:p>
      <w:pPr>
        <w:adjustRightInd w:val="0"/>
        <w:snapToGrid w:val="0"/>
        <w:spacing w:line="360" w:lineRule="auto"/>
        <w:jc w:val="center"/>
        <w:rPr>
          <w:rFonts w:hint="eastAsia" w:ascii="黑体" w:eastAsia="黑体"/>
          <w:b/>
          <w:bCs/>
          <w:color w:val="auto"/>
          <w:sz w:val="32"/>
          <w:szCs w:val="32"/>
          <w:highlight w:val="none"/>
        </w:rPr>
      </w:pPr>
    </w:p>
    <w:p>
      <w:pPr>
        <w:adjustRightInd w:val="0"/>
        <w:snapToGrid w:val="0"/>
        <w:spacing w:line="360" w:lineRule="auto"/>
        <w:jc w:val="center"/>
        <w:rPr>
          <w:rFonts w:hint="eastAsia" w:ascii="黑体" w:eastAsia="黑体"/>
          <w:b/>
          <w:bCs/>
          <w:color w:val="auto"/>
          <w:sz w:val="32"/>
          <w:szCs w:val="32"/>
          <w:highlight w:val="none"/>
        </w:rPr>
      </w:pPr>
    </w:p>
    <w:p>
      <w:pPr>
        <w:adjustRightInd w:val="0"/>
        <w:snapToGrid w:val="0"/>
        <w:spacing w:line="360" w:lineRule="auto"/>
        <w:jc w:val="center"/>
        <w:rPr>
          <w:rFonts w:hint="eastAsia" w:ascii="黑体" w:eastAsia="黑体"/>
          <w:b/>
          <w:bCs/>
          <w:color w:val="auto"/>
          <w:sz w:val="32"/>
          <w:szCs w:val="32"/>
          <w:highlight w:val="none"/>
        </w:rPr>
      </w:pPr>
      <w:r>
        <w:rPr>
          <w:rFonts w:hint="eastAsia" w:ascii="黑体" w:eastAsia="黑体"/>
          <w:b/>
          <w:bCs/>
          <w:color w:val="auto"/>
          <w:sz w:val="32"/>
          <w:szCs w:val="32"/>
          <w:highlight w:val="none"/>
        </w:rPr>
        <w:t>六．附件（投标文件格式）</w:t>
      </w:r>
    </w:p>
    <w:p>
      <w:pPr>
        <w:adjustRightInd w:val="0"/>
        <w:snapToGrid w:val="0"/>
        <w:spacing w:line="360" w:lineRule="auto"/>
        <w:jc w:val="both"/>
        <w:outlineLvl w:val="0"/>
        <w:rPr>
          <w:rFonts w:hint="eastAsia" w:ascii="宋体" w:hAnsi="宋体"/>
          <w:b/>
          <w:color w:val="auto"/>
          <w:sz w:val="32"/>
          <w:szCs w:val="32"/>
          <w:highlight w:val="none"/>
        </w:rPr>
      </w:pPr>
    </w:p>
    <w:p>
      <w:pPr>
        <w:adjustRightInd w:val="0"/>
        <w:snapToGrid w:val="0"/>
        <w:spacing w:line="360" w:lineRule="auto"/>
        <w:jc w:val="center"/>
        <w:outlineLvl w:val="0"/>
        <w:rPr>
          <w:rFonts w:hint="eastAsia" w:ascii="宋体" w:hAnsi="宋体"/>
          <w:b/>
          <w:color w:val="auto"/>
          <w:sz w:val="32"/>
          <w:szCs w:val="32"/>
          <w:highlight w:val="none"/>
        </w:rPr>
      </w:pPr>
    </w:p>
    <w:p>
      <w:pPr>
        <w:jc w:val="center"/>
        <w:rPr>
          <w:rFonts w:ascii="黑体" w:eastAsia="黑体"/>
          <w:bCs/>
          <w:sz w:val="52"/>
          <w:szCs w:val="52"/>
        </w:rPr>
      </w:pPr>
      <w:r>
        <w:rPr>
          <w:rFonts w:hint="eastAsia" w:ascii="黑体" w:eastAsia="黑体"/>
          <w:bCs/>
          <w:sz w:val="52"/>
          <w:szCs w:val="52"/>
        </w:rPr>
        <w:t>投</w:t>
      </w:r>
    </w:p>
    <w:p>
      <w:pPr>
        <w:jc w:val="center"/>
        <w:rPr>
          <w:rFonts w:ascii="黑体" w:eastAsia="黑体"/>
          <w:bCs/>
          <w:sz w:val="72"/>
        </w:rPr>
      </w:pPr>
    </w:p>
    <w:p>
      <w:pPr>
        <w:jc w:val="center"/>
        <w:rPr>
          <w:rFonts w:ascii="黑体" w:eastAsia="黑体"/>
          <w:bCs/>
          <w:sz w:val="52"/>
          <w:szCs w:val="52"/>
        </w:rPr>
      </w:pPr>
      <w:r>
        <w:rPr>
          <w:rFonts w:hint="eastAsia" w:ascii="黑体" w:eastAsia="黑体"/>
          <w:bCs/>
          <w:sz w:val="52"/>
          <w:szCs w:val="52"/>
        </w:rPr>
        <w:t>标</w:t>
      </w:r>
    </w:p>
    <w:p>
      <w:pPr>
        <w:jc w:val="center"/>
        <w:rPr>
          <w:rFonts w:ascii="黑体" w:eastAsia="黑体"/>
          <w:bCs/>
          <w:sz w:val="72"/>
        </w:rPr>
      </w:pPr>
    </w:p>
    <w:p>
      <w:pPr>
        <w:jc w:val="center"/>
        <w:rPr>
          <w:rFonts w:ascii="黑体" w:eastAsia="黑体"/>
          <w:bCs/>
          <w:sz w:val="52"/>
          <w:szCs w:val="52"/>
        </w:rPr>
      </w:pPr>
      <w:r>
        <w:rPr>
          <w:rFonts w:hint="eastAsia" w:ascii="黑体" w:eastAsia="黑体"/>
          <w:bCs/>
          <w:sz w:val="52"/>
          <w:szCs w:val="52"/>
        </w:rPr>
        <w:t>文</w:t>
      </w:r>
    </w:p>
    <w:p>
      <w:pPr>
        <w:jc w:val="center"/>
        <w:rPr>
          <w:rFonts w:ascii="黑体" w:eastAsia="黑体"/>
          <w:bCs/>
          <w:sz w:val="52"/>
          <w:szCs w:val="52"/>
        </w:rPr>
      </w:pPr>
    </w:p>
    <w:p>
      <w:pPr>
        <w:jc w:val="center"/>
        <w:rPr>
          <w:rFonts w:ascii="楷体_GB2312" w:eastAsia="楷体_GB2312"/>
          <w:bCs/>
          <w:sz w:val="72"/>
        </w:rPr>
      </w:pPr>
      <w:r>
        <w:rPr>
          <w:rFonts w:hint="eastAsia" w:ascii="黑体" w:eastAsia="黑体"/>
          <w:bCs/>
          <w:sz w:val="52"/>
          <w:szCs w:val="52"/>
        </w:rPr>
        <w:t>件</w:t>
      </w:r>
    </w:p>
    <w:p>
      <w:pPr>
        <w:pStyle w:val="2"/>
        <w:numPr>
          <w:ilvl w:val="4"/>
          <w:numId w:val="0"/>
        </w:numPr>
        <w:ind w:leftChars="0"/>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eastAsia="黑体"/>
          <w:bCs/>
          <w:sz w:val="28"/>
          <w:szCs w:val="28"/>
        </w:rPr>
      </w:pPr>
      <w:r>
        <w:rPr>
          <w:rFonts w:hint="eastAsia" w:ascii="黑体" w:eastAsia="黑体"/>
          <w:bCs/>
          <w:sz w:val="28"/>
          <w:szCs w:val="28"/>
        </w:rPr>
        <w:t>采购项目编号：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黑体" w:eastAsia="黑体"/>
          <w:bCs/>
          <w:sz w:val="28"/>
          <w:szCs w:val="28"/>
        </w:rPr>
      </w:pPr>
      <w:r>
        <w:rPr>
          <w:rFonts w:hint="eastAsia" w:ascii="黑体" w:eastAsia="黑体"/>
          <w:bCs/>
          <w:sz w:val="28"/>
          <w:szCs w:val="28"/>
        </w:rPr>
        <w:t>采购项目名称：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黑体" w:eastAsia="黑体"/>
          <w:bCs/>
          <w:sz w:val="32"/>
        </w:rPr>
      </w:pPr>
      <w:r>
        <w:rPr>
          <w:rFonts w:hint="eastAsia" w:ascii="黑体" w:eastAsia="黑体"/>
          <w:bCs/>
          <w:sz w:val="28"/>
          <w:szCs w:val="28"/>
        </w:rPr>
        <w:t>投标人：</w:t>
      </w:r>
    </w:p>
    <w:p>
      <w:pPr>
        <w:rPr>
          <w:rFonts w:ascii="黑体" w:eastAsia="黑体"/>
          <w:bCs/>
          <w:sz w:val="32"/>
        </w:rPr>
      </w:pPr>
    </w:p>
    <w:p>
      <w:pPr>
        <w:jc w:val="center"/>
        <w:rPr>
          <w:rFonts w:hint="eastAsia" w:ascii="黑体" w:hAnsi="宋体" w:eastAsia="黑体"/>
          <w:bCs/>
          <w:sz w:val="24"/>
          <w:szCs w:val="24"/>
          <w:lang w:eastAsia="zh-CN"/>
        </w:rPr>
      </w:pPr>
      <w:r>
        <w:rPr>
          <w:rFonts w:hint="eastAsia" w:ascii="黑体" w:eastAsia="黑体"/>
          <w:bCs/>
          <w:sz w:val="36"/>
          <w:szCs w:val="36"/>
        </w:rPr>
        <w:t>二○</w:t>
      </w:r>
      <w:r>
        <w:rPr>
          <w:rFonts w:ascii="黑体" w:eastAsia="黑体"/>
          <w:bCs/>
          <w:sz w:val="36"/>
          <w:szCs w:val="36"/>
        </w:rPr>
        <w:t xml:space="preserve">  </w:t>
      </w:r>
      <w:r>
        <w:rPr>
          <w:rFonts w:hint="eastAsia" w:ascii="黑体" w:eastAsia="黑体"/>
          <w:bCs/>
          <w:sz w:val="36"/>
          <w:szCs w:val="36"/>
        </w:rPr>
        <w:t>年</w:t>
      </w:r>
      <w:r>
        <w:rPr>
          <w:rFonts w:ascii="黑体" w:eastAsia="黑体"/>
          <w:bCs/>
          <w:sz w:val="36"/>
          <w:szCs w:val="36"/>
        </w:rPr>
        <w:t xml:space="preserve">  </w:t>
      </w:r>
      <w:r>
        <w:rPr>
          <w:rFonts w:hint="eastAsia" w:ascii="黑体" w:eastAsia="黑体"/>
          <w:bCs/>
          <w:sz w:val="36"/>
          <w:szCs w:val="36"/>
        </w:rPr>
        <w:t>月</w:t>
      </w:r>
      <w:r>
        <w:rPr>
          <w:rFonts w:ascii="黑体" w:eastAsia="黑体"/>
          <w:bCs/>
          <w:sz w:val="36"/>
          <w:szCs w:val="36"/>
        </w:rPr>
        <w:t xml:space="preserve">  </w:t>
      </w:r>
      <w:r>
        <w:rPr>
          <w:rFonts w:hint="eastAsia" w:ascii="黑体" w:eastAsia="黑体"/>
          <w:bCs/>
          <w:sz w:val="36"/>
          <w:szCs w:val="36"/>
        </w:rPr>
        <w:t>日</w:t>
      </w:r>
      <w:bookmarkStart w:id="13" w:name="一．报价函（格式）"/>
      <w:bookmarkEnd w:id="13"/>
    </w:p>
    <w:p>
      <w:pPr>
        <w:numPr>
          <w:ilvl w:val="0"/>
          <w:numId w:val="0"/>
        </w:numPr>
        <w:outlineLvl w:val="0"/>
        <w:rPr>
          <w:rFonts w:hint="eastAsia" w:ascii="黑体" w:hAnsi="宋体" w:eastAsia="黑体"/>
          <w:bCs/>
          <w:sz w:val="24"/>
          <w:szCs w:val="24"/>
          <w:lang w:eastAsia="zh-CN"/>
        </w:rPr>
      </w:pPr>
    </w:p>
    <w:p>
      <w:pPr>
        <w:numPr>
          <w:ilvl w:val="0"/>
          <w:numId w:val="0"/>
        </w:numPr>
        <w:outlineLvl w:val="0"/>
        <w:rPr>
          <w:rFonts w:hint="eastAsia" w:ascii="黑体" w:hAnsi="宋体" w:eastAsia="黑体"/>
          <w:bCs/>
          <w:sz w:val="24"/>
          <w:szCs w:val="24"/>
          <w:lang w:eastAsia="zh-CN"/>
        </w:rPr>
      </w:pPr>
    </w:p>
    <w:p>
      <w:pPr>
        <w:numPr>
          <w:ilvl w:val="0"/>
          <w:numId w:val="0"/>
        </w:numPr>
        <w:outlineLvl w:val="0"/>
        <w:rPr>
          <w:rFonts w:hint="eastAsia" w:ascii="黑体" w:hAnsi="宋体" w:eastAsia="黑体"/>
          <w:bCs/>
          <w:sz w:val="24"/>
          <w:szCs w:val="24"/>
          <w:lang w:eastAsia="zh-CN"/>
        </w:rPr>
      </w:pPr>
    </w:p>
    <w:p>
      <w:pPr>
        <w:numPr>
          <w:ilvl w:val="0"/>
          <w:numId w:val="0"/>
        </w:numPr>
        <w:outlineLvl w:val="0"/>
        <w:rPr>
          <w:rFonts w:hint="eastAsia" w:ascii="黑体" w:hAnsi="宋体" w:eastAsia="黑体"/>
          <w:bCs/>
          <w:sz w:val="24"/>
          <w:szCs w:val="24"/>
        </w:rPr>
      </w:pPr>
      <w:r>
        <w:rPr>
          <w:rFonts w:hint="eastAsia" w:ascii="黑体" w:hAnsi="宋体" w:eastAsia="黑体"/>
          <w:bCs/>
          <w:sz w:val="24"/>
          <w:szCs w:val="24"/>
          <w:lang w:eastAsia="zh-CN"/>
        </w:rPr>
        <w:t>（</w:t>
      </w:r>
      <w:r>
        <w:rPr>
          <w:rFonts w:hint="eastAsia" w:ascii="黑体" w:hAnsi="宋体" w:eastAsia="黑体"/>
          <w:bCs/>
          <w:sz w:val="24"/>
          <w:szCs w:val="24"/>
          <w:lang w:val="en-US" w:eastAsia="zh-CN"/>
        </w:rPr>
        <w:t>一</w:t>
      </w:r>
      <w:r>
        <w:rPr>
          <w:rFonts w:hint="eastAsia" w:ascii="黑体" w:hAnsi="宋体" w:eastAsia="黑体"/>
          <w:bCs/>
          <w:sz w:val="24"/>
          <w:szCs w:val="24"/>
          <w:lang w:eastAsia="zh-CN"/>
        </w:rPr>
        <w:t>）响应</w:t>
      </w:r>
      <w:r>
        <w:rPr>
          <w:rFonts w:hint="eastAsia" w:ascii="黑体" w:hAnsi="宋体" w:eastAsia="黑体"/>
          <w:bCs/>
          <w:sz w:val="24"/>
          <w:szCs w:val="24"/>
        </w:rPr>
        <w:t>函（格式）</w:t>
      </w:r>
    </w:p>
    <w:p>
      <w:pPr>
        <w:numPr>
          <w:ilvl w:val="0"/>
          <w:numId w:val="0"/>
        </w:numPr>
        <w:jc w:val="center"/>
        <w:outlineLvl w:val="0"/>
        <w:rPr>
          <w:rFonts w:hint="eastAsia" w:ascii="黑体" w:hAnsi="宋体" w:eastAsia="黑体"/>
          <w:bCs/>
          <w:sz w:val="32"/>
          <w:szCs w:val="32"/>
        </w:rPr>
      </w:pPr>
    </w:p>
    <w:p>
      <w:pPr>
        <w:numPr>
          <w:ilvl w:val="0"/>
          <w:numId w:val="0"/>
        </w:numPr>
        <w:jc w:val="center"/>
        <w:outlineLvl w:val="0"/>
        <w:rPr>
          <w:rFonts w:ascii="黑体" w:hAnsi="宋体" w:eastAsia="黑体"/>
          <w:bCs/>
          <w:sz w:val="32"/>
          <w:szCs w:val="32"/>
        </w:rPr>
      </w:pPr>
      <w:r>
        <w:rPr>
          <w:rFonts w:hint="eastAsia" w:ascii="黑体" w:hAnsi="宋体" w:eastAsia="黑体"/>
          <w:bCs/>
          <w:sz w:val="32"/>
          <w:szCs w:val="32"/>
        </w:rPr>
        <w:t>响应函</w:t>
      </w:r>
    </w:p>
    <w:p>
      <w:pPr>
        <w:widowControl/>
        <w:topLinePunct/>
        <w:spacing w:before="4" w:line="460" w:lineRule="exact"/>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江苏博智工程咨询有限公司</w:t>
      </w:r>
    </w:p>
    <w:p>
      <w:pPr>
        <w:spacing w:line="440" w:lineRule="exact"/>
        <w:ind w:firstLine="480" w:firstLineChars="200"/>
        <w:rPr>
          <w:rFonts w:ascii="宋体" w:hAnsi="宋体"/>
          <w:bCs/>
          <w:sz w:val="24"/>
        </w:rPr>
      </w:pPr>
      <w:r>
        <w:rPr>
          <w:rFonts w:hint="eastAsia" w:hAnsi="宋体"/>
          <w:bCs/>
          <w:color w:val="000000"/>
          <w:sz w:val="24"/>
        </w:rPr>
        <w:t>一、我们收到贵方</w:t>
      </w:r>
      <w:r>
        <w:rPr>
          <w:rFonts w:hint="eastAsia" w:hAnsi="宋体"/>
          <w:bCs/>
          <w:color w:val="000000"/>
          <w:sz w:val="24"/>
          <w:lang w:val="en-US" w:eastAsia="zh-CN"/>
        </w:rPr>
        <w:t>采购</w:t>
      </w:r>
      <w:r>
        <w:rPr>
          <w:rFonts w:hint="eastAsia" w:ascii="宋体" w:hAnsi="宋体"/>
          <w:bCs/>
          <w:sz w:val="24"/>
        </w:rPr>
        <w:t>编号</w:t>
      </w:r>
      <w:r>
        <w:rPr>
          <w:rFonts w:hint="eastAsia" w:ascii="宋体" w:hAnsi="宋体"/>
          <w:bCs/>
          <w:sz w:val="24"/>
          <w:u w:val="single"/>
          <w:lang w:eastAsia="zh-CN"/>
        </w:rPr>
        <w:t>JSBZQCG2019-80</w:t>
      </w:r>
      <w:r>
        <w:rPr>
          <w:rFonts w:hint="eastAsia" w:ascii="宋体" w:hAnsi="宋体"/>
          <w:bCs/>
          <w:sz w:val="24"/>
          <w:u w:val="single"/>
        </w:rPr>
        <w:t xml:space="preserve"> </w:t>
      </w:r>
      <w:r>
        <w:rPr>
          <w:rFonts w:hint="default" w:ascii="宋体" w:hAnsi="宋体"/>
          <w:bCs/>
          <w:sz w:val="24"/>
          <w:u w:val="single"/>
          <w:lang w:val="en-US"/>
        </w:rPr>
        <w:t xml:space="preserve"> </w:t>
      </w:r>
      <w:r>
        <w:rPr>
          <w:rFonts w:hint="eastAsia" w:ascii="宋体" w:hAnsi="宋体"/>
          <w:bCs/>
          <w:sz w:val="24"/>
          <w:u w:val="single"/>
        </w:rPr>
        <w:t xml:space="preserve">  </w:t>
      </w:r>
      <w:r>
        <w:rPr>
          <w:rFonts w:hint="eastAsia" w:ascii="宋体" w:hAnsi="宋体"/>
          <w:bCs/>
          <w:sz w:val="24"/>
        </w:rPr>
        <w:t>采购文件</w:t>
      </w:r>
      <w:r>
        <w:rPr>
          <w:rFonts w:hint="eastAsia" w:hAnsi="宋体"/>
          <w:bCs/>
          <w:color w:val="000000"/>
          <w:sz w:val="24"/>
        </w:rPr>
        <w:t>，经仔细阅读和研究，</w:t>
      </w:r>
      <w:r>
        <w:rPr>
          <w:rFonts w:hint="eastAsia" w:ascii="宋体" w:hAnsi="宋体"/>
          <w:bCs/>
          <w:sz w:val="24"/>
        </w:rPr>
        <w:t>我们决定参加此次</w:t>
      </w:r>
      <w:r>
        <w:rPr>
          <w:rFonts w:hint="eastAsia" w:ascii="宋体" w:hAnsi="宋体"/>
          <w:bCs/>
          <w:sz w:val="24"/>
          <w:lang w:val="en-US" w:eastAsia="zh-CN"/>
        </w:rPr>
        <w:t>无锡职业技术学院太湖校区绿化养护项目</w:t>
      </w:r>
      <w:r>
        <w:rPr>
          <w:rFonts w:hint="eastAsia" w:ascii="宋体" w:hAnsi="宋体"/>
          <w:bCs/>
          <w:sz w:val="24"/>
        </w:rPr>
        <w:t>的投标。</w:t>
      </w:r>
    </w:p>
    <w:p>
      <w:pPr>
        <w:tabs>
          <w:tab w:val="left" w:pos="315"/>
          <w:tab w:val="left" w:pos="525"/>
          <w:tab w:val="left" w:pos="945"/>
          <w:tab w:val="left" w:pos="1155"/>
        </w:tabs>
        <w:spacing w:line="440" w:lineRule="exact"/>
        <w:ind w:firstLine="480" w:firstLineChars="200"/>
        <w:rPr>
          <w:rStyle w:val="21"/>
          <w:bCs/>
        </w:rPr>
      </w:pPr>
      <w:r>
        <w:rPr>
          <w:rFonts w:hint="eastAsia" w:ascii="宋体" w:hAnsi="宋体"/>
          <w:sz w:val="24"/>
        </w:rPr>
        <w:t>二、我方愿意提供</w:t>
      </w:r>
      <w:r>
        <w:rPr>
          <w:rFonts w:hint="eastAsia" w:ascii="宋体" w:hAnsi="宋体"/>
          <w:sz w:val="24"/>
          <w:lang w:eastAsia="zh-CN"/>
        </w:rPr>
        <w:t>江苏博智工程咨询有限公司</w:t>
      </w:r>
      <w:r>
        <w:rPr>
          <w:rFonts w:hint="eastAsia" w:ascii="宋体" w:hAnsi="宋体"/>
          <w:sz w:val="24"/>
        </w:rPr>
        <w:t>在采购文件中要求的文件、资料（具体内容如下）：</w:t>
      </w:r>
    </w:p>
    <w:p>
      <w:pPr>
        <w:spacing w:line="360" w:lineRule="auto"/>
        <w:ind w:firstLine="482" w:firstLineChars="200"/>
        <w:rPr>
          <w:rFonts w:hint="eastAsia" w:ascii="宋体" w:hAnsi="宋体"/>
          <w:b/>
          <w:bCs/>
          <w:sz w:val="24"/>
        </w:rPr>
      </w:pPr>
      <w:r>
        <w:rPr>
          <w:rFonts w:hint="eastAsia" w:ascii="宋体" w:hAnsi="宋体"/>
          <w:b/>
          <w:bCs/>
          <w:sz w:val="24"/>
        </w:rPr>
        <w:t>投标文件由商务文件、技术文件组成。另附电子光盘一张。</w:t>
      </w:r>
    </w:p>
    <w:p>
      <w:pPr>
        <w:spacing w:line="360" w:lineRule="auto"/>
        <w:ind w:firstLine="482" w:firstLineChars="200"/>
        <w:rPr>
          <w:rFonts w:hint="eastAsia" w:ascii="宋体" w:hAnsi="宋体"/>
          <w:b/>
          <w:bCs/>
          <w:sz w:val="24"/>
        </w:rPr>
      </w:pPr>
      <w:r>
        <w:rPr>
          <w:rFonts w:hint="eastAsia" w:ascii="宋体" w:hAnsi="宋体"/>
          <w:b/>
          <w:bCs/>
          <w:sz w:val="24"/>
        </w:rPr>
        <w:t>1.商务文件部分包括：</w:t>
      </w:r>
    </w:p>
    <w:p>
      <w:pPr>
        <w:tabs>
          <w:tab w:val="left" w:pos="525"/>
          <w:tab w:val="left" w:pos="1050"/>
        </w:tabs>
        <w:adjustRightInd w:val="0"/>
        <w:snapToGrid w:val="0"/>
        <w:spacing w:line="360" w:lineRule="auto"/>
        <w:ind w:left="550" w:leftChars="262"/>
        <w:rPr>
          <w:rFonts w:hint="eastAsia" w:ascii="宋体" w:hAnsi="宋体"/>
          <w:bCs/>
          <w:sz w:val="24"/>
        </w:rPr>
      </w:pPr>
      <w:r>
        <w:rPr>
          <w:rFonts w:hint="eastAsia" w:ascii="宋体" w:hAnsi="宋体"/>
          <w:bCs/>
          <w:sz w:val="24"/>
        </w:rPr>
        <w:t>1）投标函（格式见附件）；</w:t>
      </w:r>
    </w:p>
    <w:p>
      <w:pPr>
        <w:tabs>
          <w:tab w:val="left" w:pos="525"/>
          <w:tab w:val="left" w:pos="1050"/>
        </w:tabs>
        <w:adjustRightInd w:val="0"/>
        <w:snapToGrid w:val="0"/>
        <w:spacing w:line="360" w:lineRule="auto"/>
        <w:ind w:left="550" w:leftChars="262"/>
        <w:rPr>
          <w:rFonts w:hint="eastAsia" w:ascii="宋体" w:hAnsi="宋体"/>
          <w:b/>
          <w:sz w:val="24"/>
        </w:rPr>
      </w:pPr>
      <w:r>
        <w:rPr>
          <w:rFonts w:hint="eastAsia" w:ascii="宋体" w:hAnsi="宋体"/>
          <w:bCs/>
          <w:sz w:val="24"/>
        </w:rPr>
        <w:t>2）证明文件：</w:t>
      </w:r>
    </w:p>
    <w:p>
      <w:pPr>
        <w:spacing w:line="360" w:lineRule="auto"/>
        <w:ind w:left="480"/>
        <w:rPr>
          <w:rFonts w:ascii="宋体" w:hAnsi="宋体"/>
          <w:sz w:val="24"/>
        </w:rPr>
      </w:pP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资格、资信证明文件</w:t>
      </w:r>
    </w:p>
    <w:p>
      <w:pPr>
        <w:keepNext w:val="0"/>
        <w:keepLines w:val="0"/>
        <w:pageBreakBefore w:val="0"/>
        <w:widowControl w:val="0"/>
        <w:tabs>
          <w:tab w:val="left" w:pos="0"/>
        </w:tabs>
        <w:kinsoku/>
        <w:wordWrap/>
        <w:overflowPunct/>
        <w:topLinePunct w:val="0"/>
        <w:bidi w:val="0"/>
        <w:spacing w:line="360" w:lineRule="auto"/>
        <w:ind w:firstLine="600" w:firstLineChars="250"/>
        <w:textAlignment w:val="auto"/>
        <w:rPr>
          <w:rFonts w:ascii="宋体" w:hAnsi="宋体"/>
          <w:b/>
          <w:bCs/>
          <w:sz w:val="24"/>
        </w:rPr>
      </w:pPr>
      <w:r>
        <w:rPr>
          <w:rFonts w:hint="eastAsia" w:ascii="宋体" w:hAnsi="宋体"/>
          <w:sz w:val="24"/>
          <w:lang w:val="en-US" w:eastAsia="zh-CN"/>
        </w:rPr>
        <w:t>1.</w:t>
      </w:r>
      <w:r>
        <w:rPr>
          <w:rFonts w:hint="eastAsia" w:ascii="宋体" w:hAnsi="宋体"/>
          <w:sz w:val="24"/>
        </w:rPr>
        <w:t>关于资格的声明函</w:t>
      </w:r>
      <w:r>
        <w:rPr>
          <w:rFonts w:hint="eastAsia" w:ascii="宋体" w:hAnsi="宋体"/>
          <w:sz w:val="24"/>
          <w:lang w:eastAsia="zh-CN"/>
        </w:rPr>
        <w:t>；</w:t>
      </w:r>
      <w:r>
        <w:rPr>
          <w:rFonts w:hint="eastAsia" w:ascii="宋体" w:hAnsi="宋体"/>
          <w:b/>
          <w:bCs/>
          <w:sz w:val="24"/>
        </w:rPr>
        <w:t>（格式见附件）</w:t>
      </w:r>
    </w:p>
    <w:p>
      <w:pPr>
        <w:keepNext w:val="0"/>
        <w:keepLines w:val="0"/>
        <w:pageBreakBefore w:val="0"/>
        <w:widowControl w:val="0"/>
        <w:numPr>
          <w:ilvl w:val="0"/>
          <w:numId w:val="0"/>
        </w:numPr>
        <w:tabs>
          <w:tab w:val="left" w:pos="1276"/>
        </w:tabs>
        <w:kinsoku/>
        <w:wordWrap/>
        <w:overflowPunct/>
        <w:topLinePunct w:val="0"/>
        <w:autoSpaceDE/>
        <w:autoSpaceDN/>
        <w:bidi w:val="0"/>
        <w:spacing w:line="360" w:lineRule="auto"/>
        <w:ind w:firstLine="600" w:firstLineChars="250"/>
        <w:textAlignment w:val="auto"/>
        <w:rPr>
          <w:rFonts w:ascii="宋体" w:hAnsi="宋体"/>
          <w:sz w:val="24"/>
        </w:rPr>
      </w:pPr>
      <w:r>
        <w:rPr>
          <w:rFonts w:hint="eastAsia" w:ascii="宋体" w:hAnsi="宋体"/>
          <w:sz w:val="24"/>
          <w:lang w:val="en-US" w:eastAsia="zh-CN"/>
        </w:rPr>
        <w:t>2.</w:t>
      </w:r>
      <w:r>
        <w:rPr>
          <w:rFonts w:hint="eastAsia" w:ascii="宋体" w:hAnsi="宋体"/>
          <w:bCs/>
          <w:color w:val="auto"/>
          <w:sz w:val="24"/>
          <w:highlight w:val="none"/>
          <w:lang w:val="en-US" w:eastAsia="zh-CN"/>
        </w:rPr>
        <w:t>法人或者其他组织提供具有独立承担民事责任能力的投标供应商营业执照副本或相关部门的登记证明文件复印件、税务登记证复印件（注：已办理三证合一的，可提供三证合一后的营业执照副本）；自然人提供自然人的身份证明</w:t>
      </w:r>
      <w:r>
        <w:rPr>
          <w:rFonts w:hint="eastAsia" w:ascii="宋体" w:hAnsi="宋体"/>
          <w:bCs/>
          <w:color w:val="auto"/>
          <w:sz w:val="24"/>
          <w:highlight w:val="none"/>
        </w:rPr>
        <w:t>；</w:t>
      </w:r>
      <w:r>
        <w:rPr>
          <w:rFonts w:hint="eastAsia" w:ascii="宋体" w:hAnsi="宋体"/>
          <w:b/>
          <w:color w:val="auto"/>
          <w:sz w:val="24"/>
          <w:highlight w:val="none"/>
        </w:rPr>
        <w:t>（投标时提供原件或公证件）</w:t>
      </w:r>
    </w:p>
    <w:p>
      <w:pPr>
        <w:keepNext w:val="0"/>
        <w:keepLines w:val="0"/>
        <w:pageBreakBefore w:val="0"/>
        <w:widowControl w:val="0"/>
        <w:tabs>
          <w:tab w:val="left" w:pos="0"/>
        </w:tabs>
        <w:kinsoku/>
        <w:wordWrap/>
        <w:overflowPunct/>
        <w:topLinePunct w:val="0"/>
        <w:bidi w:val="0"/>
        <w:spacing w:line="360" w:lineRule="auto"/>
        <w:ind w:left="4" w:leftChars="2" w:firstLine="540" w:firstLineChars="225"/>
        <w:textAlignment w:val="auto"/>
        <w:rPr>
          <w:rFonts w:ascii="宋体" w:hAnsi="宋体"/>
          <w:sz w:val="24"/>
        </w:rPr>
      </w:pPr>
      <w:r>
        <w:rPr>
          <w:rFonts w:hint="eastAsia" w:ascii="宋体" w:hAnsi="宋体"/>
          <w:sz w:val="24"/>
          <w:lang w:val="en-US" w:eastAsia="zh-CN"/>
        </w:rPr>
        <w:t>3.</w:t>
      </w:r>
      <w:r>
        <w:rPr>
          <w:rFonts w:hint="eastAsia" w:ascii="宋体" w:hAnsi="宋体"/>
          <w:sz w:val="24"/>
        </w:rPr>
        <w:t>投标供应商法定代表人授权委托书</w:t>
      </w:r>
      <w:r>
        <w:rPr>
          <w:rFonts w:hint="eastAsia" w:ascii="宋体" w:hAnsi="宋体"/>
          <w:sz w:val="24"/>
          <w:lang w:eastAsia="zh-CN"/>
        </w:rPr>
        <w:t>；</w:t>
      </w:r>
      <w:r>
        <w:rPr>
          <w:rFonts w:hint="eastAsia" w:ascii="宋体" w:hAnsi="宋体"/>
          <w:b/>
          <w:bCs/>
          <w:sz w:val="24"/>
        </w:rPr>
        <w:t>（格式见附件）</w:t>
      </w:r>
    </w:p>
    <w:p>
      <w:pPr>
        <w:keepNext w:val="0"/>
        <w:keepLines w:val="0"/>
        <w:pageBreakBefore w:val="0"/>
        <w:widowControl w:val="0"/>
        <w:tabs>
          <w:tab w:val="left" w:pos="0"/>
        </w:tabs>
        <w:kinsoku/>
        <w:wordWrap/>
        <w:overflowPunct/>
        <w:topLinePunct w:val="0"/>
        <w:bidi w:val="0"/>
        <w:spacing w:line="360" w:lineRule="auto"/>
        <w:ind w:left="4" w:leftChars="2" w:firstLine="540" w:firstLineChars="225"/>
        <w:textAlignment w:val="auto"/>
        <w:rPr>
          <w:rFonts w:ascii="宋体" w:hAnsi="宋体"/>
          <w:b/>
          <w:bCs/>
          <w:sz w:val="24"/>
        </w:rPr>
      </w:pPr>
      <w:r>
        <w:rPr>
          <w:rFonts w:hint="eastAsia" w:ascii="宋体" w:hAnsi="宋体"/>
          <w:sz w:val="24"/>
          <w:lang w:val="en-US" w:eastAsia="zh-CN"/>
        </w:rPr>
        <w:t>4.</w:t>
      </w:r>
      <w:r>
        <w:rPr>
          <w:rFonts w:hint="eastAsia" w:ascii="宋体" w:hAnsi="宋体"/>
          <w:sz w:val="24"/>
        </w:rPr>
        <w:t>投标供应商法定代表人身份证复印件及法定代表人授权代表身份证复印件</w:t>
      </w:r>
      <w:r>
        <w:rPr>
          <w:rFonts w:hint="eastAsia" w:ascii="宋体" w:hAnsi="宋体"/>
          <w:sz w:val="24"/>
          <w:lang w:eastAsia="zh-CN"/>
        </w:rPr>
        <w:t>；</w:t>
      </w:r>
      <w:r>
        <w:rPr>
          <w:rFonts w:hint="eastAsia" w:ascii="宋体" w:hAnsi="宋体"/>
          <w:color w:val="auto"/>
          <w:sz w:val="24"/>
          <w:highlight w:val="none"/>
        </w:rPr>
        <w:t>（</w:t>
      </w:r>
      <w:r>
        <w:rPr>
          <w:rFonts w:hint="eastAsia" w:ascii="宋体" w:hAnsi="宋体"/>
          <w:b/>
          <w:bCs/>
          <w:color w:val="auto"/>
          <w:sz w:val="24"/>
          <w:highlight w:val="none"/>
        </w:rPr>
        <w:t>投标时必须携带参加开标会议的法定代表人或法定代表人授权代表有效身份证明原件</w:t>
      </w:r>
      <w:r>
        <w:rPr>
          <w:rFonts w:hint="eastAsia" w:ascii="宋体" w:hAnsi="宋体"/>
          <w:color w:val="auto"/>
          <w:sz w:val="24"/>
          <w:highlight w:val="none"/>
        </w:rPr>
        <w:t>）</w:t>
      </w:r>
    </w:p>
    <w:p>
      <w:pPr>
        <w:keepNext w:val="0"/>
        <w:keepLines w:val="0"/>
        <w:pageBreakBefore w:val="0"/>
        <w:widowControl w:val="0"/>
        <w:tabs>
          <w:tab w:val="left" w:pos="180"/>
        </w:tabs>
        <w:kinsoku/>
        <w:wordWrap/>
        <w:overflowPunct/>
        <w:topLinePunct w:val="0"/>
        <w:autoSpaceDE w:val="0"/>
        <w:autoSpaceDN w:val="0"/>
        <w:bidi w:val="0"/>
        <w:adjustRightInd w:val="0"/>
        <w:spacing w:line="360" w:lineRule="auto"/>
        <w:ind w:firstLine="480" w:firstLineChars="200"/>
        <w:textAlignment w:val="auto"/>
        <w:rPr>
          <w:rFonts w:hint="eastAsia"/>
          <w:b/>
          <w:bCs/>
          <w:sz w:val="24"/>
        </w:rPr>
      </w:pPr>
      <w:r>
        <w:rPr>
          <w:rFonts w:hint="eastAsia" w:ascii="宋体" w:hAnsi="宋体" w:cs="宋体"/>
          <w:sz w:val="24"/>
          <w:lang w:val="en-US" w:eastAsia="zh-CN"/>
        </w:rPr>
        <w:t>5.</w:t>
      </w:r>
      <w:r>
        <w:rPr>
          <w:rFonts w:hint="eastAsia" w:ascii="宋体" w:hAnsi="宋体"/>
          <w:sz w:val="24"/>
        </w:rPr>
        <w:t>供应商有效期内园林绿化管理部门颁发的绿化信用管理手册复印件加盖公章</w:t>
      </w:r>
      <w:r>
        <w:rPr>
          <w:rFonts w:hint="eastAsia" w:ascii="宋体" w:hAnsi="宋体"/>
          <w:bCs/>
          <w:sz w:val="24"/>
          <w:highlight w:val="none"/>
          <w:lang w:eastAsia="zh-CN"/>
        </w:rPr>
        <w:t>；</w:t>
      </w:r>
      <w:r>
        <w:rPr>
          <w:rFonts w:hint="eastAsia" w:ascii="宋体" w:hAnsi="宋体"/>
          <w:b/>
          <w:sz w:val="24"/>
        </w:rPr>
        <w:t>（投标时</w:t>
      </w:r>
      <w:r>
        <w:rPr>
          <w:rFonts w:hint="eastAsia" w:ascii="宋体" w:hAnsi="宋体"/>
          <w:b/>
          <w:bCs/>
          <w:sz w:val="24"/>
        </w:rPr>
        <w:t>提交</w:t>
      </w:r>
      <w:r>
        <w:rPr>
          <w:rFonts w:hint="eastAsia" w:ascii="宋体" w:hAnsi="宋体"/>
          <w:b/>
          <w:sz w:val="24"/>
        </w:rPr>
        <w:t>原件或公证件）</w:t>
      </w:r>
      <w:r>
        <w:rPr>
          <w:rFonts w:hint="eastAsia" w:ascii="宋体" w:hAnsi="宋体"/>
          <w:sz w:val="24"/>
        </w:rPr>
        <w:t xml:space="preserve"> </w:t>
      </w:r>
    </w:p>
    <w:p>
      <w:pPr>
        <w:keepNext w:val="0"/>
        <w:keepLines w:val="0"/>
        <w:pageBreakBefore w:val="0"/>
        <w:widowControl w:val="0"/>
        <w:numPr>
          <w:ilvl w:val="0"/>
          <w:numId w:val="0"/>
        </w:numPr>
        <w:tabs>
          <w:tab w:val="left" w:pos="360"/>
          <w:tab w:val="left" w:pos="600"/>
        </w:tabs>
        <w:kinsoku/>
        <w:wordWrap/>
        <w:overflowPunct/>
        <w:topLinePunct w:val="0"/>
        <w:autoSpaceDE/>
        <w:autoSpaceDN/>
        <w:bidi w:val="0"/>
        <w:spacing w:line="360" w:lineRule="auto"/>
        <w:ind w:leftChars="0" w:firstLine="480" w:firstLineChars="200"/>
        <w:textAlignment w:val="auto"/>
        <w:rPr>
          <w:rFonts w:hint="eastAsia" w:ascii="宋体" w:hAnsi="宋体"/>
          <w:bCs/>
          <w:color w:val="auto"/>
          <w:sz w:val="24"/>
          <w:highlight w:val="none"/>
        </w:rPr>
      </w:pPr>
      <w:r>
        <w:rPr>
          <w:rFonts w:hint="eastAsia" w:ascii="宋体" w:hAnsi="宋体"/>
          <w:sz w:val="24"/>
          <w:lang w:val="en-US" w:eastAsia="zh-CN"/>
        </w:rPr>
        <w:t>6.</w:t>
      </w:r>
      <w:r>
        <w:rPr>
          <w:rFonts w:hint="eastAsia" w:ascii="宋体" w:hAnsi="宋体"/>
          <w:sz w:val="24"/>
        </w:rPr>
        <w:t>投标供应商基本账户的开户许可证（或网上打印基本存款信息）复印件及投标保证金汇款（进账）凭证复印件并加盖公章；</w:t>
      </w:r>
      <w:r>
        <w:rPr>
          <w:rFonts w:hint="eastAsia" w:ascii="宋体" w:hAnsi="宋体"/>
          <w:b/>
          <w:sz w:val="24"/>
        </w:rPr>
        <w:t>（1.投标时携带原件备查；2.投标时提供投标担保函的报价供应商除外，投标时提供投标担保函的投标供应商须按照采购文件投标担保的相关规定执行）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sz w:val="24"/>
        </w:rPr>
      </w:pPr>
      <w:r>
        <w:rPr>
          <w:rFonts w:hint="eastAsia" w:ascii="宋体" w:hAnsi="宋体"/>
          <w:sz w:val="24"/>
          <w:lang w:val="en-US" w:eastAsia="zh-CN"/>
        </w:rPr>
        <w:t>7.</w:t>
      </w:r>
      <w:r>
        <w:rPr>
          <w:rFonts w:hint="eastAsia" w:ascii="宋体" w:hAnsi="宋体"/>
          <w:bCs/>
          <w:color w:val="auto"/>
          <w:sz w:val="24"/>
          <w:highlight w:val="none"/>
        </w:rPr>
        <w:t>授权</w:t>
      </w:r>
      <w:r>
        <w:rPr>
          <w:rFonts w:hint="eastAsia" w:ascii="宋体" w:hAnsi="宋体"/>
          <w:bCs/>
          <w:color w:val="auto"/>
          <w:sz w:val="24"/>
          <w:highlight w:val="none"/>
          <w:lang w:val="en-US" w:eastAsia="zh-CN"/>
        </w:rPr>
        <w:t>委托人</w:t>
      </w:r>
      <w:r>
        <w:rPr>
          <w:rFonts w:hint="eastAsia" w:ascii="宋体" w:hAnsi="宋体"/>
          <w:bCs/>
          <w:color w:val="auto"/>
          <w:sz w:val="24"/>
          <w:highlight w:val="none"/>
          <w:lang w:eastAsia="zh-CN"/>
        </w:rPr>
        <w:t>和</w:t>
      </w:r>
      <w:r>
        <w:rPr>
          <w:rFonts w:hint="eastAsia" w:ascii="宋体" w:hAnsi="宋体"/>
          <w:bCs/>
          <w:color w:val="auto"/>
          <w:sz w:val="24"/>
          <w:highlight w:val="none"/>
        </w:rPr>
        <w:t>项目负责人与本企业签订的劳动合同和《职工养老保险手册》（内附</w:t>
      </w:r>
      <w:r>
        <w:rPr>
          <w:rFonts w:hint="eastAsia" w:ascii="宋体" w:hAnsi="宋体"/>
          <w:bCs/>
          <w:color w:val="auto"/>
          <w:sz w:val="24"/>
          <w:highlight w:val="none"/>
          <w:lang w:eastAsia="zh-CN"/>
        </w:rPr>
        <w:t>201</w:t>
      </w:r>
      <w:r>
        <w:rPr>
          <w:rFonts w:hint="eastAsia" w:ascii="宋体" w:hAnsi="宋体"/>
          <w:bCs/>
          <w:color w:val="auto"/>
          <w:sz w:val="24"/>
          <w:highlight w:val="none"/>
          <w:lang w:val="en-US" w:eastAsia="zh-CN"/>
        </w:rPr>
        <w:t>9</w:t>
      </w:r>
      <w:r>
        <w:rPr>
          <w:rFonts w:hint="eastAsia" w:ascii="宋体" w:hAnsi="宋体"/>
          <w:bCs/>
          <w:color w:val="auto"/>
          <w:sz w:val="24"/>
          <w:highlight w:val="none"/>
          <w:lang w:eastAsia="zh-CN"/>
        </w:rPr>
        <w:t>年</w:t>
      </w:r>
      <w:r>
        <w:rPr>
          <w:rFonts w:hint="eastAsia" w:ascii="宋体" w:hAnsi="宋体"/>
          <w:bCs/>
          <w:color w:val="auto"/>
          <w:sz w:val="24"/>
          <w:highlight w:val="none"/>
          <w:lang w:val="en-US" w:eastAsia="zh-CN"/>
        </w:rPr>
        <w:t>5</w:t>
      </w:r>
      <w:r>
        <w:rPr>
          <w:rFonts w:hint="eastAsia" w:ascii="宋体" w:hAnsi="宋体"/>
          <w:bCs/>
          <w:color w:val="auto"/>
          <w:sz w:val="24"/>
          <w:highlight w:val="none"/>
          <w:lang w:eastAsia="zh-CN"/>
        </w:rPr>
        <w:t>月至2019年</w:t>
      </w:r>
      <w:r>
        <w:rPr>
          <w:rFonts w:hint="eastAsia" w:ascii="宋体" w:hAnsi="宋体"/>
          <w:bCs/>
          <w:color w:val="auto"/>
          <w:sz w:val="24"/>
          <w:highlight w:val="none"/>
          <w:lang w:val="en-US" w:eastAsia="zh-CN"/>
        </w:rPr>
        <w:t>10</w:t>
      </w:r>
      <w:r>
        <w:rPr>
          <w:rFonts w:hint="eastAsia" w:ascii="宋体" w:hAnsi="宋体"/>
          <w:bCs/>
          <w:color w:val="auto"/>
          <w:sz w:val="24"/>
          <w:highlight w:val="none"/>
          <w:lang w:eastAsia="zh-CN"/>
        </w:rPr>
        <w:t>月</w:t>
      </w:r>
      <w:r>
        <w:rPr>
          <w:rFonts w:hint="eastAsia" w:ascii="宋体" w:hAnsi="宋体"/>
          <w:bCs/>
          <w:color w:val="auto"/>
          <w:sz w:val="24"/>
          <w:highlight w:val="none"/>
        </w:rPr>
        <w:t>由社保局出具的缴费证明）或由社保机构出具的</w:t>
      </w:r>
      <w:r>
        <w:rPr>
          <w:rFonts w:hint="eastAsia" w:ascii="宋体" w:hAnsi="宋体"/>
          <w:bCs/>
          <w:color w:val="auto"/>
          <w:sz w:val="24"/>
          <w:highlight w:val="none"/>
          <w:lang w:eastAsia="zh-CN"/>
        </w:rPr>
        <w:t>201</w:t>
      </w:r>
      <w:r>
        <w:rPr>
          <w:rFonts w:hint="eastAsia" w:ascii="宋体" w:hAnsi="宋体"/>
          <w:bCs/>
          <w:color w:val="auto"/>
          <w:sz w:val="24"/>
          <w:highlight w:val="none"/>
          <w:lang w:val="en-US" w:eastAsia="zh-CN"/>
        </w:rPr>
        <w:t>9</w:t>
      </w:r>
      <w:r>
        <w:rPr>
          <w:rFonts w:hint="eastAsia" w:ascii="宋体" w:hAnsi="宋体"/>
          <w:bCs/>
          <w:color w:val="auto"/>
          <w:sz w:val="24"/>
          <w:highlight w:val="none"/>
          <w:lang w:eastAsia="zh-CN"/>
        </w:rPr>
        <w:t>年</w:t>
      </w:r>
      <w:r>
        <w:rPr>
          <w:rFonts w:hint="eastAsia" w:ascii="宋体" w:hAnsi="宋体"/>
          <w:bCs/>
          <w:color w:val="auto"/>
          <w:sz w:val="24"/>
          <w:highlight w:val="none"/>
          <w:lang w:val="en-US" w:eastAsia="zh-CN"/>
        </w:rPr>
        <w:t>5</w:t>
      </w:r>
      <w:r>
        <w:rPr>
          <w:rFonts w:hint="eastAsia" w:ascii="宋体" w:hAnsi="宋体"/>
          <w:bCs/>
          <w:color w:val="auto"/>
          <w:sz w:val="24"/>
          <w:highlight w:val="none"/>
          <w:lang w:eastAsia="zh-CN"/>
        </w:rPr>
        <w:t>月至2019年</w:t>
      </w:r>
      <w:r>
        <w:rPr>
          <w:rFonts w:hint="eastAsia" w:ascii="宋体" w:hAnsi="宋体"/>
          <w:bCs/>
          <w:color w:val="auto"/>
          <w:sz w:val="24"/>
          <w:highlight w:val="none"/>
          <w:lang w:val="en-US" w:eastAsia="zh-CN"/>
        </w:rPr>
        <w:t>10</w:t>
      </w:r>
      <w:r>
        <w:rPr>
          <w:rFonts w:hint="eastAsia" w:ascii="宋体" w:hAnsi="宋体"/>
          <w:bCs/>
          <w:color w:val="auto"/>
          <w:sz w:val="24"/>
          <w:highlight w:val="none"/>
          <w:lang w:eastAsia="zh-CN"/>
        </w:rPr>
        <w:t>月</w:t>
      </w:r>
      <w:r>
        <w:rPr>
          <w:rFonts w:hint="eastAsia" w:ascii="宋体" w:hAnsi="宋体"/>
          <w:bCs/>
          <w:color w:val="auto"/>
          <w:sz w:val="24"/>
          <w:highlight w:val="none"/>
        </w:rPr>
        <w:t>缴费证明复印件</w:t>
      </w:r>
      <w:r>
        <w:rPr>
          <w:rFonts w:hint="eastAsia" w:ascii="宋体" w:hAnsi="宋体"/>
          <w:bCs/>
          <w:color w:val="auto"/>
          <w:sz w:val="24"/>
          <w:highlight w:val="none"/>
          <w:lang w:eastAsia="zh-CN"/>
        </w:rPr>
        <w:t>；</w:t>
      </w:r>
      <w:r>
        <w:rPr>
          <w:rFonts w:hint="eastAsia" w:ascii="宋体" w:hAnsi="宋体"/>
          <w:color w:val="auto"/>
          <w:sz w:val="24"/>
          <w:highlight w:val="none"/>
        </w:rPr>
        <w:t>（</w:t>
      </w:r>
      <w:r>
        <w:rPr>
          <w:rFonts w:hint="eastAsia" w:ascii="宋体" w:hAnsi="宋体"/>
          <w:b/>
          <w:color w:val="auto"/>
          <w:sz w:val="24"/>
          <w:highlight w:val="none"/>
        </w:rPr>
        <w:t>投标时必须提交原件</w:t>
      </w:r>
      <w:r>
        <w:rPr>
          <w:rFonts w:hint="eastAsia" w:ascii="宋体" w:hAnsi="宋体"/>
          <w:color w:val="auto"/>
          <w:sz w:val="24"/>
          <w:highlight w:val="none"/>
        </w:rPr>
        <w:t>）</w:t>
      </w:r>
      <w:r>
        <w:rPr>
          <w:rFonts w:hint="eastAsia" w:ascii="宋体" w:hAnsi="宋体"/>
          <w:sz w:val="24"/>
        </w:rPr>
        <w:t xml:space="preserve"> </w:t>
      </w:r>
    </w:p>
    <w:p>
      <w:pPr>
        <w:keepNext w:val="0"/>
        <w:keepLines w:val="0"/>
        <w:pageBreakBefore w:val="0"/>
        <w:widowControl w:val="0"/>
        <w:numPr>
          <w:ilvl w:val="0"/>
          <w:numId w:val="0"/>
        </w:numPr>
        <w:tabs>
          <w:tab w:val="left" w:pos="1050"/>
          <w:tab w:val="left" w:pos="1200"/>
        </w:tabs>
        <w:kinsoku/>
        <w:wordWrap/>
        <w:overflowPunct/>
        <w:topLinePunct w:val="0"/>
        <w:autoSpaceDE/>
        <w:autoSpaceDN/>
        <w:bidi w:val="0"/>
        <w:snapToGrid w:val="0"/>
        <w:spacing w:line="360" w:lineRule="auto"/>
        <w:ind w:firstLine="480" w:firstLineChars="200"/>
        <w:textAlignment w:val="auto"/>
        <w:rPr>
          <w:rFonts w:hint="eastAsia" w:ascii="宋体" w:hAnsi="宋体"/>
          <w:sz w:val="24"/>
        </w:rPr>
      </w:pPr>
      <w:r>
        <w:rPr>
          <w:rFonts w:hint="eastAsia" w:ascii="宋体" w:hAnsi="宋体"/>
          <w:sz w:val="24"/>
          <w:lang w:val="en-US" w:eastAsia="zh-CN"/>
        </w:rPr>
        <w:t>8.</w:t>
      </w:r>
      <w:r>
        <w:rPr>
          <w:rFonts w:hint="eastAsia" w:ascii="宋体" w:hAnsi="宋体"/>
          <w:bCs/>
          <w:color w:val="auto"/>
          <w:sz w:val="24"/>
          <w:highlight w:val="none"/>
        </w:rPr>
        <w:t>投标供应商近三个月中任意一个月份</w:t>
      </w:r>
      <w:r>
        <w:rPr>
          <w:rFonts w:ascii="宋体" w:hAnsi="宋体"/>
          <w:bCs/>
          <w:color w:val="auto"/>
          <w:sz w:val="24"/>
          <w:highlight w:val="none"/>
        </w:rPr>
        <w:t>(</w:t>
      </w:r>
      <w:r>
        <w:rPr>
          <w:rFonts w:hint="eastAsia" w:ascii="宋体" w:hAnsi="宋体"/>
          <w:bCs/>
          <w:color w:val="auto"/>
          <w:sz w:val="24"/>
          <w:highlight w:val="none"/>
        </w:rPr>
        <w:t>不含投标当月</w:t>
      </w:r>
      <w:r>
        <w:rPr>
          <w:rFonts w:ascii="宋体" w:hAnsi="宋体"/>
          <w:bCs/>
          <w:color w:val="auto"/>
          <w:sz w:val="24"/>
          <w:highlight w:val="none"/>
        </w:rPr>
        <w:t>)</w:t>
      </w:r>
      <w:r>
        <w:rPr>
          <w:rFonts w:hint="eastAsia" w:ascii="宋体" w:hAnsi="宋体"/>
          <w:bCs/>
          <w:color w:val="auto"/>
          <w:sz w:val="24"/>
          <w:highlight w:val="none"/>
        </w:rPr>
        <w:t>的财务状况报告（资产负债表、利润表）或由会计师事务所出具的2017或2018年度审计报告和所附已审财务报告复印件；</w:t>
      </w:r>
    </w:p>
    <w:p>
      <w:pPr>
        <w:keepNext w:val="0"/>
        <w:keepLines w:val="0"/>
        <w:pageBreakBefore w:val="0"/>
        <w:widowControl w:val="0"/>
        <w:tabs>
          <w:tab w:val="left" w:pos="426"/>
        </w:tabs>
        <w:kinsoku/>
        <w:wordWrap/>
        <w:overflowPunct/>
        <w:topLinePunct w:val="0"/>
        <w:bidi w:val="0"/>
        <w:spacing w:line="360" w:lineRule="auto"/>
        <w:ind w:firstLine="480" w:firstLineChars="200"/>
        <w:textAlignment w:val="auto"/>
        <w:rPr>
          <w:rFonts w:hint="eastAsia" w:ascii="宋体" w:hAnsi="宋体"/>
          <w:bCs/>
          <w:color w:val="auto"/>
          <w:sz w:val="24"/>
          <w:highlight w:val="none"/>
        </w:rPr>
      </w:pPr>
      <w:r>
        <w:rPr>
          <w:rFonts w:hint="eastAsia" w:ascii="宋体" w:hAnsi="宋体"/>
          <w:bCs/>
          <w:sz w:val="24"/>
          <w:lang w:val="en-US" w:eastAsia="zh-CN"/>
        </w:rPr>
        <w:t>9.</w:t>
      </w:r>
      <w:r>
        <w:rPr>
          <w:rFonts w:hint="eastAsia" w:ascii="宋体" w:hAnsi="宋体"/>
          <w:bCs/>
          <w:color w:val="auto"/>
          <w:sz w:val="24"/>
          <w:highlight w:val="none"/>
        </w:rPr>
        <w:t>投标供应商近三个月中任意一个月份</w:t>
      </w:r>
      <w:r>
        <w:rPr>
          <w:rFonts w:ascii="宋体" w:hAnsi="宋体"/>
          <w:bCs/>
          <w:color w:val="auto"/>
          <w:sz w:val="24"/>
          <w:highlight w:val="none"/>
        </w:rPr>
        <w:t>(</w:t>
      </w:r>
      <w:r>
        <w:rPr>
          <w:rFonts w:hint="eastAsia" w:ascii="宋体" w:hAnsi="宋体"/>
          <w:bCs/>
          <w:color w:val="auto"/>
          <w:sz w:val="24"/>
          <w:highlight w:val="none"/>
        </w:rPr>
        <w:t>不含投标当月</w:t>
      </w:r>
      <w:r>
        <w:rPr>
          <w:rFonts w:ascii="宋体" w:hAnsi="宋体"/>
          <w:bCs/>
          <w:color w:val="auto"/>
          <w:sz w:val="24"/>
          <w:highlight w:val="none"/>
        </w:rPr>
        <w:t>)</w:t>
      </w:r>
      <w:r>
        <w:rPr>
          <w:rFonts w:hint="eastAsia" w:ascii="宋体" w:hAnsi="宋体"/>
          <w:bCs/>
          <w:color w:val="auto"/>
          <w:sz w:val="24"/>
          <w:highlight w:val="none"/>
        </w:rPr>
        <w:t>的依法缴纳税收的相关材料（提供相关主管部门证明或银行代扣证明）复印件；</w:t>
      </w:r>
    </w:p>
    <w:p>
      <w:pPr>
        <w:keepNext w:val="0"/>
        <w:keepLines w:val="0"/>
        <w:pageBreakBefore w:val="0"/>
        <w:widowControl w:val="0"/>
        <w:tabs>
          <w:tab w:val="left" w:pos="426"/>
        </w:tabs>
        <w:kinsoku/>
        <w:wordWrap/>
        <w:overflowPunct/>
        <w:topLinePunct w:val="0"/>
        <w:bidi w:val="0"/>
        <w:spacing w:line="360" w:lineRule="auto"/>
        <w:ind w:firstLine="480" w:firstLineChars="200"/>
        <w:textAlignment w:val="auto"/>
        <w:rPr>
          <w:rFonts w:hint="eastAsia" w:ascii="宋体" w:hAnsi="宋体" w:eastAsia="宋体"/>
          <w:bCs/>
          <w:color w:val="auto"/>
          <w:sz w:val="24"/>
          <w:highlight w:val="none"/>
          <w:lang w:eastAsia="zh-CN"/>
        </w:rPr>
      </w:pPr>
      <w:r>
        <w:rPr>
          <w:rFonts w:hint="eastAsia" w:ascii="宋体" w:hAnsi="宋体"/>
          <w:bCs/>
          <w:color w:val="auto"/>
          <w:sz w:val="24"/>
          <w:highlight w:val="none"/>
          <w:lang w:val="en-US" w:eastAsia="zh-CN"/>
        </w:rPr>
        <w:t>10.</w:t>
      </w:r>
      <w:r>
        <w:rPr>
          <w:rFonts w:hint="eastAsia" w:ascii="宋体" w:hAnsi="宋体"/>
          <w:bCs/>
          <w:sz w:val="24"/>
        </w:rPr>
        <w:t>投标人近三个月中任意一个月份(不含</w:t>
      </w:r>
      <w:r>
        <w:rPr>
          <w:rFonts w:hint="eastAsia" w:ascii="宋体" w:hAnsi="宋体"/>
          <w:bCs/>
          <w:sz w:val="24"/>
          <w:lang w:val="en-US" w:eastAsia="zh-CN"/>
        </w:rPr>
        <w:t>投标</w:t>
      </w:r>
      <w:r>
        <w:rPr>
          <w:rFonts w:hint="eastAsia" w:ascii="宋体" w:hAnsi="宋体"/>
          <w:bCs/>
          <w:sz w:val="24"/>
        </w:rPr>
        <w:t>当月)的依法</w:t>
      </w:r>
      <w:r>
        <w:rPr>
          <w:rFonts w:ascii="宋体" w:hAnsi="宋体"/>
          <w:bCs/>
          <w:sz w:val="24"/>
        </w:rPr>
        <w:t>缴纳</w:t>
      </w:r>
      <w:r>
        <w:rPr>
          <w:rFonts w:hint="eastAsia" w:ascii="宋体" w:hAnsi="宋体"/>
          <w:bCs/>
          <w:sz w:val="24"/>
        </w:rPr>
        <w:t>社会保障资金的相关材料（提供相关主管部门证明或银行代扣证明）复印件；</w:t>
      </w:r>
    </w:p>
    <w:p>
      <w:pPr>
        <w:keepNext w:val="0"/>
        <w:keepLines w:val="0"/>
        <w:pageBreakBefore w:val="0"/>
        <w:widowControl w:val="0"/>
        <w:tabs>
          <w:tab w:val="left" w:pos="0"/>
        </w:tabs>
        <w:kinsoku/>
        <w:wordWrap/>
        <w:overflowPunct/>
        <w:topLinePunct w:val="0"/>
        <w:bidi w:val="0"/>
        <w:spacing w:line="360" w:lineRule="auto"/>
        <w:ind w:firstLine="480" w:firstLineChars="200"/>
        <w:textAlignment w:val="auto"/>
        <w:rPr>
          <w:rFonts w:hint="eastAsia" w:ascii="宋体" w:hAnsi="宋体"/>
          <w:sz w:val="24"/>
        </w:rPr>
      </w:pPr>
      <w:r>
        <w:rPr>
          <w:rFonts w:hint="eastAsia" w:ascii="宋体" w:hAnsi="宋体"/>
          <w:sz w:val="24"/>
          <w:lang w:val="en-US" w:eastAsia="zh-CN"/>
        </w:rPr>
        <w:t>11.</w:t>
      </w:r>
      <w:r>
        <w:rPr>
          <w:rFonts w:hint="eastAsia" w:ascii="宋体" w:hAnsi="宋体"/>
          <w:sz w:val="24"/>
        </w:rPr>
        <w:t>承诺书（格式见附件）。</w:t>
      </w:r>
    </w:p>
    <w:p>
      <w:pPr>
        <w:widowControl/>
        <w:tabs>
          <w:tab w:val="left" w:pos="0"/>
        </w:tabs>
        <w:spacing w:line="360" w:lineRule="auto"/>
        <w:ind w:firstLine="360" w:firstLineChars="150"/>
        <w:jc w:val="left"/>
        <w:rPr>
          <w:rFonts w:hint="eastAsia" w:ascii="宋体" w:hAnsi="宋体"/>
          <w:sz w:val="24"/>
        </w:rPr>
      </w:pPr>
      <w:r>
        <w:rPr>
          <w:rFonts w:hint="eastAsia" w:ascii="宋体" w:hAnsi="宋体"/>
          <w:sz w:val="24"/>
        </w:rPr>
        <w:t>注：投标供应商已按《无锡市政府采购供应商注册登记管理办法》（锡财购〔2012〕3号）文件要求入供应商库的，可注册入库（详见http://cz.wuxi.gov.cn/doc</w:t>
      </w:r>
    </w:p>
    <w:p>
      <w:pPr>
        <w:widowControl/>
        <w:tabs>
          <w:tab w:val="left" w:pos="0"/>
        </w:tabs>
        <w:spacing w:line="360" w:lineRule="auto"/>
        <w:jc w:val="left"/>
        <w:rPr>
          <w:rFonts w:hint="eastAsia" w:ascii="宋体" w:hAnsi="宋体"/>
          <w:sz w:val="24"/>
        </w:rPr>
      </w:pPr>
      <w:r>
        <w:rPr>
          <w:rFonts w:hint="eastAsia" w:ascii="宋体" w:hAnsi="宋体"/>
          <w:sz w:val="24"/>
        </w:rPr>
        <w:t>/2012/10/11/51585.shtml）成功后，从网上下载打印《无锡市政府采购注册供应商资格信息登记表》（以下简称信息登记表），并经法定代表人签字和加盖公章后,可作为供应商投标文件的有效组成部分提交采购代理机构</w:t>
      </w:r>
      <w:r>
        <w:rPr>
          <w:rFonts w:ascii="宋体" w:hAnsi="宋体"/>
          <w:sz w:val="24"/>
        </w:rPr>
        <w:t>。信息登记表所记录的信息如能反映</w:t>
      </w:r>
      <w:r>
        <w:rPr>
          <w:rFonts w:hint="eastAsia" w:ascii="宋体" w:hAnsi="宋体"/>
          <w:bCs/>
          <w:sz w:val="24"/>
        </w:rPr>
        <w:t>投标供应商</w:t>
      </w:r>
      <w:r>
        <w:rPr>
          <w:rFonts w:ascii="宋体" w:hAnsi="宋体"/>
          <w:sz w:val="24"/>
        </w:rPr>
        <w:t>具备对应资格条件项的，</w:t>
      </w:r>
      <w:r>
        <w:rPr>
          <w:rFonts w:hint="eastAsia" w:ascii="宋体" w:hAnsi="宋体"/>
          <w:sz w:val="24"/>
        </w:rPr>
        <w:t>在本项目评审时，可凭信息登记表免于提供相应的资格证明材料的原件或公证件，否则必须按要求提供相应的资格证明材料原件或公证件来予以证明。</w:t>
      </w:r>
    </w:p>
    <w:p>
      <w:pPr>
        <w:widowControl/>
        <w:tabs>
          <w:tab w:val="left" w:pos="0"/>
        </w:tabs>
        <w:spacing w:line="360" w:lineRule="auto"/>
        <w:jc w:val="left"/>
        <w:rPr>
          <w:rFonts w:ascii="宋体" w:hAnsi="宋体"/>
          <w:b/>
          <w:sz w:val="24"/>
        </w:rPr>
      </w:pP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上述证明文件中的资格、资信证明文件必须全部提供。其中要求提交的原件或公证件必须与投标文件同时提交，如果原件正在年检（或换证），则必须提供法定年检（或换证）单位出具的有效证明原件。</w:t>
      </w:r>
      <w:r>
        <w:rPr>
          <w:rFonts w:hint="eastAsia" w:ascii="宋体" w:hAnsi="宋体"/>
          <w:bCs/>
          <w:sz w:val="24"/>
        </w:rPr>
        <w:t>投标供应商</w:t>
      </w:r>
      <w:r>
        <w:rPr>
          <w:rFonts w:hint="eastAsia" w:ascii="宋体" w:hAnsi="宋体"/>
          <w:sz w:val="24"/>
        </w:rPr>
        <w:t>法定代表人或被授权代表为外籍、港、澳、台地区人士的，其身份证明须提供有效的护照或港澳同胞来往内地通行证、台湾同胞来往大陆通行证，或其它可在中国大陆有效居留的许可证明。否则必须提供原件或公证件来予以证明。</w:t>
      </w:r>
      <w:r>
        <w:rPr>
          <w:rFonts w:hint="eastAsia" w:ascii="宋体" w:hAnsi="宋体"/>
          <w:bCs/>
          <w:sz w:val="24"/>
        </w:rPr>
        <w:t>投标供应商</w:t>
      </w:r>
      <w:r>
        <w:rPr>
          <w:rFonts w:hint="eastAsia" w:ascii="宋体" w:hAnsi="宋体"/>
          <w:sz w:val="24"/>
        </w:rPr>
        <w:t>所提交的证明文件的完整与否，将直接影响其投标文件的审核和评分结果。</w:t>
      </w:r>
    </w:p>
    <w:p>
      <w:pPr>
        <w:spacing w:line="360" w:lineRule="auto"/>
        <w:ind w:left="480"/>
        <w:rPr>
          <w:rFonts w:ascii="宋体" w:hAnsi="宋体"/>
          <w:b/>
          <w:sz w:val="24"/>
        </w:rPr>
      </w:pPr>
      <w:r>
        <w:rPr>
          <w:rFonts w:hint="eastAsia" w:ascii="宋体" w:hAnsi="宋体"/>
          <w:b/>
          <w:sz w:val="24"/>
        </w:rPr>
        <w:t>补充证明文件</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1.投标供应商简介和经营情况说明；</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2.投标供应商认为有必要提供的其他证明材料（参照评分标准要求）。</w:t>
      </w:r>
    </w:p>
    <w:p>
      <w:pPr>
        <w:widowControl/>
        <w:spacing w:line="360" w:lineRule="auto"/>
        <w:ind w:firstLine="480" w:firstLineChars="200"/>
        <w:jc w:val="left"/>
        <w:rPr>
          <w:rFonts w:ascii="宋体" w:hAnsi="宋体"/>
          <w:bCs/>
          <w:sz w:val="24"/>
        </w:rPr>
      </w:pPr>
      <w:r>
        <w:rPr>
          <w:rFonts w:hint="eastAsia" w:ascii="宋体" w:hAnsi="宋体" w:cs="宋体"/>
          <w:kern w:val="0"/>
          <w:sz w:val="24"/>
        </w:rPr>
        <w:t>3.</w:t>
      </w:r>
      <w:r>
        <w:rPr>
          <w:rFonts w:hint="eastAsia" w:ascii="宋体" w:hAnsi="宋体"/>
          <w:bCs/>
          <w:sz w:val="24"/>
        </w:rPr>
        <w:t>如是中小企业的，提供《中小企业声明函》（格式见附件）。</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4.残疾人福利性单位声明函（如是，格式见附件）</w:t>
      </w:r>
    </w:p>
    <w:p>
      <w:pPr>
        <w:widowControl/>
        <w:spacing w:line="360" w:lineRule="auto"/>
        <w:ind w:firstLine="480" w:firstLineChars="200"/>
        <w:jc w:val="left"/>
        <w:rPr>
          <w:rFonts w:hint="eastAsia" w:ascii="宋体" w:hAnsi="宋体"/>
          <w:bCs/>
          <w:sz w:val="24"/>
        </w:rPr>
      </w:pPr>
      <w:r>
        <w:rPr>
          <w:rFonts w:hint="eastAsia" w:ascii="宋体" w:hAnsi="宋体" w:cs="宋体"/>
          <w:kern w:val="0"/>
          <w:sz w:val="24"/>
        </w:rPr>
        <w:t>5.</w:t>
      </w:r>
      <w:r>
        <w:rPr>
          <w:rFonts w:hint="eastAsia" w:ascii="宋体" w:hAnsi="宋体"/>
          <w:bCs/>
          <w:sz w:val="24"/>
        </w:rPr>
        <w:t>由省级以上监狱管理局、戒毒管理局出具的属于监狱企业的证明文件；（如是）</w:t>
      </w:r>
    </w:p>
    <w:p>
      <w:pPr>
        <w:widowControl/>
        <w:spacing w:line="360" w:lineRule="auto"/>
        <w:ind w:firstLine="480" w:firstLineChars="200"/>
        <w:jc w:val="left"/>
        <w:rPr>
          <w:rFonts w:hint="eastAsia" w:ascii="宋体" w:hAnsi="宋体"/>
          <w:sz w:val="24"/>
        </w:rPr>
      </w:pPr>
      <w:r>
        <w:rPr>
          <w:rFonts w:hint="eastAsia" w:ascii="宋体" w:hAnsi="宋体"/>
          <w:bCs/>
          <w:sz w:val="24"/>
        </w:rPr>
        <w:t>6.《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是）</w:t>
      </w:r>
      <w:r>
        <w:rPr>
          <w:rFonts w:ascii="ˎ̥" w:hAnsi="ˎ̥" w:cs="宋体"/>
          <w:kern w:val="0"/>
          <w:sz w:val="24"/>
        </w:rPr>
        <w:t xml:space="preserve">      </w:t>
      </w:r>
    </w:p>
    <w:p>
      <w:pPr>
        <w:widowControl/>
        <w:spacing w:line="360" w:lineRule="auto"/>
        <w:ind w:firstLine="480" w:firstLineChars="200"/>
        <w:jc w:val="left"/>
        <w:rPr>
          <w:rFonts w:hint="eastAsia" w:ascii="宋体" w:hAnsi="宋体"/>
          <w:sz w:val="24"/>
        </w:rPr>
      </w:pPr>
      <w:r>
        <w:rPr>
          <w:rFonts w:hint="eastAsia" w:ascii="宋体" w:hAnsi="宋体" w:cs="宋体"/>
          <w:kern w:val="0"/>
          <w:sz w:val="24"/>
        </w:rPr>
        <w:t>3）开标一览表</w:t>
      </w:r>
      <w:r>
        <w:rPr>
          <w:rFonts w:hint="eastAsia" w:ascii="宋体" w:hAnsi="宋体"/>
          <w:b/>
          <w:sz w:val="24"/>
        </w:rPr>
        <w:t>（格式见附件）</w:t>
      </w:r>
    </w:p>
    <w:p>
      <w:pPr>
        <w:widowControl/>
        <w:spacing w:line="360" w:lineRule="auto"/>
        <w:ind w:firstLine="480" w:firstLineChars="200"/>
        <w:jc w:val="left"/>
        <w:rPr>
          <w:rFonts w:hint="eastAsia" w:ascii="宋体" w:hAnsi="宋体" w:cs="宋体"/>
          <w:kern w:val="0"/>
          <w:sz w:val="24"/>
        </w:rPr>
      </w:pPr>
      <w:r>
        <w:rPr>
          <w:rFonts w:hint="eastAsia" w:ascii="宋体" w:hAnsi="宋体"/>
          <w:sz w:val="24"/>
        </w:rPr>
        <w:t>4）</w:t>
      </w:r>
      <w:r>
        <w:rPr>
          <w:rFonts w:hint="eastAsia" w:ascii="宋体" w:hAnsi="宋体"/>
          <w:bCs/>
          <w:color w:val="000000"/>
          <w:sz w:val="24"/>
          <w:lang w:val="en-US" w:eastAsia="zh-CN"/>
        </w:rPr>
        <w:t>投标报价明细</w:t>
      </w:r>
      <w:r>
        <w:rPr>
          <w:rFonts w:hint="eastAsia" w:ascii="宋体" w:hAnsi="宋体" w:cs="宋体"/>
          <w:kern w:val="0"/>
          <w:sz w:val="24"/>
        </w:rPr>
        <w:t>表</w:t>
      </w:r>
      <w:r>
        <w:rPr>
          <w:rFonts w:hint="eastAsia" w:ascii="宋体" w:hAnsi="宋体"/>
          <w:b/>
          <w:sz w:val="24"/>
        </w:rPr>
        <w:t>（格式见附件）</w:t>
      </w:r>
    </w:p>
    <w:p>
      <w:pPr>
        <w:widowControl/>
        <w:spacing w:line="360" w:lineRule="auto"/>
        <w:ind w:firstLine="480" w:firstLineChars="200"/>
        <w:jc w:val="left"/>
        <w:rPr>
          <w:rFonts w:hint="eastAsia" w:ascii="宋体" w:hAnsi="宋体"/>
          <w:bCs/>
          <w:color w:val="000000"/>
          <w:sz w:val="24"/>
        </w:rPr>
      </w:pPr>
      <w:r>
        <w:rPr>
          <w:rFonts w:hint="eastAsia" w:ascii="宋体" w:hAnsi="宋体" w:cs="宋体"/>
          <w:kern w:val="0"/>
          <w:sz w:val="24"/>
        </w:rPr>
        <w:t>5）</w:t>
      </w:r>
      <w:r>
        <w:rPr>
          <w:rFonts w:hint="eastAsia" w:ascii="宋体" w:hAnsi="宋体"/>
          <w:bCs/>
          <w:color w:val="000000"/>
          <w:sz w:val="24"/>
        </w:rPr>
        <w:t>拟投入本项目的人员一览表</w:t>
      </w:r>
      <w:r>
        <w:rPr>
          <w:rFonts w:hint="eastAsia" w:ascii="宋体" w:hAnsi="宋体"/>
          <w:b/>
          <w:sz w:val="24"/>
        </w:rPr>
        <w:t>（格式见附件）</w:t>
      </w:r>
    </w:p>
    <w:p>
      <w:pPr>
        <w:widowControl/>
        <w:spacing w:line="360" w:lineRule="auto"/>
        <w:ind w:firstLine="480" w:firstLineChars="200"/>
        <w:jc w:val="left"/>
        <w:rPr>
          <w:rFonts w:hint="eastAsia" w:ascii="宋体" w:hAnsi="宋体"/>
          <w:bCs/>
          <w:color w:val="000000"/>
          <w:sz w:val="24"/>
        </w:rPr>
      </w:pPr>
      <w:r>
        <w:rPr>
          <w:rFonts w:hint="eastAsia" w:ascii="宋体" w:hAnsi="宋体"/>
          <w:bCs/>
          <w:color w:val="000000"/>
          <w:sz w:val="24"/>
        </w:rPr>
        <w:t>6）</w:t>
      </w:r>
      <w:r>
        <w:rPr>
          <w:rFonts w:hint="eastAsia" w:ascii="宋体" w:hAnsi="宋体"/>
          <w:bCs/>
          <w:sz w:val="24"/>
        </w:rPr>
        <w:t>要求招标人提供的配合</w:t>
      </w:r>
      <w:r>
        <w:rPr>
          <w:rFonts w:hint="eastAsia" w:ascii="宋体" w:hAnsi="宋体"/>
          <w:b/>
          <w:sz w:val="24"/>
        </w:rPr>
        <w:t>（如有自拟并自行添加）</w:t>
      </w:r>
    </w:p>
    <w:p>
      <w:pPr>
        <w:widowControl/>
        <w:spacing w:line="360" w:lineRule="auto"/>
        <w:ind w:firstLine="480" w:firstLineChars="200"/>
        <w:jc w:val="left"/>
        <w:rPr>
          <w:rFonts w:hint="eastAsia" w:ascii="宋体" w:hAnsi="宋体"/>
          <w:bCs/>
          <w:color w:val="000000"/>
          <w:sz w:val="24"/>
        </w:rPr>
      </w:pPr>
      <w:r>
        <w:rPr>
          <w:rFonts w:hint="eastAsia" w:ascii="宋体" w:hAnsi="宋体"/>
          <w:bCs/>
          <w:color w:val="000000"/>
          <w:sz w:val="24"/>
        </w:rPr>
        <w:t>7）</w:t>
      </w:r>
      <w:r>
        <w:rPr>
          <w:rFonts w:hint="eastAsia" w:ascii="宋体" w:hAnsi="宋体"/>
          <w:bCs/>
          <w:sz w:val="24"/>
        </w:rPr>
        <w:t>其它</w:t>
      </w:r>
      <w:r>
        <w:rPr>
          <w:rFonts w:hint="eastAsia" w:ascii="宋体" w:hAnsi="宋体"/>
          <w:b/>
          <w:sz w:val="24"/>
        </w:rPr>
        <w:t>（投标人认为有必要提供的声明和文件，如有自拟并自行添加）</w:t>
      </w:r>
    </w:p>
    <w:p>
      <w:pPr>
        <w:spacing w:line="360" w:lineRule="auto"/>
        <w:ind w:left="482"/>
        <w:rPr>
          <w:rFonts w:hint="eastAsia" w:ascii="宋体" w:hAnsi="宋体"/>
          <w:b/>
          <w:sz w:val="24"/>
          <w:highlight w:val="none"/>
        </w:rPr>
      </w:pPr>
      <w:r>
        <w:rPr>
          <w:rFonts w:hint="eastAsia" w:ascii="宋体" w:hAnsi="宋体"/>
          <w:b/>
          <w:sz w:val="24"/>
          <w:highlight w:val="none"/>
        </w:rPr>
        <w:t>2、技术文件部分：</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lang w:eastAsia="zh-CN"/>
        </w:rPr>
        <w:t>）</w:t>
      </w:r>
      <w:r>
        <w:rPr>
          <w:rFonts w:hint="eastAsia" w:ascii="宋体" w:hAnsi="宋体" w:cs="宋体"/>
          <w:kern w:val="0"/>
          <w:sz w:val="24"/>
        </w:rPr>
        <w:t>抢险救灾应急预案</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lang w:eastAsia="zh-CN"/>
        </w:rPr>
        <w:t>）</w:t>
      </w:r>
      <w:r>
        <w:rPr>
          <w:rFonts w:hint="eastAsia" w:ascii="宋体" w:hAnsi="宋体" w:cs="宋体"/>
          <w:kern w:val="0"/>
          <w:sz w:val="24"/>
        </w:rPr>
        <w:t xml:space="preserve"> 养护方案  </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lang w:val="en-US" w:eastAsia="zh-CN"/>
        </w:rPr>
        <w:t>3</w:t>
      </w:r>
      <w:r>
        <w:rPr>
          <w:rFonts w:hint="eastAsia" w:ascii="宋体" w:hAnsi="宋体" w:cs="宋体"/>
          <w:kern w:val="0"/>
          <w:sz w:val="24"/>
          <w:lang w:eastAsia="zh-CN"/>
        </w:rPr>
        <w:t>）</w:t>
      </w:r>
      <w:r>
        <w:rPr>
          <w:rFonts w:hint="eastAsia" w:ascii="宋体" w:hAnsi="宋体" w:cs="宋体"/>
          <w:kern w:val="0"/>
          <w:sz w:val="24"/>
        </w:rPr>
        <w:t xml:space="preserve"> 质量及服务条件承诺 </w:t>
      </w:r>
    </w:p>
    <w:p>
      <w:pPr>
        <w:tabs>
          <w:tab w:val="left" w:pos="525"/>
          <w:tab w:val="left" w:pos="552"/>
          <w:tab w:val="left" w:pos="630"/>
          <w:tab w:val="left" w:pos="945"/>
        </w:tabs>
        <w:spacing w:line="460" w:lineRule="exact"/>
        <w:ind w:firstLine="480" w:firstLineChars="200"/>
        <w:rPr>
          <w:rFonts w:ascii="宋体" w:hAnsi="宋体"/>
          <w:bCs/>
          <w:sz w:val="24"/>
        </w:rPr>
      </w:pPr>
      <w:r>
        <w:rPr>
          <w:rFonts w:hint="eastAsia" w:ascii="宋体" w:hAnsi="宋体"/>
          <w:bCs/>
          <w:sz w:val="24"/>
        </w:rPr>
        <w:t>三、我们同意按采购文件中的规定，本响应文件报价的有效期限为成交通知书发出之日起90天。</w:t>
      </w:r>
    </w:p>
    <w:p>
      <w:pPr>
        <w:tabs>
          <w:tab w:val="left" w:pos="525"/>
          <w:tab w:val="left" w:pos="552"/>
          <w:tab w:val="left" w:pos="630"/>
          <w:tab w:val="left" w:pos="945"/>
        </w:tabs>
        <w:spacing w:line="460" w:lineRule="exact"/>
        <w:ind w:firstLine="480" w:firstLineChars="200"/>
        <w:rPr>
          <w:rFonts w:ascii="宋体" w:hAnsi="宋体"/>
          <w:bCs/>
          <w:sz w:val="24"/>
        </w:rPr>
      </w:pPr>
      <w:r>
        <w:rPr>
          <w:rFonts w:hint="eastAsia" w:ascii="宋体" w:hAnsi="宋体"/>
          <w:kern w:val="0"/>
          <w:sz w:val="24"/>
        </w:rPr>
        <w:t>四、我方同意按采购文件中的规定期限内完成全部工作。</w:t>
      </w:r>
    </w:p>
    <w:p>
      <w:pPr>
        <w:tabs>
          <w:tab w:val="left" w:pos="525"/>
          <w:tab w:val="left" w:pos="552"/>
          <w:tab w:val="left" w:pos="945"/>
        </w:tabs>
        <w:spacing w:line="460" w:lineRule="exact"/>
        <w:ind w:firstLine="480" w:firstLineChars="200"/>
        <w:rPr>
          <w:rFonts w:ascii="宋体" w:hAnsi="宋体"/>
          <w:bCs/>
          <w:sz w:val="24"/>
        </w:rPr>
      </w:pPr>
      <w:r>
        <w:rPr>
          <w:rFonts w:hint="eastAsia" w:ascii="宋体" w:hAnsi="宋体"/>
          <w:bCs/>
          <w:sz w:val="24"/>
        </w:rPr>
        <w:t>五、如果我们的响应文件被接受，我们将履行采购文件中规定的每一项要求，按期、按质、按量，完成任务。</w:t>
      </w:r>
    </w:p>
    <w:p>
      <w:pPr>
        <w:tabs>
          <w:tab w:val="left" w:pos="525"/>
          <w:tab w:val="left" w:pos="552"/>
          <w:tab w:val="left" w:pos="945"/>
        </w:tabs>
        <w:spacing w:line="460" w:lineRule="exact"/>
        <w:ind w:firstLine="480" w:firstLineChars="200"/>
        <w:rPr>
          <w:rFonts w:ascii="宋体" w:hAnsi="宋体"/>
          <w:bCs/>
          <w:sz w:val="24"/>
        </w:rPr>
      </w:pPr>
      <w:r>
        <w:rPr>
          <w:rFonts w:hint="eastAsia" w:ascii="宋体" w:hAnsi="宋体"/>
          <w:bCs/>
          <w:sz w:val="24"/>
        </w:rPr>
        <w:t>六、我们认为你们有权决定成交者。</w:t>
      </w:r>
    </w:p>
    <w:p>
      <w:pPr>
        <w:tabs>
          <w:tab w:val="left" w:pos="525"/>
          <w:tab w:val="left" w:pos="552"/>
          <w:tab w:val="left" w:pos="945"/>
        </w:tabs>
        <w:spacing w:line="460" w:lineRule="exact"/>
        <w:ind w:firstLine="480" w:firstLineChars="200"/>
        <w:rPr>
          <w:rFonts w:ascii="宋体" w:hAnsi="宋体"/>
          <w:bCs/>
          <w:sz w:val="24"/>
        </w:rPr>
      </w:pPr>
      <w:r>
        <w:rPr>
          <w:rFonts w:hint="eastAsia" w:ascii="宋体" w:hAnsi="宋体"/>
          <w:bCs/>
          <w:sz w:val="24"/>
        </w:rPr>
        <w:t>七、我们认可并保证遵守采购文件的所有规定，放弃对采购文件提出质疑的权利。</w:t>
      </w:r>
    </w:p>
    <w:p>
      <w:pPr>
        <w:tabs>
          <w:tab w:val="left" w:pos="525"/>
          <w:tab w:val="left" w:pos="552"/>
          <w:tab w:val="left" w:pos="945"/>
        </w:tabs>
        <w:spacing w:line="460" w:lineRule="exact"/>
        <w:ind w:firstLine="480" w:firstLineChars="200"/>
        <w:rPr>
          <w:rFonts w:ascii="宋体" w:hAnsi="宋体"/>
          <w:bCs/>
          <w:sz w:val="24"/>
        </w:rPr>
      </w:pPr>
      <w:r>
        <w:rPr>
          <w:rFonts w:hint="eastAsia" w:ascii="宋体" w:hAnsi="宋体"/>
          <w:bCs/>
          <w:sz w:val="24"/>
        </w:rPr>
        <w:t>八、我们愿意按采购文件的规定交纳人民币</w:t>
      </w:r>
      <w:r>
        <w:rPr>
          <w:rFonts w:hint="eastAsia" w:ascii="宋体" w:hAnsi="宋体"/>
          <w:bCs/>
          <w:sz w:val="24"/>
          <w:u w:val="single"/>
        </w:rPr>
        <w:t xml:space="preserve">      </w:t>
      </w:r>
      <w:r>
        <w:rPr>
          <w:rFonts w:hint="eastAsia" w:ascii="宋体" w:hAnsi="宋体"/>
          <w:bCs/>
          <w:sz w:val="24"/>
        </w:rPr>
        <w:t>元的投标保证金。如我们在报价截止期后撤回报价及成交后拒绝遵守报价承诺或拒绝在规定的时间内与采购方签订合同则报价保证金将被贵方没收。</w:t>
      </w:r>
    </w:p>
    <w:p>
      <w:pPr>
        <w:tabs>
          <w:tab w:val="left" w:pos="525"/>
          <w:tab w:val="left" w:pos="552"/>
          <w:tab w:val="left" w:pos="945"/>
        </w:tabs>
        <w:spacing w:line="460" w:lineRule="exact"/>
        <w:ind w:firstLine="480" w:firstLineChars="200"/>
        <w:rPr>
          <w:rFonts w:hint="eastAsia" w:ascii="宋体" w:hAnsi="宋体"/>
          <w:bCs/>
          <w:color w:val="auto"/>
          <w:sz w:val="24"/>
          <w:highlight w:val="none"/>
        </w:rPr>
      </w:pPr>
      <w:r>
        <w:rPr>
          <w:rFonts w:hint="eastAsia" w:ascii="宋体" w:hAnsi="宋体"/>
          <w:bCs/>
          <w:sz w:val="24"/>
        </w:rPr>
        <w:t>九、如果我方被确定为中标供应商，我方如无不可抗力，又未履行采购文件、响应文件和合同条款的，一经查实，我方愿意赔偿由此而造成的一切损失，并同意接受按采购文件的相关要求对我方进行的处理。</w:t>
      </w:r>
      <w:bookmarkStart w:id="14" w:name="（报价人）法定代表人授权书（格式）"/>
      <w:bookmarkEnd w:id="14"/>
      <w:bookmarkStart w:id="15" w:name="校园网系统报价和服务承诺表（格式）"/>
      <w:bookmarkEnd w:id="15"/>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投标供应商（盖章）：</w:t>
      </w:r>
      <w:r>
        <w:rPr>
          <w:rFonts w:ascii="宋体" w:hAnsi="宋体"/>
          <w:bCs/>
          <w:color w:val="auto"/>
          <w:sz w:val="24"/>
          <w:highlight w:val="none"/>
        </w:rPr>
        <w:t xml:space="preserve">     </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法定代表人或法定代表人授权代表签字或盖章：</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电话：</w:t>
      </w:r>
      <w:r>
        <w:rPr>
          <w:rFonts w:ascii="宋体" w:hAnsi="宋体"/>
          <w:bCs/>
          <w:color w:val="auto"/>
          <w:sz w:val="24"/>
          <w:highlight w:val="none"/>
        </w:rPr>
        <w:t xml:space="preserve">                              </w:t>
      </w:r>
      <w:r>
        <w:rPr>
          <w:rFonts w:hint="eastAsia" w:ascii="宋体" w:hAnsi="宋体"/>
          <w:bCs/>
          <w:color w:val="auto"/>
          <w:sz w:val="24"/>
          <w:highlight w:val="none"/>
        </w:rPr>
        <w:t>传真：</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地址：</w:t>
      </w:r>
      <w:r>
        <w:rPr>
          <w:rFonts w:ascii="宋体" w:hAnsi="宋体"/>
          <w:bCs/>
          <w:color w:val="auto"/>
          <w:sz w:val="24"/>
          <w:highlight w:val="none"/>
        </w:rPr>
        <w:t xml:space="preserve">                              </w:t>
      </w:r>
      <w:r>
        <w:rPr>
          <w:rFonts w:hint="eastAsia" w:ascii="宋体" w:hAnsi="宋体"/>
          <w:bCs/>
          <w:color w:val="auto"/>
          <w:sz w:val="24"/>
          <w:highlight w:val="none"/>
        </w:rPr>
        <w:t>邮编：</w:t>
      </w:r>
      <w:r>
        <w:rPr>
          <w:rFonts w:ascii="宋体" w:hAnsi="宋体"/>
          <w:bCs/>
          <w:color w:val="auto"/>
          <w:sz w:val="24"/>
          <w:highlight w:val="none"/>
        </w:rPr>
        <w:t xml:space="preserve">                             </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开户名称：</w:t>
      </w:r>
    </w:p>
    <w:p>
      <w:pPr>
        <w:spacing w:line="400" w:lineRule="exact"/>
        <w:ind w:firstLine="480" w:firstLineChars="200"/>
        <w:rPr>
          <w:rFonts w:ascii="宋体"/>
          <w:bCs/>
          <w:color w:val="auto"/>
          <w:sz w:val="24"/>
          <w:highlight w:val="none"/>
        </w:rPr>
      </w:pPr>
      <w:r>
        <w:rPr>
          <w:rFonts w:hint="eastAsia" w:ascii="宋体" w:hAnsi="宋体"/>
          <w:bCs/>
          <w:color w:val="auto"/>
          <w:sz w:val="24"/>
          <w:highlight w:val="none"/>
        </w:rPr>
        <w:t>开户银行：</w:t>
      </w:r>
      <w:r>
        <w:rPr>
          <w:rFonts w:ascii="宋体" w:hAnsi="宋体"/>
          <w:bCs/>
          <w:color w:val="auto"/>
          <w:sz w:val="24"/>
          <w:highlight w:val="none"/>
        </w:rPr>
        <w:t xml:space="preserve">                   </w:t>
      </w:r>
    </w:p>
    <w:p>
      <w:pPr>
        <w:spacing w:line="400" w:lineRule="exact"/>
        <w:ind w:firstLine="480" w:firstLineChars="200"/>
        <w:rPr>
          <w:rFonts w:hint="eastAsia" w:ascii="黑体" w:eastAsia="黑体"/>
          <w:bCs/>
          <w:sz w:val="28"/>
          <w:szCs w:val="28"/>
        </w:rPr>
      </w:pPr>
      <w:r>
        <w:rPr>
          <w:rFonts w:hint="eastAsia" w:ascii="宋体" w:hAnsi="宋体"/>
          <w:bCs/>
          <w:color w:val="auto"/>
          <w:sz w:val="24"/>
          <w:highlight w:val="none"/>
        </w:rPr>
        <w:t>开户账号：</w:t>
      </w: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rPr>
          <w:rFonts w:hint="eastAsia"/>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rPr>
      </w:pPr>
    </w:p>
    <w:p>
      <w:pPr>
        <w:pStyle w:val="2"/>
        <w:numPr>
          <w:ilvl w:val="4"/>
          <w:numId w:val="0"/>
        </w:numPr>
        <w:ind w:leftChars="0"/>
        <w:rPr>
          <w:rFonts w:hint="eastAsia"/>
        </w:rPr>
      </w:pPr>
    </w:p>
    <w:p>
      <w:pPr>
        <w:pStyle w:val="2"/>
        <w:numPr>
          <w:numId w:val="0"/>
        </w:numPr>
        <w:ind w:leftChars="0"/>
        <w:rPr>
          <w:rFonts w:hint="eastAsia"/>
        </w:rPr>
      </w:pPr>
    </w:p>
    <w:p>
      <w:pPr>
        <w:numPr>
          <w:ilvl w:val="0"/>
          <w:numId w:val="0"/>
        </w:numPr>
        <w:outlineLvl w:val="0"/>
        <w:rPr>
          <w:rFonts w:hint="eastAsia" w:ascii="黑体" w:hAnsi="宋体" w:eastAsia="黑体"/>
          <w:bCs/>
          <w:sz w:val="24"/>
          <w:szCs w:val="24"/>
        </w:rPr>
      </w:pPr>
    </w:p>
    <w:p>
      <w:pPr>
        <w:numPr>
          <w:ilvl w:val="0"/>
          <w:numId w:val="0"/>
        </w:numPr>
        <w:outlineLvl w:val="0"/>
        <w:rPr>
          <w:rFonts w:hint="eastAsia" w:ascii="黑体" w:hAnsi="宋体" w:eastAsia="黑体"/>
          <w:bCs/>
          <w:sz w:val="24"/>
          <w:szCs w:val="24"/>
          <w:lang w:eastAsia="zh-CN"/>
        </w:rPr>
      </w:pPr>
    </w:p>
    <w:p>
      <w:pPr>
        <w:numPr>
          <w:ilvl w:val="0"/>
          <w:numId w:val="0"/>
        </w:numPr>
        <w:outlineLvl w:val="0"/>
        <w:rPr>
          <w:rFonts w:hint="eastAsia" w:ascii="黑体" w:hAnsi="宋体" w:eastAsia="黑体"/>
          <w:bCs/>
          <w:sz w:val="24"/>
          <w:szCs w:val="24"/>
        </w:rPr>
      </w:pPr>
      <w:r>
        <w:rPr>
          <w:rFonts w:hint="eastAsia" w:ascii="黑体" w:hAnsi="宋体" w:eastAsia="黑体"/>
          <w:bCs/>
          <w:sz w:val="24"/>
          <w:szCs w:val="24"/>
          <w:lang w:eastAsia="zh-CN"/>
        </w:rPr>
        <w:t>（</w:t>
      </w:r>
      <w:r>
        <w:rPr>
          <w:rFonts w:hint="eastAsia" w:ascii="黑体" w:hAnsi="宋体" w:eastAsia="黑体"/>
          <w:bCs/>
          <w:sz w:val="24"/>
          <w:szCs w:val="24"/>
          <w:lang w:val="en-US" w:eastAsia="zh-CN"/>
        </w:rPr>
        <w:t>二</w:t>
      </w:r>
      <w:r>
        <w:rPr>
          <w:rFonts w:hint="eastAsia" w:ascii="黑体" w:hAnsi="宋体" w:eastAsia="黑体"/>
          <w:bCs/>
          <w:sz w:val="24"/>
          <w:szCs w:val="24"/>
          <w:lang w:eastAsia="zh-CN"/>
        </w:rPr>
        <w:t>）</w:t>
      </w:r>
      <w:r>
        <w:rPr>
          <w:rFonts w:hint="eastAsia" w:ascii="黑体" w:hAnsi="宋体" w:eastAsia="黑体"/>
          <w:bCs/>
          <w:sz w:val="24"/>
          <w:szCs w:val="24"/>
        </w:rPr>
        <w:t>开标一览表（格式）</w:t>
      </w:r>
    </w:p>
    <w:p>
      <w:pPr>
        <w:numPr>
          <w:ilvl w:val="0"/>
          <w:numId w:val="0"/>
        </w:numPr>
        <w:jc w:val="center"/>
        <w:outlineLvl w:val="0"/>
        <w:rPr>
          <w:rFonts w:hint="eastAsia" w:ascii="黑体" w:eastAsia="黑体"/>
          <w:bCs/>
          <w:sz w:val="28"/>
          <w:szCs w:val="28"/>
        </w:rPr>
      </w:pPr>
    </w:p>
    <w:p>
      <w:pPr>
        <w:numPr>
          <w:ilvl w:val="0"/>
          <w:numId w:val="0"/>
        </w:numPr>
        <w:jc w:val="center"/>
        <w:outlineLvl w:val="0"/>
        <w:rPr>
          <w:rFonts w:ascii="黑体" w:eastAsia="黑体"/>
          <w:bCs/>
          <w:sz w:val="36"/>
          <w:szCs w:val="36"/>
        </w:rPr>
      </w:pPr>
      <w:r>
        <w:rPr>
          <w:rFonts w:hint="eastAsia" w:ascii="黑体" w:eastAsia="黑体"/>
          <w:bCs/>
          <w:sz w:val="36"/>
          <w:szCs w:val="36"/>
        </w:rPr>
        <w:t>开标一览表</w:t>
      </w:r>
    </w:p>
    <w:p>
      <w:pPr>
        <w:adjustRightInd w:val="0"/>
        <w:snapToGrid w:val="0"/>
        <w:spacing w:line="300" w:lineRule="auto"/>
        <w:rPr>
          <w:rFonts w:hint="eastAsia" w:ascii="宋体" w:hAnsi="宋体"/>
          <w:sz w:val="24"/>
        </w:rPr>
      </w:pPr>
    </w:p>
    <w:p>
      <w:pPr>
        <w:adjustRightInd w:val="0"/>
        <w:snapToGrid w:val="0"/>
        <w:spacing w:line="300" w:lineRule="auto"/>
        <w:rPr>
          <w:rFonts w:ascii="宋体" w:hAnsi="宋体"/>
        </w:rPr>
      </w:pPr>
      <w:r>
        <w:rPr>
          <w:rFonts w:hint="eastAsia" w:ascii="宋体" w:hAnsi="宋体"/>
          <w:sz w:val="24"/>
        </w:rPr>
        <w:t xml:space="preserve">投标供应商全称（加盖公章）：  </w:t>
      </w:r>
      <w:r>
        <w:rPr>
          <w:rFonts w:hint="eastAsia" w:ascii="宋体" w:hAnsi="宋体" w:cs="宋体"/>
          <w:sz w:val="24"/>
          <w:szCs w:val="28"/>
        </w:rPr>
        <w:t xml:space="preserve">                      </w:t>
      </w:r>
      <w:r>
        <w:rPr>
          <w:rFonts w:hint="eastAsia" w:ascii="宋体" w:hAnsi="宋体"/>
          <w:sz w:val="24"/>
          <w:lang w:eastAsia="zh-CN"/>
        </w:rPr>
        <w:t>采购</w:t>
      </w:r>
      <w:r>
        <w:rPr>
          <w:rFonts w:hint="eastAsia" w:ascii="宋体" w:hAnsi="宋体"/>
          <w:sz w:val="24"/>
        </w:rPr>
        <w:t>编号：</w:t>
      </w:r>
      <w:r>
        <w:rPr>
          <w:rFonts w:hint="eastAsia" w:ascii="宋体" w:hAnsi="宋体"/>
        </w:rPr>
        <w:t xml:space="preserve"> </w:t>
      </w:r>
    </w:p>
    <w:tbl>
      <w:tblPr>
        <w:tblStyle w:val="15"/>
        <w:tblW w:w="89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6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2338" w:type="dxa"/>
            <w:noWrap w:val="0"/>
            <w:vAlign w:val="center"/>
          </w:tcPr>
          <w:p>
            <w:pPr>
              <w:jc w:val="center"/>
              <w:rPr>
                <w:rFonts w:hint="eastAsia" w:ascii="宋体" w:hAnsi="宋体" w:eastAsia="宋体" w:cs="宋体"/>
                <w:kern w:val="2"/>
                <w:sz w:val="24"/>
                <w:szCs w:val="24"/>
              </w:rPr>
            </w:pPr>
          </w:p>
          <w:p>
            <w:pPr>
              <w:widowControl/>
              <w:jc w:val="center"/>
              <w:rPr>
                <w:rFonts w:hint="eastAsia" w:ascii="宋体" w:hAnsi="宋体" w:cs="宋体"/>
                <w:color w:val="000000"/>
                <w:sz w:val="24"/>
              </w:rPr>
            </w:pPr>
            <w:r>
              <w:rPr>
                <w:rFonts w:hint="eastAsia" w:ascii="宋体" w:hAnsi="宋体" w:cs="宋体"/>
                <w:color w:val="000000"/>
                <w:sz w:val="24"/>
              </w:rPr>
              <w:t>项目总报价</w:t>
            </w:r>
          </w:p>
          <w:p>
            <w:pPr>
              <w:pStyle w:val="7"/>
              <w:snapToGrid w:val="0"/>
              <w:spacing w:line="300" w:lineRule="auto"/>
              <w:jc w:val="center"/>
              <w:rPr>
                <w:rFonts w:hint="eastAsia" w:ascii="宋体" w:hAnsi="宋体" w:eastAsia="宋体" w:cs="宋体"/>
                <w:kern w:val="2"/>
                <w:sz w:val="24"/>
                <w:szCs w:val="24"/>
              </w:rPr>
            </w:pPr>
            <w:r>
              <w:rPr>
                <w:rFonts w:hint="eastAsia" w:ascii="宋体" w:hAnsi="宋体" w:eastAsia="宋体" w:cs="宋体"/>
                <w:color w:val="000000"/>
                <w:kern w:val="2"/>
                <w:sz w:val="24"/>
                <w:szCs w:val="24"/>
                <w:lang w:val="en-US" w:eastAsia="zh-CN" w:bidi="ar-SA"/>
              </w:rPr>
              <w:t>（人民币）</w:t>
            </w:r>
          </w:p>
        </w:tc>
        <w:tc>
          <w:tcPr>
            <w:tcW w:w="6613" w:type="dxa"/>
            <w:noWrap w:val="0"/>
            <w:vAlign w:val="center"/>
          </w:tcPr>
          <w:p>
            <w:pPr>
              <w:pStyle w:val="7"/>
              <w:snapToGrid w:val="0"/>
              <w:spacing w:line="300" w:lineRule="auto"/>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大写：</w:t>
            </w:r>
          </w:p>
          <w:p>
            <w:pPr>
              <w:pStyle w:val="7"/>
              <w:snapToGrid w:val="0"/>
              <w:spacing w:line="300" w:lineRule="auto"/>
              <w:jc w:val="both"/>
              <w:rPr>
                <w:rFonts w:ascii="宋体" w:hAnsi="宋体" w:eastAsia="宋体" w:cs="宋体"/>
                <w:kern w:val="2"/>
                <w:sz w:val="24"/>
                <w:szCs w:val="24"/>
              </w:rPr>
            </w:pPr>
            <w:r>
              <w:rPr>
                <w:rFonts w:hint="eastAsia" w:ascii="宋体" w:hAnsi="宋体" w:eastAsia="宋体" w:cs="宋体"/>
                <w:color w:val="000000"/>
                <w:kern w:val="2"/>
                <w:sz w:val="24"/>
                <w:szCs w:val="24"/>
                <w:lang w:val="en-US" w:eastAsia="zh-CN" w:bidi="ar-SA"/>
              </w:rPr>
              <w:t xml:space="preserve">小写： </w:t>
            </w:r>
            <w:r>
              <w:rPr>
                <w:rFonts w:hint="eastAsia" w:ascii="宋体" w:hAnsi="宋体" w:eastAsia="宋体" w:cs="宋体"/>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noWrap w:val="0"/>
            <w:vAlign w:val="center"/>
          </w:tcPr>
          <w:p>
            <w:pPr>
              <w:adjustRightInd w:val="0"/>
              <w:snapToGrid w:val="0"/>
              <w:spacing w:line="300" w:lineRule="auto"/>
              <w:jc w:val="center"/>
              <w:rPr>
                <w:rFonts w:hint="eastAsia" w:ascii="宋体" w:hAnsi="宋体" w:cs="宋体"/>
                <w:sz w:val="24"/>
              </w:rPr>
            </w:pPr>
            <w:r>
              <w:rPr>
                <w:rFonts w:hint="eastAsia" w:ascii="宋体" w:hAnsi="宋体" w:cs="宋体"/>
                <w:sz w:val="24"/>
              </w:rPr>
              <w:t>服务期限</w:t>
            </w:r>
          </w:p>
        </w:tc>
        <w:tc>
          <w:tcPr>
            <w:tcW w:w="6613" w:type="dxa"/>
            <w:noWrap w:val="0"/>
            <w:vAlign w:val="center"/>
          </w:tcPr>
          <w:p>
            <w:pPr>
              <w:adjustRightInd w:val="0"/>
              <w:snapToGrid w:val="0"/>
              <w:spacing w:line="300" w:lineRule="auto"/>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noWrap w:val="0"/>
            <w:vAlign w:val="center"/>
          </w:tcPr>
          <w:p>
            <w:pPr>
              <w:adjustRightInd w:val="0"/>
              <w:snapToGrid w:val="0"/>
              <w:spacing w:line="300" w:lineRule="auto"/>
              <w:jc w:val="center"/>
              <w:rPr>
                <w:rFonts w:hint="eastAsia" w:ascii="宋体" w:hAnsi="宋体" w:cs="宋体"/>
                <w:sz w:val="24"/>
              </w:rPr>
            </w:pPr>
            <w:r>
              <w:rPr>
                <w:rFonts w:hint="eastAsia" w:ascii="宋体" w:hAnsi="宋体" w:cs="宋体"/>
                <w:sz w:val="24"/>
              </w:rPr>
              <w:t>服务质量</w:t>
            </w:r>
          </w:p>
        </w:tc>
        <w:tc>
          <w:tcPr>
            <w:tcW w:w="6613" w:type="dxa"/>
            <w:noWrap w:val="0"/>
            <w:vAlign w:val="center"/>
          </w:tcPr>
          <w:p>
            <w:pPr>
              <w:adjustRightInd w:val="0"/>
              <w:snapToGrid w:val="0"/>
              <w:spacing w:line="300" w:lineRule="auto"/>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noWrap w:val="0"/>
            <w:vAlign w:val="center"/>
          </w:tcPr>
          <w:p>
            <w:pPr>
              <w:adjustRightInd w:val="0"/>
              <w:snapToGrid w:val="0"/>
              <w:spacing w:line="300" w:lineRule="auto"/>
              <w:jc w:val="center"/>
              <w:rPr>
                <w:rFonts w:hint="eastAsia" w:ascii="宋体" w:hAnsi="宋体" w:cs="宋体"/>
                <w:sz w:val="24"/>
              </w:rPr>
            </w:pPr>
            <w:r>
              <w:rPr>
                <w:rFonts w:hint="eastAsia" w:ascii="宋体" w:hAnsi="宋体" w:cs="宋体"/>
                <w:sz w:val="24"/>
              </w:rPr>
              <w:t>项目负责人</w:t>
            </w:r>
          </w:p>
        </w:tc>
        <w:tc>
          <w:tcPr>
            <w:tcW w:w="6613" w:type="dxa"/>
            <w:noWrap w:val="0"/>
            <w:vAlign w:val="center"/>
          </w:tcPr>
          <w:p>
            <w:pPr>
              <w:adjustRightInd w:val="0"/>
              <w:snapToGrid w:val="0"/>
              <w:spacing w:line="300" w:lineRule="auto"/>
              <w:rPr>
                <w:rFonts w:ascii="宋体" w:hAnsi="宋体" w:cs="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1" w:hRule="atLeast"/>
        </w:trPr>
        <w:tc>
          <w:tcPr>
            <w:tcW w:w="2338" w:type="dxa"/>
            <w:noWrap w:val="0"/>
            <w:vAlign w:val="center"/>
          </w:tcPr>
          <w:p>
            <w:pPr>
              <w:adjustRightInd w:val="0"/>
              <w:snapToGrid w:val="0"/>
              <w:spacing w:line="300" w:lineRule="auto"/>
              <w:jc w:val="center"/>
              <w:rPr>
                <w:rFonts w:ascii="宋体" w:hAnsi="宋体" w:cs="宋体"/>
                <w:sz w:val="24"/>
                <w:szCs w:val="28"/>
              </w:rPr>
            </w:pPr>
            <w:r>
              <w:rPr>
                <w:rFonts w:hint="eastAsia" w:ascii="宋体" w:hAnsi="宋体" w:cs="宋体"/>
                <w:sz w:val="24"/>
                <w:szCs w:val="28"/>
              </w:rPr>
              <w:t>投标文件</w:t>
            </w:r>
          </w:p>
          <w:p>
            <w:pPr>
              <w:adjustRightInd w:val="0"/>
              <w:snapToGrid w:val="0"/>
              <w:spacing w:line="300" w:lineRule="auto"/>
              <w:jc w:val="center"/>
              <w:rPr>
                <w:rFonts w:ascii="宋体" w:hAnsi="宋体" w:cs="宋体"/>
                <w:sz w:val="24"/>
                <w:szCs w:val="28"/>
              </w:rPr>
            </w:pPr>
            <w:r>
              <w:rPr>
                <w:rFonts w:hint="eastAsia" w:ascii="宋体" w:hAnsi="宋体" w:cs="宋体"/>
                <w:sz w:val="24"/>
                <w:szCs w:val="28"/>
              </w:rPr>
              <w:t>份数</w:t>
            </w:r>
          </w:p>
        </w:tc>
        <w:tc>
          <w:tcPr>
            <w:tcW w:w="6613" w:type="dxa"/>
            <w:noWrap w:val="0"/>
            <w:vAlign w:val="center"/>
          </w:tcPr>
          <w:p>
            <w:pPr>
              <w:widowControl/>
              <w:topLinePunct/>
              <w:spacing w:line="360" w:lineRule="auto"/>
              <w:rPr>
                <w:rFonts w:hint="eastAsia" w:ascii="宋体" w:hAnsi="宋体"/>
                <w:sz w:val="24"/>
              </w:rPr>
            </w:pPr>
            <w:r>
              <w:rPr>
                <w:rFonts w:hint="eastAsia" w:ascii="宋体" w:hAnsi="宋体"/>
                <w:sz w:val="24"/>
              </w:rPr>
              <w:t>投标文件正本份数：1份；副本份数：4份。</w:t>
            </w:r>
          </w:p>
          <w:p>
            <w:pPr>
              <w:adjustRightInd w:val="0"/>
              <w:snapToGrid w:val="0"/>
              <w:spacing w:line="300" w:lineRule="auto"/>
              <w:rPr>
                <w:rFonts w:ascii="宋体" w:hAnsi="宋体" w:cs="宋体"/>
                <w:sz w:val="24"/>
                <w:szCs w:val="28"/>
              </w:rPr>
            </w:pPr>
            <w:r>
              <w:rPr>
                <w:rFonts w:hint="eastAsia" w:ascii="宋体" w:hAnsi="宋体"/>
                <w:sz w:val="24"/>
              </w:rPr>
              <w:t>投标文件电子光盘一张。</w:t>
            </w:r>
          </w:p>
        </w:tc>
      </w:tr>
    </w:tbl>
    <w:p>
      <w:pPr>
        <w:adjustRightInd w:val="0"/>
        <w:snapToGrid w:val="0"/>
        <w:spacing w:line="300" w:lineRule="auto"/>
        <w:rPr>
          <w:rFonts w:ascii="宋体" w:hAnsi="宋体" w:cs="宋体"/>
          <w:sz w:val="24"/>
          <w:szCs w:val="28"/>
        </w:rPr>
      </w:pPr>
    </w:p>
    <w:p>
      <w:pPr>
        <w:overflowPunct w:val="0"/>
        <w:rPr>
          <w:rFonts w:ascii="宋体" w:hAnsi="宋体"/>
          <w:sz w:val="24"/>
        </w:rPr>
      </w:pPr>
      <w:r>
        <w:rPr>
          <w:rFonts w:hint="eastAsia" w:ascii="宋体" w:hAnsi="宋体"/>
          <w:sz w:val="24"/>
        </w:rPr>
        <w:t>法定代表人或授权代表签字：                        日期：   年   月   日</w:t>
      </w:r>
    </w:p>
    <w:p>
      <w:pPr>
        <w:overflowPunct w:val="0"/>
        <w:rPr>
          <w:rFonts w:ascii="宋体" w:hAnsi="宋体"/>
          <w:sz w:val="24"/>
        </w:rPr>
      </w:pPr>
      <w:r>
        <w:rPr>
          <w:rFonts w:hint="eastAsia" w:ascii="宋体" w:hAnsi="宋体"/>
          <w:sz w:val="24"/>
        </w:rPr>
        <w:t>填写说明：</w:t>
      </w:r>
    </w:p>
    <w:p>
      <w:pPr>
        <w:spacing w:line="500" w:lineRule="exact"/>
        <w:ind w:firstLine="482" w:firstLineChars="200"/>
        <w:rPr>
          <w:rFonts w:ascii="宋体" w:hAnsi="宋体"/>
          <w:b/>
          <w:sz w:val="24"/>
        </w:rPr>
      </w:pPr>
      <w:r>
        <w:rPr>
          <w:rFonts w:hint="eastAsia" w:ascii="宋体" w:hAnsi="宋体"/>
          <w:b/>
          <w:sz w:val="24"/>
        </w:rPr>
        <w:t>1、开标一览表中的内容应与响应函内容一致，否则评标时一律按开标一览表中内容为准，开标一览表中必须盖章或签字。</w:t>
      </w:r>
    </w:p>
    <w:p>
      <w:pPr>
        <w:spacing w:line="400" w:lineRule="exact"/>
        <w:jc w:val="center"/>
        <w:rPr>
          <w:rFonts w:ascii="黑体" w:hAnsi="宋体" w:eastAsia="黑体"/>
          <w:bCs/>
          <w:sz w:val="24"/>
        </w:rPr>
      </w:pPr>
    </w:p>
    <w:p>
      <w:pPr>
        <w:spacing w:line="400" w:lineRule="exact"/>
        <w:jc w:val="center"/>
        <w:rPr>
          <w:rFonts w:ascii="黑体" w:hAnsi="宋体" w:eastAsia="黑体"/>
          <w:bCs/>
          <w:sz w:val="24"/>
        </w:rPr>
      </w:pPr>
    </w:p>
    <w:p>
      <w:pPr>
        <w:spacing w:line="400" w:lineRule="exact"/>
        <w:jc w:val="center"/>
        <w:rPr>
          <w:rFonts w:ascii="黑体" w:hAnsi="宋体" w:eastAsia="黑体"/>
          <w:bCs/>
          <w:sz w:val="24"/>
        </w:rPr>
      </w:pPr>
    </w:p>
    <w:p>
      <w:pPr>
        <w:spacing w:line="400" w:lineRule="exact"/>
        <w:jc w:val="center"/>
        <w:rPr>
          <w:rFonts w:ascii="黑体" w:hAnsi="宋体" w:eastAsia="黑体"/>
          <w:bCs/>
          <w:sz w:val="24"/>
        </w:rPr>
      </w:pPr>
    </w:p>
    <w:p>
      <w:pPr>
        <w:spacing w:line="400" w:lineRule="exact"/>
        <w:jc w:val="center"/>
        <w:rPr>
          <w:rFonts w:ascii="黑体" w:hAnsi="宋体" w:eastAsia="黑体"/>
          <w:bCs/>
          <w:sz w:val="24"/>
        </w:rPr>
      </w:pPr>
    </w:p>
    <w:p>
      <w:pPr>
        <w:pStyle w:val="2"/>
        <w:numPr>
          <w:numId w:val="0"/>
        </w:numPr>
        <w:ind w:leftChars="0"/>
      </w:pPr>
    </w:p>
    <w:p>
      <w:pPr>
        <w:numPr>
          <w:ilvl w:val="0"/>
          <w:numId w:val="0"/>
        </w:numPr>
        <w:spacing w:line="360" w:lineRule="auto"/>
        <w:ind w:leftChars="0"/>
        <w:jc w:val="both"/>
        <w:rPr>
          <w:rFonts w:hint="eastAsia" w:ascii="黑体" w:eastAsia="黑体" w:cs="Times New Roman"/>
          <w:bCs/>
          <w:sz w:val="24"/>
          <w:szCs w:val="24"/>
          <w:lang w:eastAsia="zh-CN"/>
        </w:rPr>
      </w:pPr>
    </w:p>
    <w:p>
      <w:pPr>
        <w:numPr>
          <w:ilvl w:val="0"/>
          <w:numId w:val="0"/>
        </w:numPr>
        <w:spacing w:line="360" w:lineRule="auto"/>
        <w:ind w:leftChars="0"/>
        <w:jc w:val="both"/>
        <w:rPr>
          <w:rFonts w:hint="eastAsia" w:ascii="黑体" w:eastAsia="黑体" w:cs="Times New Roman"/>
          <w:bCs/>
          <w:sz w:val="24"/>
          <w:szCs w:val="24"/>
          <w:lang w:eastAsia="zh-CN"/>
        </w:rPr>
      </w:pPr>
    </w:p>
    <w:p>
      <w:pPr>
        <w:numPr>
          <w:ilvl w:val="0"/>
          <w:numId w:val="0"/>
        </w:numPr>
        <w:spacing w:line="360" w:lineRule="auto"/>
        <w:ind w:leftChars="0"/>
        <w:jc w:val="both"/>
        <w:rPr>
          <w:rFonts w:hint="eastAsia" w:ascii="黑体" w:eastAsia="黑体" w:cs="Times New Roman"/>
          <w:bCs/>
          <w:sz w:val="24"/>
          <w:szCs w:val="24"/>
          <w:lang w:eastAsia="zh-CN"/>
        </w:rPr>
      </w:pPr>
    </w:p>
    <w:p>
      <w:pPr>
        <w:numPr>
          <w:ilvl w:val="0"/>
          <w:numId w:val="0"/>
        </w:numPr>
        <w:spacing w:line="360" w:lineRule="auto"/>
        <w:ind w:leftChars="0"/>
        <w:jc w:val="both"/>
        <w:rPr>
          <w:rFonts w:hint="eastAsia" w:ascii="黑体" w:hAnsi="Times New Roman" w:eastAsia="黑体" w:cs="Times New Roman"/>
          <w:bCs/>
          <w:sz w:val="24"/>
          <w:szCs w:val="24"/>
        </w:rPr>
      </w:pPr>
      <w:r>
        <w:rPr>
          <w:rFonts w:hint="eastAsia" w:ascii="黑体" w:eastAsia="黑体" w:cs="Times New Roman"/>
          <w:bCs/>
          <w:sz w:val="24"/>
          <w:szCs w:val="24"/>
          <w:lang w:eastAsia="zh-CN"/>
        </w:rPr>
        <w:t>（</w:t>
      </w:r>
      <w:r>
        <w:rPr>
          <w:rFonts w:hint="eastAsia" w:ascii="黑体" w:eastAsia="黑体" w:cs="Times New Roman"/>
          <w:bCs/>
          <w:sz w:val="24"/>
          <w:szCs w:val="24"/>
          <w:lang w:val="en-US" w:eastAsia="zh-CN"/>
        </w:rPr>
        <w:t>三</w:t>
      </w:r>
      <w:r>
        <w:rPr>
          <w:rFonts w:hint="eastAsia" w:ascii="黑体" w:eastAsia="黑体" w:cs="Times New Roman"/>
          <w:bCs/>
          <w:sz w:val="24"/>
          <w:szCs w:val="24"/>
          <w:lang w:eastAsia="zh-CN"/>
        </w:rPr>
        <w:t>）投标报价明细</w:t>
      </w:r>
      <w:r>
        <w:rPr>
          <w:rFonts w:hint="eastAsia" w:ascii="黑体" w:hAnsi="Times New Roman" w:eastAsia="黑体" w:cs="Times New Roman"/>
          <w:bCs/>
          <w:sz w:val="24"/>
          <w:szCs w:val="24"/>
        </w:rPr>
        <w:t>表（格式）</w:t>
      </w:r>
    </w:p>
    <w:p>
      <w:pPr>
        <w:numPr>
          <w:ilvl w:val="0"/>
          <w:numId w:val="0"/>
        </w:numPr>
        <w:spacing w:line="360" w:lineRule="auto"/>
        <w:ind w:leftChars="0"/>
        <w:jc w:val="both"/>
        <w:rPr>
          <w:rFonts w:hint="eastAsia" w:ascii="黑体" w:hAnsi="Times New Roman" w:eastAsia="黑体" w:cs="Times New Roman"/>
          <w:bCs/>
          <w:sz w:val="24"/>
          <w:szCs w:val="24"/>
        </w:rPr>
      </w:pPr>
    </w:p>
    <w:p>
      <w:pPr>
        <w:jc w:val="center"/>
        <w:outlineLvl w:val="0"/>
        <w:rPr>
          <w:rFonts w:hint="eastAsia" w:ascii="黑体" w:hAnsi="宋体" w:eastAsia="黑体"/>
          <w:bCs/>
          <w:sz w:val="36"/>
          <w:szCs w:val="36"/>
        </w:rPr>
      </w:pPr>
      <w:r>
        <w:rPr>
          <w:rFonts w:hint="eastAsia" w:ascii="黑体" w:hAnsi="宋体" w:eastAsia="黑体"/>
          <w:bCs/>
          <w:sz w:val="36"/>
          <w:szCs w:val="36"/>
          <w:lang w:eastAsia="zh-CN"/>
        </w:rPr>
        <w:t>投标报价明细</w:t>
      </w:r>
      <w:r>
        <w:rPr>
          <w:rFonts w:hint="eastAsia" w:ascii="黑体" w:hAnsi="宋体" w:eastAsia="黑体"/>
          <w:bCs/>
          <w:sz w:val="36"/>
          <w:szCs w:val="36"/>
        </w:rPr>
        <w:t>表</w:t>
      </w:r>
    </w:p>
    <w:p>
      <w:pPr>
        <w:spacing w:line="400" w:lineRule="exact"/>
        <w:ind w:firstLine="2640" w:firstLineChars="1100"/>
        <w:jc w:val="both"/>
        <w:rPr>
          <w:rFonts w:hint="eastAsia" w:ascii="宋体" w:hAnsi="宋体"/>
          <w:sz w:val="24"/>
        </w:rPr>
      </w:pPr>
      <w:r>
        <w:rPr>
          <w:rFonts w:hint="eastAsia" w:ascii="黑体" w:hAnsi="宋体" w:eastAsia="黑体"/>
          <w:bCs/>
          <w:sz w:val="24"/>
          <w:lang w:val="en-US" w:eastAsia="zh-CN"/>
        </w:rPr>
        <w:t xml:space="preserve">                                               </w:t>
      </w:r>
      <w:r>
        <w:rPr>
          <w:rFonts w:hint="eastAsia" w:ascii="黑体" w:hAnsi="宋体" w:eastAsia="黑体"/>
          <w:bCs/>
          <w:sz w:val="24"/>
        </w:rPr>
        <w:t>单位：元</w:t>
      </w: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761"/>
        <w:gridCol w:w="2601"/>
        <w:gridCol w:w="875"/>
        <w:gridCol w:w="961"/>
        <w:gridCol w:w="490"/>
        <w:gridCol w:w="918"/>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tcPr>
          <w:p>
            <w:pPr>
              <w:widowControl/>
              <w:spacing w:line="60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序号</w:t>
            </w:r>
          </w:p>
        </w:tc>
        <w:tc>
          <w:tcPr>
            <w:tcW w:w="4362" w:type="dxa"/>
            <w:gridSpan w:val="2"/>
          </w:tcPr>
          <w:p>
            <w:pPr>
              <w:widowControl/>
              <w:spacing w:line="600" w:lineRule="exact"/>
              <w:jc w:val="center"/>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相关描述</w:t>
            </w:r>
          </w:p>
        </w:tc>
        <w:tc>
          <w:tcPr>
            <w:tcW w:w="875" w:type="dxa"/>
            <w:vAlign w:val="center"/>
          </w:tcPr>
          <w:p>
            <w:pPr>
              <w:widowControl/>
              <w:spacing w:line="600" w:lineRule="exact"/>
              <w:jc w:val="center"/>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数量</w:t>
            </w:r>
          </w:p>
        </w:tc>
        <w:tc>
          <w:tcPr>
            <w:tcW w:w="961" w:type="dxa"/>
            <w:vAlign w:val="center"/>
          </w:tcPr>
          <w:p>
            <w:pPr>
              <w:widowControl/>
              <w:spacing w:line="600" w:lineRule="exact"/>
              <w:jc w:val="center"/>
              <w:rPr>
                <w:rFonts w:hint="default" w:ascii="宋体" w:hAnsi="宋体" w:cs="宋体"/>
                <w:b/>
                <w:bCs/>
                <w:kern w:val="0"/>
                <w:sz w:val="20"/>
                <w:szCs w:val="20"/>
                <w:lang w:val="en-US" w:eastAsia="zh-CN"/>
              </w:rPr>
            </w:pPr>
            <w:r>
              <w:rPr>
                <w:rFonts w:hint="eastAsia" w:ascii="宋体" w:hAnsi="宋体" w:cs="宋体"/>
                <w:b/>
                <w:bCs/>
                <w:kern w:val="0"/>
                <w:sz w:val="20"/>
                <w:szCs w:val="20"/>
                <w:lang w:val="en-US" w:eastAsia="zh-CN"/>
              </w:rPr>
              <w:t>单报价</w:t>
            </w:r>
          </w:p>
        </w:tc>
        <w:tc>
          <w:tcPr>
            <w:tcW w:w="1408" w:type="dxa"/>
            <w:gridSpan w:val="2"/>
            <w:vAlign w:val="center"/>
          </w:tcPr>
          <w:p>
            <w:pPr>
              <w:widowControl/>
              <w:spacing w:line="600" w:lineRule="exact"/>
              <w:jc w:val="center"/>
              <w:rPr>
                <w:rFonts w:hint="eastAsia" w:ascii="宋体" w:hAnsi="宋体" w:cs="宋体"/>
                <w:b/>
                <w:bCs/>
                <w:kern w:val="0"/>
                <w:sz w:val="20"/>
                <w:szCs w:val="20"/>
                <w:lang w:val="en-US" w:eastAsia="zh-CN"/>
              </w:rPr>
            </w:pPr>
            <w:r>
              <w:rPr>
                <w:rFonts w:hint="eastAsia" w:ascii="宋体" w:hAnsi="宋体" w:cs="宋体"/>
                <w:b/>
                <w:bCs/>
                <w:kern w:val="0"/>
                <w:sz w:val="20"/>
                <w:szCs w:val="20"/>
                <w:lang w:val="en-US" w:eastAsia="zh-CN"/>
              </w:rPr>
              <w:t>分项总报价</w:t>
            </w:r>
          </w:p>
        </w:tc>
        <w:tc>
          <w:tcPr>
            <w:tcW w:w="1408" w:type="dxa"/>
            <w:vAlign w:val="top"/>
          </w:tcPr>
          <w:p>
            <w:pPr>
              <w:widowControl/>
              <w:spacing w:line="600" w:lineRule="exact"/>
              <w:jc w:val="center"/>
              <w:rPr>
                <w:rFonts w:hint="eastAsia" w:ascii="宋体" w:hAnsi="宋体" w:eastAsia="宋体"/>
                <w:sz w:val="24"/>
                <w:vertAlign w:val="baseline"/>
                <w:lang w:eastAsia="zh-CN"/>
              </w:rPr>
            </w:pPr>
            <w:r>
              <w:rPr>
                <w:rFonts w:hint="eastAsia" w:ascii="宋体" w:hAnsi="宋体" w:cs="宋体"/>
                <w:b/>
                <w:bCs/>
                <w:kern w:val="0"/>
                <w:sz w:val="20"/>
                <w:szCs w:val="2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0" w:type="dxa"/>
          </w:tcPr>
          <w:p>
            <w:pPr>
              <w:pStyle w:val="5"/>
              <w:overflowPunct w:val="0"/>
              <w:rPr>
                <w:rFonts w:hint="eastAsia" w:ascii="宋体" w:hAnsi="宋体"/>
                <w:sz w:val="24"/>
                <w:vertAlign w:val="baseline"/>
              </w:rPr>
            </w:pPr>
          </w:p>
        </w:tc>
        <w:tc>
          <w:tcPr>
            <w:tcW w:w="4362" w:type="dxa"/>
            <w:gridSpan w:val="2"/>
          </w:tcPr>
          <w:p>
            <w:pPr>
              <w:pStyle w:val="5"/>
              <w:overflowPunct w:val="0"/>
              <w:rPr>
                <w:rFonts w:hint="eastAsia" w:ascii="宋体" w:hAnsi="宋体"/>
                <w:sz w:val="24"/>
                <w:vertAlign w:val="baseline"/>
              </w:rPr>
            </w:pPr>
          </w:p>
        </w:tc>
        <w:tc>
          <w:tcPr>
            <w:tcW w:w="875" w:type="dxa"/>
          </w:tcPr>
          <w:p>
            <w:pPr>
              <w:pStyle w:val="5"/>
              <w:overflowPunct w:val="0"/>
              <w:rPr>
                <w:rFonts w:hint="eastAsia" w:ascii="宋体" w:hAnsi="宋体"/>
                <w:sz w:val="24"/>
                <w:vertAlign w:val="baseline"/>
              </w:rPr>
            </w:pPr>
          </w:p>
        </w:tc>
        <w:tc>
          <w:tcPr>
            <w:tcW w:w="961" w:type="dxa"/>
          </w:tcPr>
          <w:p>
            <w:pPr>
              <w:pStyle w:val="5"/>
              <w:overflowPunct w:val="0"/>
              <w:rPr>
                <w:rFonts w:hint="eastAsia" w:ascii="宋体" w:hAnsi="宋体"/>
                <w:sz w:val="24"/>
                <w:vertAlign w:val="baseline"/>
              </w:rPr>
            </w:pPr>
          </w:p>
        </w:tc>
        <w:tc>
          <w:tcPr>
            <w:tcW w:w="1408" w:type="dxa"/>
            <w:gridSpan w:val="2"/>
          </w:tcPr>
          <w:p>
            <w:pPr>
              <w:pStyle w:val="5"/>
              <w:overflowPunct w:val="0"/>
              <w:rPr>
                <w:rFonts w:hint="eastAsia" w:ascii="宋体" w:hAnsi="宋体"/>
                <w:sz w:val="24"/>
                <w:vertAlign w:val="baseline"/>
              </w:rPr>
            </w:pPr>
          </w:p>
        </w:tc>
        <w:tc>
          <w:tcPr>
            <w:tcW w:w="1408" w:type="dxa"/>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40" w:type="dxa"/>
          </w:tcPr>
          <w:p>
            <w:pPr>
              <w:pStyle w:val="5"/>
              <w:overflowPunct w:val="0"/>
              <w:rPr>
                <w:rFonts w:hint="eastAsia" w:ascii="宋体" w:hAnsi="宋体"/>
                <w:sz w:val="24"/>
                <w:vertAlign w:val="baseline"/>
              </w:rPr>
            </w:pPr>
          </w:p>
        </w:tc>
        <w:tc>
          <w:tcPr>
            <w:tcW w:w="4362" w:type="dxa"/>
            <w:gridSpan w:val="2"/>
          </w:tcPr>
          <w:p>
            <w:pPr>
              <w:pStyle w:val="5"/>
              <w:overflowPunct w:val="0"/>
              <w:rPr>
                <w:rFonts w:hint="eastAsia" w:ascii="宋体" w:hAnsi="宋体"/>
                <w:sz w:val="24"/>
                <w:vertAlign w:val="baseline"/>
              </w:rPr>
            </w:pPr>
          </w:p>
        </w:tc>
        <w:tc>
          <w:tcPr>
            <w:tcW w:w="875" w:type="dxa"/>
          </w:tcPr>
          <w:p>
            <w:pPr>
              <w:pStyle w:val="5"/>
              <w:overflowPunct w:val="0"/>
              <w:rPr>
                <w:rFonts w:hint="eastAsia" w:ascii="宋体" w:hAnsi="宋体"/>
                <w:sz w:val="24"/>
                <w:vertAlign w:val="baseline"/>
              </w:rPr>
            </w:pPr>
          </w:p>
        </w:tc>
        <w:tc>
          <w:tcPr>
            <w:tcW w:w="961" w:type="dxa"/>
          </w:tcPr>
          <w:p>
            <w:pPr>
              <w:pStyle w:val="5"/>
              <w:overflowPunct w:val="0"/>
              <w:rPr>
                <w:rFonts w:hint="eastAsia" w:ascii="宋体" w:hAnsi="宋体"/>
                <w:sz w:val="24"/>
                <w:vertAlign w:val="baseline"/>
              </w:rPr>
            </w:pPr>
          </w:p>
        </w:tc>
        <w:tc>
          <w:tcPr>
            <w:tcW w:w="1408" w:type="dxa"/>
            <w:gridSpan w:val="2"/>
          </w:tcPr>
          <w:p>
            <w:pPr>
              <w:pStyle w:val="5"/>
              <w:overflowPunct w:val="0"/>
              <w:rPr>
                <w:rFonts w:hint="eastAsia" w:ascii="宋体" w:hAnsi="宋体"/>
                <w:sz w:val="24"/>
                <w:vertAlign w:val="baseline"/>
              </w:rPr>
            </w:pPr>
          </w:p>
        </w:tc>
        <w:tc>
          <w:tcPr>
            <w:tcW w:w="1408" w:type="dxa"/>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40" w:type="dxa"/>
          </w:tcPr>
          <w:p>
            <w:pPr>
              <w:pStyle w:val="5"/>
              <w:overflowPunct w:val="0"/>
              <w:rPr>
                <w:rFonts w:hint="eastAsia" w:ascii="宋体" w:hAnsi="宋体"/>
                <w:sz w:val="24"/>
                <w:vertAlign w:val="baseline"/>
              </w:rPr>
            </w:pPr>
          </w:p>
        </w:tc>
        <w:tc>
          <w:tcPr>
            <w:tcW w:w="4362" w:type="dxa"/>
            <w:gridSpan w:val="2"/>
          </w:tcPr>
          <w:p>
            <w:pPr>
              <w:pStyle w:val="5"/>
              <w:overflowPunct w:val="0"/>
              <w:rPr>
                <w:rFonts w:hint="eastAsia" w:ascii="宋体" w:hAnsi="宋体"/>
                <w:sz w:val="24"/>
                <w:vertAlign w:val="baseline"/>
              </w:rPr>
            </w:pPr>
          </w:p>
        </w:tc>
        <w:tc>
          <w:tcPr>
            <w:tcW w:w="875" w:type="dxa"/>
          </w:tcPr>
          <w:p>
            <w:pPr>
              <w:pStyle w:val="5"/>
              <w:overflowPunct w:val="0"/>
              <w:rPr>
                <w:rFonts w:hint="eastAsia" w:ascii="宋体" w:hAnsi="宋体"/>
                <w:sz w:val="24"/>
                <w:vertAlign w:val="baseline"/>
              </w:rPr>
            </w:pPr>
          </w:p>
        </w:tc>
        <w:tc>
          <w:tcPr>
            <w:tcW w:w="961" w:type="dxa"/>
          </w:tcPr>
          <w:p>
            <w:pPr>
              <w:pStyle w:val="5"/>
              <w:overflowPunct w:val="0"/>
              <w:rPr>
                <w:rFonts w:hint="eastAsia" w:ascii="宋体" w:hAnsi="宋体"/>
                <w:sz w:val="24"/>
                <w:vertAlign w:val="baseline"/>
              </w:rPr>
            </w:pPr>
          </w:p>
        </w:tc>
        <w:tc>
          <w:tcPr>
            <w:tcW w:w="1408" w:type="dxa"/>
            <w:gridSpan w:val="2"/>
          </w:tcPr>
          <w:p>
            <w:pPr>
              <w:pStyle w:val="5"/>
              <w:overflowPunct w:val="0"/>
              <w:rPr>
                <w:rFonts w:hint="eastAsia" w:ascii="宋体" w:hAnsi="宋体"/>
                <w:sz w:val="24"/>
                <w:vertAlign w:val="baseline"/>
              </w:rPr>
            </w:pPr>
          </w:p>
        </w:tc>
        <w:tc>
          <w:tcPr>
            <w:tcW w:w="1408" w:type="dxa"/>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40" w:type="dxa"/>
          </w:tcPr>
          <w:p>
            <w:pPr>
              <w:pStyle w:val="5"/>
              <w:overflowPunct w:val="0"/>
              <w:rPr>
                <w:rFonts w:hint="eastAsia" w:ascii="宋体" w:hAnsi="宋体"/>
                <w:sz w:val="24"/>
                <w:vertAlign w:val="baseline"/>
              </w:rPr>
            </w:pPr>
          </w:p>
        </w:tc>
        <w:tc>
          <w:tcPr>
            <w:tcW w:w="4362" w:type="dxa"/>
            <w:gridSpan w:val="2"/>
          </w:tcPr>
          <w:p>
            <w:pPr>
              <w:pStyle w:val="5"/>
              <w:overflowPunct w:val="0"/>
              <w:rPr>
                <w:rFonts w:hint="eastAsia" w:ascii="宋体" w:hAnsi="宋体"/>
                <w:sz w:val="24"/>
                <w:vertAlign w:val="baseline"/>
              </w:rPr>
            </w:pPr>
          </w:p>
        </w:tc>
        <w:tc>
          <w:tcPr>
            <w:tcW w:w="875" w:type="dxa"/>
          </w:tcPr>
          <w:p>
            <w:pPr>
              <w:pStyle w:val="5"/>
              <w:overflowPunct w:val="0"/>
              <w:rPr>
                <w:rFonts w:hint="eastAsia" w:ascii="宋体" w:hAnsi="宋体"/>
                <w:sz w:val="24"/>
                <w:vertAlign w:val="baseline"/>
              </w:rPr>
            </w:pPr>
          </w:p>
        </w:tc>
        <w:tc>
          <w:tcPr>
            <w:tcW w:w="961" w:type="dxa"/>
          </w:tcPr>
          <w:p>
            <w:pPr>
              <w:pStyle w:val="5"/>
              <w:overflowPunct w:val="0"/>
              <w:rPr>
                <w:rFonts w:hint="eastAsia" w:ascii="宋体" w:hAnsi="宋体"/>
                <w:sz w:val="24"/>
                <w:vertAlign w:val="baseline"/>
              </w:rPr>
            </w:pPr>
          </w:p>
        </w:tc>
        <w:tc>
          <w:tcPr>
            <w:tcW w:w="1408" w:type="dxa"/>
            <w:gridSpan w:val="2"/>
          </w:tcPr>
          <w:p>
            <w:pPr>
              <w:pStyle w:val="5"/>
              <w:overflowPunct w:val="0"/>
              <w:rPr>
                <w:rFonts w:hint="eastAsia" w:ascii="宋体" w:hAnsi="宋体"/>
                <w:sz w:val="24"/>
                <w:vertAlign w:val="baseline"/>
              </w:rPr>
            </w:pPr>
          </w:p>
        </w:tc>
        <w:tc>
          <w:tcPr>
            <w:tcW w:w="1408" w:type="dxa"/>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40" w:type="dxa"/>
          </w:tcPr>
          <w:p>
            <w:pPr>
              <w:pStyle w:val="5"/>
              <w:overflowPunct w:val="0"/>
              <w:rPr>
                <w:rFonts w:hint="eastAsia" w:ascii="宋体" w:hAnsi="宋体"/>
                <w:sz w:val="24"/>
                <w:vertAlign w:val="baseline"/>
              </w:rPr>
            </w:pPr>
          </w:p>
        </w:tc>
        <w:tc>
          <w:tcPr>
            <w:tcW w:w="4362" w:type="dxa"/>
            <w:gridSpan w:val="2"/>
          </w:tcPr>
          <w:p>
            <w:pPr>
              <w:pStyle w:val="5"/>
              <w:overflowPunct w:val="0"/>
              <w:rPr>
                <w:rFonts w:hint="eastAsia" w:ascii="宋体" w:hAnsi="宋体"/>
                <w:sz w:val="24"/>
                <w:vertAlign w:val="baseline"/>
              </w:rPr>
            </w:pPr>
          </w:p>
        </w:tc>
        <w:tc>
          <w:tcPr>
            <w:tcW w:w="875" w:type="dxa"/>
          </w:tcPr>
          <w:p>
            <w:pPr>
              <w:pStyle w:val="5"/>
              <w:overflowPunct w:val="0"/>
              <w:rPr>
                <w:rFonts w:hint="eastAsia" w:ascii="宋体" w:hAnsi="宋体"/>
                <w:sz w:val="24"/>
                <w:vertAlign w:val="baseline"/>
              </w:rPr>
            </w:pPr>
          </w:p>
        </w:tc>
        <w:tc>
          <w:tcPr>
            <w:tcW w:w="961" w:type="dxa"/>
          </w:tcPr>
          <w:p>
            <w:pPr>
              <w:pStyle w:val="5"/>
              <w:overflowPunct w:val="0"/>
              <w:rPr>
                <w:rFonts w:hint="eastAsia" w:ascii="宋体" w:hAnsi="宋体"/>
                <w:sz w:val="24"/>
                <w:vertAlign w:val="baseline"/>
              </w:rPr>
            </w:pPr>
          </w:p>
        </w:tc>
        <w:tc>
          <w:tcPr>
            <w:tcW w:w="1408" w:type="dxa"/>
            <w:gridSpan w:val="2"/>
          </w:tcPr>
          <w:p>
            <w:pPr>
              <w:pStyle w:val="5"/>
              <w:overflowPunct w:val="0"/>
              <w:rPr>
                <w:rFonts w:hint="eastAsia" w:ascii="宋体" w:hAnsi="宋体"/>
                <w:sz w:val="24"/>
                <w:vertAlign w:val="baseline"/>
              </w:rPr>
            </w:pPr>
          </w:p>
        </w:tc>
        <w:tc>
          <w:tcPr>
            <w:tcW w:w="1408" w:type="dxa"/>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40" w:type="dxa"/>
          </w:tcPr>
          <w:p>
            <w:pPr>
              <w:pStyle w:val="5"/>
              <w:overflowPunct w:val="0"/>
              <w:rPr>
                <w:rFonts w:hint="eastAsia" w:ascii="宋体" w:hAnsi="宋体"/>
                <w:sz w:val="24"/>
                <w:vertAlign w:val="baseline"/>
              </w:rPr>
            </w:pPr>
          </w:p>
        </w:tc>
        <w:tc>
          <w:tcPr>
            <w:tcW w:w="4362" w:type="dxa"/>
            <w:gridSpan w:val="2"/>
          </w:tcPr>
          <w:p>
            <w:pPr>
              <w:pStyle w:val="5"/>
              <w:overflowPunct w:val="0"/>
              <w:rPr>
                <w:rFonts w:hint="eastAsia" w:ascii="宋体" w:hAnsi="宋体"/>
                <w:sz w:val="24"/>
                <w:vertAlign w:val="baseline"/>
              </w:rPr>
            </w:pPr>
          </w:p>
        </w:tc>
        <w:tc>
          <w:tcPr>
            <w:tcW w:w="875" w:type="dxa"/>
          </w:tcPr>
          <w:p>
            <w:pPr>
              <w:pStyle w:val="5"/>
              <w:overflowPunct w:val="0"/>
              <w:rPr>
                <w:rFonts w:hint="eastAsia" w:ascii="宋体" w:hAnsi="宋体"/>
                <w:sz w:val="24"/>
                <w:vertAlign w:val="baseline"/>
              </w:rPr>
            </w:pPr>
          </w:p>
        </w:tc>
        <w:tc>
          <w:tcPr>
            <w:tcW w:w="961" w:type="dxa"/>
          </w:tcPr>
          <w:p>
            <w:pPr>
              <w:pStyle w:val="5"/>
              <w:overflowPunct w:val="0"/>
              <w:rPr>
                <w:rFonts w:hint="eastAsia" w:ascii="宋体" w:hAnsi="宋体"/>
                <w:sz w:val="24"/>
                <w:vertAlign w:val="baseline"/>
              </w:rPr>
            </w:pPr>
          </w:p>
        </w:tc>
        <w:tc>
          <w:tcPr>
            <w:tcW w:w="1408" w:type="dxa"/>
            <w:gridSpan w:val="2"/>
          </w:tcPr>
          <w:p>
            <w:pPr>
              <w:pStyle w:val="5"/>
              <w:overflowPunct w:val="0"/>
              <w:rPr>
                <w:rFonts w:hint="eastAsia" w:ascii="宋体" w:hAnsi="宋体"/>
                <w:sz w:val="24"/>
                <w:vertAlign w:val="baseline"/>
              </w:rPr>
            </w:pPr>
          </w:p>
        </w:tc>
        <w:tc>
          <w:tcPr>
            <w:tcW w:w="1408" w:type="dxa"/>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840" w:type="dxa"/>
          </w:tcPr>
          <w:p>
            <w:pPr>
              <w:pStyle w:val="5"/>
              <w:overflowPunct w:val="0"/>
              <w:rPr>
                <w:rFonts w:hint="eastAsia" w:ascii="宋体" w:hAnsi="宋体"/>
                <w:sz w:val="24"/>
                <w:vertAlign w:val="baseline"/>
              </w:rPr>
            </w:pPr>
          </w:p>
        </w:tc>
        <w:tc>
          <w:tcPr>
            <w:tcW w:w="4362" w:type="dxa"/>
            <w:gridSpan w:val="2"/>
          </w:tcPr>
          <w:p>
            <w:pPr>
              <w:pStyle w:val="5"/>
              <w:overflowPunct w:val="0"/>
              <w:rPr>
                <w:rFonts w:hint="eastAsia" w:ascii="宋体" w:hAnsi="宋体"/>
                <w:sz w:val="24"/>
                <w:vertAlign w:val="baseline"/>
              </w:rPr>
            </w:pPr>
          </w:p>
        </w:tc>
        <w:tc>
          <w:tcPr>
            <w:tcW w:w="875" w:type="dxa"/>
          </w:tcPr>
          <w:p>
            <w:pPr>
              <w:pStyle w:val="5"/>
              <w:overflowPunct w:val="0"/>
              <w:rPr>
                <w:rFonts w:hint="eastAsia" w:ascii="宋体" w:hAnsi="宋体"/>
                <w:sz w:val="24"/>
                <w:vertAlign w:val="baseline"/>
              </w:rPr>
            </w:pPr>
          </w:p>
        </w:tc>
        <w:tc>
          <w:tcPr>
            <w:tcW w:w="961" w:type="dxa"/>
          </w:tcPr>
          <w:p>
            <w:pPr>
              <w:pStyle w:val="5"/>
              <w:overflowPunct w:val="0"/>
              <w:rPr>
                <w:rFonts w:hint="eastAsia" w:ascii="宋体" w:hAnsi="宋体"/>
                <w:sz w:val="24"/>
                <w:vertAlign w:val="baseline"/>
              </w:rPr>
            </w:pPr>
          </w:p>
        </w:tc>
        <w:tc>
          <w:tcPr>
            <w:tcW w:w="1408" w:type="dxa"/>
            <w:gridSpan w:val="2"/>
          </w:tcPr>
          <w:p>
            <w:pPr>
              <w:pStyle w:val="5"/>
              <w:overflowPunct w:val="0"/>
              <w:rPr>
                <w:rFonts w:hint="eastAsia" w:ascii="宋体" w:hAnsi="宋体"/>
                <w:sz w:val="24"/>
                <w:vertAlign w:val="baseline"/>
              </w:rPr>
            </w:pPr>
          </w:p>
        </w:tc>
        <w:tc>
          <w:tcPr>
            <w:tcW w:w="1408" w:type="dxa"/>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601" w:type="dxa"/>
            <w:gridSpan w:val="2"/>
            <w:vAlign w:val="center"/>
          </w:tcPr>
          <w:p>
            <w:pPr>
              <w:widowControl/>
              <w:jc w:val="left"/>
              <w:rPr>
                <w:rFonts w:hint="eastAsia" w:ascii="宋体" w:hAnsi="宋体"/>
                <w:sz w:val="24"/>
                <w:vertAlign w:val="baseline"/>
              </w:rPr>
            </w:pPr>
            <w:r>
              <w:rPr>
                <w:rFonts w:hint="eastAsia" w:ascii="宋体" w:hAnsi="宋体" w:cs="宋体"/>
                <w:b/>
                <w:bCs/>
                <w:kern w:val="0"/>
                <w:sz w:val="22"/>
                <w:szCs w:val="22"/>
                <w:lang w:val="zh-CN"/>
              </w:rPr>
              <w:t>是否属于小、微型企业</w:t>
            </w:r>
          </w:p>
        </w:tc>
        <w:tc>
          <w:tcPr>
            <w:tcW w:w="2601" w:type="dxa"/>
          </w:tcPr>
          <w:p>
            <w:pPr>
              <w:pStyle w:val="5"/>
              <w:overflowPunct w:val="0"/>
              <w:rPr>
                <w:rFonts w:hint="eastAsia" w:ascii="宋体" w:hAnsi="宋体"/>
                <w:sz w:val="24"/>
                <w:vertAlign w:val="baseline"/>
              </w:rPr>
            </w:pPr>
          </w:p>
        </w:tc>
        <w:tc>
          <w:tcPr>
            <w:tcW w:w="2326" w:type="dxa"/>
            <w:gridSpan w:val="3"/>
            <w:vAlign w:val="center"/>
          </w:tcPr>
          <w:p>
            <w:pPr>
              <w:widowControl/>
              <w:jc w:val="left"/>
              <w:rPr>
                <w:rFonts w:hint="eastAsia" w:ascii="宋体" w:hAnsi="宋体"/>
                <w:sz w:val="24"/>
                <w:vertAlign w:val="baseline"/>
              </w:rPr>
            </w:pPr>
            <w:r>
              <w:rPr>
                <w:rFonts w:hint="eastAsia" w:ascii="宋体" w:hAnsi="宋体" w:cs="宋体"/>
                <w:b/>
                <w:bCs/>
                <w:kern w:val="0"/>
                <w:sz w:val="22"/>
                <w:szCs w:val="22"/>
              </w:rPr>
              <w:t>其中：小、微型企业产品价格累计（元）</w:t>
            </w:r>
          </w:p>
        </w:tc>
        <w:tc>
          <w:tcPr>
            <w:tcW w:w="2326" w:type="dxa"/>
            <w:gridSpan w:val="2"/>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601" w:type="dxa"/>
            <w:gridSpan w:val="2"/>
            <w:vAlign w:val="center"/>
          </w:tcPr>
          <w:p>
            <w:pPr>
              <w:widowControl/>
              <w:jc w:val="both"/>
              <w:rPr>
                <w:rFonts w:hint="eastAsia" w:ascii="宋体" w:hAnsi="宋体"/>
                <w:sz w:val="24"/>
                <w:vertAlign w:val="baseline"/>
              </w:rPr>
            </w:pPr>
            <w:r>
              <w:rPr>
                <w:rFonts w:hint="eastAsia" w:ascii="宋体" w:hAnsi="宋体" w:cs="宋体"/>
                <w:b/>
                <w:bCs/>
                <w:kern w:val="0"/>
                <w:sz w:val="22"/>
                <w:szCs w:val="22"/>
                <w:lang w:val="zh-CN"/>
              </w:rPr>
              <w:t>是否属于监狱企业</w:t>
            </w:r>
          </w:p>
        </w:tc>
        <w:tc>
          <w:tcPr>
            <w:tcW w:w="2601" w:type="dxa"/>
          </w:tcPr>
          <w:p>
            <w:pPr>
              <w:pStyle w:val="5"/>
              <w:overflowPunct w:val="0"/>
              <w:rPr>
                <w:rFonts w:hint="eastAsia" w:ascii="宋体" w:hAnsi="宋体"/>
                <w:sz w:val="24"/>
                <w:vertAlign w:val="baseline"/>
              </w:rPr>
            </w:pPr>
          </w:p>
        </w:tc>
        <w:tc>
          <w:tcPr>
            <w:tcW w:w="2326" w:type="dxa"/>
            <w:gridSpan w:val="3"/>
            <w:vAlign w:val="center"/>
          </w:tcPr>
          <w:p>
            <w:pPr>
              <w:widowControl/>
              <w:jc w:val="both"/>
              <w:rPr>
                <w:rFonts w:hint="eastAsia" w:ascii="宋体" w:hAnsi="宋体"/>
                <w:sz w:val="24"/>
                <w:vertAlign w:val="baseline"/>
              </w:rPr>
            </w:pPr>
            <w:r>
              <w:rPr>
                <w:rFonts w:hint="eastAsia" w:ascii="宋体" w:hAnsi="宋体" w:cs="宋体"/>
                <w:b/>
                <w:bCs/>
                <w:kern w:val="0"/>
                <w:sz w:val="22"/>
                <w:szCs w:val="22"/>
              </w:rPr>
              <w:t>其中：</w:t>
            </w:r>
            <w:r>
              <w:rPr>
                <w:rFonts w:hint="eastAsia" w:ascii="宋体" w:hAnsi="宋体" w:cs="宋体"/>
                <w:b/>
                <w:bCs/>
                <w:kern w:val="0"/>
                <w:sz w:val="22"/>
                <w:szCs w:val="22"/>
                <w:lang w:val="zh-CN"/>
              </w:rPr>
              <w:t>监狱企业</w:t>
            </w:r>
            <w:r>
              <w:rPr>
                <w:rFonts w:hint="eastAsia" w:ascii="宋体" w:hAnsi="宋体" w:cs="宋体"/>
                <w:b/>
                <w:bCs/>
                <w:kern w:val="0"/>
                <w:sz w:val="22"/>
                <w:szCs w:val="22"/>
              </w:rPr>
              <w:t>产品价格累计（元）</w:t>
            </w:r>
          </w:p>
        </w:tc>
        <w:tc>
          <w:tcPr>
            <w:tcW w:w="2326" w:type="dxa"/>
            <w:gridSpan w:val="2"/>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601" w:type="dxa"/>
            <w:gridSpan w:val="2"/>
            <w:vAlign w:val="center"/>
          </w:tcPr>
          <w:p>
            <w:pPr>
              <w:widowControl/>
              <w:jc w:val="both"/>
              <w:rPr>
                <w:rFonts w:hint="eastAsia" w:ascii="宋体" w:hAnsi="宋体" w:cs="Times New Roman"/>
                <w:sz w:val="24"/>
                <w:vertAlign w:val="baseline"/>
              </w:rPr>
            </w:pPr>
            <w:r>
              <w:rPr>
                <w:rFonts w:hint="eastAsia" w:ascii="宋体" w:hAnsi="宋体" w:cs="宋体"/>
                <w:b/>
                <w:bCs/>
                <w:kern w:val="0"/>
                <w:sz w:val="22"/>
                <w:szCs w:val="22"/>
                <w:lang w:val="zh-CN"/>
              </w:rPr>
              <w:t>是否属于残疾人福利性单位产品、节能产品、环境标志产品</w:t>
            </w:r>
          </w:p>
        </w:tc>
        <w:tc>
          <w:tcPr>
            <w:tcW w:w="2601" w:type="dxa"/>
          </w:tcPr>
          <w:p>
            <w:pPr>
              <w:pStyle w:val="5"/>
              <w:overflowPunct w:val="0"/>
              <w:rPr>
                <w:rFonts w:hint="eastAsia" w:ascii="宋体" w:hAnsi="宋体" w:cs="Times New Roman"/>
                <w:sz w:val="24"/>
                <w:vertAlign w:val="baseline"/>
              </w:rPr>
            </w:pPr>
          </w:p>
        </w:tc>
        <w:tc>
          <w:tcPr>
            <w:tcW w:w="2326" w:type="dxa"/>
            <w:gridSpan w:val="3"/>
            <w:vAlign w:val="center"/>
          </w:tcPr>
          <w:p>
            <w:pPr>
              <w:widowControl/>
              <w:jc w:val="both"/>
              <w:rPr>
                <w:rFonts w:hint="eastAsia" w:ascii="宋体" w:hAnsi="宋体"/>
                <w:sz w:val="24"/>
                <w:vertAlign w:val="baseline"/>
              </w:rPr>
            </w:pPr>
            <w:r>
              <w:rPr>
                <w:rFonts w:hint="eastAsia" w:ascii="宋体" w:hAnsi="宋体" w:cs="宋体"/>
                <w:b/>
                <w:bCs/>
                <w:kern w:val="0"/>
                <w:sz w:val="22"/>
                <w:szCs w:val="22"/>
                <w:lang w:val="zh-CN"/>
              </w:rPr>
              <w:t>其中：残疾人福利性单位产品价格累计（元）</w:t>
            </w:r>
          </w:p>
        </w:tc>
        <w:tc>
          <w:tcPr>
            <w:tcW w:w="2326" w:type="dxa"/>
            <w:gridSpan w:val="2"/>
          </w:tcPr>
          <w:p>
            <w:pPr>
              <w:pStyle w:val="5"/>
              <w:overflowPunct w:val="0"/>
              <w:rPr>
                <w:rFonts w:hint="eastAsia" w:ascii="宋体" w:hAns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601" w:type="dxa"/>
            <w:gridSpan w:val="2"/>
            <w:vAlign w:val="center"/>
          </w:tcPr>
          <w:p>
            <w:pPr>
              <w:widowControl/>
              <w:jc w:val="both"/>
              <w:rPr>
                <w:rFonts w:hint="eastAsia" w:ascii="宋体" w:hAnsi="宋体" w:cs="Times New Roman"/>
                <w:sz w:val="24"/>
                <w:vertAlign w:val="baseline"/>
              </w:rPr>
            </w:pPr>
            <w:r>
              <w:rPr>
                <w:rFonts w:hint="eastAsia" w:ascii="宋体" w:hAnsi="宋体" w:cs="宋体"/>
                <w:b/>
                <w:bCs/>
                <w:kern w:val="0"/>
                <w:sz w:val="22"/>
                <w:szCs w:val="22"/>
                <w:lang w:val="zh-CN"/>
              </w:rPr>
              <w:t>是否属于节能产品、环境标志产品</w:t>
            </w:r>
          </w:p>
        </w:tc>
        <w:tc>
          <w:tcPr>
            <w:tcW w:w="2601" w:type="dxa"/>
          </w:tcPr>
          <w:p>
            <w:pPr>
              <w:pStyle w:val="5"/>
              <w:overflowPunct w:val="0"/>
              <w:rPr>
                <w:rFonts w:hint="eastAsia" w:ascii="宋体" w:hAnsi="宋体" w:cs="Times New Roman"/>
                <w:sz w:val="24"/>
                <w:vertAlign w:val="baseline"/>
              </w:rPr>
            </w:pPr>
          </w:p>
        </w:tc>
        <w:tc>
          <w:tcPr>
            <w:tcW w:w="2326" w:type="dxa"/>
            <w:gridSpan w:val="3"/>
            <w:vAlign w:val="center"/>
          </w:tcPr>
          <w:p>
            <w:pPr>
              <w:widowControl/>
              <w:jc w:val="both"/>
              <w:rPr>
                <w:rFonts w:hint="eastAsia" w:ascii="宋体" w:hAnsi="宋体"/>
                <w:sz w:val="24"/>
                <w:vertAlign w:val="baseline"/>
              </w:rPr>
            </w:pPr>
            <w:r>
              <w:rPr>
                <w:rFonts w:hint="eastAsia" w:ascii="宋体" w:hAnsi="宋体" w:cs="宋体"/>
                <w:b/>
                <w:bCs/>
                <w:kern w:val="0"/>
                <w:sz w:val="22"/>
                <w:szCs w:val="22"/>
                <w:lang w:val="zh-CN"/>
              </w:rPr>
              <w:t>其中：节能产品、环境标志产品价格累计（元）</w:t>
            </w:r>
          </w:p>
        </w:tc>
        <w:tc>
          <w:tcPr>
            <w:tcW w:w="2326" w:type="dxa"/>
            <w:gridSpan w:val="2"/>
          </w:tcPr>
          <w:p>
            <w:pPr>
              <w:pStyle w:val="5"/>
              <w:overflowPunct w:val="0"/>
              <w:rPr>
                <w:rFonts w:hint="eastAsia" w:ascii="宋体" w:hAnsi="宋体"/>
                <w:sz w:val="24"/>
                <w:vertAlign w:val="baseline"/>
              </w:rPr>
            </w:pPr>
          </w:p>
        </w:tc>
      </w:tr>
    </w:tbl>
    <w:p>
      <w:pPr>
        <w:pStyle w:val="5"/>
        <w:overflowPunct w:val="0"/>
        <w:ind w:firstLine="480"/>
        <w:rPr>
          <w:rFonts w:hint="eastAsia" w:ascii="宋体" w:hAnsi="宋体"/>
          <w:sz w:val="24"/>
        </w:rPr>
      </w:pPr>
    </w:p>
    <w:p>
      <w:pPr>
        <w:spacing w:line="360" w:lineRule="auto"/>
        <w:ind w:firstLine="422" w:firstLineChars="200"/>
        <w:rPr>
          <w:rFonts w:hint="eastAsia" w:ascii="宋体" w:hAnsi="宋体"/>
          <w:bCs/>
          <w:szCs w:val="21"/>
        </w:rPr>
      </w:pPr>
      <w:r>
        <w:rPr>
          <w:rFonts w:hint="eastAsia" w:ascii="宋体" w:hAnsi="宋体"/>
          <w:b/>
          <w:szCs w:val="21"/>
        </w:rPr>
        <w:t>备注：</w:t>
      </w:r>
      <w:r>
        <w:rPr>
          <w:rFonts w:hint="eastAsia" w:ascii="宋体" w:hAnsi="宋体"/>
          <w:bCs/>
          <w:szCs w:val="21"/>
        </w:rPr>
        <w:t>（1）</w:t>
      </w:r>
      <w:r>
        <w:rPr>
          <w:rFonts w:hint="eastAsia" w:ascii="宋体" w:hAnsi="宋体"/>
          <w:bCs/>
          <w:szCs w:val="21"/>
          <w:lang w:val="zh-CN"/>
        </w:rPr>
        <w:t>在“是否属于小、微型企业、监狱企业、残疾人福利性单位产品、节能产品、环境标志产品”栏内填写“是”或“否”。如填写“是”，必须在“产地“栏内加小、微型企业、监狱企业、残疾人福利性单位产品的完整名称，以及提供投标供应商《中小企业声明函》和投标供应商所在地的县级以上中小企业主管部门对投标供应商为中型或小、微型企业的认定证明复印件，投标供应商如为“监狱企业”，必须提供由省级以上监狱管理局、戒毒管理局（含新疆生产建设兵团）出具的属于监狱企业的证明文件复印件；如未按要求填写和提供有效证明或相关内容表述不清的，不得享受价格扣除。投标供应商对所报相关数据的真实性负责，江苏博智工程咨询有限公司有权将相关内容进行公示；</w:t>
      </w:r>
    </w:p>
    <w:p>
      <w:pPr>
        <w:spacing w:line="360" w:lineRule="auto"/>
        <w:ind w:firstLine="420" w:firstLineChars="200"/>
        <w:rPr>
          <w:rFonts w:hint="eastAsia" w:ascii="宋体" w:hAnsi="宋体"/>
          <w:bCs/>
          <w:szCs w:val="21"/>
        </w:rPr>
      </w:pPr>
      <w:r>
        <w:rPr>
          <w:rFonts w:hint="eastAsia" w:ascii="宋体" w:hAnsi="宋体"/>
          <w:bCs/>
          <w:szCs w:val="21"/>
        </w:rPr>
        <w:t>（2）投标供应商应当根据“项目技术要求和有关说明”的内容在上表中详细填写，包含但不限于以上内容，请各投标供应商自行补充完善；</w:t>
      </w:r>
    </w:p>
    <w:p>
      <w:pPr>
        <w:spacing w:line="360" w:lineRule="auto"/>
        <w:ind w:firstLine="420" w:firstLineChars="200"/>
        <w:rPr>
          <w:rFonts w:hint="eastAsia" w:ascii="宋体" w:hAnsi="宋体"/>
          <w:bCs/>
          <w:szCs w:val="21"/>
        </w:rPr>
      </w:pPr>
      <w:r>
        <w:rPr>
          <w:rFonts w:hint="eastAsia" w:ascii="宋体" w:hAnsi="宋体"/>
          <w:bCs/>
          <w:szCs w:val="21"/>
        </w:rPr>
        <w:t>（3）表格不够可自行延长。</w:t>
      </w:r>
    </w:p>
    <w:p>
      <w:pPr>
        <w:spacing w:line="360" w:lineRule="auto"/>
        <w:ind w:firstLine="420" w:firstLineChars="200"/>
        <w:rPr>
          <w:rFonts w:hint="eastAsia" w:ascii="宋体" w:hAnsi="宋体"/>
          <w:bCs/>
          <w:szCs w:val="21"/>
        </w:rPr>
      </w:pPr>
      <w:r>
        <w:rPr>
          <w:rFonts w:hint="eastAsia" w:ascii="宋体" w:hAnsi="宋体"/>
          <w:bCs/>
          <w:szCs w:val="21"/>
        </w:rPr>
        <w:t>（4）本表所填内容和附件中列表内并不冲突，请投标供应商认真填写本表及附件列表。</w:t>
      </w:r>
    </w:p>
    <w:p>
      <w:pPr>
        <w:spacing w:line="360" w:lineRule="auto"/>
        <w:ind w:firstLine="420" w:firstLineChars="200"/>
        <w:rPr>
          <w:rFonts w:hint="eastAsia" w:ascii="宋体" w:hAnsi="宋体"/>
          <w:bCs/>
          <w:szCs w:val="21"/>
        </w:rPr>
      </w:pPr>
      <w:r>
        <w:rPr>
          <w:rFonts w:hint="eastAsia" w:ascii="宋体" w:hAnsi="宋体"/>
          <w:bCs/>
          <w:szCs w:val="21"/>
        </w:rPr>
        <w:t>（5）所投产品属于节能产品政府采购品目清单、环境标志产品政府采购品目清单中的节能产品、环境标志产品，应当提供《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评审中分别按照强制采购或优先采购政策实施采购。</w:t>
      </w:r>
    </w:p>
    <w:p>
      <w:pPr>
        <w:spacing w:line="360" w:lineRule="auto"/>
        <w:ind w:firstLine="420" w:firstLineChars="200"/>
        <w:rPr>
          <w:rFonts w:hint="eastAsia" w:ascii="宋体" w:hAnsi="宋体"/>
          <w:bCs/>
          <w:szCs w:val="21"/>
        </w:rPr>
      </w:pPr>
      <w:r>
        <w:rPr>
          <w:rFonts w:hint="eastAsia" w:ascii="宋体" w:hAnsi="宋体"/>
          <w:bCs/>
          <w:szCs w:val="21"/>
        </w:rPr>
        <w:t>（6）投标供应商报价时应充分考虑服务期内所有可能影响到报价的因素（包括最低工资标准和社保基数的政策性调整），一旦投标结束最终中标，总价将包定，不予调整。如发生漏、缺、少项，都将被认为是中标供应商的报价让利行为，损失自负。</w:t>
      </w:r>
    </w:p>
    <w:p>
      <w:pPr>
        <w:pStyle w:val="5"/>
        <w:keepNext w:val="0"/>
        <w:keepLines w:val="0"/>
        <w:pageBreakBefore w:val="0"/>
        <w:widowControl/>
        <w:kinsoku/>
        <w:wordWrap/>
        <w:overflowPunct w:val="0"/>
        <w:topLinePunct w:val="0"/>
        <w:autoSpaceDE/>
        <w:autoSpaceDN/>
        <w:bidi w:val="0"/>
        <w:adjustRightInd/>
        <w:snapToGrid/>
        <w:spacing w:line="360" w:lineRule="auto"/>
        <w:textAlignment w:val="auto"/>
        <w:rPr>
          <w:rFonts w:hint="eastAsia" w:ascii="宋体" w:hAnsi="宋体"/>
          <w:sz w:val="24"/>
        </w:rPr>
      </w:pPr>
      <w:r>
        <w:rPr>
          <w:rFonts w:hint="eastAsia" w:ascii="宋体" w:hAnsi="宋体"/>
          <w:bCs/>
          <w:szCs w:val="21"/>
        </w:rPr>
        <w:t>（7）投标供应商报价应包括采购人在第三章“项目技术要求和有关说明”中所有采购需求。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Cs/>
          <w:sz w:val="24"/>
        </w:rPr>
      </w:pPr>
      <w:r>
        <w:rPr>
          <w:rFonts w:hint="eastAsia" w:ascii="宋体" w:hAnsi="宋体" w:cs="Times New Roman"/>
          <w:bCs/>
          <w:sz w:val="24"/>
        </w:rPr>
        <w:t>投标供应商（盖章）：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Cs/>
          <w:sz w:val="24"/>
        </w:rPr>
      </w:pPr>
      <w:r>
        <w:rPr>
          <w:rFonts w:hint="eastAsia" w:ascii="宋体" w:hAnsi="宋体" w:cs="Times New Roman"/>
          <w:bCs/>
          <w:sz w:val="24"/>
        </w:rPr>
        <w:t>法定代表人或授权代表签字或盖章：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Cs/>
          <w:sz w:val="24"/>
          <w:lang w:eastAsia="zh-CN"/>
        </w:rPr>
      </w:pPr>
      <w:r>
        <w:rPr>
          <w:rFonts w:hint="eastAsia" w:ascii="宋体" w:hAnsi="宋体" w:cs="Times New Roman"/>
          <w:bCs/>
          <w:sz w:val="24"/>
          <w:lang w:eastAsia="zh-CN"/>
        </w:rPr>
        <w:t>日</w:t>
      </w:r>
      <w:r>
        <w:rPr>
          <w:rFonts w:hint="eastAsia" w:ascii="宋体" w:hAnsi="宋体" w:cs="Times New Roman"/>
          <w:bCs/>
          <w:sz w:val="24"/>
          <w:lang w:val="en-US" w:eastAsia="zh-CN"/>
        </w:rPr>
        <w:t xml:space="preserve">    </w:t>
      </w:r>
      <w:r>
        <w:rPr>
          <w:rFonts w:hint="eastAsia" w:ascii="宋体" w:hAnsi="宋体" w:cs="Times New Roman"/>
          <w:bCs/>
          <w:sz w:val="24"/>
          <w:lang w:eastAsia="zh-CN"/>
        </w:rPr>
        <w:t>期：</w:t>
      </w:r>
    </w:p>
    <w:p>
      <w:pPr>
        <w:spacing w:line="400" w:lineRule="exact"/>
        <w:jc w:val="center"/>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jc w:val="both"/>
        <w:outlineLvl w:val="0"/>
        <w:rPr>
          <w:rFonts w:hint="eastAsia" w:ascii="黑体" w:hAnsi="宋体" w:eastAsia="黑体"/>
          <w:bCs/>
          <w:sz w:val="24"/>
        </w:rPr>
      </w:pPr>
    </w:p>
    <w:p>
      <w:pPr>
        <w:numPr>
          <w:ilvl w:val="0"/>
          <w:numId w:val="0"/>
        </w:numPr>
        <w:jc w:val="left"/>
        <w:outlineLvl w:val="0"/>
        <w:rPr>
          <w:rFonts w:hint="eastAsia" w:ascii="黑体" w:hAnsi="宋体" w:eastAsia="黑体"/>
          <w:bCs/>
          <w:sz w:val="24"/>
        </w:rPr>
      </w:pPr>
      <w:r>
        <w:rPr>
          <w:rFonts w:hint="eastAsia" w:ascii="黑体" w:hAnsi="宋体" w:eastAsia="黑体"/>
          <w:bCs/>
          <w:sz w:val="24"/>
          <w:lang w:eastAsia="zh-CN"/>
        </w:rPr>
        <w:t>（</w:t>
      </w:r>
      <w:r>
        <w:rPr>
          <w:rFonts w:hint="eastAsia" w:ascii="黑体" w:hAnsi="宋体" w:eastAsia="黑体"/>
          <w:bCs/>
          <w:sz w:val="24"/>
          <w:lang w:val="en-US" w:eastAsia="zh-CN"/>
        </w:rPr>
        <w:t>四</w:t>
      </w:r>
      <w:r>
        <w:rPr>
          <w:rFonts w:hint="eastAsia" w:ascii="黑体" w:hAnsi="宋体" w:eastAsia="黑体"/>
          <w:bCs/>
          <w:sz w:val="24"/>
          <w:lang w:eastAsia="zh-CN"/>
        </w:rPr>
        <w:t>）</w:t>
      </w:r>
      <w:r>
        <w:rPr>
          <w:rFonts w:hint="eastAsia" w:ascii="黑体" w:hAnsi="宋体" w:eastAsia="黑体"/>
          <w:bCs/>
          <w:sz w:val="24"/>
        </w:rPr>
        <w:t>承诺书（格式）</w:t>
      </w:r>
    </w:p>
    <w:p>
      <w:pPr>
        <w:numPr>
          <w:ilvl w:val="0"/>
          <w:numId w:val="0"/>
        </w:numPr>
        <w:ind w:left="420" w:leftChars="0"/>
        <w:jc w:val="center"/>
        <w:outlineLvl w:val="0"/>
        <w:rPr>
          <w:rFonts w:hint="eastAsia" w:ascii="黑体" w:hAnsi="宋体" w:eastAsia="黑体"/>
          <w:bCs/>
          <w:sz w:val="32"/>
          <w:szCs w:val="32"/>
        </w:rPr>
      </w:pPr>
    </w:p>
    <w:p>
      <w:pPr>
        <w:numPr>
          <w:ilvl w:val="0"/>
          <w:numId w:val="0"/>
        </w:numPr>
        <w:ind w:left="420" w:leftChars="0"/>
        <w:jc w:val="center"/>
        <w:outlineLvl w:val="0"/>
        <w:rPr>
          <w:rFonts w:hint="eastAsia" w:ascii="黑体" w:hAnsi="宋体" w:eastAsia="黑体"/>
          <w:bCs/>
          <w:sz w:val="32"/>
          <w:szCs w:val="32"/>
        </w:rPr>
      </w:pPr>
      <w:r>
        <w:rPr>
          <w:rFonts w:hint="eastAsia" w:ascii="黑体" w:hAnsi="宋体" w:eastAsia="黑体"/>
          <w:bCs/>
          <w:sz w:val="32"/>
          <w:szCs w:val="32"/>
        </w:rPr>
        <w:t>承诺书一</w:t>
      </w:r>
    </w:p>
    <w:p>
      <w:pPr>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致：</w:t>
      </w:r>
      <w:r>
        <w:rPr>
          <w:rFonts w:hint="eastAsia" w:ascii="宋体" w:hAnsi="宋体"/>
          <w:color w:val="auto"/>
          <w:sz w:val="24"/>
          <w:highlight w:val="none"/>
          <w:u w:val="single"/>
          <w:lang w:eastAsia="zh-CN"/>
        </w:rPr>
        <w:t>江苏博智工程咨询有限公司</w:t>
      </w:r>
    </w:p>
    <w:p>
      <w:pPr>
        <w:spacing w:before="240" w:line="360" w:lineRule="auto"/>
        <w:ind w:firstLine="480"/>
        <w:rPr>
          <w:rFonts w:hint="eastAsia" w:ascii="宋体" w:hAnsi="宋体"/>
          <w:color w:val="auto"/>
          <w:sz w:val="24"/>
          <w:highlight w:val="none"/>
        </w:rPr>
      </w:pPr>
      <w:r>
        <w:rPr>
          <w:rFonts w:hint="eastAsia" w:ascii="宋体" w:hAnsi="宋体"/>
          <w:color w:val="auto"/>
          <w:sz w:val="24"/>
          <w:highlight w:val="none"/>
        </w:rPr>
        <w:t>我公司自愿参加贵单位（公司）</w:t>
      </w:r>
      <w:r>
        <w:rPr>
          <w:rFonts w:hint="eastAsia" w:ascii="宋体" w:hAnsi="宋体"/>
          <w:color w:val="auto"/>
          <w:sz w:val="24"/>
          <w:highlight w:val="none"/>
          <w:u w:val="single"/>
        </w:rPr>
        <w:t xml:space="preserve">                    </w:t>
      </w:r>
      <w:r>
        <w:rPr>
          <w:rFonts w:hint="eastAsia" w:ascii="宋体" w:hAnsi="宋体"/>
          <w:color w:val="auto"/>
          <w:sz w:val="24"/>
          <w:highlight w:val="none"/>
        </w:rPr>
        <w:t>项目的投标，并接受对我公司的资格审查，我公司承诺：我公司未处于被责令停业、投标资格被取消或者财产被接管、冻结和破产状态，企业没有因骗取中标或者严重违约以及发生重大工程质量事故等问题，被有关部门暂停投标资格并在暂停期内的。根据贵单位（公司）提出的</w:t>
      </w:r>
      <w:r>
        <w:rPr>
          <w:rFonts w:hint="eastAsia" w:ascii="宋体" w:hAnsi="宋体"/>
          <w:color w:val="auto"/>
          <w:sz w:val="24"/>
          <w:highlight w:val="none"/>
          <w:lang w:eastAsia="zh-CN"/>
        </w:rPr>
        <w:t>采购文件</w:t>
      </w:r>
      <w:r>
        <w:rPr>
          <w:rFonts w:hint="eastAsia" w:ascii="宋体" w:hAnsi="宋体"/>
          <w:color w:val="auto"/>
          <w:sz w:val="24"/>
          <w:highlight w:val="none"/>
        </w:rPr>
        <w:t>要求，本公司递交的投标文件中的内容没有隐瞒、虚假、伪造等弄虚作假行为。若发现该行为，贵公司可以拒绝我公司报价，如已中标，可取消我公司中标资格，并接受政府采购主管部门对我公司弄虚作假、违反公平和诚实信用原则做出的任何处理。</w:t>
      </w:r>
    </w:p>
    <w:p>
      <w:pPr>
        <w:spacing w:before="240" w:line="360" w:lineRule="auto"/>
        <w:ind w:firstLine="480"/>
        <w:rPr>
          <w:rFonts w:hint="eastAsia" w:ascii="宋体" w:hAnsi="宋体"/>
          <w:color w:val="auto"/>
          <w:sz w:val="24"/>
          <w:highlight w:val="none"/>
        </w:rPr>
      </w:pPr>
    </w:p>
    <w:p>
      <w:pPr>
        <w:spacing w:before="240" w:line="360" w:lineRule="auto"/>
        <w:ind w:firstLine="480"/>
        <w:rPr>
          <w:rFonts w:hint="eastAsia" w:ascii="宋体" w:hAnsi="宋体"/>
          <w:color w:val="auto"/>
          <w:sz w:val="24"/>
          <w:highlight w:val="none"/>
        </w:rPr>
      </w:pPr>
    </w:p>
    <w:p>
      <w:pPr>
        <w:spacing w:before="240" w:line="360" w:lineRule="auto"/>
        <w:ind w:firstLine="480"/>
        <w:rPr>
          <w:rFonts w:hint="eastAsia" w:ascii="宋体" w:hAnsi="宋体"/>
          <w:color w:val="auto"/>
          <w:sz w:val="24"/>
          <w:highlight w:val="none"/>
        </w:rPr>
      </w:pPr>
    </w:p>
    <w:p>
      <w:pPr>
        <w:wordWrap w:val="0"/>
        <w:spacing w:before="240" w:line="360" w:lineRule="auto"/>
        <w:ind w:firstLine="4080" w:firstLineChars="1700"/>
        <w:jc w:val="both"/>
        <w:rPr>
          <w:rFonts w:hint="eastAsia" w:ascii="宋体" w:hAnsi="宋体"/>
          <w:color w:val="auto"/>
          <w:sz w:val="24"/>
          <w:highlight w:val="none"/>
        </w:rPr>
      </w:pPr>
      <w:r>
        <w:rPr>
          <w:rFonts w:hint="eastAsia" w:ascii="宋体" w:hAnsi="宋体"/>
          <w:color w:val="auto"/>
          <w:sz w:val="24"/>
          <w:highlight w:val="none"/>
        </w:rPr>
        <w:t xml:space="preserve">投标供应商（盖章）          </w:t>
      </w:r>
    </w:p>
    <w:p>
      <w:pPr>
        <w:wordWrap w:val="0"/>
        <w:spacing w:before="240" w:line="360" w:lineRule="auto"/>
        <w:ind w:firstLine="480"/>
        <w:jc w:val="right"/>
        <w:rPr>
          <w:rFonts w:hint="eastAsia"/>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法定代表人或法定代表人授权代表签字或盖章：          </w:t>
      </w:r>
      <w:r>
        <w:rPr>
          <w:rFonts w:hint="eastAsia"/>
          <w:color w:val="auto"/>
          <w:sz w:val="24"/>
          <w:highlight w:val="none"/>
        </w:rPr>
        <w:t xml:space="preserve">  </w:t>
      </w:r>
    </w:p>
    <w:p>
      <w:pPr>
        <w:wordWrap w:val="0"/>
        <w:spacing w:before="240" w:line="360" w:lineRule="auto"/>
        <w:ind w:firstLine="480"/>
        <w:jc w:val="center"/>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年    月    日</w:t>
      </w:r>
    </w:p>
    <w:p>
      <w:pPr>
        <w:spacing w:before="240" w:line="360" w:lineRule="auto"/>
        <w:ind w:firstLine="480"/>
        <w:jc w:val="right"/>
        <w:rPr>
          <w:rFonts w:hint="eastAsia" w:ascii="宋体" w:hAnsi="宋体"/>
          <w:color w:val="auto"/>
          <w:sz w:val="24"/>
          <w:highlight w:val="none"/>
        </w:rPr>
      </w:pPr>
    </w:p>
    <w:p>
      <w:pPr>
        <w:spacing w:before="240" w:line="360" w:lineRule="auto"/>
        <w:ind w:firstLine="480"/>
        <w:jc w:val="right"/>
        <w:rPr>
          <w:rFonts w:hint="eastAsia" w:ascii="宋体" w:hAnsi="宋体"/>
          <w:color w:val="auto"/>
          <w:sz w:val="24"/>
          <w:highlight w:val="none"/>
        </w:rPr>
      </w:pPr>
    </w:p>
    <w:p>
      <w:pPr>
        <w:spacing w:before="240" w:line="360" w:lineRule="auto"/>
        <w:ind w:firstLine="480"/>
        <w:jc w:val="right"/>
        <w:rPr>
          <w:rFonts w:hint="eastAsia"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rPr>
          <w:rFonts w:hint="eastAsia" w:ascii="宋体" w:hAnsi="宋体"/>
          <w:color w:val="auto"/>
          <w:sz w:val="24"/>
          <w:highlight w:val="none"/>
        </w:rPr>
      </w:pPr>
    </w:p>
    <w:p>
      <w:pPr>
        <w:numPr>
          <w:ilvl w:val="0"/>
          <w:numId w:val="0"/>
        </w:numPr>
        <w:ind w:left="420" w:leftChars="0"/>
        <w:jc w:val="center"/>
        <w:outlineLvl w:val="0"/>
        <w:rPr>
          <w:rFonts w:hint="eastAsia" w:ascii="黑体" w:hAnsi="宋体" w:eastAsia="黑体"/>
          <w:bCs/>
          <w:sz w:val="32"/>
          <w:szCs w:val="32"/>
        </w:rPr>
      </w:pPr>
      <w:r>
        <w:rPr>
          <w:rFonts w:hint="eastAsia" w:ascii="黑体" w:hAnsi="宋体" w:eastAsia="黑体"/>
          <w:bCs/>
          <w:sz w:val="32"/>
          <w:szCs w:val="32"/>
        </w:rPr>
        <w:t>承诺书二 廉洁承诺书（格式）</w:t>
      </w:r>
    </w:p>
    <w:p>
      <w:pPr>
        <w:numPr>
          <w:ilvl w:val="0"/>
          <w:numId w:val="0"/>
        </w:numPr>
        <w:ind w:left="420" w:leftChars="0"/>
        <w:jc w:val="center"/>
        <w:outlineLvl w:val="0"/>
        <w:rPr>
          <w:rFonts w:hint="eastAsia" w:ascii="黑体" w:hAnsi="宋体" w:eastAsia="黑体"/>
          <w:bCs/>
          <w:sz w:val="32"/>
          <w:szCs w:val="32"/>
        </w:rPr>
      </w:pP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为了积极配合贵单位为平台的招标工作，有效遏制不公平竞争和违规违纪问题的发生，确保招标工作的公平、公正、公开，我们保证认真贯彻《招投标法》等相关规定以及相关廉洁要求，特向贵单位承诺如下事项：</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1、自觉遵守国家法律法规及有关廉政建设制度。</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2、主动了解贵单位招投标纪律，积极配合贵单位执行招投标廉政建设的有关规定。</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3、不使用不正当手段妨碍、排挤其他</w:t>
      </w:r>
      <w:r>
        <w:rPr>
          <w:rFonts w:hint="eastAsia" w:ascii="宋体" w:hAnsi="宋体"/>
          <w:color w:val="auto"/>
          <w:sz w:val="24"/>
          <w:highlight w:val="none"/>
          <w:lang w:eastAsia="zh-CN"/>
        </w:rPr>
        <w:t>投标供应商</w:t>
      </w:r>
      <w:r>
        <w:rPr>
          <w:rFonts w:hint="eastAsia" w:ascii="宋体" w:hAnsi="宋体"/>
          <w:color w:val="auto"/>
          <w:sz w:val="24"/>
          <w:highlight w:val="none"/>
        </w:rPr>
        <w:t>或串通投标。</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4、按照</w:t>
      </w:r>
      <w:r>
        <w:rPr>
          <w:rFonts w:hint="eastAsia" w:ascii="宋体" w:hAnsi="宋体"/>
          <w:color w:val="auto"/>
          <w:sz w:val="24"/>
          <w:highlight w:val="none"/>
          <w:lang w:eastAsia="zh-CN"/>
        </w:rPr>
        <w:t>采购文件</w:t>
      </w:r>
      <w:r>
        <w:rPr>
          <w:rFonts w:hint="eastAsia" w:ascii="宋体" w:hAnsi="宋体"/>
          <w:color w:val="auto"/>
          <w:sz w:val="24"/>
          <w:highlight w:val="none"/>
        </w:rPr>
        <w:t>规定的方式进行投标，不隐瞒本单位投标资质的真实情况，投标资质符合规定。</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6、不向设计招标的单位及个人购置或提供通讯工具、交通工具和高档办公用品等。</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7、不向涉及招标的单位及个人的配偶、子女、亲属分包此次招标项目。</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8、不向涉及招标的单位及个人支付好处费、介绍费。</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9、一旦发现相关人员在招标过程中有索要财物等不廉洁行为，坚决予以抵制，并及时向贵单位纪检监察室举报。</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我们若违反上述承诺，愿接收取消投标资格及其他任何形式的处理。</w:t>
      </w:r>
    </w:p>
    <w:p>
      <w:pPr>
        <w:spacing w:line="520" w:lineRule="exact"/>
        <w:ind w:firstLine="480" w:firstLineChars="200"/>
        <w:rPr>
          <w:rFonts w:hint="eastAsia" w:ascii="宋体" w:hAnsi="宋体"/>
          <w:color w:val="auto"/>
          <w:sz w:val="24"/>
          <w:highlight w:val="none"/>
        </w:rPr>
      </w:pPr>
    </w:p>
    <w:p>
      <w:pPr>
        <w:spacing w:line="520" w:lineRule="exact"/>
        <w:ind w:firstLine="6000" w:firstLineChars="2500"/>
        <w:rPr>
          <w:rFonts w:hint="eastAsia" w:ascii="宋体" w:hAnsi="宋体"/>
          <w:color w:val="auto"/>
          <w:sz w:val="24"/>
          <w:highlight w:val="none"/>
          <w:lang w:eastAsia="zh-CN"/>
        </w:rPr>
      </w:pPr>
    </w:p>
    <w:p>
      <w:pPr>
        <w:spacing w:line="520" w:lineRule="exact"/>
        <w:ind w:firstLine="6000" w:firstLineChars="2500"/>
        <w:rPr>
          <w:rFonts w:hint="eastAsia" w:ascii="宋体" w:hAnsi="宋体"/>
          <w:color w:val="auto"/>
          <w:sz w:val="24"/>
          <w:highlight w:val="none"/>
          <w:lang w:eastAsia="zh-CN"/>
        </w:rPr>
      </w:pPr>
    </w:p>
    <w:p>
      <w:pPr>
        <w:wordWrap w:val="0"/>
        <w:spacing w:before="240" w:line="360" w:lineRule="auto"/>
        <w:ind w:firstLine="5520" w:firstLineChars="2300"/>
        <w:jc w:val="both"/>
        <w:rPr>
          <w:rFonts w:hint="eastAsia" w:ascii="宋体" w:hAnsi="宋体"/>
          <w:color w:val="auto"/>
          <w:sz w:val="24"/>
          <w:highlight w:val="none"/>
        </w:rPr>
      </w:pPr>
      <w:r>
        <w:rPr>
          <w:rFonts w:hint="eastAsia" w:ascii="宋体" w:hAnsi="宋体"/>
          <w:color w:val="auto"/>
          <w:sz w:val="24"/>
          <w:highlight w:val="none"/>
        </w:rPr>
        <w:t xml:space="preserve">投标供应商（盖章）          </w:t>
      </w:r>
    </w:p>
    <w:p>
      <w:pPr>
        <w:wordWrap/>
        <w:spacing w:before="240" w:line="360" w:lineRule="auto"/>
        <w:ind w:firstLine="480"/>
        <w:jc w:val="right"/>
        <w:rPr>
          <w:rFonts w:hint="eastAsia"/>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法定代表人或法定代表人授权代表签字或盖章：          </w:t>
      </w:r>
      <w:r>
        <w:rPr>
          <w:rFonts w:hint="eastAsia"/>
          <w:color w:val="auto"/>
          <w:sz w:val="24"/>
          <w:highlight w:val="none"/>
        </w:rPr>
        <w:t xml:space="preserve">  </w:t>
      </w:r>
    </w:p>
    <w:p>
      <w:pPr>
        <w:wordWrap w:val="0"/>
        <w:spacing w:before="240" w:line="360" w:lineRule="auto"/>
        <w:ind w:firstLine="480"/>
        <w:jc w:val="center"/>
        <w:rPr>
          <w:rFonts w:hint="eastAsia"/>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年    月    日</w:t>
      </w:r>
    </w:p>
    <w:p>
      <w:pPr>
        <w:numPr>
          <w:ilvl w:val="0"/>
          <w:numId w:val="6"/>
        </w:numPr>
        <w:jc w:val="left"/>
        <w:outlineLvl w:val="0"/>
        <w:rPr>
          <w:rFonts w:hint="eastAsia" w:ascii="黑体" w:hAnsi="宋体" w:eastAsia="黑体"/>
          <w:bCs/>
          <w:sz w:val="24"/>
        </w:rPr>
      </w:pPr>
      <w:r>
        <w:rPr>
          <w:rFonts w:hint="eastAsia" w:ascii="黑体" w:hAnsi="宋体" w:eastAsia="黑体"/>
          <w:bCs/>
          <w:sz w:val="24"/>
        </w:rPr>
        <w:t>法定代表人授权委托书（格式）</w:t>
      </w:r>
    </w:p>
    <w:p>
      <w:pPr>
        <w:jc w:val="center"/>
        <w:outlineLvl w:val="0"/>
        <w:rPr>
          <w:rFonts w:hint="eastAsia" w:ascii="宋体" w:hAnsi="宋体" w:cs="宋体"/>
          <w:b/>
          <w:bCs/>
          <w:sz w:val="30"/>
          <w:szCs w:val="30"/>
        </w:rPr>
      </w:pPr>
    </w:p>
    <w:p>
      <w:pPr>
        <w:jc w:val="center"/>
        <w:outlineLvl w:val="0"/>
        <w:rPr>
          <w:rFonts w:ascii="宋体" w:hAnsi="宋体"/>
          <w:b/>
          <w:bCs/>
          <w:sz w:val="30"/>
          <w:szCs w:val="30"/>
        </w:rPr>
      </w:pPr>
      <w:r>
        <w:rPr>
          <w:rFonts w:hint="eastAsia" w:ascii="宋体" w:hAnsi="宋体" w:cs="宋体"/>
          <w:b/>
          <w:bCs/>
          <w:sz w:val="30"/>
          <w:szCs w:val="30"/>
        </w:rPr>
        <w:t>法定代表人授权委托书</w:t>
      </w:r>
    </w:p>
    <w:p>
      <w:pPr>
        <w:jc w:val="left"/>
        <w:outlineLvl w:val="0"/>
        <w:rPr>
          <w:rFonts w:hint="eastAsia" w:ascii="黑体" w:hAnsi="宋体" w:eastAsia="黑体"/>
          <w:bCs/>
          <w:sz w:val="24"/>
        </w:rPr>
      </w:pPr>
    </w:p>
    <w:p>
      <w:pPr>
        <w:topLinePunct/>
        <w:snapToGrid w:val="0"/>
        <w:spacing w:line="360" w:lineRule="auto"/>
        <w:jc w:val="center"/>
        <w:rPr>
          <w:rFonts w:ascii="宋体" w:hAnsi="宋体"/>
          <w:sz w:val="24"/>
        </w:rPr>
      </w:pPr>
      <w:r>
        <w:rPr>
          <w:rFonts w:hint="eastAsia" w:ascii="宋体" w:hAnsi="宋体"/>
          <w:sz w:val="24"/>
        </w:rPr>
        <w:t>采购编号：</w:t>
      </w:r>
    </w:p>
    <w:p>
      <w:pPr>
        <w:topLinePunct/>
        <w:snapToGrid w:val="0"/>
        <w:spacing w:line="360" w:lineRule="auto"/>
        <w:jc w:val="center"/>
        <w:rPr>
          <w:rFonts w:ascii="宋体" w:hAnsi="宋体"/>
          <w:sz w:val="24"/>
        </w:rPr>
      </w:pPr>
      <w:r>
        <w:rPr>
          <w:rFonts w:hint="eastAsia" w:ascii="宋体" w:hAnsi="宋体"/>
          <w:sz w:val="24"/>
          <w:lang w:val="en-US" w:eastAsia="zh-CN"/>
        </w:rPr>
        <w:t xml:space="preserve">    </w:t>
      </w:r>
      <w:r>
        <w:rPr>
          <w:rFonts w:hint="eastAsia" w:ascii="宋体" w:hAnsi="宋体"/>
          <w:sz w:val="24"/>
        </w:rPr>
        <w:t>日期：</w:t>
      </w:r>
    </w:p>
    <w:p>
      <w:pPr>
        <w:topLinePunct/>
        <w:snapToGrid w:val="0"/>
        <w:spacing w:line="360" w:lineRule="auto"/>
        <w:rPr>
          <w:rFonts w:ascii="宋体" w:hAnsi="宋体"/>
          <w:sz w:val="24"/>
          <w:u w:val="single"/>
        </w:rPr>
      </w:pPr>
      <w:r>
        <w:rPr>
          <w:rFonts w:hint="eastAsia" w:ascii="宋体" w:hAnsi="宋体"/>
          <w:sz w:val="24"/>
          <w:u w:val="single"/>
          <w:lang w:eastAsia="zh-CN"/>
        </w:rPr>
        <w:t>江苏博智工程咨询有限公司</w:t>
      </w:r>
      <w:r>
        <w:rPr>
          <w:rFonts w:hint="eastAsia" w:ascii="宋体" w:hAnsi="宋体"/>
          <w:sz w:val="24"/>
          <w:u w:val="single"/>
        </w:rPr>
        <w:t>：</w:t>
      </w:r>
    </w:p>
    <w:p>
      <w:pPr>
        <w:topLinePunct/>
        <w:snapToGrid w:val="0"/>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     （投标供应商名称）       </w:t>
      </w:r>
      <w:r>
        <w:rPr>
          <w:rFonts w:hint="eastAsia" w:ascii="宋体" w:hAnsi="宋体" w:cs="宋体"/>
          <w:sz w:val="24"/>
        </w:rPr>
        <w:t>系</w:t>
      </w:r>
      <w:r>
        <w:rPr>
          <w:rFonts w:hint="eastAsia" w:ascii="宋体" w:hAnsi="宋体"/>
          <w:sz w:val="24"/>
        </w:rPr>
        <w:t>中华人民共和国合法企业</w:t>
      </w:r>
    </w:p>
    <w:p>
      <w:pPr>
        <w:topLinePunct/>
        <w:snapToGrid w:val="0"/>
        <w:spacing w:line="360" w:lineRule="auto"/>
        <w:rPr>
          <w:rFonts w:ascii="宋体" w:hAnsi="宋体"/>
          <w:sz w:val="24"/>
        </w:rPr>
      </w:pPr>
      <w:r>
        <w:rPr>
          <w:rFonts w:hint="eastAsia" w:ascii="宋体" w:hAnsi="宋体"/>
          <w:sz w:val="24"/>
        </w:rPr>
        <w:t>法定地址：                      特授权      代表我公司（单位）全权办理针对本项目（采购编号：          ）的报价等具体工作，并签署全部有关文件、协议及合同。</w:t>
      </w:r>
    </w:p>
    <w:p>
      <w:pPr>
        <w:topLinePunct/>
        <w:snapToGrid w:val="0"/>
        <w:spacing w:line="360" w:lineRule="auto"/>
        <w:ind w:firstLine="480"/>
        <w:rPr>
          <w:rFonts w:ascii="宋体" w:hAnsi="宋体"/>
          <w:sz w:val="24"/>
        </w:rPr>
      </w:pPr>
      <w:r>
        <w:rPr>
          <w:rFonts w:hint="eastAsia" w:ascii="宋体" w:hAnsi="宋体"/>
          <w:sz w:val="24"/>
        </w:rPr>
        <w:t>我公司（单位）对被授权人的签名负全部责任。</w:t>
      </w:r>
    </w:p>
    <w:p>
      <w:pPr>
        <w:topLinePunct/>
        <w:snapToGrid w:val="0"/>
        <w:spacing w:line="360" w:lineRule="auto"/>
        <w:ind w:firstLine="480"/>
        <w:rPr>
          <w:rFonts w:ascii="宋体" w:hAnsi="宋体"/>
          <w:sz w:val="24"/>
        </w:rPr>
      </w:pPr>
      <w:r>
        <w:rPr>
          <w:rFonts w:hint="eastAsia" w:ascii="宋体" w:hAnsi="宋体"/>
          <w:sz w:val="24"/>
        </w:rPr>
        <w:t>在撤销授权的书面通知送达你处以前，本授权书一直有效，被授权人签署的所有文件（在授权书有效期内签署的）不因授权的撤销而失效。被授权人有（无）转委托权。</w:t>
      </w:r>
    </w:p>
    <w:p>
      <w:pPr>
        <w:topLinePunct/>
        <w:snapToGrid w:val="0"/>
        <w:spacing w:line="360" w:lineRule="auto"/>
        <w:ind w:firstLine="480"/>
        <w:rPr>
          <w:rFonts w:ascii="宋体" w:hAnsi="宋体"/>
          <w:sz w:val="24"/>
        </w:rPr>
      </w:pPr>
      <w:r>
        <w:rPr>
          <w:rFonts w:hint="eastAsia" w:ascii="宋体" w:hAnsi="宋体"/>
          <w:sz w:val="24"/>
        </w:rPr>
        <w:t>被授权人情况：</w:t>
      </w:r>
    </w:p>
    <w:p>
      <w:pPr>
        <w:topLinePunct/>
        <w:snapToGrid w:val="0"/>
        <w:spacing w:line="360" w:lineRule="auto"/>
        <w:ind w:firstLine="480"/>
        <w:rPr>
          <w:rFonts w:ascii="宋体" w:hAnsi="宋体"/>
          <w:sz w:val="24"/>
        </w:rPr>
      </w:pPr>
      <w:r>
        <w:rPr>
          <w:rFonts w:hint="eastAsia" w:ascii="宋体" w:hAnsi="宋体"/>
          <w:sz w:val="24"/>
        </w:rPr>
        <w:t>姓名：          性别：         年龄：          职务：</w:t>
      </w:r>
    </w:p>
    <w:p>
      <w:pPr>
        <w:topLinePunct/>
        <w:snapToGrid w:val="0"/>
        <w:spacing w:line="360" w:lineRule="auto"/>
        <w:ind w:firstLine="480"/>
        <w:rPr>
          <w:rFonts w:ascii="宋体" w:hAnsi="宋体"/>
          <w:sz w:val="24"/>
        </w:rPr>
      </w:pPr>
      <w:r>
        <w:rPr>
          <w:rFonts w:hint="eastAsia" w:ascii="宋体" w:hAnsi="宋体"/>
          <w:sz w:val="24"/>
        </w:rPr>
        <w:t>身份证号码：                   电话：</w:t>
      </w:r>
    </w:p>
    <w:p>
      <w:pPr>
        <w:topLinePunct/>
        <w:snapToGrid w:val="0"/>
        <w:spacing w:line="360" w:lineRule="auto"/>
        <w:ind w:firstLine="480"/>
        <w:rPr>
          <w:rFonts w:ascii="宋体" w:hAnsi="宋体"/>
          <w:sz w:val="24"/>
        </w:rPr>
      </w:pPr>
      <w:r>
        <w:rPr>
          <w:rFonts w:hint="eastAsia" w:ascii="宋体" w:hAnsi="宋体"/>
          <w:sz w:val="24"/>
        </w:rPr>
        <w:t>通讯地址：</w:t>
      </w:r>
    </w:p>
    <w:p>
      <w:pPr>
        <w:topLinePunct/>
        <w:snapToGrid w:val="0"/>
        <w:spacing w:line="360" w:lineRule="auto"/>
        <w:ind w:firstLine="480"/>
        <w:rPr>
          <w:rFonts w:ascii="宋体" w:hAnsi="宋体"/>
          <w:sz w:val="24"/>
        </w:rPr>
      </w:pPr>
      <w:r>
        <w:rPr>
          <w:rFonts w:hint="eastAsia" w:ascii="宋体" w:hAnsi="宋体"/>
          <w:sz w:val="24"/>
        </w:rPr>
        <w:t>被授权人签名：                  投标供应商（盖章）：</w:t>
      </w:r>
    </w:p>
    <w:p>
      <w:pPr>
        <w:topLinePunct/>
        <w:snapToGrid w:val="0"/>
        <w:spacing w:line="360" w:lineRule="auto"/>
        <w:ind w:firstLine="4320" w:firstLineChars="1800"/>
        <w:rPr>
          <w:rFonts w:ascii="宋体" w:hAnsi="宋体"/>
          <w:sz w:val="24"/>
        </w:rPr>
      </w:pPr>
      <w:r>
        <w:rPr>
          <w:rFonts w:hint="eastAsia" w:ascii="宋体" w:hAnsi="宋体"/>
          <w:sz w:val="24"/>
        </w:rPr>
        <w:t>法定代表人（签字或盖章）：</w:t>
      </w:r>
    </w:p>
    <w:p>
      <w:pPr>
        <w:topLinePunct/>
        <w:snapToGrid w:val="0"/>
        <w:spacing w:line="360" w:lineRule="auto"/>
        <w:ind w:firstLine="4320" w:firstLineChars="1800"/>
        <w:rPr>
          <w:rFonts w:hint="eastAsia" w:ascii="宋体" w:hAnsi="宋体"/>
          <w:sz w:val="24"/>
        </w:rPr>
      </w:pPr>
      <w:r>
        <w:rPr>
          <w:rFonts w:hint="eastAsia" w:ascii="宋体" w:hAnsi="宋体"/>
          <w:sz w:val="24"/>
        </w:rPr>
        <w:t>年     月     日</w:t>
      </w:r>
    </w:p>
    <w:p>
      <w:pPr>
        <w:topLinePunct/>
        <w:snapToGrid w:val="0"/>
        <w:spacing w:line="360" w:lineRule="auto"/>
        <w:ind w:firstLine="5760" w:firstLineChars="2400"/>
        <w:rPr>
          <w:rFonts w:hint="eastAsia" w:ascii="宋体" w:hAnsi="宋体"/>
          <w:sz w:val="24"/>
        </w:rPr>
      </w:pPr>
    </w:p>
    <w:tbl>
      <w:tblPr>
        <w:tblStyle w:val="15"/>
        <w:tblW w:w="1019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720"/>
        <w:gridCol w:w="4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4680" w:type="dxa"/>
            <w:noWrap w:val="0"/>
            <w:vAlign w:val="top"/>
          </w:tcPr>
          <w:p>
            <w:pPr>
              <w:widowControl/>
              <w:topLinePunct/>
              <w:spacing w:before="4" w:line="360" w:lineRule="auto"/>
              <w:rPr>
                <w:rFonts w:ascii="宋体" w:hAnsi="宋体"/>
                <w:sz w:val="24"/>
              </w:rPr>
            </w:pPr>
          </w:p>
          <w:p>
            <w:pPr>
              <w:widowControl/>
              <w:topLinePunct/>
              <w:spacing w:before="4" w:line="360" w:lineRule="auto"/>
              <w:rPr>
                <w:rFonts w:ascii="宋体" w:hAnsi="宋体"/>
                <w:sz w:val="24"/>
              </w:rPr>
            </w:pPr>
          </w:p>
          <w:p>
            <w:pPr>
              <w:widowControl/>
              <w:topLinePunct/>
              <w:spacing w:before="4" w:line="360" w:lineRule="auto"/>
              <w:jc w:val="center"/>
              <w:rPr>
                <w:rFonts w:ascii="宋体" w:hAnsi="宋体"/>
                <w:sz w:val="24"/>
              </w:rPr>
            </w:pPr>
            <w:r>
              <w:rPr>
                <w:rFonts w:hint="eastAsia" w:ascii="宋体" w:hAnsi="宋体"/>
                <w:sz w:val="24"/>
              </w:rPr>
              <w:t>法定代表人身份证复印件</w:t>
            </w:r>
          </w:p>
        </w:tc>
        <w:tc>
          <w:tcPr>
            <w:tcW w:w="720" w:type="dxa"/>
            <w:tcBorders>
              <w:top w:val="nil"/>
              <w:bottom w:val="nil"/>
            </w:tcBorders>
            <w:noWrap w:val="0"/>
            <w:vAlign w:val="top"/>
          </w:tcPr>
          <w:p>
            <w:pPr>
              <w:widowControl/>
              <w:jc w:val="left"/>
              <w:rPr>
                <w:rFonts w:ascii="宋体" w:hAnsi="宋体"/>
                <w:sz w:val="24"/>
              </w:rPr>
            </w:pPr>
          </w:p>
        </w:tc>
        <w:tc>
          <w:tcPr>
            <w:tcW w:w="4792" w:type="dxa"/>
            <w:noWrap w:val="0"/>
            <w:vAlign w:val="top"/>
          </w:tcPr>
          <w:p>
            <w:pPr>
              <w:widowControl/>
              <w:topLinePunct/>
              <w:spacing w:before="4" w:line="360" w:lineRule="auto"/>
              <w:rPr>
                <w:rFonts w:ascii="宋体" w:hAnsi="宋体"/>
                <w:sz w:val="24"/>
              </w:rPr>
            </w:pPr>
          </w:p>
          <w:p>
            <w:pPr>
              <w:widowControl/>
              <w:topLinePunct/>
              <w:spacing w:before="4" w:line="360" w:lineRule="auto"/>
              <w:rPr>
                <w:rFonts w:ascii="宋体" w:hAnsi="宋体"/>
                <w:sz w:val="24"/>
              </w:rPr>
            </w:pPr>
          </w:p>
          <w:p>
            <w:pPr>
              <w:widowControl/>
              <w:topLinePunct/>
              <w:spacing w:before="4" w:line="360" w:lineRule="auto"/>
              <w:jc w:val="center"/>
              <w:rPr>
                <w:rFonts w:ascii="宋体" w:hAnsi="宋体"/>
                <w:sz w:val="24"/>
              </w:rPr>
            </w:pPr>
            <w:r>
              <w:rPr>
                <w:rFonts w:hint="eastAsia" w:ascii="宋体" w:hAnsi="宋体"/>
                <w:sz w:val="24"/>
              </w:rPr>
              <w:t>授权代表身份证复印件</w:t>
            </w:r>
          </w:p>
        </w:tc>
      </w:tr>
    </w:tbl>
    <w:p>
      <w:pPr>
        <w:numPr>
          <w:ilvl w:val="0"/>
          <w:numId w:val="0"/>
        </w:numPr>
        <w:spacing w:line="360" w:lineRule="auto"/>
        <w:jc w:val="both"/>
        <w:rPr>
          <w:rFonts w:hint="eastAsia" w:ascii="黑体" w:eastAsia="黑体" w:cs="Times New Roman"/>
          <w:bCs/>
          <w:sz w:val="24"/>
          <w:szCs w:val="24"/>
          <w:lang w:val="en-US" w:eastAsia="zh-CN"/>
        </w:rPr>
      </w:pPr>
      <w:r>
        <w:rPr>
          <w:rFonts w:ascii="宋体" w:hAnsi="宋体" w:eastAsia="宋体"/>
          <w:sz w:val="24"/>
        </w:rPr>
        <w:br w:type="page"/>
      </w:r>
    </w:p>
    <w:p>
      <w:pPr>
        <w:pStyle w:val="4"/>
        <w:adjustRightInd w:val="0"/>
        <w:snapToGrid w:val="0"/>
        <w:spacing w:before="0" w:after="0" w:line="360" w:lineRule="auto"/>
        <w:rPr>
          <w:rFonts w:hint="eastAsia" w:ascii="宋体" w:hAnsi="宋体" w:eastAsia="宋体"/>
          <w:bCs w:val="0"/>
        </w:rPr>
      </w:pPr>
      <w:r>
        <w:rPr>
          <w:rFonts w:hint="eastAsia" w:hAnsi="宋体"/>
          <w:b w:val="0"/>
          <w:sz w:val="24"/>
          <w:szCs w:val="24"/>
        </w:rPr>
        <w:t>（六）关于资格的声明函（格式）</w:t>
      </w:r>
    </w:p>
    <w:p>
      <w:pPr>
        <w:topLinePunct/>
        <w:snapToGrid w:val="0"/>
        <w:spacing w:line="360" w:lineRule="auto"/>
        <w:jc w:val="center"/>
        <w:rPr>
          <w:rFonts w:hint="eastAsia" w:ascii="宋体" w:hAnsi="宋体"/>
          <w:sz w:val="24"/>
        </w:rPr>
      </w:pPr>
    </w:p>
    <w:p>
      <w:pPr>
        <w:jc w:val="center"/>
        <w:outlineLvl w:val="0"/>
        <w:rPr>
          <w:rFonts w:hint="eastAsia" w:ascii="宋体" w:hAnsi="宋体" w:cs="宋体"/>
          <w:b/>
          <w:bCs/>
          <w:sz w:val="30"/>
          <w:szCs w:val="30"/>
        </w:rPr>
      </w:pPr>
      <w:r>
        <w:rPr>
          <w:rFonts w:hint="eastAsia" w:ascii="宋体" w:hAnsi="宋体" w:cs="宋体"/>
          <w:b/>
          <w:bCs/>
          <w:sz w:val="30"/>
          <w:szCs w:val="30"/>
        </w:rPr>
        <w:t>关于资格的声明函</w:t>
      </w:r>
    </w:p>
    <w:p>
      <w:pPr>
        <w:topLinePunct/>
        <w:snapToGrid w:val="0"/>
        <w:spacing w:line="360" w:lineRule="auto"/>
        <w:jc w:val="center"/>
        <w:rPr>
          <w:rFonts w:hint="eastAsia" w:ascii="宋体" w:hAnsi="宋体"/>
          <w:sz w:val="24"/>
        </w:rPr>
      </w:pPr>
    </w:p>
    <w:p>
      <w:pPr>
        <w:topLinePunct/>
        <w:snapToGrid w:val="0"/>
        <w:spacing w:line="360" w:lineRule="auto"/>
        <w:jc w:val="center"/>
        <w:rPr>
          <w:rFonts w:ascii="宋体" w:hAnsi="宋体"/>
          <w:sz w:val="24"/>
        </w:rPr>
      </w:pPr>
      <w:r>
        <w:rPr>
          <w:rFonts w:hint="eastAsia" w:ascii="宋体" w:hAnsi="宋体"/>
          <w:sz w:val="24"/>
        </w:rPr>
        <w:t>采购编号：</w:t>
      </w:r>
    </w:p>
    <w:p>
      <w:pPr>
        <w:topLinePunct/>
        <w:snapToGrid w:val="0"/>
        <w:spacing w:line="360" w:lineRule="auto"/>
        <w:jc w:val="center"/>
        <w:rPr>
          <w:rFonts w:hint="eastAsia" w:ascii="宋体" w:hAnsi="宋体"/>
          <w:sz w:val="24"/>
        </w:rPr>
      </w:pPr>
      <w:r>
        <w:rPr>
          <w:rFonts w:hint="eastAsia" w:ascii="宋体" w:hAnsi="宋体"/>
          <w:sz w:val="24"/>
        </w:rPr>
        <w:t xml:space="preserve">    日期：</w:t>
      </w:r>
    </w:p>
    <w:p>
      <w:pPr>
        <w:topLinePunct/>
        <w:snapToGrid w:val="0"/>
        <w:spacing w:line="360" w:lineRule="auto"/>
        <w:jc w:val="center"/>
        <w:rPr>
          <w:rFonts w:hint="eastAsia" w:ascii="宋体" w:hAnsi="宋体"/>
          <w:sz w:val="24"/>
        </w:rPr>
      </w:pPr>
    </w:p>
    <w:p>
      <w:pPr>
        <w:jc w:val="center"/>
        <w:rPr>
          <w:rFonts w:ascii="宋体" w:hAnsi="宋体"/>
        </w:rPr>
      </w:pPr>
    </w:p>
    <w:p>
      <w:pPr>
        <w:topLinePunct/>
        <w:snapToGrid w:val="0"/>
        <w:spacing w:line="360" w:lineRule="auto"/>
        <w:rPr>
          <w:rFonts w:ascii="宋体" w:hAnsi="宋体"/>
          <w:sz w:val="24"/>
          <w:u w:val="single"/>
        </w:rPr>
      </w:pPr>
      <w:r>
        <w:rPr>
          <w:rFonts w:hint="eastAsia" w:ascii="宋体" w:hAnsi="宋体"/>
          <w:sz w:val="24"/>
          <w:u w:val="single"/>
          <w:lang w:eastAsia="zh-CN"/>
        </w:rPr>
        <w:t>江苏博智工程咨询有限公司</w:t>
      </w:r>
      <w:r>
        <w:rPr>
          <w:rFonts w:hint="eastAsia" w:ascii="宋体" w:hAnsi="宋体"/>
          <w:sz w:val="24"/>
          <w:u w:val="single"/>
        </w:rPr>
        <w:t>：</w:t>
      </w:r>
    </w:p>
    <w:p>
      <w:pPr>
        <w:pStyle w:val="8"/>
        <w:spacing w:line="360" w:lineRule="auto"/>
        <w:ind w:left="0" w:right="34" w:firstLine="403"/>
        <w:rPr>
          <w:rFonts w:hint="eastAsia" w:ascii="宋体" w:hAnsi="宋体"/>
          <w:szCs w:val="24"/>
        </w:rPr>
      </w:pPr>
      <w:r>
        <w:rPr>
          <w:rFonts w:hint="eastAsia" w:ascii="宋体" w:hAnsi="宋体"/>
          <w:szCs w:val="24"/>
        </w:rPr>
        <w:t>我公司（单位）</w:t>
      </w:r>
      <w:r>
        <w:rPr>
          <w:rFonts w:ascii="宋体" w:hAnsi="宋体"/>
          <w:szCs w:val="24"/>
        </w:rPr>
        <w:t>在参加本次政府采购活动前三年内，在经营活动中没有重大违法记录。</w:t>
      </w:r>
    </w:p>
    <w:p>
      <w:pPr>
        <w:pStyle w:val="8"/>
        <w:spacing w:line="360" w:lineRule="auto"/>
        <w:ind w:left="0" w:right="34" w:firstLine="403"/>
        <w:rPr>
          <w:rFonts w:ascii="宋体" w:hAnsi="宋体"/>
          <w:szCs w:val="24"/>
        </w:rPr>
      </w:pPr>
      <w:r>
        <w:rPr>
          <w:rFonts w:hint="eastAsia" w:ascii="宋体" w:hAnsi="宋体"/>
          <w:szCs w:val="24"/>
        </w:rPr>
        <w:t>我公司愿针对本项目（采购编号：　　　　）进行报价，投标文件中所有关于报价资格的文件、证明、陈述均是真实的、准确的。若有违背，我公司（单位）        愿意承担由此而产生的一切后果。</w:t>
      </w:r>
    </w:p>
    <w:p>
      <w:pPr>
        <w:pStyle w:val="8"/>
        <w:spacing w:line="360" w:lineRule="auto"/>
        <w:ind w:left="0" w:right="34" w:firstLine="403"/>
        <w:rPr>
          <w:rFonts w:ascii="宋体" w:hAnsi="宋体"/>
          <w:szCs w:val="24"/>
        </w:rPr>
      </w:pPr>
    </w:p>
    <w:p>
      <w:pPr>
        <w:pStyle w:val="8"/>
        <w:spacing w:line="360" w:lineRule="auto"/>
        <w:ind w:left="0" w:right="34" w:firstLine="403"/>
        <w:rPr>
          <w:rFonts w:ascii="宋体" w:hAnsi="宋体"/>
          <w:sz w:val="21"/>
        </w:rPr>
      </w:pPr>
    </w:p>
    <w:p>
      <w:pPr>
        <w:pStyle w:val="8"/>
        <w:spacing w:line="360" w:lineRule="auto"/>
        <w:ind w:left="0" w:right="34" w:firstLine="403"/>
        <w:rPr>
          <w:rFonts w:ascii="宋体" w:hAnsi="宋体"/>
          <w:sz w:val="21"/>
        </w:rPr>
      </w:pPr>
    </w:p>
    <w:p>
      <w:pPr>
        <w:spacing w:line="360" w:lineRule="auto"/>
        <w:outlineLvl w:val="0"/>
        <w:rPr>
          <w:rFonts w:hint="eastAsia"/>
          <w:b/>
          <w:bCs/>
          <w:sz w:val="24"/>
        </w:rPr>
      </w:pPr>
    </w:p>
    <w:p>
      <w:pPr>
        <w:spacing w:line="360" w:lineRule="auto"/>
        <w:jc w:val="left"/>
        <w:outlineLvl w:val="0"/>
        <w:rPr>
          <w:rFonts w:hint="eastAsia"/>
          <w:b/>
          <w:bCs/>
          <w:sz w:val="24"/>
        </w:rPr>
      </w:pPr>
      <w:r>
        <w:rPr>
          <w:rFonts w:hint="eastAsia"/>
          <w:b/>
          <w:bCs/>
          <w:sz w:val="24"/>
        </w:rPr>
        <w:t xml:space="preserve">                                   投标供应商（盖章）：</w:t>
      </w:r>
    </w:p>
    <w:p>
      <w:pPr>
        <w:spacing w:line="360" w:lineRule="auto"/>
        <w:outlineLvl w:val="0"/>
        <w:rPr>
          <w:rFonts w:hint="eastAsia"/>
          <w:b/>
          <w:bCs/>
          <w:sz w:val="24"/>
        </w:rPr>
      </w:pPr>
      <w:r>
        <w:rPr>
          <w:rFonts w:hint="eastAsia"/>
          <w:b/>
          <w:bCs/>
          <w:sz w:val="24"/>
        </w:rPr>
        <w:t>　　　　　　　　　　　法定代表人或法定代表人授权代表签字或盖章：</w:t>
      </w:r>
    </w:p>
    <w:p>
      <w:pPr>
        <w:spacing w:line="360" w:lineRule="auto"/>
        <w:outlineLvl w:val="0"/>
        <w:rPr>
          <w:b/>
          <w:bCs/>
          <w:sz w:val="24"/>
        </w:rPr>
      </w:pPr>
      <w:r>
        <w:rPr>
          <w:rFonts w:hint="eastAsia"/>
          <w:b/>
          <w:bCs/>
          <w:sz w:val="24"/>
        </w:rPr>
        <w:t xml:space="preserve">                                   年     月     日</w:t>
      </w:r>
    </w:p>
    <w:p>
      <w:pPr>
        <w:adjustRightInd w:val="0"/>
        <w:snapToGrid w:val="0"/>
        <w:spacing w:line="360" w:lineRule="auto"/>
        <w:outlineLvl w:val="0"/>
        <w:rPr>
          <w:rFonts w:ascii="宋体" w:hAnsi="宋体"/>
          <w:b/>
          <w:sz w:val="32"/>
          <w:szCs w:val="32"/>
        </w:rPr>
      </w:pPr>
    </w:p>
    <w:p>
      <w:pPr>
        <w:widowControl/>
        <w:spacing w:line="360" w:lineRule="auto"/>
        <w:rPr>
          <w:rFonts w:ascii="宋体" w:hAnsi="宋体" w:cs="宋体"/>
          <w:b/>
          <w:sz w:val="30"/>
          <w:szCs w:val="30"/>
        </w:rPr>
      </w:pPr>
    </w:p>
    <w:p>
      <w:pPr>
        <w:widowControl/>
        <w:spacing w:line="360" w:lineRule="auto"/>
        <w:rPr>
          <w:rFonts w:ascii="宋体" w:hAnsi="宋体" w:cs="宋体"/>
          <w:b/>
          <w:sz w:val="30"/>
          <w:szCs w:val="30"/>
        </w:rPr>
      </w:pPr>
    </w:p>
    <w:p>
      <w:pPr>
        <w:pStyle w:val="2"/>
        <w:numPr>
          <w:ilvl w:val="4"/>
          <w:numId w:val="0"/>
        </w:numPr>
        <w:ind w:leftChars="0"/>
      </w:pPr>
    </w:p>
    <w:p/>
    <w:p>
      <w:pPr>
        <w:pStyle w:val="4"/>
        <w:adjustRightInd w:val="0"/>
        <w:snapToGrid w:val="0"/>
        <w:spacing w:before="0" w:after="0" w:line="360" w:lineRule="auto"/>
        <w:rPr>
          <w:rFonts w:hint="eastAsia" w:hAnsi="宋体"/>
          <w:b w:val="0"/>
          <w:sz w:val="24"/>
          <w:szCs w:val="24"/>
        </w:rPr>
      </w:pPr>
      <w:r>
        <w:rPr>
          <w:rFonts w:hint="eastAsia" w:hAnsi="宋体"/>
          <w:b w:val="0"/>
          <w:sz w:val="24"/>
          <w:szCs w:val="24"/>
        </w:rPr>
        <w:t>（七）拟投入本项目的人员一览表（格式）</w:t>
      </w:r>
    </w:p>
    <w:p>
      <w:pPr>
        <w:snapToGrid w:val="0"/>
        <w:spacing w:line="360" w:lineRule="auto"/>
        <w:outlineLvl w:val="0"/>
        <w:rPr>
          <w:rFonts w:ascii="黑体" w:eastAsia="黑体"/>
          <w:bCs/>
          <w:sz w:val="24"/>
        </w:rPr>
      </w:pPr>
    </w:p>
    <w:p>
      <w:pPr>
        <w:snapToGrid w:val="0"/>
        <w:spacing w:line="360" w:lineRule="auto"/>
        <w:jc w:val="center"/>
        <w:outlineLvl w:val="0"/>
        <w:rPr>
          <w:rFonts w:ascii="黑体" w:eastAsia="黑体"/>
          <w:bCs/>
          <w:sz w:val="28"/>
          <w:szCs w:val="28"/>
        </w:rPr>
      </w:pPr>
      <w:r>
        <w:rPr>
          <w:rFonts w:hint="eastAsia" w:ascii="黑体" w:eastAsia="黑体"/>
          <w:bCs/>
          <w:sz w:val="28"/>
          <w:szCs w:val="28"/>
        </w:rPr>
        <w:t>拟投入本项目的人员一览表</w:t>
      </w:r>
    </w:p>
    <w:tbl>
      <w:tblPr>
        <w:tblStyle w:val="15"/>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875"/>
        <w:gridCol w:w="1436"/>
        <w:gridCol w:w="1112"/>
        <w:gridCol w:w="120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48" w:type="dxa"/>
            <w:noWrap w:val="0"/>
            <w:vAlign w:val="center"/>
          </w:tcPr>
          <w:p>
            <w:pPr>
              <w:snapToGrid w:val="0"/>
              <w:spacing w:line="500" w:lineRule="exact"/>
              <w:jc w:val="center"/>
              <w:rPr>
                <w:rFonts w:ascii="宋体"/>
                <w:sz w:val="24"/>
              </w:rPr>
            </w:pPr>
            <w:r>
              <w:rPr>
                <w:rFonts w:ascii="宋体" w:eastAsia="Times New Roman"/>
                <w:sz w:val="24"/>
              </w:rPr>
              <w:t>序</w:t>
            </w:r>
            <w:r>
              <w:rPr>
                <w:rFonts w:hint="eastAsia" w:ascii="宋体"/>
                <w:sz w:val="24"/>
              </w:rPr>
              <w:t xml:space="preserve"> </w:t>
            </w:r>
            <w:r>
              <w:rPr>
                <w:rFonts w:ascii="宋体" w:eastAsia="Times New Roman"/>
                <w:sz w:val="24"/>
              </w:rPr>
              <w:t>号</w:t>
            </w:r>
          </w:p>
        </w:tc>
        <w:tc>
          <w:tcPr>
            <w:tcW w:w="1875" w:type="dxa"/>
            <w:noWrap w:val="0"/>
            <w:vAlign w:val="center"/>
          </w:tcPr>
          <w:p>
            <w:pPr>
              <w:snapToGrid w:val="0"/>
              <w:spacing w:line="500" w:lineRule="exact"/>
              <w:ind w:firstLine="240"/>
              <w:jc w:val="center"/>
              <w:rPr>
                <w:rFonts w:ascii="宋体"/>
                <w:sz w:val="24"/>
              </w:rPr>
            </w:pPr>
            <w:r>
              <w:rPr>
                <w:rFonts w:ascii="宋体" w:eastAsia="Times New Roman"/>
                <w:sz w:val="24"/>
              </w:rPr>
              <w:t>姓 名</w:t>
            </w:r>
          </w:p>
        </w:tc>
        <w:tc>
          <w:tcPr>
            <w:tcW w:w="1436" w:type="dxa"/>
            <w:noWrap w:val="0"/>
            <w:vAlign w:val="center"/>
          </w:tcPr>
          <w:p>
            <w:pPr>
              <w:snapToGrid w:val="0"/>
              <w:spacing w:line="500" w:lineRule="exact"/>
              <w:jc w:val="center"/>
              <w:rPr>
                <w:rFonts w:ascii="宋体"/>
                <w:sz w:val="24"/>
              </w:rPr>
            </w:pPr>
            <w:r>
              <w:rPr>
                <w:rFonts w:ascii="宋体" w:eastAsia="Times New Roman"/>
                <w:sz w:val="24"/>
              </w:rPr>
              <w:t>年</w:t>
            </w:r>
            <w:r>
              <w:rPr>
                <w:rFonts w:hint="eastAsia" w:ascii="宋体"/>
                <w:sz w:val="24"/>
              </w:rPr>
              <w:t xml:space="preserve"> </w:t>
            </w:r>
            <w:r>
              <w:rPr>
                <w:rFonts w:ascii="宋体" w:eastAsia="Times New Roman"/>
                <w:sz w:val="24"/>
              </w:rPr>
              <w:t>龄</w:t>
            </w:r>
          </w:p>
        </w:tc>
        <w:tc>
          <w:tcPr>
            <w:tcW w:w="1112" w:type="dxa"/>
            <w:noWrap w:val="0"/>
            <w:vAlign w:val="center"/>
          </w:tcPr>
          <w:p>
            <w:pPr>
              <w:snapToGrid w:val="0"/>
              <w:spacing w:line="500" w:lineRule="exact"/>
              <w:jc w:val="center"/>
              <w:rPr>
                <w:rFonts w:ascii="宋体"/>
                <w:sz w:val="24"/>
              </w:rPr>
            </w:pPr>
            <w:r>
              <w:rPr>
                <w:rFonts w:ascii="宋体" w:eastAsia="Times New Roman"/>
                <w:sz w:val="24"/>
              </w:rPr>
              <w:t>性</w:t>
            </w:r>
            <w:r>
              <w:rPr>
                <w:rFonts w:hint="eastAsia" w:ascii="宋体"/>
                <w:sz w:val="24"/>
              </w:rPr>
              <w:t xml:space="preserve"> </w:t>
            </w:r>
            <w:r>
              <w:rPr>
                <w:rFonts w:ascii="宋体" w:eastAsia="Times New Roman"/>
                <w:sz w:val="24"/>
              </w:rPr>
              <w:t>别</w:t>
            </w:r>
          </w:p>
        </w:tc>
        <w:tc>
          <w:tcPr>
            <w:tcW w:w="1200" w:type="dxa"/>
            <w:noWrap w:val="0"/>
            <w:vAlign w:val="center"/>
          </w:tcPr>
          <w:p>
            <w:pPr>
              <w:snapToGrid w:val="0"/>
              <w:spacing w:line="500" w:lineRule="exact"/>
              <w:jc w:val="center"/>
              <w:rPr>
                <w:rFonts w:ascii="宋体"/>
                <w:sz w:val="24"/>
              </w:rPr>
            </w:pPr>
            <w:r>
              <w:rPr>
                <w:rFonts w:ascii="宋体" w:eastAsia="Times New Roman"/>
                <w:sz w:val="24"/>
              </w:rPr>
              <w:t>学</w:t>
            </w:r>
            <w:r>
              <w:rPr>
                <w:rFonts w:hint="eastAsia" w:ascii="宋体"/>
                <w:sz w:val="24"/>
              </w:rPr>
              <w:t xml:space="preserve"> </w:t>
            </w:r>
            <w:r>
              <w:rPr>
                <w:rFonts w:ascii="宋体" w:eastAsia="Times New Roman"/>
                <w:sz w:val="24"/>
              </w:rPr>
              <w:t>历</w:t>
            </w:r>
          </w:p>
        </w:tc>
        <w:tc>
          <w:tcPr>
            <w:tcW w:w="2113" w:type="dxa"/>
            <w:noWrap w:val="0"/>
            <w:vAlign w:val="center"/>
          </w:tcPr>
          <w:p>
            <w:pPr>
              <w:snapToGrid w:val="0"/>
              <w:spacing w:line="500" w:lineRule="exact"/>
              <w:jc w:val="center"/>
              <w:rPr>
                <w:rFonts w:ascii="宋体" w:eastAsia="Times New Roman"/>
                <w:sz w:val="24"/>
              </w:rPr>
            </w:pPr>
            <w:r>
              <w:rPr>
                <w:rFonts w:ascii="宋体" w:eastAsia="Times New Roman"/>
                <w:sz w:val="24"/>
              </w:rPr>
              <w:t>在本项目拟任</w:t>
            </w:r>
          </w:p>
          <w:p>
            <w:pPr>
              <w:snapToGrid w:val="0"/>
              <w:spacing w:line="500" w:lineRule="exact"/>
              <w:jc w:val="center"/>
              <w:rPr>
                <w:rFonts w:ascii="宋体"/>
                <w:sz w:val="24"/>
              </w:rPr>
            </w:pPr>
            <w:r>
              <w:rPr>
                <w:rFonts w:ascii="宋体" w:eastAsia="Times New Roman"/>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48" w:type="dxa"/>
            <w:noWrap w:val="0"/>
            <w:vAlign w:val="center"/>
          </w:tcPr>
          <w:p>
            <w:pPr>
              <w:snapToGrid w:val="0"/>
              <w:spacing w:line="500" w:lineRule="exact"/>
              <w:jc w:val="center"/>
              <w:rPr>
                <w:rFonts w:ascii="宋体"/>
                <w:sz w:val="24"/>
              </w:rPr>
            </w:pPr>
          </w:p>
        </w:tc>
        <w:tc>
          <w:tcPr>
            <w:tcW w:w="1875" w:type="dxa"/>
            <w:noWrap w:val="0"/>
            <w:vAlign w:val="center"/>
          </w:tcPr>
          <w:p>
            <w:pPr>
              <w:snapToGrid w:val="0"/>
              <w:spacing w:line="500" w:lineRule="exact"/>
              <w:jc w:val="center"/>
              <w:rPr>
                <w:rFonts w:ascii="宋体"/>
                <w:sz w:val="24"/>
              </w:rPr>
            </w:pPr>
          </w:p>
        </w:tc>
        <w:tc>
          <w:tcPr>
            <w:tcW w:w="1436" w:type="dxa"/>
            <w:noWrap w:val="0"/>
            <w:vAlign w:val="center"/>
          </w:tcPr>
          <w:p>
            <w:pPr>
              <w:snapToGrid w:val="0"/>
              <w:spacing w:line="500" w:lineRule="exact"/>
              <w:jc w:val="center"/>
              <w:rPr>
                <w:rFonts w:ascii="宋体"/>
                <w:sz w:val="24"/>
              </w:rPr>
            </w:pPr>
          </w:p>
        </w:tc>
        <w:tc>
          <w:tcPr>
            <w:tcW w:w="1112" w:type="dxa"/>
            <w:noWrap w:val="0"/>
            <w:vAlign w:val="center"/>
          </w:tcPr>
          <w:p>
            <w:pPr>
              <w:snapToGrid w:val="0"/>
              <w:spacing w:line="500" w:lineRule="exact"/>
              <w:jc w:val="center"/>
              <w:rPr>
                <w:rFonts w:ascii="宋体"/>
                <w:sz w:val="24"/>
              </w:rPr>
            </w:pPr>
          </w:p>
        </w:tc>
        <w:tc>
          <w:tcPr>
            <w:tcW w:w="1200" w:type="dxa"/>
            <w:noWrap w:val="0"/>
            <w:vAlign w:val="center"/>
          </w:tcPr>
          <w:p>
            <w:pPr>
              <w:snapToGrid w:val="0"/>
              <w:spacing w:line="500" w:lineRule="exact"/>
              <w:jc w:val="center"/>
              <w:rPr>
                <w:rFonts w:ascii="宋体"/>
                <w:sz w:val="24"/>
              </w:rPr>
            </w:pPr>
          </w:p>
        </w:tc>
        <w:tc>
          <w:tcPr>
            <w:tcW w:w="2113" w:type="dxa"/>
            <w:noWrap w:val="0"/>
            <w:vAlign w:val="center"/>
          </w:tcPr>
          <w:p>
            <w:pPr>
              <w:snapToGrid w:val="0"/>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48" w:type="dxa"/>
            <w:noWrap w:val="0"/>
            <w:vAlign w:val="center"/>
          </w:tcPr>
          <w:p>
            <w:pPr>
              <w:snapToGrid w:val="0"/>
              <w:spacing w:line="500" w:lineRule="exact"/>
              <w:jc w:val="center"/>
              <w:rPr>
                <w:rFonts w:ascii="宋体"/>
                <w:sz w:val="24"/>
              </w:rPr>
            </w:pPr>
          </w:p>
        </w:tc>
        <w:tc>
          <w:tcPr>
            <w:tcW w:w="1875" w:type="dxa"/>
            <w:noWrap w:val="0"/>
            <w:vAlign w:val="center"/>
          </w:tcPr>
          <w:p>
            <w:pPr>
              <w:snapToGrid w:val="0"/>
              <w:spacing w:line="500" w:lineRule="exact"/>
              <w:jc w:val="center"/>
              <w:rPr>
                <w:rFonts w:ascii="宋体"/>
                <w:sz w:val="24"/>
              </w:rPr>
            </w:pPr>
          </w:p>
        </w:tc>
        <w:tc>
          <w:tcPr>
            <w:tcW w:w="1436" w:type="dxa"/>
            <w:noWrap w:val="0"/>
            <w:vAlign w:val="center"/>
          </w:tcPr>
          <w:p>
            <w:pPr>
              <w:snapToGrid w:val="0"/>
              <w:spacing w:line="500" w:lineRule="exact"/>
              <w:jc w:val="center"/>
              <w:rPr>
                <w:rFonts w:ascii="宋体"/>
                <w:sz w:val="24"/>
              </w:rPr>
            </w:pPr>
          </w:p>
        </w:tc>
        <w:tc>
          <w:tcPr>
            <w:tcW w:w="1112" w:type="dxa"/>
            <w:noWrap w:val="0"/>
            <w:vAlign w:val="center"/>
          </w:tcPr>
          <w:p>
            <w:pPr>
              <w:snapToGrid w:val="0"/>
              <w:spacing w:line="500" w:lineRule="exact"/>
              <w:jc w:val="center"/>
              <w:rPr>
                <w:rFonts w:ascii="宋体"/>
                <w:sz w:val="24"/>
              </w:rPr>
            </w:pPr>
          </w:p>
        </w:tc>
        <w:tc>
          <w:tcPr>
            <w:tcW w:w="1200" w:type="dxa"/>
            <w:noWrap w:val="0"/>
            <w:vAlign w:val="center"/>
          </w:tcPr>
          <w:p>
            <w:pPr>
              <w:snapToGrid w:val="0"/>
              <w:spacing w:line="500" w:lineRule="exact"/>
              <w:jc w:val="center"/>
              <w:rPr>
                <w:rFonts w:ascii="宋体"/>
                <w:sz w:val="24"/>
              </w:rPr>
            </w:pPr>
          </w:p>
        </w:tc>
        <w:tc>
          <w:tcPr>
            <w:tcW w:w="2113" w:type="dxa"/>
            <w:noWrap w:val="0"/>
            <w:vAlign w:val="center"/>
          </w:tcPr>
          <w:p>
            <w:pPr>
              <w:snapToGrid w:val="0"/>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48" w:type="dxa"/>
            <w:noWrap w:val="0"/>
            <w:vAlign w:val="center"/>
          </w:tcPr>
          <w:p>
            <w:pPr>
              <w:snapToGrid w:val="0"/>
              <w:spacing w:line="500" w:lineRule="exact"/>
              <w:jc w:val="center"/>
              <w:rPr>
                <w:rFonts w:ascii="宋体"/>
                <w:sz w:val="24"/>
              </w:rPr>
            </w:pPr>
          </w:p>
        </w:tc>
        <w:tc>
          <w:tcPr>
            <w:tcW w:w="1875" w:type="dxa"/>
            <w:noWrap w:val="0"/>
            <w:vAlign w:val="center"/>
          </w:tcPr>
          <w:p>
            <w:pPr>
              <w:snapToGrid w:val="0"/>
              <w:spacing w:line="500" w:lineRule="exact"/>
              <w:jc w:val="center"/>
              <w:rPr>
                <w:rFonts w:ascii="宋体"/>
                <w:sz w:val="24"/>
              </w:rPr>
            </w:pPr>
          </w:p>
        </w:tc>
        <w:tc>
          <w:tcPr>
            <w:tcW w:w="1436" w:type="dxa"/>
            <w:noWrap w:val="0"/>
            <w:vAlign w:val="center"/>
          </w:tcPr>
          <w:p>
            <w:pPr>
              <w:snapToGrid w:val="0"/>
              <w:spacing w:line="500" w:lineRule="exact"/>
              <w:jc w:val="center"/>
              <w:rPr>
                <w:rFonts w:ascii="宋体"/>
                <w:sz w:val="24"/>
              </w:rPr>
            </w:pPr>
          </w:p>
        </w:tc>
        <w:tc>
          <w:tcPr>
            <w:tcW w:w="1112" w:type="dxa"/>
            <w:noWrap w:val="0"/>
            <w:vAlign w:val="center"/>
          </w:tcPr>
          <w:p>
            <w:pPr>
              <w:snapToGrid w:val="0"/>
              <w:spacing w:line="500" w:lineRule="exact"/>
              <w:jc w:val="center"/>
              <w:rPr>
                <w:rFonts w:ascii="宋体"/>
                <w:sz w:val="24"/>
              </w:rPr>
            </w:pPr>
          </w:p>
        </w:tc>
        <w:tc>
          <w:tcPr>
            <w:tcW w:w="1200" w:type="dxa"/>
            <w:noWrap w:val="0"/>
            <w:vAlign w:val="center"/>
          </w:tcPr>
          <w:p>
            <w:pPr>
              <w:snapToGrid w:val="0"/>
              <w:spacing w:line="500" w:lineRule="exact"/>
              <w:jc w:val="center"/>
              <w:rPr>
                <w:rFonts w:ascii="宋体"/>
                <w:sz w:val="24"/>
              </w:rPr>
            </w:pPr>
          </w:p>
        </w:tc>
        <w:tc>
          <w:tcPr>
            <w:tcW w:w="2113" w:type="dxa"/>
            <w:noWrap w:val="0"/>
            <w:vAlign w:val="center"/>
          </w:tcPr>
          <w:p>
            <w:pPr>
              <w:snapToGrid w:val="0"/>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48" w:type="dxa"/>
            <w:noWrap w:val="0"/>
            <w:vAlign w:val="center"/>
          </w:tcPr>
          <w:p>
            <w:pPr>
              <w:snapToGrid w:val="0"/>
              <w:spacing w:line="500" w:lineRule="exact"/>
              <w:jc w:val="center"/>
              <w:rPr>
                <w:rFonts w:ascii="宋体"/>
                <w:sz w:val="24"/>
              </w:rPr>
            </w:pPr>
          </w:p>
        </w:tc>
        <w:tc>
          <w:tcPr>
            <w:tcW w:w="1875" w:type="dxa"/>
            <w:noWrap w:val="0"/>
            <w:vAlign w:val="center"/>
          </w:tcPr>
          <w:p>
            <w:pPr>
              <w:snapToGrid w:val="0"/>
              <w:spacing w:line="500" w:lineRule="exact"/>
              <w:jc w:val="center"/>
              <w:rPr>
                <w:rFonts w:ascii="宋体"/>
                <w:sz w:val="24"/>
              </w:rPr>
            </w:pPr>
          </w:p>
        </w:tc>
        <w:tc>
          <w:tcPr>
            <w:tcW w:w="1436" w:type="dxa"/>
            <w:noWrap w:val="0"/>
            <w:vAlign w:val="center"/>
          </w:tcPr>
          <w:p>
            <w:pPr>
              <w:snapToGrid w:val="0"/>
              <w:spacing w:line="500" w:lineRule="exact"/>
              <w:jc w:val="center"/>
              <w:rPr>
                <w:rFonts w:ascii="宋体"/>
                <w:sz w:val="24"/>
              </w:rPr>
            </w:pPr>
          </w:p>
        </w:tc>
        <w:tc>
          <w:tcPr>
            <w:tcW w:w="1112" w:type="dxa"/>
            <w:noWrap w:val="0"/>
            <w:vAlign w:val="center"/>
          </w:tcPr>
          <w:p>
            <w:pPr>
              <w:snapToGrid w:val="0"/>
              <w:spacing w:line="500" w:lineRule="exact"/>
              <w:jc w:val="center"/>
              <w:rPr>
                <w:rFonts w:ascii="宋体"/>
                <w:sz w:val="24"/>
              </w:rPr>
            </w:pPr>
          </w:p>
        </w:tc>
        <w:tc>
          <w:tcPr>
            <w:tcW w:w="1200" w:type="dxa"/>
            <w:noWrap w:val="0"/>
            <w:vAlign w:val="center"/>
          </w:tcPr>
          <w:p>
            <w:pPr>
              <w:snapToGrid w:val="0"/>
              <w:spacing w:line="500" w:lineRule="exact"/>
              <w:jc w:val="center"/>
              <w:rPr>
                <w:rFonts w:ascii="宋体"/>
                <w:sz w:val="24"/>
              </w:rPr>
            </w:pPr>
          </w:p>
        </w:tc>
        <w:tc>
          <w:tcPr>
            <w:tcW w:w="2113" w:type="dxa"/>
            <w:noWrap w:val="0"/>
            <w:vAlign w:val="center"/>
          </w:tcPr>
          <w:p>
            <w:pPr>
              <w:snapToGrid w:val="0"/>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48" w:type="dxa"/>
            <w:noWrap w:val="0"/>
            <w:vAlign w:val="center"/>
          </w:tcPr>
          <w:p>
            <w:pPr>
              <w:snapToGrid w:val="0"/>
              <w:spacing w:line="500" w:lineRule="exact"/>
              <w:jc w:val="center"/>
              <w:rPr>
                <w:rFonts w:ascii="宋体"/>
                <w:sz w:val="24"/>
              </w:rPr>
            </w:pPr>
          </w:p>
        </w:tc>
        <w:tc>
          <w:tcPr>
            <w:tcW w:w="1875" w:type="dxa"/>
            <w:noWrap w:val="0"/>
            <w:vAlign w:val="center"/>
          </w:tcPr>
          <w:p>
            <w:pPr>
              <w:snapToGrid w:val="0"/>
              <w:spacing w:line="500" w:lineRule="exact"/>
              <w:jc w:val="center"/>
              <w:rPr>
                <w:rFonts w:ascii="宋体"/>
                <w:sz w:val="24"/>
              </w:rPr>
            </w:pPr>
          </w:p>
        </w:tc>
        <w:tc>
          <w:tcPr>
            <w:tcW w:w="1436" w:type="dxa"/>
            <w:noWrap w:val="0"/>
            <w:vAlign w:val="center"/>
          </w:tcPr>
          <w:p>
            <w:pPr>
              <w:snapToGrid w:val="0"/>
              <w:spacing w:line="500" w:lineRule="exact"/>
              <w:jc w:val="center"/>
              <w:rPr>
                <w:rFonts w:ascii="宋体"/>
                <w:sz w:val="24"/>
              </w:rPr>
            </w:pPr>
          </w:p>
        </w:tc>
        <w:tc>
          <w:tcPr>
            <w:tcW w:w="1112" w:type="dxa"/>
            <w:noWrap w:val="0"/>
            <w:vAlign w:val="center"/>
          </w:tcPr>
          <w:p>
            <w:pPr>
              <w:snapToGrid w:val="0"/>
              <w:spacing w:line="500" w:lineRule="exact"/>
              <w:jc w:val="center"/>
              <w:rPr>
                <w:rFonts w:ascii="宋体"/>
                <w:sz w:val="24"/>
              </w:rPr>
            </w:pPr>
          </w:p>
        </w:tc>
        <w:tc>
          <w:tcPr>
            <w:tcW w:w="1200" w:type="dxa"/>
            <w:noWrap w:val="0"/>
            <w:vAlign w:val="center"/>
          </w:tcPr>
          <w:p>
            <w:pPr>
              <w:snapToGrid w:val="0"/>
              <w:spacing w:line="500" w:lineRule="exact"/>
              <w:jc w:val="center"/>
              <w:rPr>
                <w:rFonts w:ascii="宋体"/>
                <w:sz w:val="24"/>
              </w:rPr>
            </w:pPr>
          </w:p>
        </w:tc>
        <w:tc>
          <w:tcPr>
            <w:tcW w:w="2113" w:type="dxa"/>
            <w:noWrap w:val="0"/>
            <w:vAlign w:val="center"/>
          </w:tcPr>
          <w:p>
            <w:pPr>
              <w:snapToGrid w:val="0"/>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48" w:type="dxa"/>
            <w:noWrap w:val="0"/>
            <w:vAlign w:val="center"/>
          </w:tcPr>
          <w:p>
            <w:pPr>
              <w:snapToGrid w:val="0"/>
              <w:spacing w:line="500" w:lineRule="exact"/>
              <w:jc w:val="center"/>
              <w:rPr>
                <w:rFonts w:ascii="宋体"/>
                <w:sz w:val="24"/>
              </w:rPr>
            </w:pPr>
          </w:p>
        </w:tc>
        <w:tc>
          <w:tcPr>
            <w:tcW w:w="1875" w:type="dxa"/>
            <w:noWrap w:val="0"/>
            <w:vAlign w:val="center"/>
          </w:tcPr>
          <w:p>
            <w:pPr>
              <w:snapToGrid w:val="0"/>
              <w:spacing w:line="500" w:lineRule="exact"/>
              <w:jc w:val="center"/>
              <w:rPr>
                <w:rFonts w:ascii="宋体"/>
                <w:sz w:val="24"/>
              </w:rPr>
            </w:pPr>
          </w:p>
        </w:tc>
        <w:tc>
          <w:tcPr>
            <w:tcW w:w="1436" w:type="dxa"/>
            <w:noWrap w:val="0"/>
            <w:vAlign w:val="center"/>
          </w:tcPr>
          <w:p>
            <w:pPr>
              <w:snapToGrid w:val="0"/>
              <w:spacing w:line="500" w:lineRule="exact"/>
              <w:jc w:val="center"/>
              <w:rPr>
                <w:rFonts w:ascii="宋体"/>
                <w:sz w:val="24"/>
              </w:rPr>
            </w:pPr>
          </w:p>
        </w:tc>
        <w:tc>
          <w:tcPr>
            <w:tcW w:w="1112" w:type="dxa"/>
            <w:noWrap w:val="0"/>
            <w:vAlign w:val="center"/>
          </w:tcPr>
          <w:p>
            <w:pPr>
              <w:snapToGrid w:val="0"/>
              <w:spacing w:line="500" w:lineRule="exact"/>
              <w:jc w:val="center"/>
              <w:rPr>
                <w:rFonts w:ascii="宋体"/>
                <w:sz w:val="24"/>
              </w:rPr>
            </w:pPr>
          </w:p>
        </w:tc>
        <w:tc>
          <w:tcPr>
            <w:tcW w:w="1200" w:type="dxa"/>
            <w:noWrap w:val="0"/>
            <w:vAlign w:val="center"/>
          </w:tcPr>
          <w:p>
            <w:pPr>
              <w:snapToGrid w:val="0"/>
              <w:spacing w:line="500" w:lineRule="exact"/>
              <w:jc w:val="center"/>
              <w:rPr>
                <w:rFonts w:ascii="宋体"/>
                <w:sz w:val="24"/>
              </w:rPr>
            </w:pPr>
          </w:p>
        </w:tc>
        <w:tc>
          <w:tcPr>
            <w:tcW w:w="2113" w:type="dxa"/>
            <w:noWrap w:val="0"/>
            <w:vAlign w:val="center"/>
          </w:tcPr>
          <w:p>
            <w:pPr>
              <w:snapToGrid w:val="0"/>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148" w:type="dxa"/>
            <w:noWrap w:val="0"/>
            <w:vAlign w:val="center"/>
          </w:tcPr>
          <w:p>
            <w:pPr>
              <w:snapToGrid w:val="0"/>
              <w:spacing w:line="500" w:lineRule="exact"/>
              <w:jc w:val="center"/>
              <w:rPr>
                <w:rFonts w:ascii="宋体"/>
                <w:sz w:val="24"/>
              </w:rPr>
            </w:pPr>
          </w:p>
        </w:tc>
        <w:tc>
          <w:tcPr>
            <w:tcW w:w="1875" w:type="dxa"/>
            <w:noWrap w:val="0"/>
            <w:vAlign w:val="center"/>
          </w:tcPr>
          <w:p>
            <w:pPr>
              <w:snapToGrid w:val="0"/>
              <w:spacing w:line="500" w:lineRule="exact"/>
              <w:jc w:val="center"/>
              <w:rPr>
                <w:rFonts w:ascii="宋体"/>
                <w:sz w:val="24"/>
              </w:rPr>
            </w:pPr>
          </w:p>
        </w:tc>
        <w:tc>
          <w:tcPr>
            <w:tcW w:w="1436" w:type="dxa"/>
            <w:noWrap w:val="0"/>
            <w:vAlign w:val="center"/>
          </w:tcPr>
          <w:p>
            <w:pPr>
              <w:snapToGrid w:val="0"/>
              <w:spacing w:line="500" w:lineRule="exact"/>
              <w:jc w:val="center"/>
              <w:rPr>
                <w:rFonts w:ascii="宋体"/>
                <w:sz w:val="24"/>
              </w:rPr>
            </w:pPr>
          </w:p>
        </w:tc>
        <w:tc>
          <w:tcPr>
            <w:tcW w:w="1112" w:type="dxa"/>
            <w:noWrap w:val="0"/>
            <w:vAlign w:val="center"/>
          </w:tcPr>
          <w:p>
            <w:pPr>
              <w:snapToGrid w:val="0"/>
              <w:spacing w:line="500" w:lineRule="exact"/>
              <w:jc w:val="center"/>
              <w:rPr>
                <w:rFonts w:ascii="宋体"/>
                <w:sz w:val="24"/>
              </w:rPr>
            </w:pPr>
          </w:p>
        </w:tc>
        <w:tc>
          <w:tcPr>
            <w:tcW w:w="1200" w:type="dxa"/>
            <w:noWrap w:val="0"/>
            <w:vAlign w:val="center"/>
          </w:tcPr>
          <w:p>
            <w:pPr>
              <w:snapToGrid w:val="0"/>
              <w:spacing w:line="500" w:lineRule="exact"/>
              <w:jc w:val="center"/>
              <w:rPr>
                <w:rFonts w:ascii="宋体"/>
                <w:sz w:val="24"/>
              </w:rPr>
            </w:pPr>
          </w:p>
        </w:tc>
        <w:tc>
          <w:tcPr>
            <w:tcW w:w="2113" w:type="dxa"/>
            <w:noWrap w:val="0"/>
            <w:vAlign w:val="center"/>
          </w:tcPr>
          <w:p>
            <w:pPr>
              <w:snapToGrid w:val="0"/>
              <w:spacing w:line="5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148" w:type="dxa"/>
            <w:noWrap w:val="0"/>
            <w:vAlign w:val="center"/>
          </w:tcPr>
          <w:p>
            <w:pPr>
              <w:snapToGrid w:val="0"/>
              <w:spacing w:line="500" w:lineRule="exact"/>
              <w:jc w:val="center"/>
              <w:rPr>
                <w:rFonts w:ascii="宋体"/>
                <w:sz w:val="24"/>
              </w:rPr>
            </w:pPr>
          </w:p>
        </w:tc>
        <w:tc>
          <w:tcPr>
            <w:tcW w:w="1875" w:type="dxa"/>
            <w:noWrap w:val="0"/>
            <w:vAlign w:val="center"/>
          </w:tcPr>
          <w:p>
            <w:pPr>
              <w:snapToGrid w:val="0"/>
              <w:spacing w:line="500" w:lineRule="exact"/>
              <w:jc w:val="center"/>
              <w:rPr>
                <w:rFonts w:ascii="宋体"/>
                <w:sz w:val="24"/>
              </w:rPr>
            </w:pPr>
          </w:p>
        </w:tc>
        <w:tc>
          <w:tcPr>
            <w:tcW w:w="1436" w:type="dxa"/>
            <w:noWrap w:val="0"/>
            <w:vAlign w:val="center"/>
          </w:tcPr>
          <w:p>
            <w:pPr>
              <w:snapToGrid w:val="0"/>
              <w:spacing w:line="500" w:lineRule="exact"/>
              <w:jc w:val="center"/>
              <w:rPr>
                <w:rFonts w:ascii="宋体"/>
                <w:sz w:val="24"/>
              </w:rPr>
            </w:pPr>
          </w:p>
        </w:tc>
        <w:tc>
          <w:tcPr>
            <w:tcW w:w="1112" w:type="dxa"/>
            <w:noWrap w:val="0"/>
            <w:vAlign w:val="center"/>
          </w:tcPr>
          <w:p>
            <w:pPr>
              <w:snapToGrid w:val="0"/>
              <w:spacing w:line="500" w:lineRule="exact"/>
              <w:jc w:val="center"/>
              <w:rPr>
                <w:rFonts w:ascii="宋体"/>
                <w:sz w:val="24"/>
              </w:rPr>
            </w:pPr>
          </w:p>
        </w:tc>
        <w:tc>
          <w:tcPr>
            <w:tcW w:w="1200" w:type="dxa"/>
            <w:noWrap w:val="0"/>
            <w:vAlign w:val="center"/>
          </w:tcPr>
          <w:p>
            <w:pPr>
              <w:snapToGrid w:val="0"/>
              <w:spacing w:line="500" w:lineRule="exact"/>
              <w:jc w:val="center"/>
              <w:rPr>
                <w:rFonts w:ascii="宋体"/>
                <w:sz w:val="24"/>
              </w:rPr>
            </w:pPr>
          </w:p>
        </w:tc>
        <w:tc>
          <w:tcPr>
            <w:tcW w:w="2113" w:type="dxa"/>
            <w:noWrap w:val="0"/>
            <w:vAlign w:val="center"/>
          </w:tcPr>
          <w:p>
            <w:pPr>
              <w:snapToGrid w:val="0"/>
              <w:spacing w:line="500" w:lineRule="exact"/>
              <w:jc w:val="center"/>
              <w:rPr>
                <w:rFonts w:ascii="宋体"/>
                <w:sz w:val="24"/>
              </w:rPr>
            </w:pPr>
          </w:p>
        </w:tc>
      </w:tr>
    </w:tbl>
    <w:p>
      <w:pPr>
        <w:spacing w:line="480" w:lineRule="auto"/>
        <w:rPr>
          <w:rFonts w:ascii="宋体"/>
          <w:bCs/>
          <w:sz w:val="24"/>
        </w:rPr>
      </w:pPr>
    </w:p>
    <w:p>
      <w:pPr>
        <w:spacing w:line="360" w:lineRule="auto"/>
        <w:outlineLvl w:val="0"/>
        <w:rPr>
          <w:rFonts w:hint="eastAsia"/>
          <w:b/>
          <w:bCs/>
          <w:sz w:val="24"/>
        </w:rPr>
      </w:pPr>
      <w:r>
        <w:rPr>
          <w:rFonts w:hint="eastAsia"/>
          <w:b/>
          <w:bCs/>
          <w:sz w:val="24"/>
        </w:rPr>
        <w:t>投标供应商（盖章）：</w:t>
      </w:r>
    </w:p>
    <w:p>
      <w:pPr>
        <w:spacing w:line="360" w:lineRule="auto"/>
        <w:outlineLvl w:val="0"/>
        <w:rPr>
          <w:rFonts w:hint="eastAsia"/>
          <w:b/>
          <w:bCs/>
          <w:sz w:val="24"/>
        </w:rPr>
      </w:pPr>
      <w:r>
        <w:rPr>
          <w:rFonts w:hint="eastAsia"/>
          <w:b/>
          <w:bCs/>
          <w:sz w:val="24"/>
        </w:rPr>
        <w:t>法定代表人或法定代表人授权代表签字或盖章：</w:t>
      </w:r>
    </w:p>
    <w:p>
      <w:pPr>
        <w:spacing w:line="360" w:lineRule="auto"/>
        <w:outlineLvl w:val="0"/>
        <w:rPr>
          <w:rFonts w:hint="eastAsia"/>
          <w:b/>
          <w:bCs/>
          <w:sz w:val="24"/>
        </w:rPr>
      </w:pPr>
      <w:r>
        <w:rPr>
          <w:rFonts w:hint="eastAsia"/>
          <w:b/>
          <w:bCs/>
          <w:sz w:val="24"/>
        </w:rPr>
        <w:t>日期：</w:t>
      </w:r>
    </w:p>
    <w:p>
      <w:pPr>
        <w:widowControl/>
        <w:spacing w:line="360" w:lineRule="auto"/>
        <w:rPr>
          <w:rFonts w:ascii="宋体" w:hAnsi="宋体" w:cs="宋体"/>
          <w:b/>
          <w:sz w:val="30"/>
          <w:szCs w:val="30"/>
        </w:rPr>
      </w:pPr>
    </w:p>
    <w:p>
      <w:pPr>
        <w:widowControl/>
        <w:spacing w:line="360" w:lineRule="auto"/>
        <w:rPr>
          <w:rFonts w:ascii="宋体" w:hAnsi="宋体" w:cs="宋体"/>
          <w:b/>
          <w:sz w:val="30"/>
          <w:szCs w:val="30"/>
        </w:rPr>
      </w:pPr>
    </w:p>
    <w:p>
      <w:pPr>
        <w:widowControl/>
        <w:spacing w:line="360" w:lineRule="auto"/>
        <w:rPr>
          <w:rFonts w:ascii="宋体" w:hAnsi="宋体" w:cs="宋体"/>
          <w:b/>
          <w:sz w:val="30"/>
          <w:szCs w:val="30"/>
        </w:rPr>
      </w:pPr>
    </w:p>
    <w:p>
      <w:pPr>
        <w:widowControl/>
        <w:spacing w:line="360" w:lineRule="auto"/>
        <w:rPr>
          <w:rFonts w:ascii="宋体" w:hAnsi="宋体" w:cs="宋体"/>
          <w:b/>
          <w:sz w:val="30"/>
          <w:szCs w:val="30"/>
        </w:rPr>
      </w:pPr>
    </w:p>
    <w:p>
      <w:pPr>
        <w:widowControl/>
        <w:spacing w:line="360" w:lineRule="auto"/>
        <w:rPr>
          <w:rFonts w:ascii="宋体" w:hAnsi="宋体" w:cs="宋体"/>
          <w:b/>
          <w:sz w:val="30"/>
          <w:szCs w:val="30"/>
        </w:rPr>
      </w:pPr>
    </w:p>
    <w:p>
      <w:pPr>
        <w:pStyle w:val="4"/>
        <w:adjustRightInd w:val="0"/>
        <w:snapToGrid w:val="0"/>
        <w:spacing w:before="0" w:after="0" w:line="360" w:lineRule="auto"/>
        <w:rPr>
          <w:rFonts w:hint="eastAsia" w:hAnsi="宋体"/>
          <w:b w:val="0"/>
          <w:sz w:val="24"/>
          <w:szCs w:val="24"/>
        </w:rPr>
      </w:pPr>
      <w:r>
        <w:rPr>
          <w:rFonts w:hint="eastAsia" w:hAnsi="宋体"/>
          <w:b w:val="0"/>
          <w:sz w:val="24"/>
          <w:szCs w:val="24"/>
        </w:rPr>
        <w:t>（八）投标供应商简介和经营情况说明表（格式）</w:t>
      </w:r>
    </w:p>
    <w:p>
      <w:pPr>
        <w:snapToGrid w:val="0"/>
        <w:spacing w:line="360" w:lineRule="auto"/>
        <w:jc w:val="center"/>
        <w:outlineLvl w:val="0"/>
        <w:rPr>
          <w:rFonts w:hint="eastAsia" w:ascii="黑体" w:eastAsia="黑体"/>
          <w:bCs/>
          <w:sz w:val="28"/>
          <w:szCs w:val="28"/>
        </w:rPr>
      </w:pPr>
    </w:p>
    <w:p>
      <w:pPr>
        <w:snapToGrid w:val="0"/>
        <w:spacing w:line="360" w:lineRule="auto"/>
        <w:jc w:val="center"/>
        <w:outlineLvl w:val="0"/>
        <w:rPr>
          <w:rFonts w:hint="eastAsia" w:ascii="黑体" w:eastAsia="黑体"/>
          <w:bCs/>
          <w:sz w:val="28"/>
          <w:szCs w:val="28"/>
        </w:rPr>
      </w:pPr>
      <w:r>
        <w:rPr>
          <w:rFonts w:hint="eastAsia" w:ascii="黑体" w:eastAsia="黑体"/>
          <w:bCs/>
          <w:sz w:val="28"/>
          <w:szCs w:val="28"/>
        </w:rPr>
        <w:t>投标供应商简介和经营情况说明表</w:t>
      </w:r>
    </w:p>
    <w:p>
      <w:pPr>
        <w:spacing w:line="460" w:lineRule="exact"/>
        <w:jc w:val="center"/>
        <w:rPr>
          <w:rFonts w:hint="eastAsia" w:ascii="宋体" w:hAnsi="宋体"/>
          <w:sz w:val="24"/>
        </w:rPr>
      </w:pPr>
      <w:r>
        <w:rPr>
          <w:rFonts w:hint="eastAsia" w:ascii="宋体" w:hAnsi="宋体"/>
          <w:sz w:val="24"/>
        </w:rPr>
        <w:t>（内容写不完的栏目可相应扩展）</w:t>
      </w:r>
    </w:p>
    <w:p>
      <w:pPr>
        <w:pStyle w:val="5"/>
        <w:overflowPunct w:val="0"/>
        <w:ind w:firstLine="0"/>
        <w:rPr>
          <w:rFonts w:ascii="宋体" w:hAnsi="宋体"/>
          <w:b/>
          <w:bCs/>
          <w:sz w:val="24"/>
        </w:rPr>
      </w:pPr>
      <w:r>
        <w:rPr>
          <w:rFonts w:hint="eastAsia" w:ascii="宋体" w:hAnsi="宋体"/>
          <w:b/>
          <w:bCs/>
          <w:sz w:val="24"/>
        </w:rPr>
        <w:t>投标供应商（盖章）</w:t>
      </w:r>
    </w:p>
    <w:tbl>
      <w:tblPr>
        <w:tblStyle w:val="15"/>
        <w:tblW w:w="9127"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510"/>
        <w:gridCol w:w="2110"/>
        <w:gridCol w:w="149"/>
        <w:gridCol w:w="1757"/>
        <w:gridCol w:w="260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法定代表人</w:t>
            </w:r>
          </w:p>
        </w:tc>
        <w:tc>
          <w:tcPr>
            <w:tcW w:w="2259"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c>
          <w:tcPr>
            <w:tcW w:w="1757"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成立日期</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企业地址</w:t>
            </w:r>
          </w:p>
        </w:tc>
        <w:tc>
          <w:tcPr>
            <w:tcW w:w="2259"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c>
          <w:tcPr>
            <w:tcW w:w="1757"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注册资本</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840" w:firstLineChars="350"/>
              <w:rPr>
                <w:rFonts w:ascii="宋体" w:hAnsi="宋体"/>
                <w:kern w:val="2"/>
                <w:sz w:val="24"/>
                <w:szCs w:val="24"/>
              </w:rPr>
            </w:pPr>
            <w:r>
              <w:rPr>
                <w:rFonts w:hint="eastAsia" w:ascii="宋体" w:hAnsi="宋体"/>
                <w:kern w:val="2"/>
                <w:sz w:val="24"/>
                <w:szCs w:val="24"/>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经营范围</w:t>
            </w:r>
          </w:p>
        </w:tc>
        <w:tc>
          <w:tcPr>
            <w:tcW w:w="6617" w:type="dxa"/>
            <w:gridSpan w:val="4"/>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职工人数</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hint="eastAsia" w:ascii="宋体" w:hAnsi="宋体"/>
                <w:kern w:val="2"/>
                <w:sz w:val="24"/>
                <w:szCs w:val="24"/>
              </w:rPr>
            </w:pPr>
            <w:r>
              <w:rPr>
                <w:rFonts w:hint="eastAsia" w:ascii="宋体" w:hAnsi="宋体"/>
                <w:kern w:val="2"/>
                <w:sz w:val="24"/>
                <w:szCs w:val="24"/>
              </w:rPr>
              <w:t>其中：</w:t>
            </w:r>
          </w:p>
          <w:p>
            <w:pPr>
              <w:pStyle w:val="5"/>
              <w:overflowPunct w:val="0"/>
              <w:spacing w:line="400" w:lineRule="exact"/>
              <w:ind w:left="959" w:leftChars="228" w:hanging="480" w:hangingChars="200"/>
              <w:rPr>
                <w:rFonts w:hint="eastAsia" w:ascii="宋体" w:hAnsi="宋体"/>
                <w:kern w:val="2"/>
                <w:sz w:val="24"/>
                <w:szCs w:val="24"/>
              </w:rPr>
            </w:pPr>
            <w:r>
              <w:rPr>
                <w:rFonts w:hint="eastAsia" w:ascii="宋体" w:hAnsi="宋体"/>
                <w:kern w:val="2"/>
                <w:sz w:val="24"/>
                <w:szCs w:val="24"/>
              </w:rPr>
              <w:t>中级职称</w:t>
            </w:r>
            <w:r>
              <w:rPr>
                <w:rFonts w:hint="eastAsia" w:ascii="宋体" w:hAnsi="宋体"/>
                <w:kern w:val="2"/>
                <w:sz w:val="24"/>
                <w:szCs w:val="24"/>
                <w:u w:val="single"/>
              </w:rPr>
              <w:t xml:space="preserve">    </w:t>
            </w:r>
            <w:r>
              <w:rPr>
                <w:rFonts w:hint="eastAsia" w:ascii="宋体" w:hAnsi="宋体"/>
                <w:kern w:val="2"/>
                <w:sz w:val="24"/>
                <w:szCs w:val="24"/>
              </w:rPr>
              <w:t>人数、</w:t>
            </w:r>
          </w:p>
          <w:p>
            <w:pPr>
              <w:pStyle w:val="5"/>
              <w:overflowPunct w:val="0"/>
              <w:spacing w:line="400" w:lineRule="exact"/>
              <w:ind w:left="959" w:leftChars="228" w:hanging="480" w:hangingChars="200"/>
              <w:rPr>
                <w:rFonts w:ascii="宋体" w:hAnsi="宋体"/>
                <w:kern w:val="2"/>
                <w:sz w:val="24"/>
                <w:szCs w:val="24"/>
              </w:rPr>
            </w:pPr>
            <w:r>
              <w:rPr>
                <w:rFonts w:hint="eastAsia" w:ascii="宋体" w:hAnsi="宋体"/>
                <w:kern w:val="2"/>
                <w:sz w:val="24"/>
                <w:szCs w:val="24"/>
              </w:rPr>
              <w:t>高级职称</w:t>
            </w:r>
            <w:r>
              <w:rPr>
                <w:rFonts w:hint="eastAsia" w:ascii="宋体" w:hAnsi="宋体"/>
                <w:kern w:val="2"/>
                <w:sz w:val="24"/>
                <w:szCs w:val="24"/>
                <w:u w:val="single"/>
              </w:rPr>
              <w:t xml:space="preserve">     </w:t>
            </w:r>
            <w:r>
              <w:rPr>
                <w:rFonts w:hint="eastAsia" w:ascii="宋体" w:hAnsi="宋体"/>
                <w:kern w:val="2"/>
                <w:sz w:val="24"/>
                <w:szCs w:val="24"/>
              </w:rPr>
              <w:t>人数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5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0"/>
              <w:rPr>
                <w:rFonts w:ascii="宋体" w:hAnsi="宋体"/>
                <w:kern w:val="2"/>
                <w:sz w:val="24"/>
                <w:szCs w:val="24"/>
              </w:rPr>
            </w:pPr>
            <w:r>
              <w:rPr>
                <w:rFonts w:hint="eastAsia" w:ascii="宋体" w:hAnsi="宋体"/>
                <w:kern w:val="2"/>
                <w:sz w:val="24"/>
                <w:szCs w:val="24"/>
              </w:rPr>
              <w:t>2018年12月资产总额</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ascii="宋体" w:hAnsi="宋体"/>
                <w:kern w:val="2"/>
                <w:sz w:val="24"/>
                <w:szCs w:val="24"/>
              </w:rPr>
              <w:t xml:space="preserve">     </w:t>
            </w:r>
            <w:r>
              <w:rPr>
                <w:rFonts w:hint="eastAsia" w:ascii="宋体" w:hAnsi="宋体"/>
                <w:kern w:val="2"/>
                <w:sz w:val="24"/>
                <w:szCs w:val="24"/>
              </w:rPr>
              <w:t xml:space="preserve">  万元</w:t>
            </w:r>
          </w:p>
        </w:tc>
        <w:tc>
          <w:tcPr>
            <w:tcW w:w="1906"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0"/>
              <w:rPr>
                <w:rFonts w:ascii="宋体" w:hAnsi="宋体"/>
                <w:kern w:val="2"/>
                <w:sz w:val="24"/>
                <w:szCs w:val="24"/>
              </w:rPr>
            </w:pPr>
            <w:r>
              <w:rPr>
                <w:rFonts w:hint="eastAsia" w:ascii="宋体" w:hAnsi="宋体"/>
                <w:kern w:val="2"/>
                <w:sz w:val="24"/>
                <w:szCs w:val="24"/>
              </w:rPr>
              <w:t>净资产</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ascii="宋体" w:hAnsi="宋体"/>
                <w:kern w:val="2"/>
                <w:sz w:val="24"/>
                <w:szCs w:val="24"/>
              </w:rPr>
              <w:t xml:space="preserve">         </w:t>
            </w:r>
            <w:r>
              <w:rPr>
                <w:rFonts w:hint="eastAsia" w:ascii="宋体" w:hAnsi="宋体"/>
                <w:kern w:val="2"/>
                <w:sz w:val="24"/>
                <w:szCs w:val="24"/>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0"/>
              <w:rPr>
                <w:rFonts w:ascii="宋体" w:hAnsi="宋体"/>
                <w:kern w:val="2"/>
                <w:sz w:val="24"/>
                <w:szCs w:val="24"/>
              </w:rPr>
            </w:pPr>
            <w:r>
              <w:rPr>
                <w:rFonts w:hint="eastAsia" w:ascii="宋体" w:hAnsi="宋体"/>
                <w:kern w:val="2"/>
                <w:sz w:val="24"/>
                <w:szCs w:val="24"/>
              </w:rPr>
              <w:t>2018年12月股东权益</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ascii="宋体" w:hAnsi="宋体"/>
                <w:kern w:val="2"/>
                <w:sz w:val="24"/>
                <w:szCs w:val="24"/>
              </w:rPr>
              <w:t xml:space="preserve">      </w:t>
            </w:r>
            <w:r>
              <w:rPr>
                <w:rFonts w:hint="eastAsia" w:ascii="宋体" w:hAnsi="宋体"/>
                <w:kern w:val="2"/>
                <w:sz w:val="24"/>
                <w:szCs w:val="24"/>
              </w:rPr>
              <w:t xml:space="preserve"> 万元</w:t>
            </w:r>
          </w:p>
        </w:tc>
        <w:tc>
          <w:tcPr>
            <w:tcW w:w="1906"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0"/>
              <w:rPr>
                <w:rFonts w:ascii="宋体" w:hAnsi="宋体"/>
                <w:kern w:val="2"/>
                <w:sz w:val="24"/>
                <w:szCs w:val="24"/>
              </w:rPr>
            </w:pPr>
            <w:r>
              <w:rPr>
                <w:rFonts w:hint="eastAsia" w:ascii="宋体" w:hAnsi="宋体"/>
                <w:kern w:val="2"/>
                <w:sz w:val="24"/>
                <w:szCs w:val="24"/>
              </w:rPr>
              <w:t>2018</w:t>
            </w:r>
            <w:r>
              <w:rPr>
                <w:rFonts w:ascii="宋体" w:hAnsi="宋体"/>
                <w:kern w:val="2"/>
                <w:sz w:val="24"/>
                <w:szCs w:val="24"/>
              </w:rPr>
              <w:t>年</w:t>
            </w:r>
            <w:r>
              <w:rPr>
                <w:rFonts w:hint="eastAsia" w:ascii="宋体" w:hAnsi="宋体"/>
                <w:kern w:val="2"/>
                <w:sz w:val="24"/>
                <w:szCs w:val="24"/>
              </w:rPr>
              <w:t>业务收入</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ascii="宋体" w:hAnsi="宋体"/>
                <w:kern w:val="2"/>
                <w:sz w:val="24"/>
                <w:szCs w:val="24"/>
              </w:rPr>
              <w:t xml:space="preserve"> </w:t>
            </w:r>
            <w:r>
              <w:rPr>
                <w:rFonts w:hint="eastAsia" w:ascii="宋体" w:hAnsi="宋体"/>
                <w:kern w:val="2"/>
                <w:sz w:val="24"/>
                <w:szCs w:val="24"/>
              </w:rPr>
              <w:t xml:space="preserve">      </w:t>
            </w:r>
            <w:r>
              <w:rPr>
                <w:rFonts w:ascii="宋体" w:hAnsi="宋体"/>
                <w:kern w:val="2"/>
                <w:sz w:val="24"/>
                <w:szCs w:val="24"/>
              </w:rPr>
              <w:t xml:space="preserve">  </w:t>
            </w:r>
            <w:r>
              <w:rPr>
                <w:rFonts w:hint="eastAsia" w:ascii="宋体" w:hAnsi="宋体"/>
                <w:kern w:val="2"/>
                <w:sz w:val="24"/>
                <w:szCs w:val="24"/>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2018年实现利润</w:t>
            </w: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1320" w:firstLineChars="550"/>
              <w:rPr>
                <w:rFonts w:ascii="宋体" w:hAnsi="宋体"/>
                <w:kern w:val="2"/>
                <w:sz w:val="24"/>
                <w:szCs w:val="24"/>
              </w:rPr>
            </w:pPr>
            <w:r>
              <w:rPr>
                <w:rFonts w:hint="eastAsia" w:ascii="宋体" w:hAnsi="宋体"/>
                <w:kern w:val="2"/>
                <w:sz w:val="24"/>
                <w:szCs w:val="24"/>
              </w:rPr>
              <w:t>万元</w:t>
            </w:r>
          </w:p>
        </w:tc>
        <w:tc>
          <w:tcPr>
            <w:tcW w:w="1906"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5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办公面积</w:t>
            </w:r>
          </w:p>
          <w:p>
            <w:pPr>
              <w:pStyle w:val="5"/>
              <w:overflowPunct w:val="0"/>
              <w:spacing w:line="400" w:lineRule="exact"/>
              <w:ind w:firstLine="480"/>
              <w:rPr>
                <w:rFonts w:ascii="宋体" w:hAnsi="宋体"/>
                <w:kern w:val="2"/>
                <w:sz w:val="24"/>
                <w:szCs w:val="24"/>
              </w:rPr>
            </w:pPr>
          </w:p>
        </w:tc>
        <w:tc>
          <w:tcPr>
            <w:tcW w:w="2110"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ascii="宋体" w:hAnsi="宋体"/>
                <w:kern w:val="2"/>
                <w:sz w:val="24"/>
                <w:szCs w:val="24"/>
              </w:rPr>
              <w:t xml:space="preserve">     </w:t>
            </w:r>
            <w:r>
              <w:rPr>
                <w:rFonts w:hint="eastAsia" w:ascii="宋体" w:hAnsi="宋体"/>
                <w:kern w:val="2"/>
                <w:sz w:val="24"/>
                <w:szCs w:val="24"/>
              </w:rPr>
              <w:t>平方米</w:t>
            </w:r>
          </w:p>
        </w:tc>
        <w:tc>
          <w:tcPr>
            <w:tcW w:w="1906"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其中：</w:t>
            </w:r>
          </w:p>
        </w:tc>
        <w:tc>
          <w:tcPr>
            <w:tcW w:w="2601" w:type="dxa"/>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0"/>
              <w:rPr>
                <w:rFonts w:ascii="宋体" w:hAnsi="宋体"/>
                <w:kern w:val="2"/>
                <w:sz w:val="24"/>
                <w:szCs w:val="24"/>
              </w:rPr>
            </w:pPr>
            <w:r>
              <w:rPr>
                <w:rFonts w:hint="eastAsia" w:ascii="宋体" w:hAnsi="宋体"/>
                <w:kern w:val="2"/>
                <w:sz w:val="24"/>
                <w:szCs w:val="24"/>
              </w:rPr>
              <w:t>自有面积</w:t>
            </w:r>
            <w:r>
              <w:rPr>
                <w:rFonts w:ascii="宋体" w:hAnsi="宋体"/>
                <w:kern w:val="2"/>
                <w:sz w:val="24"/>
                <w:szCs w:val="24"/>
              </w:rPr>
              <w:t xml:space="preserve">    平方米</w:t>
            </w:r>
          </w:p>
          <w:p>
            <w:pPr>
              <w:pStyle w:val="5"/>
              <w:overflowPunct w:val="0"/>
              <w:spacing w:line="400" w:lineRule="exact"/>
              <w:ind w:firstLine="0"/>
              <w:rPr>
                <w:rFonts w:ascii="宋体" w:hAnsi="宋体"/>
                <w:kern w:val="2"/>
                <w:sz w:val="24"/>
                <w:szCs w:val="24"/>
              </w:rPr>
            </w:pPr>
            <w:r>
              <w:rPr>
                <w:rFonts w:hint="eastAsia" w:ascii="宋体" w:hAnsi="宋体"/>
                <w:kern w:val="2"/>
                <w:sz w:val="24"/>
                <w:szCs w:val="24"/>
              </w:rPr>
              <w:t>承租面积</w:t>
            </w:r>
            <w:r>
              <w:rPr>
                <w:rFonts w:ascii="宋体" w:hAnsi="宋体"/>
                <w:kern w:val="2"/>
                <w:sz w:val="24"/>
                <w:szCs w:val="24"/>
              </w:rPr>
              <w:t xml:space="preserve">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单位简历及内设机构情况</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单位优势及特长</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近三年来完成或正在履行的重大合同情况</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bCs/>
                <w:kern w:val="2"/>
                <w:sz w:val="24"/>
                <w:szCs w:val="24"/>
              </w:rPr>
              <w:t>近三年来受行业主管部门考核评价及业主评价意见</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最近</w:t>
            </w:r>
            <w:r>
              <w:rPr>
                <w:rFonts w:ascii="宋体" w:hAnsi="宋体"/>
                <w:kern w:val="2"/>
                <w:sz w:val="24"/>
                <w:szCs w:val="24"/>
              </w:rPr>
              <w:t>3年内有无因</w:t>
            </w:r>
            <w:r>
              <w:rPr>
                <w:rFonts w:hint="eastAsia" w:ascii="宋体" w:hAnsi="宋体"/>
                <w:kern w:val="2"/>
                <w:sz w:val="24"/>
                <w:szCs w:val="24"/>
              </w:rPr>
              <w:t>违纪</w:t>
            </w:r>
            <w:r>
              <w:rPr>
                <w:rFonts w:ascii="宋体" w:hAnsi="宋体"/>
                <w:kern w:val="2"/>
                <w:sz w:val="24"/>
                <w:szCs w:val="24"/>
              </w:rPr>
              <w:t>或是其他原因被投诉或起诉的情况及说明</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620" w:type="dxa"/>
            <w:gridSpan w:val="2"/>
            <w:tcBorders>
              <w:top w:val="single" w:color="auto" w:sz="6" w:space="0"/>
              <w:left w:val="single" w:color="auto" w:sz="6" w:space="0"/>
              <w:bottom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最近</w:t>
            </w:r>
            <w:r>
              <w:rPr>
                <w:rFonts w:ascii="宋体" w:hAnsi="宋体"/>
                <w:kern w:val="2"/>
                <w:sz w:val="24"/>
                <w:szCs w:val="24"/>
              </w:rPr>
              <w:t>3年内主要负责人有无因经济犯罪被司法机关追究的情况及说明</w:t>
            </w:r>
          </w:p>
        </w:tc>
        <w:tc>
          <w:tcPr>
            <w:tcW w:w="4507" w:type="dxa"/>
            <w:gridSpan w:val="3"/>
            <w:tcBorders>
              <w:top w:val="single" w:color="auto" w:sz="6" w:space="0"/>
              <w:left w:val="single" w:color="auto" w:sz="6" w:space="0"/>
              <w:bottom w:val="single" w:color="auto" w:sz="6" w:space="0"/>
              <w:right w:val="single" w:color="auto" w:sz="6" w:space="0"/>
            </w:tcBorders>
            <w:noWrap w:val="0"/>
            <w:vAlign w:val="top"/>
          </w:tcPr>
          <w:p>
            <w:pPr>
              <w:spacing w:line="360" w:lineRule="auto"/>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620" w:type="dxa"/>
            <w:gridSpan w:val="2"/>
            <w:tcBorders>
              <w:top w:val="single" w:color="auto" w:sz="6" w:space="0"/>
              <w:left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r>
              <w:rPr>
                <w:rFonts w:hint="eastAsia" w:ascii="宋体" w:hAnsi="宋体"/>
                <w:kern w:val="2"/>
                <w:sz w:val="24"/>
                <w:szCs w:val="24"/>
              </w:rPr>
              <w:t>其他需要说明的情况</w:t>
            </w:r>
          </w:p>
        </w:tc>
        <w:tc>
          <w:tcPr>
            <w:tcW w:w="4507" w:type="dxa"/>
            <w:gridSpan w:val="3"/>
            <w:tcBorders>
              <w:top w:val="single" w:color="auto" w:sz="6" w:space="0"/>
              <w:left w:val="single" w:color="auto" w:sz="6" w:space="0"/>
              <w:right w:val="single" w:color="auto" w:sz="6" w:space="0"/>
            </w:tcBorders>
            <w:noWrap w:val="0"/>
            <w:vAlign w:val="top"/>
          </w:tcPr>
          <w:p>
            <w:pPr>
              <w:pStyle w:val="5"/>
              <w:overflowPunct w:val="0"/>
              <w:spacing w:line="400" w:lineRule="exact"/>
              <w:ind w:firstLine="480"/>
              <w:rPr>
                <w:rFonts w:ascii="宋体" w:hAnsi="宋体"/>
                <w:kern w:val="2"/>
                <w:sz w:val="24"/>
                <w:szCs w:val="24"/>
              </w:rPr>
            </w:pPr>
          </w:p>
        </w:tc>
      </w:tr>
    </w:tbl>
    <w:p>
      <w:pPr>
        <w:rPr>
          <w:rFonts w:hint="eastAsia" w:ascii="宋体" w:hAnsi="宋体"/>
          <w:b/>
          <w:bCs/>
          <w:sz w:val="24"/>
        </w:rPr>
      </w:pPr>
      <w:r>
        <w:rPr>
          <w:rFonts w:hint="eastAsia" w:ascii="宋体" w:hAnsi="宋体"/>
          <w:b/>
          <w:bCs/>
          <w:sz w:val="24"/>
        </w:rPr>
        <w:t>法定代表人或授权委托人签字或盖章：</w:t>
      </w:r>
    </w:p>
    <w:p>
      <w:pPr>
        <w:rPr>
          <w:rFonts w:hint="eastAsia" w:ascii="宋体" w:hAnsi="宋体"/>
          <w:b/>
          <w:bCs/>
          <w:sz w:val="24"/>
        </w:rPr>
      </w:pPr>
      <w:r>
        <w:rPr>
          <w:rFonts w:hint="eastAsia" w:ascii="宋体" w:hAnsi="宋体"/>
          <w:b/>
          <w:bCs/>
          <w:sz w:val="24"/>
        </w:rPr>
        <w:t>日期：</w:t>
      </w:r>
    </w:p>
    <w:p>
      <w:pPr>
        <w:jc w:val="center"/>
        <w:rPr>
          <w:rFonts w:hint="eastAsia" w:ascii="宋体" w:hAnsi="宋体"/>
          <w:sz w:val="24"/>
        </w:rPr>
      </w:pPr>
    </w:p>
    <w:p>
      <w:pPr>
        <w:widowControl/>
        <w:spacing w:line="360" w:lineRule="auto"/>
        <w:rPr>
          <w:rFonts w:ascii="宋体" w:hAnsi="宋体" w:cs="宋体"/>
          <w:b/>
          <w:sz w:val="30"/>
          <w:szCs w:val="30"/>
        </w:rPr>
      </w:pPr>
    </w:p>
    <w:p>
      <w:pPr>
        <w:pStyle w:val="4"/>
        <w:adjustRightInd w:val="0"/>
        <w:snapToGrid w:val="0"/>
        <w:spacing w:before="0" w:after="0" w:line="360" w:lineRule="auto"/>
        <w:rPr>
          <w:rFonts w:hint="eastAsia" w:hAnsi="宋体"/>
          <w:b w:val="0"/>
          <w:sz w:val="24"/>
          <w:szCs w:val="24"/>
        </w:rPr>
      </w:pPr>
      <w:r>
        <w:rPr>
          <w:rFonts w:hint="eastAsia" w:hAnsi="宋体"/>
          <w:b w:val="0"/>
          <w:sz w:val="24"/>
          <w:szCs w:val="24"/>
        </w:rPr>
        <w:t>（九）中小企业声明函（格式）：</w:t>
      </w:r>
    </w:p>
    <w:p>
      <w:pPr>
        <w:snapToGrid w:val="0"/>
        <w:spacing w:line="360" w:lineRule="auto"/>
        <w:jc w:val="center"/>
        <w:outlineLvl w:val="0"/>
        <w:rPr>
          <w:rFonts w:hint="eastAsia" w:ascii="黑体" w:eastAsia="黑体"/>
          <w:bCs/>
          <w:sz w:val="28"/>
          <w:szCs w:val="28"/>
        </w:rPr>
      </w:pPr>
    </w:p>
    <w:p>
      <w:pPr>
        <w:snapToGrid w:val="0"/>
        <w:spacing w:line="360" w:lineRule="auto"/>
        <w:jc w:val="center"/>
        <w:outlineLvl w:val="0"/>
        <w:rPr>
          <w:rFonts w:hint="eastAsia" w:ascii="黑体" w:eastAsia="黑体"/>
          <w:bCs/>
          <w:sz w:val="28"/>
          <w:szCs w:val="28"/>
        </w:rPr>
      </w:pPr>
      <w:r>
        <w:rPr>
          <w:rFonts w:hint="eastAsia" w:ascii="黑体" w:eastAsia="黑体"/>
          <w:bCs/>
          <w:sz w:val="28"/>
          <w:szCs w:val="28"/>
        </w:rPr>
        <w:t>中小企业声明函</w:t>
      </w:r>
    </w:p>
    <w:p>
      <w:pPr>
        <w:snapToGrid w:val="0"/>
        <w:spacing w:line="360" w:lineRule="auto"/>
        <w:jc w:val="center"/>
        <w:outlineLvl w:val="0"/>
        <w:rPr>
          <w:rFonts w:hint="eastAsia" w:ascii="黑体" w:eastAsia="黑体"/>
          <w:bCs/>
          <w:sz w:val="28"/>
          <w:szCs w:val="28"/>
        </w:rPr>
      </w:pPr>
    </w:p>
    <w:p>
      <w:pPr>
        <w:spacing w:line="360" w:lineRule="auto"/>
        <w:ind w:firstLine="480" w:firstLineChars="200"/>
        <w:rPr>
          <w:rFonts w:ascii="宋体" w:hAnsi="宋体"/>
          <w:bCs/>
          <w:sz w:val="24"/>
        </w:rPr>
      </w:pPr>
      <w:r>
        <w:rPr>
          <w:rFonts w:hint="eastAsia" w:ascii="宋体" w:hAnsi="宋体"/>
          <w:bCs/>
          <w:sz w:val="24"/>
        </w:rPr>
        <w:t>本公司郑重声明，根据《政府采购促进中小企业发展暂行办法》（财库[2011]181号）的规定，本公司为______（请填写：中型、小型、微型）企业。即，本公司同时满足以下条件：</w:t>
      </w:r>
    </w:p>
    <w:p>
      <w:pPr>
        <w:spacing w:line="360" w:lineRule="auto"/>
        <w:ind w:firstLine="480" w:firstLineChars="200"/>
        <w:rPr>
          <w:rFonts w:ascii="宋体" w:hAnsi="宋体"/>
          <w:bCs/>
          <w:sz w:val="24"/>
        </w:rPr>
      </w:pPr>
      <w:r>
        <w:rPr>
          <w:rFonts w:hint="eastAsia" w:ascii="宋体" w:hAnsi="宋体"/>
          <w:bCs/>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ascii="宋体" w:hAnsi="宋体"/>
          <w:bCs/>
          <w:sz w:val="24"/>
        </w:rPr>
      </w:pPr>
      <w:r>
        <w:rPr>
          <w:rFonts w:hint="eastAsia" w:ascii="宋体" w:hAnsi="宋体"/>
          <w:bCs/>
          <w:sz w:val="24"/>
        </w:rPr>
        <w:t>2、本公司参加</w:t>
      </w:r>
      <w:r>
        <w:rPr>
          <w:rFonts w:hint="eastAsia" w:ascii="宋体" w:hAnsi="宋体"/>
          <w:bCs/>
          <w:sz w:val="24"/>
          <w:u w:val="single"/>
        </w:rPr>
        <w:t xml:space="preserve">           </w:t>
      </w:r>
      <w:r>
        <w:rPr>
          <w:rFonts w:hint="eastAsia" w:ascii="宋体" w:hAnsi="宋体"/>
          <w:bCs/>
          <w:sz w:val="24"/>
        </w:rPr>
        <w:t>单位的___________________项目采购活动提供本企业制造的货物，由本企业承担工程、提供服务，或者提供其他</w:t>
      </w:r>
      <w:r>
        <w:rPr>
          <w:rFonts w:hint="eastAsia" w:ascii="宋体" w:hAnsi="宋体"/>
          <w:bCs/>
          <w:sz w:val="24"/>
          <w:u w:val="single"/>
        </w:rPr>
        <w:t xml:space="preserve">               </w:t>
      </w:r>
      <w:r>
        <w:rPr>
          <w:rFonts w:hint="eastAsia" w:ascii="宋体" w:hAnsi="宋体"/>
          <w:bCs/>
          <w:sz w:val="24"/>
        </w:rPr>
        <w:t>（请填写：中型、小型、微型）企业制造的货物。本条所称货物不包括使用大型企业注册商标的货物。</w:t>
      </w:r>
    </w:p>
    <w:p>
      <w:pPr>
        <w:spacing w:line="360" w:lineRule="auto"/>
        <w:ind w:firstLine="480" w:firstLineChars="200"/>
        <w:rPr>
          <w:rFonts w:ascii="宋体" w:hAnsi="宋体"/>
          <w:bCs/>
          <w:sz w:val="24"/>
        </w:rPr>
      </w:pPr>
      <w:r>
        <w:rPr>
          <w:rFonts w:hint="eastAsia" w:ascii="宋体" w:hAnsi="宋体"/>
          <w:bCs/>
          <w:sz w:val="24"/>
        </w:rPr>
        <w:t>本公司对上述声明的真实性负责。如有虚假，将依法承担相应责任。</w:t>
      </w:r>
    </w:p>
    <w:p>
      <w:pPr>
        <w:spacing w:line="580" w:lineRule="exact"/>
        <w:rPr>
          <w:rFonts w:ascii="宋体" w:hAnsi="宋体"/>
          <w:bCs/>
          <w:sz w:val="24"/>
        </w:rPr>
      </w:pPr>
    </w:p>
    <w:p>
      <w:pPr>
        <w:spacing w:line="360" w:lineRule="auto"/>
        <w:rPr>
          <w:rFonts w:ascii="宋体" w:hAnsi="宋体"/>
          <w:bCs/>
          <w:sz w:val="24"/>
        </w:rPr>
      </w:pPr>
    </w:p>
    <w:p>
      <w:pPr>
        <w:spacing w:line="360" w:lineRule="auto"/>
        <w:rPr>
          <w:rFonts w:ascii="宋体" w:hAnsi="宋体"/>
          <w:bCs/>
          <w:sz w:val="24"/>
        </w:rPr>
      </w:pPr>
    </w:p>
    <w:p>
      <w:pPr>
        <w:spacing w:line="360" w:lineRule="auto"/>
        <w:ind w:firstLine="4800" w:firstLineChars="2000"/>
        <w:rPr>
          <w:rFonts w:ascii="宋体" w:hAnsi="宋体"/>
          <w:bCs/>
          <w:sz w:val="24"/>
        </w:rPr>
      </w:pPr>
      <w:r>
        <w:rPr>
          <w:rFonts w:hint="eastAsia" w:ascii="宋体" w:hAnsi="宋体"/>
          <w:bCs/>
          <w:sz w:val="24"/>
        </w:rPr>
        <w:t>企业名称（盖章）：</w:t>
      </w:r>
    </w:p>
    <w:p>
      <w:pPr>
        <w:spacing w:line="360" w:lineRule="auto"/>
        <w:ind w:firstLine="4800" w:firstLineChars="2000"/>
        <w:rPr>
          <w:rFonts w:ascii="宋体" w:hAnsi="宋体"/>
          <w:bCs/>
          <w:sz w:val="24"/>
        </w:rPr>
      </w:pPr>
    </w:p>
    <w:p>
      <w:pPr>
        <w:spacing w:line="480" w:lineRule="auto"/>
        <w:ind w:firstLine="4800" w:firstLineChars="2000"/>
        <w:rPr>
          <w:rFonts w:hint="eastAsia" w:ascii="宋体" w:hAnsi="宋体"/>
          <w:bCs/>
          <w:sz w:val="24"/>
        </w:rPr>
      </w:pPr>
      <w:r>
        <w:rPr>
          <w:rFonts w:hint="eastAsia" w:ascii="宋体" w:hAnsi="宋体"/>
          <w:bCs/>
          <w:sz w:val="24"/>
        </w:rPr>
        <w:t>日　　期：</w:t>
      </w:r>
    </w:p>
    <w:p>
      <w:pPr>
        <w:spacing w:line="480" w:lineRule="auto"/>
        <w:rPr>
          <w:rFonts w:hint="eastAsia"/>
        </w:rPr>
      </w:pPr>
    </w:p>
    <w:p>
      <w:pPr>
        <w:spacing w:line="480" w:lineRule="auto"/>
        <w:rPr>
          <w:rFonts w:hint="eastAsia"/>
        </w:rPr>
      </w:pPr>
    </w:p>
    <w:p>
      <w:pPr>
        <w:spacing w:line="480" w:lineRule="auto"/>
        <w:rPr>
          <w:rFonts w:hint="eastAsia"/>
        </w:rPr>
      </w:pPr>
    </w:p>
    <w:p>
      <w:pPr>
        <w:spacing w:line="480" w:lineRule="auto"/>
        <w:rPr>
          <w:rFonts w:hint="eastAsia"/>
        </w:rPr>
      </w:pPr>
    </w:p>
    <w:p>
      <w:pPr>
        <w:rPr>
          <w:rFonts w:hint="eastAsia" w:ascii="宋体" w:hAnsi="宋体" w:cs="宋体"/>
          <w:b/>
          <w:bCs/>
          <w:sz w:val="32"/>
          <w:szCs w:val="32"/>
        </w:rPr>
      </w:pPr>
    </w:p>
    <w:p>
      <w:pPr>
        <w:rPr>
          <w:rFonts w:hint="eastAsia" w:ascii="宋体" w:hAnsi="宋体" w:cs="宋体"/>
          <w:b/>
          <w:bCs/>
          <w:sz w:val="32"/>
          <w:szCs w:val="32"/>
        </w:rPr>
      </w:pPr>
    </w:p>
    <w:p>
      <w:pPr>
        <w:pStyle w:val="4"/>
        <w:numPr>
          <w:ilvl w:val="0"/>
          <w:numId w:val="7"/>
        </w:numPr>
        <w:adjustRightInd w:val="0"/>
        <w:snapToGrid w:val="0"/>
        <w:spacing w:before="0" w:after="0" w:line="360" w:lineRule="auto"/>
        <w:rPr>
          <w:rFonts w:hint="eastAsia" w:hAnsi="宋体"/>
          <w:b w:val="0"/>
          <w:sz w:val="24"/>
          <w:szCs w:val="24"/>
        </w:rPr>
      </w:pPr>
      <w:r>
        <w:rPr>
          <w:rFonts w:hint="eastAsia" w:hAnsi="宋体"/>
          <w:b w:val="0"/>
          <w:sz w:val="24"/>
          <w:szCs w:val="24"/>
        </w:rPr>
        <w:t>残疾人福利性单位声明函（格式）</w:t>
      </w:r>
    </w:p>
    <w:p>
      <w:pPr>
        <w:rPr>
          <w:rFonts w:hint="eastAsia"/>
        </w:rPr>
      </w:pPr>
    </w:p>
    <w:p>
      <w:pPr>
        <w:snapToGrid w:val="0"/>
        <w:spacing w:line="360" w:lineRule="auto"/>
        <w:jc w:val="center"/>
        <w:outlineLvl w:val="0"/>
        <w:rPr>
          <w:rFonts w:hint="eastAsia" w:ascii="黑体" w:eastAsia="黑体"/>
          <w:bCs/>
          <w:sz w:val="28"/>
          <w:szCs w:val="28"/>
        </w:rPr>
      </w:pPr>
      <w:r>
        <w:rPr>
          <w:rFonts w:hint="eastAsia" w:ascii="黑体" w:eastAsia="黑体"/>
          <w:bCs/>
          <w:sz w:val="28"/>
          <w:szCs w:val="28"/>
        </w:rPr>
        <w:t>残疾人福利性单位声明函</w:t>
      </w:r>
    </w:p>
    <w:p>
      <w:pPr>
        <w:snapToGrid w:val="0"/>
        <w:spacing w:line="360" w:lineRule="auto"/>
        <w:jc w:val="center"/>
        <w:outlineLvl w:val="0"/>
        <w:rPr>
          <w:rFonts w:hint="eastAsia" w:ascii="黑体" w:eastAsia="黑体"/>
          <w:bCs/>
          <w:sz w:val="28"/>
          <w:szCs w:val="28"/>
        </w:rPr>
      </w:pPr>
    </w:p>
    <w:p>
      <w:pPr>
        <w:spacing w:line="440" w:lineRule="exact"/>
        <w:ind w:firstLine="480" w:firstLineChars="200"/>
        <w:outlineLvl w:val="0"/>
        <w:rPr>
          <w:rFonts w:hint="eastAsia" w:ascii="宋体" w:hAnsi="宋体" w:cs="宋体"/>
          <w:sz w:val="24"/>
        </w:rPr>
      </w:pPr>
      <w:r>
        <w:rPr>
          <w:rFonts w:hint="eastAsia" w:ascii="宋体" w:hAnsi="宋体" w:cs="宋体"/>
          <w:sz w:val="24"/>
        </w:rPr>
        <w:t>本公司郑重承诺，根据《财政部司法部中国残疾人联合会关于促进残疾人就业政府采购政策的通知》（财库（2017）141号）的规定，本单位为符合条件的残疾人福利性单位，且本单位参加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项目采购活动提供本企业制造的货物，由本公司承担工程、提供服务，或者提供其他残疾人福利性单位制造的货物（不包括使用非残疾人福利性单位注册商标的货物）。</w:t>
      </w:r>
    </w:p>
    <w:p>
      <w:pPr>
        <w:spacing w:line="440" w:lineRule="exact"/>
        <w:outlineLvl w:val="0"/>
        <w:rPr>
          <w:rFonts w:ascii="宋体" w:hAnsi="宋体" w:cs="宋体"/>
          <w:sz w:val="24"/>
        </w:rPr>
      </w:pPr>
    </w:p>
    <w:p>
      <w:pPr>
        <w:spacing w:line="440" w:lineRule="exact"/>
        <w:ind w:firstLine="480" w:firstLineChars="200"/>
        <w:outlineLvl w:val="0"/>
        <w:rPr>
          <w:rFonts w:hint="eastAsia" w:ascii="宋体" w:hAnsi="宋体" w:cs="宋体"/>
          <w:sz w:val="24"/>
        </w:rPr>
      </w:pPr>
      <w:r>
        <w:rPr>
          <w:rFonts w:hint="eastAsia" w:ascii="宋体" w:hAnsi="宋体" w:cs="宋体"/>
          <w:sz w:val="24"/>
        </w:rPr>
        <w:t>本公司对上述声明的真实性负责。如有虚假，将依法承担相应责任。</w:t>
      </w:r>
    </w:p>
    <w:p>
      <w:pPr>
        <w:spacing w:line="440" w:lineRule="exact"/>
        <w:outlineLvl w:val="0"/>
        <w:rPr>
          <w:rFonts w:ascii="宋体" w:hAnsi="宋体" w:cs="宋体"/>
          <w:sz w:val="24"/>
        </w:rPr>
      </w:pPr>
    </w:p>
    <w:p>
      <w:pPr>
        <w:spacing w:line="440" w:lineRule="exact"/>
        <w:outlineLvl w:val="0"/>
        <w:rPr>
          <w:rFonts w:ascii="宋体" w:hAnsi="宋体" w:cs="宋体"/>
          <w:sz w:val="24"/>
        </w:rPr>
      </w:pPr>
      <w:r>
        <w:rPr>
          <w:rFonts w:ascii="宋体" w:hAnsi="宋体" w:cs="宋体"/>
          <w:sz w:val="24"/>
        </w:rPr>
        <w:tab/>
      </w:r>
    </w:p>
    <w:p>
      <w:pPr>
        <w:spacing w:line="440" w:lineRule="exact"/>
        <w:outlineLvl w:val="0"/>
        <w:rPr>
          <w:rFonts w:ascii="宋体" w:hAnsi="宋体" w:cs="宋体"/>
          <w:sz w:val="24"/>
        </w:rPr>
      </w:pPr>
    </w:p>
    <w:p>
      <w:pPr>
        <w:spacing w:line="440" w:lineRule="exact"/>
        <w:jc w:val="right"/>
        <w:outlineLvl w:val="0"/>
        <w:rPr>
          <w:rFonts w:hint="eastAsia" w:ascii="宋体" w:hAnsi="宋体" w:cs="宋体"/>
          <w:sz w:val="24"/>
        </w:rPr>
      </w:pPr>
      <w:r>
        <w:rPr>
          <w:rFonts w:hint="eastAsia" w:ascii="宋体" w:hAnsi="宋体" w:cs="宋体"/>
          <w:sz w:val="24"/>
        </w:rPr>
        <w:t>企业名称（盖章）：</w:t>
      </w:r>
    </w:p>
    <w:p>
      <w:pPr>
        <w:spacing w:line="440" w:lineRule="exact"/>
        <w:jc w:val="right"/>
        <w:outlineLvl w:val="0"/>
        <w:rPr>
          <w:rFonts w:ascii="宋体" w:hAnsi="宋体" w:cs="宋体"/>
          <w:sz w:val="24"/>
        </w:rPr>
      </w:pPr>
    </w:p>
    <w:p>
      <w:pPr>
        <w:spacing w:line="440" w:lineRule="exact"/>
        <w:jc w:val="right"/>
        <w:outlineLvl w:val="0"/>
        <w:rPr>
          <w:rFonts w:hint="eastAsia" w:ascii="宋体" w:hAnsi="宋体" w:cs="宋体"/>
          <w:sz w:val="24"/>
        </w:rPr>
      </w:pPr>
      <w:r>
        <w:rPr>
          <w:rFonts w:hint="eastAsia" w:ascii="宋体" w:hAnsi="宋体" w:cs="宋体"/>
          <w:sz w:val="24"/>
        </w:rPr>
        <w:t>日　　　　　　期：</w:t>
      </w: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rPr>
          <w:rFonts w:hint="eastAsia" w:ascii="宋体" w:hAnsi="宋体" w:cs="宋体"/>
          <w:b/>
          <w:bCs/>
          <w:sz w:val="32"/>
          <w:szCs w:val="32"/>
        </w:rPr>
      </w:pPr>
    </w:p>
    <w:p>
      <w:pPr>
        <w:pStyle w:val="4"/>
        <w:numPr>
          <w:ilvl w:val="0"/>
          <w:numId w:val="7"/>
        </w:numPr>
        <w:adjustRightInd w:val="0"/>
        <w:snapToGrid w:val="0"/>
        <w:spacing w:before="0" w:after="0" w:line="360" w:lineRule="auto"/>
        <w:rPr>
          <w:rFonts w:hint="eastAsia" w:hAnsi="宋体"/>
          <w:b w:val="0"/>
          <w:sz w:val="24"/>
          <w:szCs w:val="24"/>
        </w:rPr>
      </w:pPr>
      <w:r>
        <w:rPr>
          <w:rFonts w:hint="eastAsia" w:hAnsi="宋体"/>
          <w:b w:val="0"/>
          <w:sz w:val="24"/>
          <w:szCs w:val="24"/>
        </w:rPr>
        <w:t>投标担保函（格式）</w:t>
      </w:r>
    </w:p>
    <w:p>
      <w:pPr>
        <w:snapToGrid w:val="0"/>
        <w:spacing w:line="360" w:lineRule="auto"/>
        <w:jc w:val="center"/>
        <w:outlineLvl w:val="0"/>
        <w:rPr>
          <w:rFonts w:hint="eastAsia" w:ascii="黑体" w:eastAsia="黑体"/>
          <w:bCs/>
          <w:sz w:val="28"/>
          <w:szCs w:val="28"/>
        </w:rPr>
      </w:pPr>
      <w:r>
        <w:rPr>
          <w:rFonts w:hint="eastAsia" w:ascii="黑体" w:eastAsia="黑体"/>
          <w:bCs/>
          <w:sz w:val="28"/>
          <w:szCs w:val="28"/>
        </w:rPr>
        <w:t>投标担保函</w:t>
      </w:r>
    </w:p>
    <w:p>
      <w:pPr>
        <w:ind w:firstLine="6960" w:firstLineChars="2900"/>
        <w:rPr>
          <w:rFonts w:hint="eastAsia" w:ascii="宋体" w:hAnsi="宋体"/>
          <w:bCs/>
          <w:sz w:val="24"/>
        </w:rPr>
      </w:pPr>
      <w:r>
        <w:rPr>
          <w:rFonts w:hint="eastAsia" w:ascii="宋体" w:hAnsi="宋体"/>
          <w:bCs/>
          <w:sz w:val="24"/>
        </w:rPr>
        <w:t>编号：</w:t>
      </w:r>
    </w:p>
    <w:p>
      <w:pPr>
        <w:rPr>
          <w:rFonts w:ascii="宋体" w:hAnsi="宋体"/>
          <w:bCs/>
          <w:sz w:val="24"/>
        </w:rPr>
      </w:pPr>
      <w:r>
        <w:rPr>
          <w:rFonts w:ascii="宋体" w:hAnsi="宋体"/>
          <w:bCs/>
          <w:sz w:val="24"/>
        </w:rPr>
        <w:t xml:space="preserve"> </w:t>
      </w:r>
    </w:p>
    <w:p>
      <w:pPr>
        <w:rPr>
          <w:rFonts w:hint="eastAsia" w:ascii="宋体" w:hAnsi="宋体"/>
          <w:bCs/>
          <w:sz w:val="24"/>
        </w:rPr>
      </w:pPr>
      <w:r>
        <w:rPr>
          <w:rFonts w:hint="eastAsia" w:ascii="宋体" w:hAnsi="宋体"/>
          <w:bCs/>
          <w:sz w:val="24"/>
        </w:rPr>
        <w:t>（采购人或采购代理机构）：</w:t>
      </w:r>
    </w:p>
    <w:p>
      <w:pPr>
        <w:rPr>
          <w:rFonts w:ascii="宋体" w:hAnsi="宋体"/>
          <w:bCs/>
          <w:sz w:val="24"/>
        </w:rPr>
      </w:pPr>
    </w:p>
    <w:p>
      <w:pPr>
        <w:spacing w:line="360" w:lineRule="auto"/>
        <w:ind w:firstLine="480" w:firstLineChars="200"/>
        <w:rPr>
          <w:rFonts w:hint="eastAsia" w:ascii="宋体" w:hAnsi="宋体"/>
          <w:bCs/>
          <w:sz w:val="24"/>
        </w:rPr>
      </w:pPr>
      <w:r>
        <w:rPr>
          <w:rFonts w:hint="eastAsia" w:ascii="宋体" w:hAnsi="宋体"/>
          <w:bCs/>
          <w:sz w:val="24"/>
        </w:rPr>
        <w:t xml:space="preserve">鉴于               （以下简称“供应商”）拟参加编号为            的                                       </w:t>
      </w:r>
    </w:p>
    <w:p>
      <w:pPr>
        <w:spacing w:line="360" w:lineRule="auto"/>
        <w:rPr>
          <w:rFonts w:hint="eastAsia" w:ascii="宋体" w:hAnsi="宋体"/>
          <w:bCs/>
          <w:sz w:val="24"/>
        </w:rPr>
      </w:pPr>
      <w:r>
        <w:rPr>
          <w:rFonts w:hint="eastAsia" w:ascii="宋体" w:hAnsi="宋体"/>
          <w:bCs/>
          <w:sz w:val="24"/>
        </w:rPr>
        <w:t>项目（以下简称“本项目”）投标，根据本项目采购文件，供应商参加投标时应向你方交纳投标保证金，且可以投标担保函的形式交纳投标保证金。应供应商的申请，我方以保证的方式向你方提供如下投标保证金担保：</w:t>
      </w:r>
    </w:p>
    <w:p>
      <w:pPr>
        <w:spacing w:line="360" w:lineRule="auto"/>
        <w:ind w:firstLine="480" w:firstLineChars="200"/>
        <w:rPr>
          <w:rFonts w:hint="eastAsia" w:ascii="宋体" w:hAnsi="宋体"/>
          <w:bCs/>
          <w:sz w:val="24"/>
        </w:rPr>
      </w:pPr>
      <w:r>
        <w:rPr>
          <w:rFonts w:hint="eastAsia" w:ascii="宋体" w:hAnsi="宋体"/>
          <w:bCs/>
          <w:sz w:val="24"/>
        </w:rPr>
        <w:t>一、保证责任的情形及保证金额</w:t>
      </w:r>
    </w:p>
    <w:p>
      <w:pPr>
        <w:spacing w:line="360" w:lineRule="auto"/>
        <w:ind w:firstLine="240" w:firstLineChars="100"/>
        <w:rPr>
          <w:rFonts w:hint="eastAsia" w:ascii="宋体" w:hAnsi="宋体"/>
          <w:bCs/>
          <w:sz w:val="24"/>
        </w:rPr>
      </w:pPr>
      <w:r>
        <w:rPr>
          <w:rFonts w:hint="eastAsia" w:ascii="宋体" w:hAnsi="宋体"/>
          <w:bCs/>
          <w:sz w:val="24"/>
        </w:rPr>
        <w:t>（一）在供应商出现下列情形之一时，我方承担保证责任：</w:t>
      </w:r>
    </w:p>
    <w:p>
      <w:pPr>
        <w:spacing w:line="360" w:lineRule="auto"/>
        <w:ind w:firstLine="480" w:firstLineChars="200"/>
        <w:rPr>
          <w:rFonts w:hint="eastAsia" w:ascii="宋体" w:hAnsi="宋体"/>
          <w:bCs/>
          <w:sz w:val="24"/>
        </w:rPr>
      </w:pPr>
      <w:r>
        <w:rPr>
          <w:rFonts w:hint="eastAsia" w:ascii="宋体" w:hAnsi="宋体"/>
          <w:bCs/>
          <w:sz w:val="24"/>
        </w:rPr>
        <w:t>1．中标后供应商无正当理由不与采购人或者采购代理机构签订《政府采购合同》；</w:t>
      </w:r>
    </w:p>
    <w:p>
      <w:pPr>
        <w:spacing w:line="360" w:lineRule="auto"/>
        <w:ind w:firstLine="480" w:firstLineChars="200"/>
        <w:rPr>
          <w:rFonts w:hint="eastAsia" w:ascii="宋体" w:hAnsi="宋体"/>
          <w:bCs/>
          <w:sz w:val="24"/>
        </w:rPr>
      </w:pPr>
      <w:r>
        <w:rPr>
          <w:rFonts w:hint="eastAsia" w:ascii="宋体" w:hAnsi="宋体"/>
          <w:bCs/>
          <w:sz w:val="24"/>
        </w:rPr>
        <w:t>2．采购文件规定的供应商应当缴纳保证金的其他情形。</w:t>
      </w:r>
    </w:p>
    <w:p>
      <w:pPr>
        <w:spacing w:line="360" w:lineRule="auto"/>
        <w:ind w:firstLine="240" w:firstLineChars="100"/>
        <w:rPr>
          <w:rFonts w:hint="eastAsia" w:ascii="宋体" w:hAnsi="宋体"/>
          <w:bCs/>
          <w:sz w:val="24"/>
        </w:rPr>
      </w:pPr>
      <w:r>
        <w:rPr>
          <w:rFonts w:hint="eastAsia" w:ascii="宋体" w:hAnsi="宋体"/>
          <w:bCs/>
          <w:sz w:val="24"/>
        </w:rPr>
        <w:t>（二）我方承担保证责任的最高金额为人民币      元（大写            ），即本项目的投标保证金金额。</w:t>
      </w:r>
    </w:p>
    <w:p>
      <w:pPr>
        <w:spacing w:line="360" w:lineRule="auto"/>
        <w:ind w:firstLine="480" w:firstLineChars="200"/>
        <w:rPr>
          <w:rFonts w:hint="eastAsia" w:ascii="宋体" w:hAnsi="宋体"/>
          <w:bCs/>
          <w:sz w:val="24"/>
        </w:rPr>
      </w:pPr>
      <w:r>
        <w:rPr>
          <w:rFonts w:hint="eastAsia" w:ascii="宋体" w:hAnsi="宋体"/>
          <w:bCs/>
          <w:sz w:val="24"/>
        </w:rPr>
        <w:t>二、保证的方式及保证期间</w:t>
      </w:r>
    </w:p>
    <w:p>
      <w:pPr>
        <w:spacing w:line="360" w:lineRule="auto"/>
        <w:ind w:firstLine="480" w:firstLineChars="200"/>
        <w:rPr>
          <w:rFonts w:hint="eastAsia" w:ascii="宋体" w:hAnsi="宋体"/>
          <w:bCs/>
          <w:sz w:val="24"/>
        </w:rPr>
      </w:pPr>
      <w:r>
        <w:rPr>
          <w:rFonts w:hint="eastAsia" w:ascii="宋体" w:hAnsi="宋体"/>
          <w:bCs/>
          <w:sz w:val="24"/>
        </w:rPr>
        <w:t>我方保证的方式为：连带责任保证。</w:t>
      </w:r>
    </w:p>
    <w:p>
      <w:pPr>
        <w:spacing w:line="360" w:lineRule="auto"/>
        <w:ind w:firstLine="480" w:firstLineChars="200"/>
        <w:rPr>
          <w:rFonts w:hint="eastAsia" w:ascii="宋体" w:hAnsi="宋体"/>
          <w:bCs/>
          <w:sz w:val="24"/>
        </w:rPr>
      </w:pPr>
      <w:r>
        <w:rPr>
          <w:rFonts w:hint="eastAsia" w:ascii="宋体" w:hAnsi="宋体"/>
          <w:bCs/>
          <w:sz w:val="24"/>
        </w:rPr>
        <w:t>我方的保证期间为：自本保函生效之日起    个月止。</w:t>
      </w:r>
    </w:p>
    <w:p>
      <w:pPr>
        <w:spacing w:line="360" w:lineRule="auto"/>
        <w:ind w:firstLine="480" w:firstLineChars="200"/>
        <w:rPr>
          <w:rFonts w:hint="eastAsia" w:ascii="宋体" w:hAnsi="宋体"/>
          <w:bCs/>
          <w:sz w:val="24"/>
        </w:rPr>
      </w:pPr>
      <w:r>
        <w:rPr>
          <w:rFonts w:hint="eastAsia" w:ascii="宋体" w:hAnsi="宋体"/>
          <w:bCs/>
          <w:sz w:val="24"/>
        </w:rPr>
        <w:t>三、承担保证责任的程序</w:t>
      </w:r>
    </w:p>
    <w:p>
      <w:pPr>
        <w:spacing w:line="360" w:lineRule="auto"/>
        <w:ind w:firstLine="480" w:firstLineChars="200"/>
        <w:rPr>
          <w:rFonts w:hint="eastAsia" w:ascii="宋体" w:hAnsi="宋体"/>
          <w:bCs/>
          <w:sz w:val="24"/>
        </w:rPr>
      </w:pPr>
      <w:r>
        <w:rPr>
          <w:rFonts w:hint="eastAsia" w:ascii="宋体" w:hAnsi="宋体"/>
          <w:bCs/>
          <w:sz w:val="24"/>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80" w:firstLineChars="200"/>
        <w:rPr>
          <w:rFonts w:hint="eastAsia" w:ascii="宋体" w:hAnsi="宋体"/>
          <w:bCs/>
          <w:sz w:val="24"/>
        </w:rPr>
      </w:pPr>
      <w:r>
        <w:rPr>
          <w:rFonts w:hint="eastAsia" w:ascii="宋体" w:hAnsi="宋体"/>
          <w:bCs/>
          <w:sz w:val="24"/>
        </w:rPr>
        <w:t>2．我方在收到索赔通知及相关证明材料后，在　　　个工作日内进行审查，符合应承担保证责任情形的，我方应按照你方的要求代供应商向你方支付投标保证金。</w:t>
      </w:r>
    </w:p>
    <w:p>
      <w:pPr>
        <w:spacing w:line="360" w:lineRule="auto"/>
        <w:ind w:firstLine="480" w:firstLineChars="200"/>
        <w:rPr>
          <w:rFonts w:hint="eastAsia" w:ascii="宋体" w:hAnsi="宋体"/>
          <w:bCs/>
          <w:sz w:val="24"/>
        </w:rPr>
      </w:pPr>
      <w:r>
        <w:rPr>
          <w:rFonts w:hint="eastAsia" w:ascii="宋体" w:hAnsi="宋体"/>
          <w:bCs/>
          <w:sz w:val="24"/>
        </w:rPr>
        <w:t>四、保证责任的终止</w:t>
      </w:r>
    </w:p>
    <w:p>
      <w:pPr>
        <w:spacing w:line="360" w:lineRule="auto"/>
        <w:ind w:firstLine="480" w:firstLineChars="200"/>
        <w:rPr>
          <w:rFonts w:hint="eastAsia" w:ascii="宋体" w:hAnsi="宋体"/>
          <w:bCs/>
          <w:sz w:val="24"/>
        </w:rPr>
      </w:pPr>
      <w:r>
        <w:rPr>
          <w:rFonts w:hint="eastAsia" w:ascii="宋体" w:hAnsi="宋体"/>
          <w:bCs/>
          <w:sz w:val="24"/>
        </w:rPr>
        <w:t>1．保证期间届满你方未向我方书面主张保证责任的，自保证期间届满次日起，我方保证责任自动终止。</w:t>
      </w:r>
    </w:p>
    <w:p>
      <w:pPr>
        <w:spacing w:line="360" w:lineRule="auto"/>
        <w:ind w:firstLine="480" w:firstLineChars="200"/>
        <w:rPr>
          <w:rFonts w:hint="eastAsia" w:ascii="宋体" w:hAnsi="宋体"/>
          <w:bCs/>
          <w:sz w:val="24"/>
        </w:rPr>
      </w:pPr>
      <w:r>
        <w:rPr>
          <w:rFonts w:hint="eastAsia" w:ascii="宋体" w:hAnsi="宋体"/>
          <w:bCs/>
          <w:sz w:val="24"/>
        </w:rPr>
        <w:t>2．我方按照本保函向你贵方履行了保证责任后，自我方向你贵方支付款项（支付款项从我方账户划出）之日起，保证责任终止。</w:t>
      </w:r>
    </w:p>
    <w:p>
      <w:pPr>
        <w:spacing w:line="360" w:lineRule="auto"/>
        <w:ind w:firstLine="480" w:firstLineChars="200"/>
        <w:rPr>
          <w:rFonts w:hint="eastAsia" w:ascii="宋体" w:hAnsi="宋体"/>
          <w:bCs/>
          <w:sz w:val="24"/>
        </w:rPr>
      </w:pPr>
      <w:r>
        <w:rPr>
          <w:rFonts w:hint="eastAsia" w:ascii="宋体" w:hAnsi="宋体"/>
          <w:bCs/>
          <w:sz w:val="24"/>
        </w:rPr>
        <w:t>3．按照法律法规的规定或出现我方保证责任终止的其它情形的，我方在本保函项下的保证责任亦终止。</w:t>
      </w:r>
    </w:p>
    <w:p>
      <w:pPr>
        <w:spacing w:line="360" w:lineRule="auto"/>
        <w:ind w:firstLine="480" w:firstLineChars="200"/>
        <w:rPr>
          <w:rFonts w:hint="eastAsia" w:ascii="宋体" w:hAnsi="宋体"/>
          <w:bCs/>
          <w:sz w:val="24"/>
        </w:rPr>
      </w:pPr>
      <w:r>
        <w:rPr>
          <w:rFonts w:hint="eastAsia" w:ascii="宋体" w:hAnsi="宋体"/>
          <w:bCs/>
          <w:sz w:val="24"/>
        </w:rPr>
        <w:t>五、免责条款</w:t>
      </w:r>
    </w:p>
    <w:p>
      <w:pPr>
        <w:spacing w:line="360" w:lineRule="auto"/>
        <w:ind w:firstLine="480" w:firstLineChars="200"/>
        <w:rPr>
          <w:rFonts w:hint="eastAsia" w:ascii="宋体" w:hAnsi="宋体"/>
          <w:bCs/>
          <w:sz w:val="24"/>
        </w:rPr>
      </w:pPr>
      <w:r>
        <w:rPr>
          <w:rFonts w:hint="eastAsia" w:ascii="宋体" w:hAnsi="宋体"/>
          <w:bCs/>
          <w:sz w:val="24"/>
        </w:rPr>
        <w:t>1．依照法律规定或你方与供应商的另行约定，全部或者部分免除供应商投标保证金义务时，我方亦免除相应的保证责任。</w:t>
      </w:r>
    </w:p>
    <w:p>
      <w:pPr>
        <w:spacing w:line="360" w:lineRule="auto"/>
        <w:ind w:firstLine="480" w:firstLineChars="200"/>
        <w:rPr>
          <w:rFonts w:hint="eastAsia" w:ascii="宋体" w:hAnsi="宋体"/>
          <w:bCs/>
          <w:sz w:val="24"/>
        </w:rPr>
      </w:pPr>
      <w:r>
        <w:rPr>
          <w:rFonts w:hint="eastAsia" w:ascii="宋体" w:hAnsi="宋体"/>
          <w:bCs/>
          <w:sz w:val="24"/>
        </w:rPr>
        <w:t>2．因你方原因致使供应商发生本保函第一条第（一）款约定情形的，我方不承担保证责任。</w:t>
      </w:r>
    </w:p>
    <w:p>
      <w:pPr>
        <w:spacing w:line="360" w:lineRule="auto"/>
        <w:ind w:firstLine="480" w:firstLineChars="200"/>
        <w:rPr>
          <w:rFonts w:hint="eastAsia" w:ascii="宋体" w:hAnsi="宋体"/>
          <w:bCs/>
          <w:sz w:val="24"/>
        </w:rPr>
      </w:pPr>
      <w:r>
        <w:rPr>
          <w:rFonts w:hint="eastAsia" w:ascii="宋体" w:hAnsi="宋体"/>
          <w:bCs/>
          <w:sz w:val="24"/>
        </w:rPr>
        <w:t>3．因不可抗力造成供应商发生本保函第一条约定情形的，我方不承担保证责任。</w:t>
      </w:r>
    </w:p>
    <w:p>
      <w:pPr>
        <w:spacing w:line="360" w:lineRule="auto"/>
        <w:ind w:firstLine="480" w:firstLineChars="200"/>
        <w:rPr>
          <w:rFonts w:hint="eastAsia" w:ascii="宋体" w:hAnsi="宋体"/>
          <w:bCs/>
          <w:sz w:val="24"/>
        </w:rPr>
      </w:pPr>
      <w:r>
        <w:rPr>
          <w:rFonts w:hint="eastAsia" w:ascii="宋体" w:hAnsi="宋体"/>
          <w:bCs/>
          <w:sz w:val="24"/>
        </w:rPr>
        <w:t>4．你方或其他有权机关对采购文件进行任何澄清或修改，加重我方保证责任的，我方对加重部分不承担保证责任，但该澄清或修改经我方事先书面同意的除外。</w:t>
      </w:r>
    </w:p>
    <w:p>
      <w:pPr>
        <w:spacing w:line="360" w:lineRule="auto"/>
        <w:ind w:firstLine="480" w:firstLineChars="200"/>
        <w:rPr>
          <w:rFonts w:hint="eastAsia" w:ascii="宋体" w:hAnsi="宋体"/>
          <w:bCs/>
          <w:sz w:val="24"/>
        </w:rPr>
      </w:pPr>
      <w:r>
        <w:rPr>
          <w:rFonts w:hint="eastAsia" w:ascii="宋体" w:hAnsi="宋体"/>
          <w:bCs/>
          <w:sz w:val="24"/>
        </w:rPr>
        <w:t>六、争议的解决</w:t>
      </w:r>
    </w:p>
    <w:p>
      <w:pPr>
        <w:spacing w:line="360" w:lineRule="auto"/>
        <w:ind w:firstLine="480" w:firstLineChars="200"/>
        <w:rPr>
          <w:rFonts w:hint="eastAsia" w:ascii="宋体" w:hAnsi="宋体"/>
          <w:bCs/>
          <w:sz w:val="24"/>
        </w:rPr>
      </w:pPr>
      <w:r>
        <w:rPr>
          <w:rFonts w:hint="eastAsia" w:ascii="宋体" w:hAnsi="宋体"/>
          <w:bCs/>
          <w:sz w:val="24"/>
        </w:rPr>
        <w:t>因本保函发生的纠纷，由你我双方协商解决，协商不成的，通过诉讼程序解决，诉讼管辖地法院为          法院。</w:t>
      </w:r>
    </w:p>
    <w:p>
      <w:pPr>
        <w:spacing w:line="360" w:lineRule="auto"/>
        <w:ind w:firstLine="480" w:firstLineChars="200"/>
        <w:rPr>
          <w:rFonts w:hint="eastAsia" w:ascii="宋体" w:hAnsi="宋体"/>
          <w:bCs/>
          <w:sz w:val="24"/>
        </w:rPr>
      </w:pPr>
      <w:r>
        <w:rPr>
          <w:rFonts w:hint="eastAsia" w:ascii="宋体" w:hAnsi="宋体"/>
          <w:bCs/>
          <w:sz w:val="24"/>
        </w:rPr>
        <w:t>七、保函的生效</w:t>
      </w:r>
    </w:p>
    <w:p>
      <w:pPr>
        <w:spacing w:line="360" w:lineRule="auto"/>
        <w:ind w:firstLine="480" w:firstLineChars="200"/>
        <w:rPr>
          <w:rFonts w:hint="eastAsia" w:ascii="宋体" w:hAnsi="宋体"/>
          <w:bCs/>
          <w:sz w:val="24"/>
        </w:rPr>
      </w:pPr>
      <w:r>
        <w:rPr>
          <w:rFonts w:hint="eastAsia" w:ascii="宋体" w:hAnsi="宋体"/>
          <w:bCs/>
          <w:sz w:val="24"/>
        </w:rPr>
        <w:t>本保函自我方加盖公章之日起生效。</w:t>
      </w:r>
    </w:p>
    <w:p>
      <w:pPr>
        <w:spacing w:line="360" w:lineRule="auto"/>
        <w:rPr>
          <w:rFonts w:ascii="宋体" w:hAnsi="宋体"/>
          <w:bCs/>
          <w:sz w:val="24"/>
        </w:rPr>
      </w:pPr>
    </w:p>
    <w:p>
      <w:pPr>
        <w:ind w:firstLine="4440" w:firstLineChars="1850"/>
        <w:rPr>
          <w:rFonts w:hint="eastAsia" w:ascii="宋体" w:hAnsi="宋体"/>
          <w:bCs/>
          <w:sz w:val="24"/>
        </w:rPr>
      </w:pPr>
    </w:p>
    <w:p>
      <w:pPr>
        <w:ind w:firstLine="4440" w:firstLineChars="1850"/>
        <w:rPr>
          <w:rFonts w:hint="eastAsia" w:ascii="宋体" w:hAnsi="宋体"/>
          <w:bCs/>
          <w:sz w:val="24"/>
        </w:rPr>
      </w:pPr>
      <w:r>
        <w:rPr>
          <w:rFonts w:hint="eastAsia" w:ascii="宋体" w:hAnsi="宋体"/>
          <w:bCs/>
          <w:sz w:val="24"/>
        </w:rPr>
        <w:t>保证人：（公章）</w:t>
      </w:r>
    </w:p>
    <w:p>
      <w:pPr>
        <w:rPr>
          <w:rFonts w:ascii="宋体" w:hAnsi="宋体"/>
          <w:bCs/>
          <w:sz w:val="24"/>
        </w:rPr>
      </w:pPr>
      <w:r>
        <w:rPr>
          <w:rFonts w:ascii="宋体" w:hAnsi="宋体"/>
          <w:bCs/>
          <w:sz w:val="24"/>
        </w:rPr>
        <w:t xml:space="preserve">                               </w:t>
      </w:r>
    </w:p>
    <w:p>
      <w:pPr>
        <w:ind w:firstLine="4440" w:firstLineChars="1850"/>
        <w:rPr>
          <w:rFonts w:hint="eastAsia" w:ascii="宋体" w:hAnsi="宋体"/>
          <w:bCs/>
          <w:sz w:val="24"/>
        </w:rPr>
      </w:pPr>
      <w:r>
        <w:rPr>
          <w:rFonts w:hint="eastAsia" w:ascii="宋体" w:hAnsi="宋体"/>
          <w:bCs/>
          <w:sz w:val="24"/>
        </w:rPr>
        <w:t>年     月      日</w:t>
      </w:r>
    </w:p>
    <w:p>
      <w:pPr>
        <w:rPr>
          <w:rFonts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bCs/>
          <w:sz w:val="24"/>
        </w:rPr>
      </w:pPr>
    </w:p>
    <w:p>
      <w:pPr>
        <w:rPr>
          <w:rFonts w:hint="eastAsia" w:ascii="宋体" w:hAnsi="宋体"/>
          <w:sz w:val="24"/>
        </w:rPr>
      </w:pPr>
    </w:p>
    <w:p>
      <w:pPr>
        <w:rPr>
          <w:rFonts w:hint="eastAsia" w:ascii="宋体" w:hAnsi="宋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p>
    <w:p>
      <w:pPr>
        <w:pStyle w:val="4"/>
        <w:adjustRightInd w:val="0"/>
        <w:snapToGrid w:val="0"/>
        <w:spacing w:before="0" w:after="0" w:line="360" w:lineRule="auto"/>
        <w:rPr>
          <w:rFonts w:hint="eastAsia" w:ascii="宋体" w:hAnsi="宋体"/>
          <w:b/>
          <w:sz w:val="36"/>
          <w:szCs w:val="36"/>
        </w:rPr>
      </w:pPr>
      <w:r>
        <w:rPr>
          <w:rFonts w:hint="eastAsia" w:hAnsi="宋体"/>
          <w:b w:val="0"/>
          <w:sz w:val="24"/>
          <w:szCs w:val="24"/>
        </w:rPr>
        <w:t>（十二）履约担保函（格式）</w:t>
      </w:r>
    </w:p>
    <w:p>
      <w:pPr>
        <w:jc w:val="center"/>
        <w:rPr>
          <w:rFonts w:hint="eastAsia" w:ascii="宋体" w:hAnsi="宋体"/>
          <w:b/>
          <w:sz w:val="36"/>
          <w:szCs w:val="36"/>
        </w:rPr>
      </w:pPr>
      <w:r>
        <w:rPr>
          <w:rFonts w:hint="eastAsia" w:ascii="宋体" w:hAnsi="宋体"/>
          <w:b/>
          <w:sz w:val="36"/>
          <w:szCs w:val="36"/>
        </w:rPr>
        <w:t>政府采</w:t>
      </w:r>
      <w:r>
        <w:rPr>
          <w:rFonts w:hint="eastAsia" w:ascii="宋体" w:hAnsi="宋体" w:cs="宋体"/>
          <w:b/>
          <w:sz w:val="36"/>
          <w:szCs w:val="36"/>
        </w:rPr>
        <w:t>购</w:t>
      </w:r>
      <w:r>
        <w:rPr>
          <w:rFonts w:hint="eastAsia" w:ascii="宋体" w:hAnsi="宋体" w:cs="Dotum"/>
          <w:b/>
          <w:sz w:val="36"/>
          <w:szCs w:val="36"/>
        </w:rPr>
        <w:t>履</w:t>
      </w:r>
      <w:r>
        <w:rPr>
          <w:rFonts w:hint="eastAsia" w:ascii="宋体" w:hAnsi="宋体" w:cs="宋体"/>
          <w:b/>
          <w:sz w:val="36"/>
          <w:szCs w:val="36"/>
        </w:rPr>
        <w:t>约</w:t>
      </w:r>
      <w:r>
        <w:rPr>
          <w:rFonts w:hint="eastAsia" w:ascii="宋体" w:hAnsi="宋体" w:cs="Dotum"/>
          <w:b/>
          <w:sz w:val="36"/>
          <w:szCs w:val="36"/>
        </w:rPr>
        <w:t>担保函（</w:t>
      </w:r>
      <w:r>
        <w:rPr>
          <w:rFonts w:hint="eastAsia" w:ascii="宋体" w:hAnsi="宋体" w:cs="宋体"/>
          <w:b/>
          <w:sz w:val="36"/>
          <w:szCs w:val="36"/>
        </w:rPr>
        <w:t>项</w:t>
      </w:r>
      <w:r>
        <w:rPr>
          <w:rFonts w:hint="eastAsia" w:ascii="宋体" w:hAnsi="宋体" w:cs="Dotum"/>
          <w:b/>
          <w:sz w:val="36"/>
          <w:szCs w:val="36"/>
        </w:rPr>
        <w:t>目用）</w:t>
      </w:r>
    </w:p>
    <w:p>
      <w:pPr>
        <w:rPr>
          <w:rFonts w:hint="eastAsia" w:ascii="宋体" w:hAnsi="宋体"/>
          <w:sz w:val="24"/>
        </w:rPr>
      </w:pPr>
      <w:r>
        <w:rPr>
          <w:rFonts w:hint="eastAsia"/>
        </w:rPr>
        <w:t xml:space="preserve">                                                             </w:t>
      </w:r>
      <w:r>
        <w:rPr>
          <w:rFonts w:hint="eastAsia" w:ascii="宋体" w:hAnsi="宋体"/>
          <w:sz w:val="24"/>
        </w:rPr>
        <w:t>编号：</w:t>
      </w:r>
    </w:p>
    <w:p>
      <w:pPr>
        <w:rPr>
          <w:rFonts w:ascii="宋体" w:hAnsi="宋体"/>
          <w:sz w:val="24"/>
        </w:rPr>
      </w:pPr>
    </w:p>
    <w:p>
      <w:pPr>
        <w:spacing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（采购人）：</w:t>
      </w:r>
    </w:p>
    <w:p>
      <w:pPr>
        <w:spacing w:line="360" w:lineRule="auto"/>
        <w:rPr>
          <w:rFonts w:ascii="宋体" w:hAnsi="宋体"/>
          <w:sz w:val="24"/>
        </w:rPr>
      </w:pPr>
    </w:p>
    <w:p>
      <w:pPr>
        <w:spacing w:line="360" w:lineRule="auto"/>
        <w:ind w:firstLine="480" w:firstLineChars="200"/>
        <w:rPr>
          <w:rFonts w:hint="eastAsia" w:ascii="宋体" w:hAnsi="宋体"/>
          <w:sz w:val="24"/>
        </w:rPr>
      </w:pPr>
      <w:r>
        <w:rPr>
          <w:rFonts w:hint="eastAsia" w:ascii="宋体" w:hAnsi="宋体"/>
          <w:sz w:val="24"/>
        </w:rPr>
        <w:t>鉴于你方与</w:t>
      </w:r>
      <w:r>
        <w:rPr>
          <w:rFonts w:hint="eastAsia" w:ascii="宋体" w:hAnsi="宋体"/>
          <w:sz w:val="24"/>
          <w:u w:val="single"/>
        </w:rPr>
        <w:t xml:space="preserve">                    </w:t>
      </w:r>
      <w:r>
        <w:rPr>
          <w:rFonts w:hint="eastAsia" w:ascii="宋体" w:hAnsi="宋体"/>
          <w:sz w:val="24"/>
        </w:rPr>
        <w:t>（以下简称供应商）于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日签定编号为   的《</w:t>
      </w:r>
      <w:r>
        <w:rPr>
          <w:rFonts w:hint="eastAsia" w:ascii="宋体" w:hAnsi="宋体"/>
          <w:sz w:val="24"/>
          <w:u w:val="single"/>
        </w:rPr>
        <w:t xml:space="preserve">           </w:t>
      </w:r>
      <w:r>
        <w:rPr>
          <w:rFonts w:hint="eastAsia" w:ascii="宋体" w:hAnsi="宋体"/>
          <w:sz w:val="24"/>
        </w:rPr>
        <w:t>政府采购合同》（以下简称主合同），且依据该合同的约定，供应商应在</w:t>
      </w:r>
      <w:r>
        <w:rPr>
          <w:rFonts w:hint="eastAsia" w:ascii="宋体" w:hAnsi="宋体"/>
          <w:sz w:val="24"/>
          <w:u w:val="single"/>
        </w:rPr>
        <w:t xml:space="preserve">    </w:t>
      </w:r>
      <w:r>
        <w:rPr>
          <w:rFonts w:hint="eastAsia" w:ascii="宋体" w:hAnsi="宋体"/>
          <w:sz w:val="24"/>
        </w:rPr>
        <w:t>年</w:t>
      </w:r>
    </w:p>
    <w:p>
      <w:pPr>
        <w:spacing w:line="360" w:lineRule="auto"/>
        <w:rPr>
          <w:rFonts w:hint="eastAsia" w:ascii="宋体" w:hAnsi="宋体"/>
          <w:sz w:val="24"/>
        </w:rPr>
      </w:pP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日前向你方交纳履约保证金，且可以履约担保函的形式交纳履约保证金。应供应商的申请，我方以保证的方式向你方提供如下履约保证金担保：</w:t>
      </w:r>
    </w:p>
    <w:p>
      <w:pPr>
        <w:spacing w:line="360" w:lineRule="auto"/>
        <w:ind w:firstLine="480" w:firstLineChars="200"/>
        <w:rPr>
          <w:rFonts w:hint="eastAsia" w:ascii="宋体" w:hAnsi="宋体"/>
          <w:sz w:val="24"/>
        </w:rPr>
      </w:pPr>
      <w:r>
        <w:rPr>
          <w:rFonts w:hint="eastAsia" w:ascii="宋体" w:hAnsi="宋体"/>
          <w:sz w:val="24"/>
        </w:rPr>
        <w:t>一、保证责任的情形及保证金额</w:t>
      </w:r>
    </w:p>
    <w:p>
      <w:pPr>
        <w:spacing w:line="360" w:lineRule="auto"/>
        <w:ind w:firstLine="480" w:firstLineChars="200"/>
        <w:rPr>
          <w:rFonts w:hint="eastAsia" w:ascii="宋体" w:hAnsi="宋体"/>
          <w:sz w:val="24"/>
        </w:rPr>
      </w:pPr>
      <w:r>
        <w:rPr>
          <w:rFonts w:hint="eastAsia" w:ascii="宋体" w:hAnsi="宋体"/>
          <w:sz w:val="24"/>
        </w:rPr>
        <w:t>（一）在供应商出现下列情形之一时，我方承担保证责任：</w:t>
      </w:r>
    </w:p>
    <w:p>
      <w:pPr>
        <w:spacing w:line="360" w:lineRule="auto"/>
        <w:ind w:firstLine="480" w:firstLineChars="200"/>
        <w:rPr>
          <w:rFonts w:hint="eastAsia" w:ascii="宋体" w:hAnsi="宋体"/>
          <w:sz w:val="24"/>
        </w:rPr>
      </w:pPr>
      <w:r>
        <w:rPr>
          <w:rFonts w:hint="eastAsia" w:ascii="宋体" w:hAnsi="宋体"/>
          <w:sz w:val="24"/>
        </w:rPr>
        <w:t>1．将中标项目转让给他人，或者在投标文件中未说明，且未经采购招标机构人同意，将中标项目分包给他人的；</w:t>
      </w:r>
    </w:p>
    <w:p>
      <w:pPr>
        <w:spacing w:line="360" w:lineRule="auto"/>
        <w:rPr>
          <w:rFonts w:hint="eastAsia" w:ascii="宋体" w:hAnsi="宋体"/>
          <w:sz w:val="24"/>
        </w:rPr>
      </w:pPr>
      <w:r>
        <w:rPr>
          <w:rFonts w:hint="eastAsia" w:ascii="宋体" w:hAnsi="宋体"/>
          <w:sz w:val="24"/>
        </w:rPr>
        <w:t xml:space="preserve">　　2．主合同约定的应当缴纳履约保证金的情形: </w:t>
      </w:r>
    </w:p>
    <w:p>
      <w:pPr>
        <w:spacing w:line="360" w:lineRule="auto"/>
        <w:ind w:firstLine="480" w:firstLineChars="200"/>
        <w:rPr>
          <w:rFonts w:hint="eastAsia" w:ascii="宋体" w:hAnsi="宋体"/>
          <w:sz w:val="24"/>
        </w:rPr>
      </w:pPr>
      <w:r>
        <w:rPr>
          <w:rFonts w:hint="eastAsia" w:ascii="宋体" w:hAnsi="宋体"/>
          <w:sz w:val="24"/>
        </w:rPr>
        <w:t>（1）未按主合同约定的质量、数量和期限供应货物/提供服务/完成工程的；</w:t>
      </w:r>
    </w:p>
    <w:p>
      <w:pPr>
        <w:spacing w:line="360" w:lineRule="auto"/>
        <w:ind w:firstLine="480" w:firstLineChars="200"/>
        <w:rPr>
          <w:rFonts w:hint="eastAsia" w:ascii="宋体" w:hAnsi="宋体"/>
          <w:sz w:val="24"/>
        </w:rPr>
      </w:pPr>
      <w:r>
        <w:rPr>
          <w:rFonts w:hint="eastAsia" w:ascii="宋体" w:hAnsi="宋体"/>
          <w:sz w:val="24"/>
        </w:rPr>
        <w:t>（2）</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（二）我方的保证范围是主合同约定的合同价款总额的</w:t>
      </w:r>
      <w:r>
        <w:rPr>
          <w:rFonts w:hint="eastAsia" w:ascii="宋体" w:hAnsi="宋体"/>
          <w:sz w:val="24"/>
          <w:u w:val="single"/>
        </w:rPr>
        <w:t xml:space="preserve">        </w:t>
      </w:r>
      <w:r>
        <w:rPr>
          <w:rFonts w:hint="eastAsia" w:ascii="宋体" w:hAnsi="宋体"/>
          <w:sz w:val="24"/>
        </w:rPr>
        <w:t>%数额为</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），币种为</w:t>
      </w:r>
      <w:r>
        <w:rPr>
          <w:rFonts w:hint="eastAsia" w:ascii="宋体" w:hAnsi="宋体"/>
          <w:sz w:val="24"/>
          <w:u w:val="single"/>
        </w:rPr>
        <w:t xml:space="preserve">        </w:t>
      </w:r>
      <w:r>
        <w:rPr>
          <w:rFonts w:hint="eastAsia" w:ascii="宋体" w:hAnsi="宋体"/>
          <w:sz w:val="24"/>
        </w:rPr>
        <w:t>。（即主合同履约保证金金额）</w:t>
      </w:r>
    </w:p>
    <w:p>
      <w:pPr>
        <w:spacing w:line="360" w:lineRule="auto"/>
        <w:ind w:firstLine="480" w:firstLineChars="200"/>
        <w:rPr>
          <w:rFonts w:hint="eastAsia" w:ascii="宋体" w:hAnsi="宋体"/>
          <w:sz w:val="24"/>
        </w:rPr>
      </w:pPr>
      <w:r>
        <w:rPr>
          <w:rFonts w:hint="eastAsia" w:ascii="宋体" w:hAnsi="宋体"/>
          <w:sz w:val="24"/>
        </w:rPr>
        <w:t>二、保证的方式及保证期间</w:t>
      </w:r>
    </w:p>
    <w:p>
      <w:pPr>
        <w:spacing w:line="360" w:lineRule="auto"/>
        <w:ind w:firstLine="480" w:firstLineChars="200"/>
        <w:rPr>
          <w:rFonts w:hint="eastAsia" w:ascii="宋体" w:hAnsi="宋体"/>
          <w:sz w:val="24"/>
        </w:rPr>
      </w:pPr>
      <w:r>
        <w:rPr>
          <w:rFonts w:hint="eastAsia" w:ascii="宋体" w:hAnsi="宋体"/>
          <w:sz w:val="24"/>
        </w:rPr>
        <w:t>我方保证的方式为：连带责任保证。</w:t>
      </w:r>
    </w:p>
    <w:p>
      <w:pPr>
        <w:spacing w:line="360" w:lineRule="auto"/>
        <w:ind w:firstLine="480" w:firstLineChars="200"/>
        <w:rPr>
          <w:rFonts w:hint="eastAsia" w:ascii="宋体" w:hAnsi="宋体"/>
          <w:sz w:val="24"/>
        </w:rPr>
      </w:pPr>
      <w:r>
        <w:rPr>
          <w:rFonts w:hint="eastAsia" w:ascii="宋体" w:hAnsi="宋体"/>
          <w:sz w:val="24"/>
        </w:rPr>
        <w:t>我方保证的期间为：自本合同生效之日起至供应商按照主合同约定的供货/完工期限届满后</w:t>
      </w:r>
      <w:r>
        <w:rPr>
          <w:rFonts w:hint="eastAsia" w:ascii="宋体" w:hAnsi="宋体"/>
          <w:sz w:val="24"/>
          <w:u w:val="single"/>
        </w:rPr>
        <w:t xml:space="preserve">     </w:t>
      </w:r>
      <w:r>
        <w:rPr>
          <w:rFonts w:hint="eastAsia" w:ascii="宋体" w:hAnsi="宋体"/>
          <w:sz w:val="24"/>
        </w:rPr>
        <w:t>日内。</w:t>
      </w:r>
    </w:p>
    <w:p>
      <w:pPr>
        <w:spacing w:line="360" w:lineRule="auto"/>
        <w:ind w:firstLine="480" w:firstLineChars="200"/>
        <w:rPr>
          <w:rFonts w:hint="eastAsia" w:ascii="宋体" w:hAnsi="宋体"/>
          <w:sz w:val="24"/>
        </w:rPr>
      </w:pPr>
      <w:r>
        <w:rPr>
          <w:rFonts w:hint="eastAsia" w:ascii="宋体" w:hAnsi="宋体"/>
          <w:sz w:val="24"/>
        </w:rPr>
        <w:t>如果供应商未按主合同约定向贵方供应货物/提供服务/完成工程的，由我方在保证金额内向你方支付上述款项。</w:t>
      </w:r>
    </w:p>
    <w:p>
      <w:pPr>
        <w:spacing w:line="360" w:lineRule="auto"/>
        <w:ind w:firstLine="480" w:firstLineChars="200"/>
        <w:rPr>
          <w:rFonts w:hint="eastAsia" w:ascii="宋体" w:hAnsi="宋体"/>
          <w:sz w:val="24"/>
        </w:rPr>
      </w:pPr>
      <w:r>
        <w:rPr>
          <w:rFonts w:hint="eastAsia" w:ascii="宋体" w:hAnsi="宋体"/>
          <w:sz w:val="24"/>
        </w:rPr>
        <w:t>三、承担保证责任的程序</w:t>
      </w:r>
    </w:p>
    <w:p>
      <w:pPr>
        <w:spacing w:line="360" w:lineRule="auto"/>
        <w:ind w:firstLine="480" w:firstLineChars="200"/>
        <w:rPr>
          <w:rFonts w:hint="eastAsia" w:ascii="宋体" w:hAnsi="宋体"/>
          <w:sz w:val="24"/>
        </w:rPr>
      </w:pPr>
      <w:r>
        <w:rPr>
          <w:rFonts w:hint="eastAsia" w:ascii="宋体" w:hAnsi="宋体"/>
          <w:sz w:val="24"/>
        </w:rPr>
        <w:t>1．你方要求我方承担保证责任的，应在本保函保证期间内向我方发出书面索赔通知。索赔通知应写明要求索赔的金额，支付款项应到达的帐号。并附有证明供应商违约事实的证明材料。</w:t>
      </w:r>
    </w:p>
    <w:p>
      <w:pPr>
        <w:spacing w:line="360" w:lineRule="auto"/>
        <w:ind w:firstLine="480" w:firstLineChars="200"/>
        <w:rPr>
          <w:rFonts w:hint="eastAsia" w:ascii="宋体" w:hAnsi="宋体"/>
          <w:sz w:val="24"/>
        </w:rPr>
      </w:pPr>
      <w:r>
        <w:rPr>
          <w:rFonts w:hint="eastAsia" w:ascii="宋体" w:hAnsi="宋体"/>
          <w:sz w:val="24"/>
        </w:rPr>
        <w:t>如果你方与供应商因货物质量问题产生争议，你方还需同时提供</w:t>
      </w:r>
      <w:r>
        <w:rPr>
          <w:rFonts w:hint="eastAsia" w:ascii="宋体" w:hAnsi="宋体"/>
          <w:sz w:val="24"/>
          <w:u w:val="single"/>
        </w:rPr>
        <w:t xml:space="preserve">        </w:t>
      </w:r>
      <w:r>
        <w:rPr>
          <w:rFonts w:hint="eastAsia" w:ascii="宋体" w:hAnsi="宋体"/>
          <w:sz w:val="24"/>
        </w:rPr>
        <w:t>部门出具的质量检测报告，或经诉讼（仲裁）程序裁决后的裁决书、调解书，本保证人即按照检测结果或裁决书、调解书决定是否承担保证责任。</w:t>
      </w:r>
    </w:p>
    <w:p>
      <w:pPr>
        <w:spacing w:line="360" w:lineRule="auto"/>
        <w:ind w:firstLine="480" w:firstLineChars="200"/>
        <w:rPr>
          <w:rFonts w:hint="eastAsia" w:ascii="宋体" w:hAnsi="宋体"/>
          <w:sz w:val="24"/>
        </w:rPr>
      </w:pPr>
      <w:r>
        <w:rPr>
          <w:rFonts w:hint="eastAsia" w:ascii="宋体" w:hAnsi="宋体"/>
          <w:sz w:val="24"/>
        </w:rPr>
        <w:t>2． 我方收到你方的书面索赔通知及相应证明材料，在</w:t>
      </w:r>
      <w:r>
        <w:rPr>
          <w:rFonts w:hint="eastAsia" w:ascii="宋体" w:hAnsi="宋体"/>
          <w:sz w:val="24"/>
          <w:u w:val="single"/>
        </w:rPr>
        <w:t xml:space="preserve">     </w:t>
      </w:r>
      <w:r>
        <w:rPr>
          <w:rFonts w:hint="eastAsia" w:ascii="宋体" w:hAnsi="宋体"/>
          <w:sz w:val="24"/>
        </w:rPr>
        <w:t>工作日内进行核定后按照本保函的承诺承担保证责任。</w:t>
      </w:r>
    </w:p>
    <w:p>
      <w:pPr>
        <w:spacing w:line="360" w:lineRule="auto"/>
        <w:ind w:firstLine="480" w:firstLineChars="200"/>
        <w:rPr>
          <w:rFonts w:hint="eastAsia" w:ascii="宋体" w:hAnsi="宋体"/>
          <w:sz w:val="24"/>
        </w:rPr>
      </w:pPr>
      <w:r>
        <w:rPr>
          <w:rFonts w:hint="eastAsia" w:ascii="宋体" w:hAnsi="宋体"/>
          <w:sz w:val="24"/>
        </w:rPr>
        <w:t>四、保证责任的终止</w:t>
      </w:r>
    </w:p>
    <w:p>
      <w:pPr>
        <w:spacing w:line="360" w:lineRule="auto"/>
        <w:ind w:firstLine="480" w:firstLineChars="200"/>
        <w:rPr>
          <w:rFonts w:hint="eastAsia" w:ascii="宋体" w:hAnsi="宋体"/>
          <w:sz w:val="24"/>
        </w:rPr>
      </w:pPr>
      <w:r>
        <w:rPr>
          <w:rFonts w:hint="eastAsia" w:ascii="宋体" w:hAnsi="宋体"/>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pacing w:line="360" w:lineRule="auto"/>
        <w:ind w:firstLine="480" w:firstLineChars="200"/>
        <w:rPr>
          <w:rFonts w:hint="eastAsia" w:ascii="宋体" w:hAnsi="宋体"/>
          <w:sz w:val="24"/>
        </w:rPr>
      </w:pPr>
      <w:r>
        <w:rPr>
          <w:rFonts w:hint="eastAsia" w:ascii="宋体" w:hAnsi="宋体"/>
          <w:sz w:val="24"/>
        </w:rPr>
        <w:t>2．我方按照本保函向你方履行了保证责任后，自我方向你方支付款项（支付款项从我方账户划出）之日起，保证责任即终止。</w:t>
      </w:r>
    </w:p>
    <w:p>
      <w:pPr>
        <w:spacing w:line="360" w:lineRule="auto"/>
        <w:ind w:firstLine="480" w:firstLineChars="200"/>
        <w:rPr>
          <w:rFonts w:hint="eastAsia" w:ascii="宋体" w:hAnsi="宋体"/>
          <w:sz w:val="24"/>
        </w:rPr>
      </w:pPr>
      <w:r>
        <w:rPr>
          <w:rFonts w:hint="eastAsia" w:ascii="宋体" w:hAnsi="宋体"/>
          <w:sz w:val="24"/>
        </w:rPr>
        <w:t>3．按照法律法规的规定或出现应终止我方保证责任的其它情形的，我方在本保函项下的保证责任亦终止。</w:t>
      </w:r>
    </w:p>
    <w:p>
      <w:pPr>
        <w:spacing w:line="360" w:lineRule="auto"/>
        <w:ind w:firstLine="480" w:firstLineChars="200"/>
        <w:rPr>
          <w:rFonts w:hint="eastAsia" w:ascii="宋体" w:hAnsi="宋体"/>
          <w:sz w:val="24"/>
        </w:rPr>
      </w:pPr>
      <w:r>
        <w:rPr>
          <w:rFonts w:hint="eastAsia" w:ascii="宋体" w:hAnsi="宋体"/>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360" w:lineRule="auto"/>
        <w:ind w:firstLine="480" w:firstLineChars="200"/>
        <w:rPr>
          <w:rFonts w:hint="eastAsia" w:ascii="宋体" w:hAnsi="宋体"/>
          <w:sz w:val="24"/>
        </w:rPr>
      </w:pPr>
      <w:r>
        <w:rPr>
          <w:rFonts w:hint="eastAsia" w:ascii="宋体" w:hAnsi="宋体"/>
          <w:sz w:val="24"/>
        </w:rPr>
        <w:t>五、免责条款</w:t>
      </w:r>
    </w:p>
    <w:p>
      <w:pPr>
        <w:spacing w:line="360" w:lineRule="auto"/>
        <w:ind w:firstLine="480" w:firstLineChars="200"/>
        <w:rPr>
          <w:rFonts w:hint="eastAsia" w:ascii="宋体" w:hAnsi="宋体"/>
          <w:sz w:val="24"/>
        </w:rPr>
      </w:pPr>
      <w:r>
        <w:rPr>
          <w:rFonts w:hint="eastAsia" w:ascii="宋体" w:hAnsi="宋体"/>
          <w:sz w:val="24"/>
        </w:rPr>
        <w:t>1．因你方违反主合同约定致使供应商不能履行义务的，我方不承担保证责任。</w:t>
      </w:r>
    </w:p>
    <w:p>
      <w:pPr>
        <w:spacing w:line="360" w:lineRule="auto"/>
        <w:ind w:firstLine="480" w:firstLineChars="200"/>
        <w:rPr>
          <w:rFonts w:hint="eastAsia" w:ascii="宋体" w:hAnsi="宋体"/>
          <w:sz w:val="24"/>
        </w:rPr>
      </w:pPr>
      <w:r>
        <w:rPr>
          <w:rFonts w:hint="eastAsia" w:ascii="宋体" w:hAnsi="宋体"/>
          <w:sz w:val="24"/>
        </w:rPr>
        <w:t>2．依照法律法规的规定或你方与供应商的另行约定，全部或者部分免除供应商应缴纳的保证金义务的，我方亦免除相应的保证责任。</w:t>
      </w:r>
    </w:p>
    <w:p>
      <w:pPr>
        <w:spacing w:line="360" w:lineRule="auto"/>
        <w:ind w:firstLine="480" w:firstLineChars="200"/>
        <w:rPr>
          <w:rFonts w:hint="eastAsia" w:ascii="宋体" w:hAnsi="宋体"/>
          <w:sz w:val="24"/>
        </w:rPr>
      </w:pPr>
      <w:r>
        <w:rPr>
          <w:rFonts w:hint="eastAsia" w:ascii="宋体" w:hAnsi="宋体"/>
          <w:sz w:val="24"/>
        </w:rPr>
        <w:t>3．因不可抗力造成供应商不能履行供货义务的，我方不承担保证责任。</w:t>
      </w:r>
    </w:p>
    <w:p>
      <w:pPr>
        <w:spacing w:line="360" w:lineRule="auto"/>
        <w:ind w:firstLine="480" w:firstLineChars="200"/>
        <w:rPr>
          <w:rFonts w:hint="eastAsia" w:ascii="宋体" w:hAnsi="宋体"/>
          <w:sz w:val="24"/>
        </w:rPr>
      </w:pPr>
      <w:r>
        <w:rPr>
          <w:rFonts w:hint="eastAsia" w:ascii="宋体" w:hAnsi="宋体"/>
          <w:sz w:val="24"/>
        </w:rPr>
        <w:t>六、争议的解决</w:t>
      </w:r>
    </w:p>
    <w:p>
      <w:pPr>
        <w:spacing w:line="360" w:lineRule="auto"/>
        <w:ind w:firstLine="480" w:firstLineChars="200"/>
        <w:rPr>
          <w:rFonts w:hint="eastAsia" w:ascii="宋体" w:hAnsi="宋体"/>
          <w:sz w:val="24"/>
        </w:rPr>
      </w:pPr>
      <w:r>
        <w:rPr>
          <w:rFonts w:hint="eastAsia" w:ascii="宋体" w:hAnsi="宋体"/>
          <w:sz w:val="24"/>
        </w:rPr>
        <w:t>因本保函发生的纠纷，由你我双方协商解决，协商不成的，通过诉讼程序解决，诉讼管辖地法院为</w:t>
      </w:r>
      <w:r>
        <w:rPr>
          <w:rFonts w:hint="eastAsia" w:ascii="宋体" w:hAnsi="宋体"/>
          <w:sz w:val="24"/>
          <w:u w:val="single"/>
        </w:rPr>
        <w:t xml:space="preserve">        </w:t>
      </w:r>
      <w:r>
        <w:rPr>
          <w:rFonts w:hint="eastAsia" w:ascii="宋体" w:hAnsi="宋体"/>
          <w:sz w:val="24"/>
        </w:rPr>
        <w:t>法院。</w:t>
      </w:r>
    </w:p>
    <w:p>
      <w:pPr>
        <w:spacing w:line="360" w:lineRule="auto"/>
        <w:ind w:firstLine="480" w:firstLineChars="200"/>
        <w:rPr>
          <w:rFonts w:hint="eastAsia" w:ascii="宋体" w:hAnsi="宋体"/>
          <w:sz w:val="24"/>
        </w:rPr>
      </w:pPr>
      <w:r>
        <w:rPr>
          <w:rFonts w:hint="eastAsia" w:ascii="宋体" w:hAnsi="宋体"/>
          <w:sz w:val="24"/>
        </w:rPr>
        <w:t>七、保函的生效</w:t>
      </w:r>
    </w:p>
    <w:p>
      <w:pPr>
        <w:spacing w:line="360" w:lineRule="auto"/>
        <w:ind w:firstLine="480" w:firstLineChars="200"/>
        <w:rPr>
          <w:rFonts w:hint="eastAsia" w:ascii="宋体" w:hAnsi="宋体"/>
          <w:sz w:val="24"/>
        </w:rPr>
      </w:pPr>
      <w:r>
        <w:rPr>
          <w:rFonts w:hint="eastAsia" w:ascii="宋体" w:hAnsi="宋体"/>
          <w:sz w:val="24"/>
        </w:rPr>
        <w:t>本保函自我方加盖公章之日起生效。</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sz w:val="24"/>
        </w:rPr>
      </w:pPr>
      <w:r>
        <w:rPr>
          <w:rFonts w:hint="eastAsia" w:ascii="宋体" w:hAnsi="宋体"/>
          <w:sz w:val="24"/>
        </w:rPr>
        <w:t>保证人：（公章）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sz w:val="72"/>
          <w:szCs w:val="72"/>
        </w:rPr>
      </w:pPr>
      <w:r>
        <w:rPr>
          <w:rFonts w:hint="eastAsia" w:ascii="宋体" w:hAnsi="宋体"/>
          <w:sz w:val="24"/>
          <w:lang w:val="en-US" w:eastAsia="zh-CN"/>
        </w:rPr>
        <w:t xml:space="preserve">                                                            </w:t>
      </w:r>
      <w:r>
        <w:rPr>
          <w:rFonts w:hint="eastAsia" w:ascii="宋体" w:hAnsi="宋体"/>
          <w:sz w:val="24"/>
        </w:rPr>
        <w:t>年     月    日</w:t>
      </w:r>
      <w:bookmarkStart w:id="16" w:name="报价方关于资格的声明函（格式）"/>
      <w:bookmarkEnd w:id="16"/>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headerReference r:id="rId6" w:type="default"/>
      <w:footerReference r:id="rId7" w:type="default"/>
      <w:footerReference r:id="rId8" w:type="even"/>
      <w:pgSz w:w="11906" w:h="16838"/>
      <w:pgMar w:top="1440" w:right="128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Dotum">
    <w:altName w:val="Malgun Gothic"/>
    <w:panose1 w:val="020B0600000101010101"/>
    <w:charset w:val="81"/>
    <w:family w:val="moder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w:t>
    </w: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 MERGEFORMAT</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97</w:t>
    </w:r>
    <w:r>
      <w:rPr>
        <w:rFonts w:ascii="Times New Roman" w:hAnsi="Times New Roman" w:eastAsia="宋体" w:cs="Times New Roman"/>
        <w:kern w:val="2"/>
        <w:sz w:val="18"/>
        <w:szCs w:val="18"/>
        <w:lang w:val="en-US" w:eastAsia="zh-CN" w:bidi="ar-SA"/>
      </w:rPr>
      <w:fldChar w:fldCharType="end"/>
    </w:r>
    <w:r>
      <w:rPr>
        <w:rFonts w:hint="eastAsia" w:ascii="Times New Roman" w:hAnsi="Times New Roman" w:eastAsia="宋体" w:cs="Times New Roman"/>
        <w:kern w:val="2"/>
        <w:sz w:val="18"/>
        <w:szCs w:val="18"/>
        <w:lang w:val="en-US" w:eastAsia="zh-CN" w:bidi="ar-SA"/>
      </w:rPr>
      <w:t>-</w:t>
    </w:r>
  </w:p>
  <w:p>
    <w:pPr>
      <w:widowControl w:val="0"/>
      <w:snapToGrid w:val="0"/>
      <w:jc w:val="left"/>
      <w:rPr>
        <w:rFonts w:hint="eastAsia"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8"/>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Style w:val="18"/>
        <w:rFonts w:ascii="Times New Roman" w:hAnsi="Times New Roman" w:eastAsia="宋体" w:cs="Times New Roman"/>
        <w:kern w:val="2"/>
        <w:sz w:val="18"/>
        <w:szCs w:val="18"/>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end"/>
    </w:r>
  </w:p>
  <w:p>
    <w:pPr>
      <w:widowControl w:val="0"/>
      <w:snapToGrid w:val="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Style w:val="18"/>
        <w:kern w:val="0"/>
        <w:szCs w:val="21"/>
      </w:rPr>
      <w:t xml:space="preserve">- </w:t>
    </w:r>
    <w:r>
      <w:rPr>
        <w:kern w:val="0"/>
        <w:szCs w:val="21"/>
      </w:rPr>
      <w:fldChar w:fldCharType="begin"/>
    </w:r>
    <w:r>
      <w:rPr>
        <w:rStyle w:val="18"/>
        <w:kern w:val="0"/>
        <w:szCs w:val="21"/>
      </w:rPr>
      <w:instrText xml:space="preserve"> PAGE </w:instrText>
    </w:r>
    <w:r>
      <w:rPr>
        <w:kern w:val="0"/>
        <w:szCs w:val="21"/>
      </w:rPr>
      <w:fldChar w:fldCharType="separate"/>
    </w:r>
    <w:r>
      <w:rPr>
        <w:rStyle w:val="18"/>
        <w:kern w:val="0"/>
        <w:szCs w:val="21"/>
      </w:rPr>
      <w:t>50</w:t>
    </w:r>
    <w:r>
      <w:rPr>
        <w:kern w:val="0"/>
        <w:szCs w:val="21"/>
      </w:rPr>
      <w:fldChar w:fldCharType="end"/>
    </w:r>
    <w:r>
      <w:rPr>
        <w:rStyle w:val="18"/>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fldChar w:fldCharType="begin"/>
    </w:r>
    <w:r>
      <w:rPr>
        <w:rStyle w:val="18"/>
      </w:rPr>
      <w:instrText xml:space="preserve">PAGE  </w:instrText>
    </w:r>
    <w:r>
      <w:fldChar w:fldCharType="separate"/>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left"/>
      <w:rPr>
        <w:rFonts w:hint="eastAsia" w:ascii="Times New Roman" w:hAnsi="Times New Roman" w:eastAsia="宋体" w:cs="Times New Roman"/>
        <w:kern w:val="2"/>
        <w:sz w:val="18"/>
        <w:szCs w:val="18"/>
        <w:lang w:val="en-US" w:eastAsia="zh-CN" w:bidi="ar-SA"/>
      </w:rPr>
    </w:pPr>
    <w:r>
      <w:rPr>
        <w:rFonts w:hint="eastAsia" w:ascii="宋体" w:hAnsi="宋体" w:eastAsia="宋体" w:cs="宋体"/>
        <w:bCs/>
        <w:kern w:val="0"/>
        <w:sz w:val="18"/>
        <w:szCs w:val="18"/>
        <w:lang w:val="en-US" w:eastAsia="zh-CN" w:bidi="ar-SA"/>
      </w:rPr>
      <w:t>JSBZQCG2019-80</w:t>
    </w:r>
    <w:r>
      <w:rPr>
        <w:rFonts w:ascii="宋体" w:hAnsi="宋体" w:eastAsia="宋体" w:cs="宋体"/>
        <w:bCs/>
        <w:kern w:val="0"/>
        <w:sz w:val="18"/>
        <w:szCs w:val="18"/>
        <w:lang w:val="en-US" w:eastAsia="zh-CN" w:bidi="ar-SA"/>
      </w:rPr>
      <w:t xml:space="preserve">  </w:t>
    </w:r>
    <w:r>
      <w:rPr>
        <w:rFonts w:hint="eastAsia" w:ascii="宋体" w:hAnsi="宋体" w:eastAsia="宋体" w:cs="宋体"/>
        <w:bCs/>
        <w:kern w:val="0"/>
        <w:sz w:val="18"/>
        <w:szCs w:val="18"/>
        <w:lang w:val="en-US" w:eastAsia="zh-CN" w:bidi="ar-SA"/>
      </w:rPr>
      <w:t xml:space="preserve">                             </w:t>
    </w:r>
    <w:r>
      <w:rPr>
        <w:rFonts w:ascii="宋体" w:hAnsi="宋体" w:eastAsia="宋体" w:cs="宋体"/>
        <w:bCs/>
        <w:kern w:val="0"/>
        <w:sz w:val="18"/>
        <w:szCs w:val="18"/>
        <w:lang w:val="en-US" w:eastAsia="zh-CN" w:bidi="ar-SA"/>
      </w:rPr>
      <w:t xml:space="preserve">     </w:t>
    </w:r>
    <w:r>
      <w:rPr>
        <w:rFonts w:hint="eastAsia" w:ascii="宋体" w:hAnsi="宋体" w:eastAsia="宋体" w:cs="宋体"/>
        <w:bCs/>
        <w:kern w:val="0"/>
        <w:sz w:val="18"/>
        <w:szCs w:val="18"/>
        <w:lang w:val="en-US" w:eastAsia="zh-CN" w:bidi="ar-SA"/>
      </w:rPr>
      <w:t xml:space="preserve"> 无锡职业技术学院太湖校区绿化养护项目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lvl w:ilvl="0" w:tentative="0">
      <w:start w:val="1"/>
      <w:numFmt w:val="decimal"/>
      <w:suff w:val="nothing"/>
      <w:lvlText w:val="%1．"/>
      <w:lvlJc w:val="left"/>
      <w:pPr>
        <w:ind w:left="0" w:firstLine="400"/>
      </w:pPr>
      <w:rPr>
        <w:rFonts w:hint="default"/>
      </w:rPr>
    </w:lvl>
  </w:abstractNum>
  <w:abstractNum w:abstractNumId="1">
    <w:nsid w:val="0000001D"/>
    <w:multiLevelType w:val="singleLevel"/>
    <w:tmpl w:val="0000001D"/>
    <w:lvl w:ilvl="0" w:tentative="0">
      <w:start w:val="1"/>
      <w:numFmt w:val="decimal"/>
      <w:lvlText w:val="%1．"/>
      <w:lvlJc w:val="left"/>
      <w:pPr>
        <w:tabs>
          <w:tab w:val="left" w:pos="3360"/>
        </w:tabs>
        <w:ind w:left="3360" w:hanging="420"/>
      </w:pPr>
      <w:rPr>
        <w:rFonts w:hint="eastAsia"/>
      </w:rPr>
    </w:lvl>
  </w:abstractNum>
  <w:abstractNum w:abstractNumId="2">
    <w:nsid w:val="0A920C9A"/>
    <w:multiLevelType w:val="singleLevel"/>
    <w:tmpl w:val="0A920C9A"/>
    <w:lvl w:ilvl="0" w:tentative="0">
      <w:start w:val="5"/>
      <w:numFmt w:val="chineseCounting"/>
      <w:suff w:val="nothing"/>
      <w:lvlText w:val="（%1）"/>
      <w:lvlJc w:val="left"/>
      <w:rPr>
        <w:rFonts w:hint="eastAsia"/>
      </w:rPr>
    </w:lvl>
  </w:abstractNum>
  <w:abstractNum w:abstractNumId="3">
    <w:nsid w:val="2FF91D0A"/>
    <w:multiLevelType w:val="multilevel"/>
    <w:tmpl w:val="2FF91D0A"/>
    <w:lvl w:ilvl="0" w:tentative="0">
      <w:start w:val="1"/>
      <w:numFmt w:val="chineseCountingThousand"/>
      <w:pStyle w:val="3"/>
      <w:lvlText w:val="第%1部分"/>
      <w:lvlJc w:val="left"/>
      <w:pPr>
        <w:tabs>
          <w:tab w:val="left" w:pos="1800"/>
        </w:tabs>
        <w:ind w:left="425" w:hanging="425"/>
      </w:pPr>
      <w:rPr>
        <w:rFonts w:hint="eastAsia"/>
      </w:rPr>
    </w:lvl>
    <w:lvl w:ilvl="1" w:tentative="0">
      <w:start w:val="1"/>
      <w:numFmt w:val="decimal"/>
      <w:isLgl/>
      <w:lvlText w:val="%1.%2"/>
      <w:lvlJc w:val="left"/>
      <w:pPr>
        <w:tabs>
          <w:tab w:val="left" w:pos="567"/>
        </w:tabs>
        <w:ind w:left="567" w:hanging="567"/>
      </w:pPr>
      <w:rPr>
        <w:rFonts w:hint="eastAsia"/>
      </w:rPr>
    </w:lvl>
    <w:lvl w:ilvl="2" w:tentative="0">
      <w:start w:val="1"/>
      <w:numFmt w:val="decimal"/>
      <w:isLgl/>
      <w:lvlText w:val="%1.%2.%3"/>
      <w:lvlJc w:val="left"/>
      <w:pPr>
        <w:tabs>
          <w:tab w:val="left" w:pos="1080"/>
        </w:tabs>
        <w:ind w:left="340" w:hanging="340"/>
      </w:pPr>
      <w:rPr>
        <w:rFonts w:hint="eastAsia"/>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2"/>
      <w:isLgl/>
      <w:lvlText w:val="%1.%2.%3.%4.%5"/>
      <w:lvlJc w:val="left"/>
      <w:pPr>
        <w:tabs>
          <w:tab w:val="left" w:pos="1080"/>
        </w:tabs>
        <w:ind w:left="992" w:hanging="992"/>
      </w:pPr>
      <w:rPr>
        <w:rFonts w:hint="eastAsia"/>
      </w:rPr>
    </w:lvl>
    <w:lvl w:ilvl="5" w:tentative="0">
      <w:start w:val="1"/>
      <w:numFmt w:val="decimal"/>
      <w:isLgl/>
      <w:lvlText w:val="%1.%2.%3.%4.%5.%6"/>
      <w:lvlJc w:val="left"/>
      <w:pPr>
        <w:tabs>
          <w:tab w:val="left" w:pos="1440"/>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46C82F5A"/>
    <w:multiLevelType w:val="multilevel"/>
    <w:tmpl w:val="46C82F5A"/>
    <w:lvl w:ilvl="0" w:tentative="0">
      <w:start w:val="1"/>
      <w:numFmt w:val="decimal"/>
      <w:lvlText w:val="（%1）"/>
      <w:lvlJc w:val="left"/>
      <w:pPr>
        <w:tabs>
          <w:tab w:val="left" w:pos="988"/>
        </w:tabs>
        <w:ind w:left="988" w:hanging="420"/>
      </w:pPr>
      <w:rPr>
        <w:rFonts w:hint="eastAsia"/>
        <w:lang w:val="en-US"/>
      </w:rPr>
    </w:lvl>
    <w:lvl w:ilvl="1" w:tentative="0">
      <w:start w:val="1"/>
      <w:numFmt w:val="decimal"/>
      <w:lvlText w:val="（%2）"/>
      <w:lvlJc w:val="left"/>
      <w:pPr>
        <w:tabs>
          <w:tab w:val="left" w:pos="840"/>
        </w:tabs>
        <w:ind w:left="840" w:hanging="420"/>
      </w:pPr>
      <w:rPr>
        <w:rFonts w:hint="eastAsia"/>
        <w:lang w:val="en-US"/>
      </w:rPr>
    </w:lvl>
    <w:lvl w:ilvl="2" w:tentative="0">
      <w:start w:val="1"/>
      <w:numFmt w:val="japaneseCounting"/>
      <w:lvlText w:val="%3、"/>
      <w:lvlJc w:val="left"/>
      <w:pPr>
        <w:ind w:left="1344" w:hanging="504"/>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11DCB9B"/>
    <w:multiLevelType w:val="singleLevel"/>
    <w:tmpl w:val="611DCB9B"/>
    <w:lvl w:ilvl="0" w:tentative="0">
      <w:start w:val="10"/>
      <w:numFmt w:val="chineseCounting"/>
      <w:suff w:val="nothing"/>
      <w:lvlText w:val="（%1）"/>
      <w:lvlJc w:val="left"/>
      <w:rPr>
        <w:rFonts w:hint="eastAsia"/>
      </w:rPr>
    </w:lvl>
  </w:abstractNum>
  <w:abstractNum w:abstractNumId="6">
    <w:nsid w:val="7E0C7403"/>
    <w:multiLevelType w:val="multilevel"/>
    <w:tmpl w:val="7E0C7403"/>
    <w:lvl w:ilvl="0" w:tentative="0">
      <w:start w:val="1"/>
      <w:numFmt w:val="japaneseCounting"/>
      <w:lvlText w:val="%1、"/>
      <w:lvlJc w:val="left"/>
      <w:pPr>
        <w:tabs>
          <w:tab w:val="left" w:pos="450"/>
        </w:tabs>
        <w:ind w:left="450" w:hanging="45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A5771"/>
    <w:rsid w:val="00075BBE"/>
    <w:rsid w:val="000C126A"/>
    <w:rsid w:val="00116F0C"/>
    <w:rsid w:val="001401E1"/>
    <w:rsid w:val="00192A83"/>
    <w:rsid w:val="00280CA8"/>
    <w:rsid w:val="002E559E"/>
    <w:rsid w:val="00311F92"/>
    <w:rsid w:val="0038250A"/>
    <w:rsid w:val="004556F1"/>
    <w:rsid w:val="00624248"/>
    <w:rsid w:val="00636884"/>
    <w:rsid w:val="00681F29"/>
    <w:rsid w:val="006A5239"/>
    <w:rsid w:val="006A7DAD"/>
    <w:rsid w:val="006B0395"/>
    <w:rsid w:val="007001AC"/>
    <w:rsid w:val="00746B21"/>
    <w:rsid w:val="007A3F03"/>
    <w:rsid w:val="007E00B8"/>
    <w:rsid w:val="0085067A"/>
    <w:rsid w:val="009548E7"/>
    <w:rsid w:val="009B3F4B"/>
    <w:rsid w:val="009F15E8"/>
    <w:rsid w:val="00A64426"/>
    <w:rsid w:val="00A859BD"/>
    <w:rsid w:val="00AE7BAA"/>
    <w:rsid w:val="00AF36C0"/>
    <w:rsid w:val="00C90CEB"/>
    <w:rsid w:val="00CD635C"/>
    <w:rsid w:val="00DA31BA"/>
    <w:rsid w:val="00DD0E6B"/>
    <w:rsid w:val="00DD385D"/>
    <w:rsid w:val="00DF7498"/>
    <w:rsid w:val="00E347B4"/>
    <w:rsid w:val="00E37F02"/>
    <w:rsid w:val="00E73EBA"/>
    <w:rsid w:val="00E7618A"/>
    <w:rsid w:val="00EF49C5"/>
    <w:rsid w:val="010539DF"/>
    <w:rsid w:val="01097B7E"/>
    <w:rsid w:val="01105CB5"/>
    <w:rsid w:val="01124162"/>
    <w:rsid w:val="012063D5"/>
    <w:rsid w:val="012701D9"/>
    <w:rsid w:val="012C2A37"/>
    <w:rsid w:val="013702DE"/>
    <w:rsid w:val="013B66CA"/>
    <w:rsid w:val="013E141C"/>
    <w:rsid w:val="014D5BBE"/>
    <w:rsid w:val="01506ACA"/>
    <w:rsid w:val="016B6EEA"/>
    <w:rsid w:val="01712B67"/>
    <w:rsid w:val="0178666A"/>
    <w:rsid w:val="017A000C"/>
    <w:rsid w:val="017E0527"/>
    <w:rsid w:val="01807EA7"/>
    <w:rsid w:val="019115BF"/>
    <w:rsid w:val="019913C3"/>
    <w:rsid w:val="01AB6F71"/>
    <w:rsid w:val="01B53CB6"/>
    <w:rsid w:val="01C94CC7"/>
    <w:rsid w:val="01CF3E5C"/>
    <w:rsid w:val="01CF43F0"/>
    <w:rsid w:val="01DB3BDE"/>
    <w:rsid w:val="01DC168F"/>
    <w:rsid w:val="01DF34D4"/>
    <w:rsid w:val="01E334DE"/>
    <w:rsid w:val="01E46EB5"/>
    <w:rsid w:val="01E47B57"/>
    <w:rsid w:val="01E64E9C"/>
    <w:rsid w:val="01F57DE2"/>
    <w:rsid w:val="021A0CCD"/>
    <w:rsid w:val="021F7B59"/>
    <w:rsid w:val="02233B9B"/>
    <w:rsid w:val="023065B9"/>
    <w:rsid w:val="023566CC"/>
    <w:rsid w:val="023B2EA7"/>
    <w:rsid w:val="023C1F14"/>
    <w:rsid w:val="02457AAD"/>
    <w:rsid w:val="0249135F"/>
    <w:rsid w:val="024E2C24"/>
    <w:rsid w:val="02526975"/>
    <w:rsid w:val="025C07DB"/>
    <w:rsid w:val="02613202"/>
    <w:rsid w:val="026A06B7"/>
    <w:rsid w:val="027D00F6"/>
    <w:rsid w:val="027E4E47"/>
    <w:rsid w:val="027F7431"/>
    <w:rsid w:val="028037C7"/>
    <w:rsid w:val="02817F1F"/>
    <w:rsid w:val="02854CC2"/>
    <w:rsid w:val="028821D1"/>
    <w:rsid w:val="028B69B3"/>
    <w:rsid w:val="028D6FCF"/>
    <w:rsid w:val="028D70EB"/>
    <w:rsid w:val="02A75093"/>
    <w:rsid w:val="02A97C5E"/>
    <w:rsid w:val="02B57802"/>
    <w:rsid w:val="02BB44B0"/>
    <w:rsid w:val="02C43DD0"/>
    <w:rsid w:val="02C5417C"/>
    <w:rsid w:val="02C67599"/>
    <w:rsid w:val="02D61D10"/>
    <w:rsid w:val="02DD1F72"/>
    <w:rsid w:val="02E00EB3"/>
    <w:rsid w:val="02E20C2C"/>
    <w:rsid w:val="02E46DEE"/>
    <w:rsid w:val="02E607C5"/>
    <w:rsid w:val="02F14A85"/>
    <w:rsid w:val="03046163"/>
    <w:rsid w:val="03052BE4"/>
    <w:rsid w:val="030D17E6"/>
    <w:rsid w:val="031179BE"/>
    <w:rsid w:val="031307D8"/>
    <w:rsid w:val="031F1A39"/>
    <w:rsid w:val="033B4AAA"/>
    <w:rsid w:val="033B69D9"/>
    <w:rsid w:val="0342592A"/>
    <w:rsid w:val="03433A6C"/>
    <w:rsid w:val="03550A12"/>
    <w:rsid w:val="03595942"/>
    <w:rsid w:val="036160EF"/>
    <w:rsid w:val="037A6D44"/>
    <w:rsid w:val="037C1397"/>
    <w:rsid w:val="038A65EE"/>
    <w:rsid w:val="03915FDA"/>
    <w:rsid w:val="039362C5"/>
    <w:rsid w:val="03937715"/>
    <w:rsid w:val="03B13E6A"/>
    <w:rsid w:val="03B67B56"/>
    <w:rsid w:val="03BC07E7"/>
    <w:rsid w:val="03BD4797"/>
    <w:rsid w:val="03C07136"/>
    <w:rsid w:val="03C31407"/>
    <w:rsid w:val="03C77921"/>
    <w:rsid w:val="03CC17AC"/>
    <w:rsid w:val="03CE09BA"/>
    <w:rsid w:val="03CF0FAB"/>
    <w:rsid w:val="03D062C1"/>
    <w:rsid w:val="03D13586"/>
    <w:rsid w:val="03D706CA"/>
    <w:rsid w:val="03DC57FF"/>
    <w:rsid w:val="03DE4B18"/>
    <w:rsid w:val="03DF0E34"/>
    <w:rsid w:val="03EF1351"/>
    <w:rsid w:val="03F1658D"/>
    <w:rsid w:val="03FF581F"/>
    <w:rsid w:val="04043860"/>
    <w:rsid w:val="040818E1"/>
    <w:rsid w:val="040B2732"/>
    <w:rsid w:val="04105B23"/>
    <w:rsid w:val="041160E8"/>
    <w:rsid w:val="041C039D"/>
    <w:rsid w:val="041D4CC2"/>
    <w:rsid w:val="04250148"/>
    <w:rsid w:val="0426705E"/>
    <w:rsid w:val="04273904"/>
    <w:rsid w:val="042F4AD8"/>
    <w:rsid w:val="043A6C28"/>
    <w:rsid w:val="0444247E"/>
    <w:rsid w:val="04506A77"/>
    <w:rsid w:val="04511456"/>
    <w:rsid w:val="04581341"/>
    <w:rsid w:val="045D1F39"/>
    <w:rsid w:val="046525E3"/>
    <w:rsid w:val="046A672B"/>
    <w:rsid w:val="046C55F5"/>
    <w:rsid w:val="04723F7E"/>
    <w:rsid w:val="047551A0"/>
    <w:rsid w:val="04760700"/>
    <w:rsid w:val="04793720"/>
    <w:rsid w:val="048F5FC4"/>
    <w:rsid w:val="049006BF"/>
    <w:rsid w:val="049E63D7"/>
    <w:rsid w:val="049F45A5"/>
    <w:rsid w:val="04A42B80"/>
    <w:rsid w:val="04A765C6"/>
    <w:rsid w:val="04A84D15"/>
    <w:rsid w:val="04B863BD"/>
    <w:rsid w:val="04BE4DEE"/>
    <w:rsid w:val="04CB0362"/>
    <w:rsid w:val="04CB73A3"/>
    <w:rsid w:val="04DD7162"/>
    <w:rsid w:val="04EC1C6C"/>
    <w:rsid w:val="04F61685"/>
    <w:rsid w:val="04F73C2E"/>
    <w:rsid w:val="05024B8F"/>
    <w:rsid w:val="0502785E"/>
    <w:rsid w:val="05076D44"/>
    <w:rsid w:val="05077DC5"/>
    <w:rsid w:val="050D476E"/>
    <w:rsid w:val="051A0EFA"/>
    <w:rsid w:val="053A303B"/>
    <w:rsid w:val="053D2AF6"/>
    <w:rsid w:val="05400729"/>
    <w:rsid w:val="0557440C"/>
    <w:rsid w:val="055A207E"/>
    <w:rsid w:val="056218AD"/>
    <w:rsid w:val="05644DCA"/>
    <w:rsid w:val="056770FB"/>
    <w:rsid w:val="057A29B0"/>
    <w:rsid w:val="057D44F0"/>
    <w:rsid w:val="05835E36"/>
    <w:rsid w:val="05851952"/>
    <w:rsid w:val="059216EE"/>
    <w:rsid w:val="059D6D20"/>
    <w:rsid w:val="059F713A"/>
    <w:rsid w:val="05AB34FF"/>
    <w:rsid w:val="05AB76E9"/>
    <w:rsid w:val="05B251D3"/>
    <w:rsid w:val="05BF1BB6"/>
    <w:rsid w:val="05BF6F72"/>
    <w:rsid w:val="05C76ACF"/>
    <w:rsid w:val="05D0523D"/>
    <w:rsid w:val="05D87D36"/>
    <w:rsid w:val="05DB50AD"/>
    <w:rsid w:val="05DC797C"/>
    <w:rsid w:val="05DD35EB"/>
    <w:rsid w:val="05E30858"/>
    <w:rsid w:val="05E321E4"/>
    <w:rsid w:val="05E65B46"/>
    <w:rsid w:val="05E743C8"/>
    <w:rsid w:val="05E802F5"/>
    <w:rsid w:val="05EB47D0"/>
    <w:rsid w:val="05F03BAF"/>
    <w:rsid w:val="05F66CC1"/>
    <w:rsid w:val="05FA2BEF"/>
    <w:rsid w:val="060C6DD9"/>
    <w:rsid w:val="060D37FB"/>
    <w:rsid w:val="06194094"/>
    <w:rsid w:val="061B3EF1"/>
    <w:rsid w:val="061C0C6B"/>
    <w:rsid w:val="062C4244"/>
    <w:rsid w:val="0637063B"/>
    <w:rsid w:val="06534C41"/>
    <w:rsid w:val="065F49A6"/>
    <w:rsid w:val="066F1CFD"/>
    <w:rsid w:val="06716864"/>
    <w:rsid w:val="067376BB"/>
    <w:rsid w:val="067410E4"/>
    <w:rsid w:val="06742ED4"/>
    <w:rsid w:val="06A17ECD"/>
    <w:rsid w:val="06A51E96"/>
    <w:rsid w:val="06B01736"/>
    <w:rsid w:val="06B20D2B"/>
    <w:rsid w:val="06B65D63"/>
    <w:rsid w:val="06B67E44"/>
    <w:rsid w:val="06BB5DA3"/>
    <w:rsid w:val="06C97612"/>
    <w:rsid w:val="06CC5FAE"/>
    <w:rsid w:val="06D11FB6"/>
    <w:rsid w:val="06D66AD5"/>
    <w:rsid w:val="06E132B6"/>
    <w:rsid w:val="06EE6F42"/>
    <w:rsid w:val="06EF0095"/>
    <w:rsid w:val="06F459AF"/>
    <w:rsid w:val="06FE3E82"/>
    <w:rsid w:val="07046537"/>
    <w:rsid w:val="070F2C4E"/>
    <w:rsid w:val="07101A85"/>
    <w:rsid w:val="071841C9"/>
    <w:rsid w:val="072752E0"/>
    <w:rsid w:val="07345183"/>
    <w:rsid w:val="073B67AD"/>
    <w:rsid w:val="074B678A"/>
    <w:rsid w:val="07530B88"/>
    <w:rsid w:val="075F3408"/>
    <w:rsid w:val="077174CB"/>
    <w:rsid w:val="077174D4"/>
    <w:rsid w:val="077F596D"/>
    <w:rsid w:val="0786426B"/>
    <w:rsid w:val="078668D1"/>
    <w:rsid w:val="079472E9"/>
    <w:rsid w:val="07A60CE2"/>
    <w:rsid w:val="07A62ABC"/>
    <w:rsid w:val="07C20261"/>
    <w:rsid w:val="07C40BED"/>
    <w:rsid w:val="07D608F2"/>
    <w:rsid w:val="07E070FC"/>
    <w:rsid w:val="07E7572C"/>
    <w:rsid w:val="07EB0BDB"/>
    <w:rsid w:val="07EE3CF3"/>
    <w:rsid w:val="07EF7D0C"/>
    <w:rsid w:val="07F8712D"/>
    <w:rsid w:val="08155760"/>
    <w:rsid w:val="08156338"/>
    <w:rsid w:val="08164629"/>
    <w:rsid w:val="0826728A"/>
    <w:rsid w:val="0828703D"/>
    <w:rsid w:val="082A561E"/>
    <w:rsid w:val="082B2162"/>
    <w:rsid w:val="082F1E38"/>
    <w:rsid w:val="082F7260"/>
    <w:rsid w:val="08333476"/>
    <w:rsid w:val="08357430"/>
    <w:rsid w:val="083A19E5"/>
    <w:rsid w:val="083C58BD"/>
    <w:rsid w:val="083D05DD"/>
    <w:rsid w:val="083F0988"/>
    <w:rsid w:val="084834C0"/>
    <w:rsid w:val="084B7C5A"/>
    <w:rsid w:val="08541314"/>
    <w:rsid w:val="08682C96"/>
    <w:rsid w:val="08767E6C"/>
    <w:rsid w:val="087E5094"/>
    <w:rsid w:val="08807E1E"/>
    <w:rsid w:val="08815651"/>
    <w:rsid w:val="0882339F"/>
    <w:rsid w:val="088B7697"/>
    <w:rsid w:val="089226C1"/>
    <w:rsid w:val="08931D4F"/>
    <w:rsid w:val="089565BC"/>
    <w:rsid w:val="08A939D4"/>
    <w:rsid w:val="08AA5CB8"/>
    <w:rsid w:val="08AE6D13"/>
    <w:rsid w:val="08B82037"/>
    <w:rsid w:val="08BC0F20"/>
    <w:rsid w:val="08DB6A09"/>
    <w:rsid w:val="08E30D35"/>
    <w:rsid w:val="08E46A66"/>
    <w:rsid w:val="08E80F91"/>
    <w:rsid w:val="08ED0A17"/>
    <w:rsid w:val="08F0624E"/>
    <w:rsid w:val="08F91FB9"/>
    <w:rsid w:val="09080A56"/>
    <w:rsid w:val="09081FFB"/>
    <w:rsid w:val="091A75AD"/>
    <w:rsid w:val="092271F6"/>
    <w:rsid w:val="09295525"/>
    <w:rsid w:val="092F0653"/>
    <w:rsid w:val="09357E92"/>
    <w:rsid w:val="0936430B"/>
    <w:rsid w:val="094D406A"/>
    <w:rsid w:val="094F6F1F"/>
    <w:rsid w:val="09572701"/>
    <w:rsid w:val="095B0B04"/>
    <w:rsid w:val="09682306"/>
    <w:rsid w:val="096D6A9C"/>
    <w:rsid w:val="09985A5E"/>
    <w:rsid w:val="09A41F9F"/>
    <w:rsid w:val="09A55CAF"/>
    <w:rsid w:val="09A618B2"/>
    <w:rsid w:val="09AB5CA7"/>
    <w:rsid w:val="09AC7DC2"/>
    <w:rsid w:val="09AE3061"/>
    <w:rsid w:val="09B37FAB"/>
    <w:rsid w:val="09BF7CAA"/>
    <w:rsid w:val="09C06858"/>
    <w:rsid w:val="09CA55FE"/>
    <w:rsid w:val="09CD55FF"/>
    <w:rsid w:val="09E13683"/>
    <w:rsid w:val="09E77896"/>
    <w:rsid w:val="09EC5D62"/>
    <w:rsid w:val="09F63E21"/>
    <w:rsid w:val="0A0E372D"/>
    <w:rsid w:val="0A1C191F"/>
    <w:rsid w:val="0A1F236D"/>
    <w:rsid w:val="0A261573"/>
    <w:rsid w:val="0A2E3BCE"/>
    <w:rsid w:val="0A380D96"/>
    <w:rsid w:val="0A3D5376"/>
    <w:rsid w:val="0A505E68"/>
    <w:rsid w:val="0A7531B3"/>
    <w:rsid w:val="0A7D22DF"/>
    <w:rsid w:val="0A806CA3"/>
    <w:rsid w:val="0AA90D8E"/>
    <w:rsid w:val="0AAE7718"/>
    <w:rsid w:val="0AB337DA"/>
    <w:rsid w:val="0AC03AE8"/>
    <w:rsid w:val="0AC41B67"/>
    <w:rsid w:val="0AC721C3"/>
    <w:rsid w:val="0ACD64FC"/>
    <w:rsid w:val="0ADE0E23"/>
    <w:rsid w:val="0AE25449"/>
    <w:rsid w:val="0AEB208D"/>
    <w:rsid w:val="0AF85D5F"/>
    <w:rsid w:val="0B00471F"/>
    <w:rsid w:val="0B05374A"/>
    <w:rsid w:val="0B097635"/>
    <w:rsid w:val="0B1440E6"/>
    <w:rsid w:val="0B314E81"/>
    <w:rsid w:val="0B325F6C"/>
    <w:rsid w:val="0B331E78"/>
    <w:rsid w:val="0B435AD9"/>
    <w:rsid w:val="0B505181"/>
    <w:rsid w:val="0B5E4C61"/>
    <w:rsid w:val="0B62303A"/>
    <w:rsid w:val="0B624FCC"/>
    <w:rsid w:val="0B6435C9"/>
    <w:rsid w:val="0B7C26EC"/>
    <w:rsid w:val="0B7C4D5F"/>
    <w:rsid w:val="0B7D2604"/>
    <w:rsid w:val="0B854AD2"/>
    <w:rsid w:val="0B944DF8"/>
    <w:rsid w:val="0B962884"/>
    <w:rsid w:val="0B964EF4"/>
    <w:rsid w:val="0B981580"/>
    <w:rsid w:val="0B9A66AA"/>
    <w:rsid w:val="0BAD4753"/>
    <w:rsid w:val="0BB04707"/>
    <w:rsid w:val="0BB2104D"/>
    <w:rsid w:val="0BB504EB"/>
    <w:rsid w:val="0BC00933"/>
    <w:rsid w:val="0BC02B3C"/>
    <w:rsid w:val="0BC26DAF"/>
    <w:rsid w:val="0BC57780"/>
    <w:rsid w:val="0BC87C02"/>
    <w:rsid w:val="0BD36058"/>
    <w:rsid w:val="0BDA5F22"/>
    <w:rsid w:val="0BE53F35"/>
    <w:rsid w:val="0BEA7DDC"/>
    <w:rsid w:val="0BF612A3"/>
    <w:rsid w:val="0C014871"/>
    <w:rsid w:val="0C014F79"/>
    <w:rsid w:val="0C0E6836"/>
    <w:rsid w:val="0C1147BB"/>
    <w:rsid w:val="0C2E290B"/>
    <w:rsid w:val="0C2F08AE"/>
    <w:rsid w:val="0C30212A"/>
    <w:rsid w:val="0C326A3E"/>
    <w:rsid w:val="0C345D74"/>
    <w:rsid w:val="0C3723CE"/>
    <w:rsid w:val="0C3F770B"/>
    <w:rsid w:val="0C46418D"/>
    <w:rsid w:val="0C4F4AF9"/>
    <w:rsid w:val="0C571C2B"/>
    <w:rsid w:val="0C64210F"/>
    <w:rsid w:val="0C7703B4"/>
    <w:rsid w:val="0C812CBE"/>
    <w:rsid w:val="0C841984"/>
    <w:rsid w:val="0C843C03"/>
    <w:rsid w:val="0C862822"/>
    <w:rsid w:val="0C9356D8"/>
    <w:rsid w:val="0C9825C6"/>
    <w:rsid w:val="0C9F5612"/>
    <w:rsid w:val="0CB63EAD"/>
    <w:rsid w:val="0CB85F2F"/>
    <w:rsid w:val="0CB912B7"/>
    <w:rsid w:val="0CBC3291"/>
    <w:rsid w:val="0CBE5579"/>
    <w:rsid w:val="0CC3469D"/>
    <w:rsid w:val="0CC73A78"/>
    <w:rsid w:val="0CCD7E85"/>
    <w:rsid w:val="0CD34E1B"/>
    <w:rsid w:val="0CE05B69"/>
    <w:rsid w:val="0CE107F4"/>
    <w:rsid w:val="0CE210D1"/>
    <w:rsid w:val="0CE26993"/>
    <w:rsid w:val="0CE60077"/>
    <w:rsid w:val="0CE93B71"/>
    <w:rsid w:val="0CEF212E"/>
    <w:rsid w:val="0D093271"/>
    <w:rsid w:val="0D0F2C12"/>
    <w:rsid w:val="0D115684"/>
    <w:rsid w:val="0D162D87"/>
    <w:rsid w:val="0D194CE8"/>
    <w:rsid w:val="0D1B6D77"/>
    <w:rsid w:val="0D2A5F72"/>
    <w:rsid w:val="0D33337D"/>
    <w:rsid w:val="0D40117C"/>
    <w:rsid w:val="0D4778BB"/>
    <w:rsid w:val="0D4E16D4"/>
    <w:rsid w:val="0D5A3288"/>
    <w:rsid w:val="0D5A7C71"/>
    <w:rsid w:val="0D6023B5"/>
    <w:rsid w:val="0D647EA9"/>
    <w:rsid w:val="0D673AD6"/>
    <w:rsid w:val="0D724462"/>
    <w:rsid w:val="0D744706"/>
    <w:rsid w:val="0D837FA2"/>
    <w:rsid w:val="0D8A1D61"/>
    <w:rsid w:val="0D8E6026"/>
    <w:rsid w:val="0D9E4A3F"/>
    <w:rsid w:val="0DA471BE"/>
    <w:rsid w:val="0DA84924"/>
    <w:rsid w:val="0DB63F7B"/>
    <w:rsid w:val="0DB74A13"/>
    <w:rsid w:val="0DBB18CF"/>
    <w:rsid w:val="0DBD5124"/>
    <w:rsid w:val="0DC06C6F"/>
    <w:rsid w:val="0DCD38D3"/>
    <w:rsid w:val="0DCF19BB"/>
    <w:rsid w:val="0DD95C68"/>
    <w:rsid w:val="0DDB7D02"/>
    <w:rsid w:val="0DDE2B9E"/>
    <w:rsid w:val="0DE672A0"/>
    <w:rsid w:val="0DE84875"/>
    <w:rsid w:val="0DFB3821"/>
    <w:rsid w:val="0DFD68B7"/>
    <w:rsid w:val="0E031C03"/>
    <w:rsid w:val="0E136987"/>
    <w:rsid w:val="0E1F1DED"/>
    <w:rsid w:val="0E20761D"/>
    <w:rsid w:val="0E2A2E5C"/>
    <w:rsid w:val="0E2D744F"/>
    <w:rsid w:val="0E314767"/>
    <w:rsid w:val="0E3350DA"/>
    <w:rsid w:val="0E401858"/>
    <w:rsid w:val="0E423917"/>
    <w:rsid w:val="0E446E5E"/>
    <w:rsid w:val="0E5B01B4"/>
    <w:rsid w:val="0E621074"/>
    <w:rsid w:val="0E654B1D"/>
    <w:rsid w:val="0E723EEA"/>
    <w:rsid w:val="0E7E3DDB"/>
    <w:rsid w:val="0E8037FA"/>
    <w:rsid w:val="0E8745F4"/>
    <w:rsid w:val="0E8C4C60"/>
    <w:rsid w:val="0E9003FA"/>
    <w:rsid w:val="0E977D53"/>
    <w:rsid w:val="0E9A017F"/>
    <w:rsid w:val="0EA513D4"/>
    <w:rsid w:val="0EA56203"/>
    <w:rsid w:val="0EB15B28"/>
    <w:rsid w:val="0EB647C8"/>
    <w:rsid w:val="0EB64F0F"/>
    <w:rsid w:val="0EBF232E"/>
    <w:rsid w:val="0EC17555"/>
    <w:rsid w:val="0ECB33AC"/>
    <w:rsid w:val="0ED1740B"/>
    <w:rsid w:val="0EE84D86"/>
    <w:rsid w:val="0EFB7A3D"/>
    <w:rsid w:val="0F034FF0"/>
    <w:rsid w:val="0F051DDC"/>
    <w:rsid w:val="0F09373A"/>
    <w:rsid w:val="0F0E0919"/>
    <w:rsid w:val="0F1B4D3E"/>
    <w:rsid w:val="0F2B2C51"/>
    <w:rsid w:val="0F301871"/>
    <w:rsid w:val="0F304FD4"/>
    <w:rsid w:val="0F3724B3"/>
    <w:rsid w:val="0F38332D"/>
    <w:rsid w:val="0F414847"/>
    <w:rsid w:val="0F4C1EA7"/>
    <w:rsid w:val="0F5202DB"/>
    <w:rsid w:val="0F5A6FC6"/>
    <w:rsid w:val="0F5C11B2"/>
    <w:rsid w:val="0F636368"/>
    <w:rsid w:val="0F682DF8"/>
    <w:rsid w:val="0F6B0136"/>
    <w:rsid w:val="0F6E5411"/>
    <w:rsid w:val="0F7034B9"/>
    <w:rsid w:val="0F7117D1"/>
    <w:rsid w:val="0F731A9D"/>
    <w:rsid w:val="0F73243D"/>
    <w:rsid w:val="0F8975CC"/>
    <w:rsid w:val="0F9E46C3"/>
    <w:rsid w:val="0FA337C4"/>
    <w:rsid w:val="0FA81F37"/>
    <w:rsid w:val="0FAF12E4"/>
    <w:rsid w:val="0FAF35A2"/>
    <w:rsid w:val="0FAF5D6E"/>
    <w:rsid w:val="0FAF5FB1"/>
    <w:rsid w:val="0FB131C2"/>
    <w:rsid w:val="0FB863D5"/>
    <w:rsid w:val="0FC41A62"/>
    <w:rsid w:val="0FC94570"/>
    <w:rsid w:val="0FCE00A3"/>
    <w:rsid w:val="0FD1579F"/>
    <w:rsid w:val="0FD27FE2"/>
    <w:rsid w:val="0FE64EC4"/>
    <w:rsid w:val="0FF70A61"/>
    <w:rsid w:val="0FF76466"/>
    <w:rsid w:val="0FF77723"/>
    <w:rsid w:val="0FFA4891"/>
    <w:rsid w:val="0FFF1783"/>
    <w:rsid w:val="10015B50"/>
    <w:rsid w:val="10035040"/>
    <w:rsid w:val="100D1B2F"/>
    <w:rsid w:val="101D76E6"/>
    <w:rsid w:val="101E1E25"/>
    <w:rsid w:val="10217F04"/>
    <w:rsid w:val="10257C85"/>
    <w:rsid w:val="103A4937"/>
    <w:rsid w:val="104031EC"/>
    <w:rsid w:val="104048DB"/>
    <w:rsid w:val="10444F78"/>
    <w:rsid w:val="10464570"/>
    <w:rsid w:val="104A0793"/>
    <w:rsid w:val="105C0ECF"/>
    <w:rsid w:val="106618AB"/>
    <w:rsid w:val="106A6A6C"/>
    <w:rsid w:val="107851A3"/>
    <w:rsid w:val="10787998"/>
    <w:rsid w:val="10806A51"/>
    <w:rsid w:val="10816C45"/>
    <w:rsid w:val="10824A43"/>
    <w:rsid w:val="108840B5"/>
    <w:rsid w:val="10A6049D"/>
    <w:rsid w:val="10AA143D"/>
    <w:rsid w:val="10BF3D84"/>
    <w:rsid w:val="10C149DA"/>
    <w:rsid w:val="10CA0817"/>
    <w:rsid w:val="10CC0D2C"/>
    <w:rsid w:val="10CC5213"/>
    <w:rsid w:val="10D75518"/>
    <w:rsid w:val="10DD67E4"/>
    <w:rsid w:val="10E035F3"/>
    <w:rsid w:val="10E344F0"/>
    <w:rsid w:val="110232EF"/>
    <w:rsid w:val="11051D05"/>
    <w:rsid w:val="11064672"/>
    <w:rsid w:val="11132B11"/>
    <w:rsid w:val="111B0E86"/>
    <w:rsid w:val="111C5CEB"/>
    <w:rsid w:val="112B1D18"/>
    <w:rsid w:val="113C6920"/>
    <w:rsid w:val="11414611"/>
    <w:rsid w:val="11517A16"/>
    <w:rsid w:val="116419C9"/>
    <w:rsid w:val="116668A4"/>
    <w:rsid w:val="116F5F5B"/>
    <w:rsid w:val="11720CE2"/>
    <w:rsid w:val="117A2DE7"/>
    <w:rsid w:val="1180060D"/>
    <w:rsid w:val="11836DF1"/>
    <w:rsid w:val="11854B63"/>
    <w:rsid w:val="119A1E1E"/>
    <w:rsid w:val="119E7CF0"/>
    <w:rsid w:val="11A815AE"/>
    <w:rsid w:val="11AF7BFB"/>
    <w:rsid w:val="11B75188"/>
    <w:rsid w:val="11BC7F56"/>
    <w:rsid w:val="11CE42C0"/>
    <w:rsid w:val="11D97301"/>
    <w:rsid w:val="11E13AD0"/>
    <w:rsid w:val="11E16D77"/>
    <w:rsid w:val="11EA7E43"/>
    <w:rsid w:val="11F26074"/>
    <w:rsid w:val="11F81D47"/>
    <w:rsid w:val="11FB1764"/>
    <w:rsid w:val="12066FD3"/>
    <w:rsid w:val="120E7372"/>
    <w:rsid w:val="12145DDC"/>
    <w:rsid w:val="12212B45"/>
    <w:rsid w:val="12233DF6"/>
    <w:rsid w:val="12251727"/>
    <w:rsid w:val="122650F4"/>
    <w:rsid w:val="122D35BD"/>
    <w:rsid w:val="122F7CCA"/>
    <w:rsid w:val="123A1251"/>
    <w:rsid w:val="123F4FC2"/>
    <w:rsid w:val="1240010D"/>
    <w:rsid w:val="124C4351"/>
    <w:rsid w:val="12617FFA"/>
    <w:rsid w:val="126A2D3F"/>
    <w:rsid w:val="12727C90"/>
    <w:rsid w:val="12824977"/>
    <w:rsid w:val="12871559"/>
    <w:rsid w:val="12881C59"/>
    <w:rsid w:val="128C02A8"/>
    <w:rsid w:val="128F7D86"/>
    <w:rsid w:val="12941478"/>
    <w:rsid w:val="12A40256"/>
    <w:rsid w:val="12A6007F"/>
    <w:rsid w:val="12AC470A"/>
    <w:rsid w:val="12B3435D"/>
    <w:rsid w:val="12BB2D1E"/>
    <w:rsid w:val="12C55B37"/>
    <w:rsid w:val="12CC6DB3"/>
    <w:rsid w:val="12CF5CD1"/>
    <w:rsid w:val="12DA51DF"/>
    <w:rsid w:val="12DF4B88"/>
    <w:rsid w:val="12E24835"/>
    <w:rsid w:val="12EB5DE2"/>
    <w:rsid w:val="12F55490"/>
    <w:rsid w:val="12F67F52"/>
    <w:rsid w:val="130A2126"/>
    <w:rsid w:val="131E4643"/>
    <w:rsid w:val="13213C13"/>
    <w:rsid w:val="13242ED5"/>
    <w:rsid w:val="13247465"/>
    <w:rsid w:val="13266A95"/>
    <w:rsid w:val="1344419E"/>
    <w:rsid w:val="13492995"/>
    <w:rsid w:val="134E6532"/>
    <w:rsid w:val="13574466"/>
    <w:rsid w:val="13692AD7"/>
    <w:rsid w:val="136C16DE"/>
    <w:rsid w:val="137F58D8"/>
    <w:rsid w:val="138212A9"/>
    <w:rsid w:val="1388219E"/>
    <w:rsid w:val="139516E6"/>
    <w:rsid w:val="13992C38"/>
    <w:rsid w:val="139B7FF7"/>
    <w:rsid w:val="13A338EA"/>
    <w:rsid w:val="13A40C36"/>
    <w:rsid w:val="13A81E9F"/>
    <w:rsid w:val="13AC0969"/>
    <w:rsid w:val="13AC2060"/>
    <w:rsid w:val="13AE1777"/>
    <w:rsid w:val="13C23FED"/>
    <w:rsid w:val="13C90F13"/>
    <w:rsid w:val="13CB79E4"/>
    <w:rsid w:val="13CF176D"/>
    <w:rsid w:val="13CF7FB0"/>
    <w:rsid w:val="13DA44D7"/>
    <w:rsid w:val="13E1571E"/>
    <w:rsid w:val="13EA1A0C"/>
    <w:rsid w:val="13EA5D5B"/>
    <w:rsid w:val="13EE6F73"/>
    <w:rsid w:val="13F53F55"/>
    <w:rsid w:val="14022BF5"/>
    <w:rsid w:val="140718E1"/>
    <w:rsid w:val="140C6806"/>
    <w:rsid w:val="14203CEE"/>
    <w:rsid w:val="142228B5"/>
    <w:rsid w:val="14240278"/>
    <w:rsid w:val="14254331"/>
    <w:rsid w:val="142D65F9"/>
    <w:rsid w:val="142F0327"/>
    <w:rsid w:val="143E6D22"/>
    <w:rsid w:val="144B381C"/>
    <w:rsid w:val="145452BA"/>
    <w:rsid w:val="145621C8"/>
    <w:rsid w:val="145E352F"/>
    <w:rsid w:val="14677DEA"/>
    <w:rsid w:val="14681541"/>
    <w:rsid w:val="146D3DFE"/>
    <w:rsid w:val="148824DB"/>
    <w:rsid w:val="149E3FB2"/>
    <w:rsid w:val="14A74D5D"/>
    <w:rsid w:val="14AA10F6"/>
    <w:rsid w:val="14AA7273"/>
    <w:rsid w:val="14AB341C"/>
    <w:rsid w:val="14B15A22"/>
    <w:rsid w:val="14B353F5"/>
    <w:rsid w:val="14B3667D"/>
    <w:rsid w:val="14BA2C98"/>
    <w:rsid w:val="14BC3C70"/>
    <w:rsid w:val="14C6184F"/>
    <w:rsid w:val="14DE4DDA"/>
    <w:rsid w:val="14F01734"/>
    <w:rsid w:val="14F6326D"/>
    <w:rsid w:val="14FD26CC"/>
    <w:rsid w:val="1500375D"/>
    <w:rsid w:val="15035507"/>
    <w:rsid w:val="15054273"/>
    <w:rsid w:val="150662A5"/>
    <w:rsid w:val="150F5B9A"/>
    <w:rsid w:val="15141129"/>
    <w:rsid w:val="15244AFC"/>
    <w:rsid w:val="152B19DF"/>
    <w:rsid w:val="152F4AF0"/>
    <w:rsid w:val="15421107"/>
    <w:rsid w:val="155D4A27"/>
    <w:rsid w:val="15671B15"/>
    <w:rsid w:val="15680812"/>
    <w:rsid w:val="157129B6"/>
    <w:rsid w:val="157159B0"/>
    <w:rsid w:val="15771355"/>
    <w:rsid w:val="15780210"/>
    <w:rsid w:val="1578723A"/>
    <w:rsid w:val="157C465E"/>
    <w:rsid w:val="15873635"/>
    <w:rsid w:val="158A081E"/>
    <w:rsid w:val="158C7B38"/>
    <w:rsid w:val="158E2F8B"/>
    <w:rsid w:val="158F5D53"/>
    <w:rsid w:val="15910679"/>
    <w:rsid w:val="159F654A"/>
    <w:rsid w:val="15A701B4"/>
    <w:rsid w:val="15A925E7"/>
    <w:rsid w:val="15BA7340"/>
    <w:rsid w:val="15C035FE"/>
    <w:rsid w:val="15C26B8B"/>
    <w:rsid w:val="15C346C0"/>
    <w:rsid w:val="15CD55C6"/>
    <w:rsid w:val="15DC76FE"/>
    <w:rsid w:val="15DE16AF"/>
    <w:rsid w:val="15DF7CBE"/>
    <w:rsid w:val="15E21933"/>
    <w:rsid w:val="15E271AE"/>
    <w:rsid w:val="15EA4E59"/>
    <w:rsid w:val="15ED3A74"/>
    <w:rsid w:val="15F00E85"/>
    <w:rsid w:val="15F300A0"/>
    <w:rsid w:val="15FD6766"/>
    <w:rsid w:val="160B7C7B"/>
    <w:rsid w:val="16161D95"/>
    <w:rsid w:val="161F3338"/>
    <w:rsid w:val="162963ED"/>
    <w:rsid w:val="162C0C27"/>
    <w:rsid w:val="16355B51"/>
    <w:rsid w:val="163914AB"/>
    <w:rsid w:val="164129F3"/>
    <w:rsid w:val="164328CE"/>
    <w:rsid w:val="164512E9"/>
    <w:rsid w:val="16500C7A"/>
    <w:rsid w:val="1656730B"/>
    <w:rsid w:val="166E4956"/>
    <w:rsid w:val="168C638F"/>
    <w:rsid w:val="16982610"/>
    <w:rsid w:val="169953A6"/>
    <w:rsid w:val="16A547AC"/>
    <w:rsid w:val="16AE6A05"/>
    <w:rsid w:val="16B76408"/>
    <w:rsid w:val="16BB2AE5"/>
    <w:rsid w:val="16BF1426"/>
    <w:rsid w:val="16C13B82"/>
    <w:rsid w:val="16C473C7"/>
    <w:rsid w:val="16CF2329"/>
    <w:rsid w:val="16D2735F"/>
    <w:rsid w:val="16D90A2F"/>
    <w:rsid w:val="16DA01C7"/>
    <w:rsid w:val="16DE2467"/>
    <w:rsid w:val="16E041AC"/>
    <w:rsid w:val="16E40FFA"/>
    <w:rsid w:val="16EA2B44"/>
    <w:rsid w:val="16EC1787"/>
    <w:rsid w:val="16F526C1"/>
    <w:rsid w:val="16F55183"/>
    <w:rsid w:val="16FB784B"/>
    <w:rsid w:val="16FF79D4"/>
    <w:rsid w:val="170458AA"/>
    <w:rsid w:val="170B7288"/>
    <w:rsid w:val="170C0E80"/>
    <w:rsid w:val="171301B4"/>
    <w:rsid w:val="171421E2"/>
    <w:rsid w:val="17193FA2"/>
    <w:rsid w:val="171E2E65"/>
    <w:rsid w:val="1723633C"/>
    <w:rsid w:val="17284B00"/>
    <w:rsid w:val="1729539D"/>
    <w:rsid w:val="173612BA"/>
    <w:rsid w:val="173B6C0E"/>
    <w:rsid w:val="174247FC"/>
    <w:rsid w:val="174D23B2"/>
    <w:rsid w:val="17535694"/>
    <w:rsid w:val="175A3169"/>
    <w:rsid w:val="175B7CE4"/>
    <w:rsid w:val="175D23C5"/>
    <w:rsid w:val="175D55C1"/>
    <w:rsid w:val="176B5269"/>
    <w:rsid w:val="17705AA2"/>
    <w:rsid w:val="17763113"/>
    <w:rsid w:val="17766DA1"/>
    <w:rsid w:val="17771C9C"/>
    <w:rsid w:val="177747AF"/>
    <w:rsid w:val="17804A81"/>
    <w:rsid w:val="17906B85"/>
    <w:rsid w:val="17986142"/>
    <w:rsid w:val="17AC38D5"/>
    <w:rsid w:val="17B35A0D"/>
    <w:rsid w:val="17C000B3"/>
    <w:rsid w:val="17C6428C"/>
    <w:rsid w:val="17C642F6"/>
    <w:rsid w:val="17D70A4E"/>
    <w:rsid w:val="17E836D8"/>
    <w:rsid w:val="17EF435A"/>
    <w:rsid w:val="17F45D19"/>
    <w:rsid w:val="17F7301C"/>
    <w:rsid w:val="17F80153"/>
    <w:rsid w:val="18030AE9"/>
    <w:rsid w:val="18051B46"/>
    <w:rsid w:val="18175A3E"/>
    <w:rsid w:val="181A4C34"/>
    <w:rsid w:val="1832673D"/>
    <w:rsid w:val="18421DAE"/>
    <w:rsid w:val="18431FDF"/>
    <w:rsid w:val="184F5909"/>
    <w:rsid w:val="18556189"/>
    <w:rsid w:val="18557B52"/>
    <w:rsid w:val="185B6D8A"/>
    <w:rsid w:val="186D1E0C"/>
    <w:rsid w:val="18743B35"/>
    <w:rsid w:val="187E6526"/>
    <w:rsid w:val="18833C2C"/>
    <w:rsid w:val="188D0077"/>
    <w:rsid w:val="189E2D1B"/>
    <w:rsid w:val="18AB5AF0"/>
    <w:rsid w:val="18AD27B3"/>
    <w:rsid w:val="18AD6FF3"/>
    <w:rsid w:val="18B01E12"/>
    <w:rsid w:val="18B91BB9"/>
    <w:rsid w:val="18BC063F"/>
    <w:rsid w:val="18BC7EBE"/>
    <w:rsid w:val="18BD239B"/>
    <w:rsid w:val="18BE640B"/>
    <w:rsid w:val="18D050AC"/>
    <w:rsid w:val="18D12A00"/>
    <w:rsid w:val="18D36370"/>
    <w:rsid w:val="18E74EE2"/>
    <w:rsid w:val="18E76F36"/>
    <w:rsid w:val="18FB39D6"/>
    <w:rsid w:val="18FD10DB"/>
    <w:rsid w:val="190236CA"/>
    <w:rsid w:val="19035DEC"/>
    <w:rsid w:val="190401A4"/>
    <w:rsid w:val="190C31D6"/>
    <w:rsid w:val="191376AD"/>
    <w:rsid w:val="191D4505"/>
    <w:rsid w:val="19226DAD"/>
    <w:rsid w:val="19241B9F"/>
    <w:rsid w:val="192D6327"/>
    <w:rsid w:val="19422BDE"/>
    <w:rsid w:val="19441463"/>
    <w:rsid w:val="195073A0"/>
    <w:rsid w:val="19633DEE"/>
    <w:rsid w:val="19666B97"/>
    <w:rsid w:val="1966708D"/>
    <w:rsid w:val="19672BA5"/>
    <w:rsid w:val="196B7D39"/>
    <w:rsid w:val="1979498C"/>
    <w:rsid w:val="197D5179"/>
    <w:rsid w:val="197E6244"/>
    <w:rsid w:val="19867529"/>
    <w:rsid w:val="19891A90"/>
    <w:rsid w:val="198935B5"/>
    <w:rsid w:val="199832B9"/>
    <w:rsid w:val="199B0DFF"/>
    <w:rsid w:val="19A111F7"/>
    <w:rsid w:val="19A80FC1"/>
    <w:rsid w:val="19AF20A0"/>
    <w:rsid w:val="19B5593F"/>
    <w:rsid w:val="19B56A6D"/>
    <w:rsid w:val="19BA27A5"/>
    <w:rsid w:val="19BC5D33"/>
    <w:rsid w:val="19C6673D"/>
    <w:rsid w:val="19D05F67"/>
    <w:rsid w:val="19E262A4"/>
    <w:rsid w:val="19E26E60"/>
    <w:rsid w:val="19E51D5F"/>
    <w:rsid w:val="19F25BEF"/>
    <w:rsid w:val="19F2789F"/>
    <w:rsid w:val="19F94AFC"/>
    <w:rsid w:val="1A014826"/>
    <w:rsid w:val="1A017D3A"/>
    <w:rsid w:val="1A084BFB"/>
    <w:rsid w:val="1A0C75B5"/>
    <w:rsid w:val="1A15637F"/>
    <w:rsid w:val="1A217B4C"/>
    <w:rsid w:val="1A225D9D"/>
    <w:rsid w:val="1A2D780A"/>
    <w:rsid w:val="1A403AB3"/>
    <w:rsid w:val="1A4635AF"/>
    <w:rsid w:val="1A4868E7"/>
    <w:rsid w:val="1A507C93"/>
    <w:rsid w:val="1A537F1D"/>
    <w:rsid w:val="1A541BF4"/>
    <w:rsid w:val="1A59531D"/>
    <w:rsid w:val="1A6020F5"/>
    <w:rsid w:val="1A6B04BE"/>
    <w:rsid w:val="1A8122AA"/>
    <w:rsid w:val="1A813A5D"/>
    <w:rsid w:val="1A825223"/>
    <w:rsid w:val="1A9475BC"/>
    <w:rsid w:val="1AA17EE3"/>
    <w:rsid w:val="1AA763CE"/>
    <w:rsid w:val="1AB13FD6"/>
    <w:rsid w:val="1AB6436E"/>
    <w:rsid w:val="1ABA1DD8"/>
    <w:rsid w:val="1ABD1CD8"/>
    <w:rsid w:val="1AC92087"/>
    <w:rsid w:val="1AD62D02"/>
    <w:rsid w:val="1AD73766"/>
    <w:rsid w:val="1ADC1252"/>
    <w:rsid w:val="1ADD7D96"/>
    <w:rsid w:val="1AEB62C1"/>
    <w:rsid w:val="1AF51D11"/>
    <w:rsid w:val="1AF55A9F"/>
    <w:rsid w:val="1B041B1A"/>
    <w:rsid w:val="1B0742EE"/>
    <w:rsid w:val="1B0B4E45"/>
    <w:rsid w:val="1B1235E2"/>
    <w:rsid w:val="1B1D1C3F"/>
    <w:rsid w:val="1B2A4B80"/>
    <w:rsid w:val="1B387FD8"/>
    <w:rsid w:val="1B441F93"/>
    <w:rsid w:val="1B4669B5"/>
    <w:rsid w:val="1B4F1608"/>
    <w:rsid w:val="1B5B01FD"/>
    <w:rsid w:val="1B5E46FC"/>
    <w:rsid w:val="1B624C66"/>
    <w:rsid w:val="1B664603"/>
    <w:rsid w:val="1B726C8A"/>
    <w:rsid w:val="1B7620ED"/>
    <w:rsid w:val="1B7E2E7E"/>
    <w:rsid w:val="1B804299"/>
    <w:rsid w:val="1B841805"/>
    <w:rsid w:val="1B876B22"/>
    <w:rsid w:val="1B8C3195"/>
    <w:rsid w:val="1B8C739B"/>
    <w:rsid w:val="1B8F34BA"/>
    <w:rsid w:val="1B956CCA"/>
    <w:rsid w:val="1BA40114"/>
    <w:rsid w:val="1BAA5771"/>
    <w:rsid w:val="1BAC70D7"/>
    <w:rsid w:val="1BBC059B"/>
    <w:rsid w:val="1BCE756A"/>
    <w:rsid w:val="1BD033C5"/>
    <w:rsid w:val="1BDA2DB1"/>
    <w:rsid w:val="1BDC582E"/>
    <w:rsid w:val="1BE47188"/>
    <w:rsid w:val="1BFD7772"/>
    <w:rsid w:val="1C1179A9"/>
    <w:rsid w:val="1C1322CD"/>
    <w:rsid w:val="1C305C36"/>
    <w:rsid w:val="1C36119F"/>
    <w:rsid w:val="1C3E4332"/>
    <w:rsid w:val="1C432E14"/>
    <w:rsid w:val="1C4E2088"/>
    <w:rsid w:val="1C5144B4"/>
    <w:rsid w:val="1C606C8E"/>
    <w:rsid w:val="1C6B143F"/>
    <w:rsid w:val="1C6D175C"/>
    <w:rsid w:val="1C6F3E49"/>
    <w:rsid w:val="1C776ABA"/>
    <w:rsid w:val="1C786ACD"/>
    <w:rsid w:val="1C7E171C"/>
    <w:rsid w:val="1C8821F9"/>
    <w:rsid w:val="1C8A7CEE"/>
    <w:rsid w:val="1C944D71"/>
    <w:rsid w:val="1CA66FE7"/>
    <w:rsid w:val="1CA67858"/>
    <w:rsid w:val="1CB02C26"/>
    <w:rsid w:val="1CB4322D"/>
    <w:rsid w:val="1CB70505"/>
    <w:rsid w:val="1CB94EE5"/>
    <w:rsid w:val="1CBB30E0"/>
    <w:rsid w:val="1CBB3389"/>
    <w:rsid w:val="1CD705C0"/>
    <w:rsid w:val="1CDD1466"/>
    <w:rsid w:val="1CDD5CF7"/>
    <w:rsid w:val="1CE83F86"/>
    <w:rsid w:val="1CE85163"/>
    <w:rsid w:val="1CE90943"/>
    <w:rsid w:val="1CEA76A2"/>
    <w:rsid w:val="1CEA7FD6"/>
    <w:rsid w:val="1CEF05E5"/>
    <w:rsid w:val="1CEF5E77"/>
    <w:rsid w:val="1CFD2F66"/>
    <w:rsid w:val="1D1E1082"/>
    <w:rsid w:val="1D273535"/>
    <w:rsid w:val="1D2A1BDA"/>
    <w:rsid w:val="1D3C72FA"/>
    <w:rsid w:val="1D3E724C"/>
    <w:rsid w:val="1D483D66"/>
    <w:rsid w:val="1D5339E2"/>
    <w:rsid w:val="1D567A60"/>
    <w:rsid w:val="1D5C31C3"/>
    <w:rsid w:val="1D5C7A77"/>
    <w:rsid w:val="1D6C04AD"/>
    <w:rsid w:val="1D6D47E2"/>
    <w:rsid w:val="1D7462D0"/>
    <w:rsid w:val="1D752E11"/>
    <w:rsid w:val="1D7D36C4"/>
    <w:rsid w:val="1D897D1C"/>
    <w:rsid w:val="1D923655"/>
    <w:rsid w:val="1D975D79"/>
    <w:rsid w:val="1D9C046E"/>
    <w:rsid w:val="1D9C2009"/>
    <w:rsid w:val="1D9D489F"/>
    <w:rsid w:val="1D9F31BA"/>
    <w:rsid w:val="1DA300C6"/>
    <w:rsid w:val="1DA65728"/>
    <w:rsid w:val="1DA97F55"/>
    <w:rsid w:val="1DB82422"/>
    <w:rsid w:val="1DCD350B"/>
    <w:rsid w:val="1DDB53D6"/>
    <w:rsid w:val="1DDB67D6"/>
    <w:rsid w:val="1DDC54A8"/>
    <w:rsid w:val="1DE57B27"/>
    <w:rsid w:val="1DED18E0"/>
    <w:rsid w:val="1DF43771"/>
    <w:rsid w:val="1DF46B53"/>
    <w:rsid w:val="1DF55BC9"/>
    <w:rsid w:val="1DFB7640"/>
    <w:rsid w:val="1DFF2BB7"/>
    <w:rsid w:val="1E0140C2"/>
    <w:rsid w:val="1E0D39E6"/>
    <w:rsid w:val="1E0F5DD7"/>
    <w:rsid w:val="1E212EA6"/>
    <w:rsid w:val="1E226A00"/>
    <w:rsid w:val="1E25507B"/>
    <w:rsid w:val="1E424474"/>
    <w:rsid w:val="1E6114E2"/>
    <w:rsid w:val="1E69216E"/>
    <w:rsid w:val="1E697DC2"/>
    <w:rsid w:val="1E6A3981"/>
    <w:rsid w:val="1E770841"/>
    <w:rsid w:val="1E7862F3"/>
    <w:rsid w:val="1E79681E"/>
    <w:rsid w:val="1E7B1F99"/>
    <w:rsid w:val="1E7D179D"/>
    <w:rsid w:val="1E837EFD"/>
    <w:rsid w:val="1E843A62"/>
    <w:rsid w:val="1E8B106C"/>
    <w:rsid w:val="1E8E7345"/>
    <w:rsid w:val="1E8F4C71"/>
    <w:rsid w:val="1E9D4607"/>
    <w:rsid w:val="1EA23E96"/>
    <w:rsid w:val="1EAD5CBF"/>
    <w:rsid w:val="1EB0050D"/>
    <w:rsid w:val="1EC10551"/>
    <w:rsid w:val="1EC54FAE"/>
    <w:rsid w:val="1EC95790"/>
    <w:rsid w:val="1ECF0C91"/>
    <w:rsid w:val="1ED3392E"/>
    <w:rsid w:val="1ED8255F"/>
    <w:rsid w:val="1EDB7D1F"/>
    <w:rsid w:val="1EDD6BAE"/>
    <w:rsid w:val="1EE9160F"/>
    <w:rsid w:val="1EEA3FB0"/>
    <w:rsid w:val="1EF029DD"/>
    <w:rsid w:val="1EF11D95"/>
    <w:rsid w:val="1EF95C2D"/>
    <w:rsid w:val="1EFD3367"/>
    <w:rsid w:val="1F02624F"/>
    <w:rsid w:val="1F110633"/>
    <w:rsid w:val="1F1B26FF"/>
    <w:rsid w:val="1F207393"/>
    <w:rsid w:val="1F24153A"/>
    <w:rsid w:val="1F2707D9"/>
    <w:rsid w:val="1F280B75"/>
    <w:rsid w:val="1F3A7E8A"/>
    <w:rsid w:val="1F422EFE"/>
    <w:rsid w:val="1F531E64"/>
    <w:rsid w:val="1F58367C"/>
    <w:rsid w:val="1F5858E5"/>
    <w:rsid w:val="1F5D1AC1"/>
    <w:rsid w:val="1F5D5F41"/>
    <w:rsid w:val="1F5E1E9C"/>
    <w:rsid w:val="1F7067E6"/>
    <w:rsid w:val="1F74425E"/>
    <w:rsid w:val="1F7B7AD7"/>
    <w:rsid w:val="1F830ED6"/>
    <w:rsid w:val="1F8B4A5E"/>
    <w:rsid w:val="1FA02347"/>
    <w:rsid w:val="1FA7102B"/>
    <w:rsid w:val="1FB2033C"/>
    <w:rsid w:val="1FBE2FF3"/>
    <w:rsid w:val="1FC25B07"/>
    <w:rsid w:val="1FC32461"/>
    <w:rsid w:val="1FC90488"/>
    <w:rsid w:val="1FCF3A8F"/>
    <w:rsid w:val="1FD024F9"/>
    <w:rsid w:val="1FD0508D"/>
    <w:rsid w:val="1FDE42B4"/>
    <w:rsid w:val="1FE33574"/>
    <w:rsid w:val="1FEB7E44"/>
    <w:rsid w:val="1FEE3805"/>
    <w:rsid w:val="1FF5692E"/>
    <w:rsid w:val="1FFA37F7"/>
    <w:rsid w:val="1FFE7677"/>
    <w:rsid w:val="20061670"/>
    <w:rsid w:val="200802ED"/>
    <w:rsid w:val="2011395F"/>
    <w:rsid w:val="201F3642"/>
    <w:rsid w:val="202C6D39"/>
    <w:rsid w:val="20376943"/>
    <w:rsid w:val="20383CA5"/>
    <w:rsid w:val="20521975"/>
    <w:rsid w:val="20544169"/>
    <w:rsid w:val="207654CA"/>
    <w:rsid w:val="2085727F"/>
    <w:rsid w:val="208D32BA"/>
    <w:rsid w:val="20997E35"/>
    <w:rsid w:val="209B1238"/>
    <w:rsid w:val="20A94147"/>
    <w:rsid w:val="20AA4C6A"/>
    <w:rsid w:val="20AB7180"/>
    <w:rsid w:val="20B443A3"/>
    <w:rsid w:val="20B83D9E"/>
    <w:rsid w:val="20BD490D"/>
    <w:rsid w:val="20C906D5"/>
    <w:rsid w:val="20D84F08"/>
    <w:rsid w:val="20E069DF"/>
    <w:rsid w:val="20FC0A7F"/>
    <w:rsid w:val="20FD48F1"/>
    <w:rsid w:val="20FE102A"/>
    <w:rsid w:val="210036B7"/>
    <w:rsid w:val="21057A57"/>
    <w:rsid w:val="21072B3E"/>
    <w:rsid w:val="21100608"/>
    <w:rsid w:val="21167C44"/>
    <w:rsid w:val="212527A7"/>
    <w:rsid w:val="21281997"/>
    <w:rsid w:val="212D6B7D"/>
    <w:rsid w:val="213D4956"/>
    <w:rsid w:val="214108B5"/>
    <w:rsid w:val="214E3854"/>
    <w:rsid w:val="21515345"/>
    <w:rsid w:val="21574F7D"/>
    <w:rsid w:val="21591F0C"/>
    <w:rsid w:val="215A2440"/>
    <w:rsid w:val="215A33C8"/>
    <w:rsid w:val="215F2E3E"/>
    <w:rsid w:val="21695531"/>
    <w:rsid w:val="218D2001"/>
    <w:rsid w:val="21943CA9"/>
    <w:rsid w:val="219731F0"/>
    <w:rsid w:val="2197490B"/>
    <w:rsid w:val="219910B5"/>
    <w:rsid w:val="21A63247"/>
    <w:rsid w:val="21B03F21"/>
    <w:rsid w:val="21B13506"/>
    <w:rsid w:val="21B51639"/>
    <w:rsid w:val="21BB7592"/>
    <w:rsid w:val="21BF7481"/>
    <w:rsid w:val="21CB3248"/>
    <w:rsid w:val="21D279E0"/>
    <w:rsid w:val="21DC4A4C"/>
    <w:rsid w:val="21E07D4C"/>
    <w:rsid w:val="21EC0204"/>
    <w:rsid w:val="21EF02D9"/>
    <w:rsid w:val="21EF574E"/>
    <w:rsid w:val="21F37C9C"/>
    <w:rsid w:val="21F44487"/>
    <w:rsid w:val="21F70A26"/>
    <w:rsid w:val="21FD5C85"/>
    <w:rsid w:val="2205663C"/>
    <w:rsid w:val="22102480"/>
    <w:rsid w:val="22135318"/>
    <w:rsid w:val="221F6B8B"/>
    <w:rsid w:val="222B53E4"/>
    <w:rsid w:val="222C7589"/>
    <w:rsid w:val="22336894"/>
    <w:rsid w:val="22397940"/>
    <w:rsid w:val="224839EA"/>
    <w:rsid w:val="225036BA"/>
    <w:rsid w:val="2250794E"/>
    <w:rsid w:val="225353DA"/>
    <w:rsid w:val="22547320"/>
    <w:rsid w:val="225E6A0D"/>
    <w:rsid w:val="22604F57"/>
    <w:rsid w:val="22605849"/>
    <w:rsid w:val="2261103F"/>
    <w:rsid w:val="22715A83"/>
    <w:rsid w:val="227F5366"/>
    <w:rsid w:val="228C1A92"/>
    <w:rsid w:val="22951B4C"/>
    <w:rsid w:val="22A061BD"/>
    <w:rsid w:val="22A334C1"/>
    <w:rsid w:val="22AF279F"/>
    <w:rsid w:val="22BF1F1A"/>
    <w:rsid w:val="22C35EE1"/>
    <w:rsid w:val="22C37843"/>
    <w:rsid w:val="22C8385B"/>
    <w:rsid w:val="22CC43CF"/>
    <w:rsid w:val="22DB1543"/>
    <w:rsid w:val="22DE00B0"/>
    <w:rsid w:val="22DF20D9"/>
    <w:rsid w:val="22FF589E"/>
    <w:rsid w:val="23024E66"/>
    <w:rsid w:val="23046A91"/>
    <w:rsid w:val="23060C3F"/>
    <w:rsid w:val="2308251A"/>
    <w:rsid w:val="23146819"/>
    <w:rsid w:val="23412B6B"/>
    <w:rsid w:val="234606FC"/>
    <w:rsid w:val="23465474"/>
    <w:rsid w:val="234F6696"/>
    <w:rsid w:val="235205D7"/>
    <w:rsid w:val="2356369B"/>
    <w:rsid w:val="23746C44"/>
    <w:rsid w:val="237602D9"/>
    <w:rsid w:val="237756E0"/>
    <w:rsid w:val="23885FCD"/>
    <w:rsid w:val="238B1389"/>
    <w:rsid w:val="238C1E4D"/>
    <w:rsid w:val="238D4B96"/>
    <w:rsid w:val="238E6AA5"/>
    <w:rsid w:val="2390073E"/>
    <w:rsid w:val="23917B90"/>
    <w:rsid w:val="239C741B"/>
    <w:rsid w:val="23AE6E8B"/>
    <w:rsid w:val="23CA479F"/>
    <w:rsid w:val="23D240DD"/>
    <w:rsid w:val="23DD752D"/>
    <w:rsid w:val="23E745FB"/>
    <w:rsid w:val="23FD12EF"/>
    <w:rsid w:val="240165B3"/>
    <w:rsid w:val="240371B7"/>
    <w:rsid w:val="24102826"/>
    <w:rsid w:val="24133C58"/>
    <w:rsid w:val="24167E6E"/>
    <w:rsid w:val="241A2427"/>
    <w:rsid w:val="241B7C33"/>
    <w:rsid w:val="241F5F7D"/>
    <w:rsid w:val="241F7E7E"/>
    <w:rsid w:val="242120EB"/>
    <w:rsid w:val="24247551"/>
    <w:rsid w:val="242F748C"/>
    <w:rsid w:val="24351318"/>
    <w:rsid w:val="24410A49"/>
    <w:rsid w:val="24414FAB"/>
    <w:rsid w:val="2443190F"/>
    <w:rsid w:val="2448510F"/>
    <w:rsid w:val="24486C80"/>
    <w:rsid w:val="244A410D"/>
    <w:rsid w:val="244A43C2"/>
    <w:rsid w:val="24575CDC"/>
    <w:rsid w:val="245779FA"/>
    <w:rsid w:val="24604A7C"/>
    <w:rsid w:val="24633664"/>
    <w:rsid w:val="2468656E"/>
    <w:rsid w:val="248157AE"/>
    <w:rsid w:val="24873FD2"/>
    <w:rsid w:val="24894AE9"/>
    <w:rsid w:val="248B2FEF"/>
    <w:rsid w:val="248B4492"/>
    <w:rsid w:val="24913A45"/>
    <w:rsid w:val="24A37DE3"/>
    <w:rsid w:val="24AE2319"/>
    <w:rsid w:val="24B242B0"/>
    <w:rsid w:val="24B41196"/>
    <w:rsid w:val="24D46638"/>
    <w:rsid w:val="24DA701D"/>
    <w:rsid w:val="24DE46D3"/>
    <w:rsid w:val="24E5020F"/>
    <w:rsid w:val="24E615A1"/>
    <w:rsid w:val="24E8113E"/>
    <w:rsid w:val="24F62978"/>
    <w:rsid w:val="24F66B7E"/>
    <w:rsid w:val="24FF7473"/>
    <w:rsid w:val="250A741B"/>
    <w:rsid w:val="2510702B"/>
    <w:rsid w:val="25176F35"/>
    <w:rsid w:val="25197870"/>
    <w:rsid w:val="252C1FF0"/>
    <w:rsid w:val="252D2A99"/>
    <w:rsid w:val="253106C7"/>
    <w:rsid w:val="2543385F"/>
    <w:rsid w:val="254954B5"/>
    <w:rsid w:val="255320BE"/>
    <w:rsid w:val="25545D57"/>
    <w:rsid w:val="255B0187"/>
    <w:rsid w:val="255B7BE6"/>
    <w:rsid w:val="25607123"/>
    <w:rsid w:val="25637D71"/>
    <w:rsid w:val="25646953"/>
    <w:rsid w:val="2568572E"/>
    <w:rsid w:val="256B4E4F"/>
    <w:rsid w:val="2578433C"/>
    <w:rsid w:val="257B7328"/>
    <w:rsid w:val="25825A4E"/>
    <w:rsid w:val="25941B14"/>
    <w:rsid w:val="259D00AC"/>
    <w:rsid w:val="25A139A1"/>
    <w:rsid w:val="25A30E97"/>
    <w:rsid w:val="25AB6EA4"/>
    <w:rsid w:val="25AD56D6"/>
    <w:rsid w:val="25B4177E"/>
    <w:rsid w:val="25B6116E"/>
    <w:rsid w:val="25B86230"/>
    <w:rsid w:val="25C04B5E"/>
    <w:rsid w:val="25D14451"/>
    <w:rsid w:val="25D90114"/>
    <w:rsid w:val="25E909B0"/>
    <w:rsid w:val="25EA4FB0"/>
    <w:rsid w:val="25EC7967"/>
    <w:rsid w:val="25F2648A"/>
    <w:rsid w:val="26085A11"/>
    <w:rsid w:val="26096BCC"/>
    <w:rsid w:val="261B1C7B"/>
    <w:rsid w:val="262321AD"/>
    <w:rsid w:val="26250DB7"/>
    <w:rsid w:val="26345542"/>
    <w:rsid w:val="2644101F"/>
    <w:rsid w:val="26515E2E"/>
    <w:rsid w:val="26595705"/>
    <w:rsid w:val="265A75CB"/>
    <w:rsid w:val="26602729"/>
    <w:rsid w:val="266167E1"/>
    <w:rsid w:val="266B015D"/>
    <w:rsid w:val="26714BE4"/>
    <w:rsid w:val="2673794C"/>
    <w:rsid w:val="26774763"/>
    <w:rsid w:val="267F5AF5"/>
    <w:rsid w:val="26863160"/>
    <w:rsid w:val="26950E88"/>
    <w:rsid w:val="26961E0A"/>
    <w:rsid w:val="26964FA4"/>
    <w:rsid w:val="269D0E9E"/>
    <w:rsid w:val="26AB57C6"/>
    <w:rsid w:val="26AC6D82"/>
    <w:rsid w:val="26AD1CD0"/>
    <w:rsid w:val="26C1353E"/>
    <w:rsid w:val="26C60601"/>
    <w:rsid w:val="26C8301E"/>
    <w:rsid w:val="26D87DF2"/>
    <w:rsid w:val="26DC18A9"/>
    <w:rsid w:val="26E35FF7"/>
    <w:rsid w:val="26E36DB5"/>
    <w:rsid w:val="26E53D37"/>
    <w:rsid w:val="26FC0E2B"/>
    <w:rsid w:val="26FD47E2"/>
    <w:rsid w:val="271E56E8"/>
    <w:rsid w:val="272005C3"/>
    <w:rsid w:val="272671ED"/>
    <w:rsid w:val="27270CE8"/>
    <w:rsid w:val="272D6A74"/>
    <w:rsid w:val="272F12CB"/>
    <w:rsid w:val="2735231F"/>
    <w:rsid w:val="273B196E"/>
    <w:rsid w:val="273C4365"/>
    <w:rsid w:val="273D7038"/>
    <w:rsid w:val="27463492"/>
    <w:rsid w:val="27466AC3"/>
    <w:rsid w:val="274E73AF"/>
    <w:rsid w:val="275231BF"/>
    <w:rsid w:val="276B41D7"/>
    <w:rsid w:val="277D0679"/>
    <w:rsid w:val="277E2BB9"/>
    <w:rsid w:val="278E4EE9"/>
    <w:rsid w:val="27AB123C"/>
    <w:rsid w:val="27AD65AD"/>
    <w:rsid w:val="27B55EDC"/>
    <w:rsid w:val="27B64C35"/>
    <w:rsid w:val="27BB47E3"/>
    <w:rsid w:val="27BC1D67"/>
    <w:rsid w:val="27CA24FE"/>
    <w:rsid w:val="27D37975"/>
    <w:rsid w:val="27D50032"/>
    <w:rsid w:val="27DA1947"/>
    <w:rsid w:val="27DA2185"/>
    <w:rsid w:val="27DF4FB6"/>
    <w:rsid w:val="27E3680D"/>
    <w:rsid w:val="27F30C82"/>
    <w:rsid w:val="28055998"/>
    <w:rsid w:val="28057A70"/>
    <w:rsid w:val="280A32AC"/>
    <w:rsid w:val="28243E76"/>
    <w:rsid w:val="283947C5"/>
    <w:rsid w:val="283C344B"/>
    <w:rsid w:val="28441FB3"/>
    <w:rsid w:val="28513F3A"/>
    <w:rsid w:val="28582D83"/>
    <w:rsid w:val="2859000B"/>
    <w:rsid w:val="285C4F8A"/>
    <w:rsid w:val="288B1052"/>
    <w:rsid w:val="289B58C0"/>
    <w:rsid w:val="28AA194B"/>
    <w:rsid w:val="28AC67CE"/>
    <w:rsid w:val="28B47ACA"/>
    <w:rsid w:val="28B74ED4"/>
    <w:rsid w:val="28C33B1F"/>
    <w:rsid w:val="28C54FAE"/>
    <w:rsid w:val="28C94026"/>
    <w:rsid w:val="28E06489"/>
    <w:rsid w:val="28E073FB"/>
    <w:rsid w:val="28E6287B"/>
    <w:rsid w:val="28EF60B2"/>
    <w:rsid w:val="28F91021"/>
    <w:rsid w:val="28FD1A99"/>
    <w:rsid w:val="28FE3E7D"/>
    <w:rsid w:val="292D3222"/>
    <w:rsid w:val="292F2F81"/>
    <w:rsid w:val="29307E38"/>
    <w:rsid w:val="2934489F"/>
    <w:rsid w:val="293C019B"/>
    <w:rsid w:val="293C689E"/>
    <w:rsid w:val="293D7504"/>
    <w:rsid w:val="294C571F"/>
    <w:rsid w:val="295C497B"/>
    <w:rsid w:val="295E4B03"/>
    <w:rsid w:val="296E2DD7"/>
    <w:rsid w:val="29860C7A"/>
    <w:rsid w:val="29A612D3"/>
    <w:rsid w:val="29A744C1"/>
    <w:rsid w:val="29AF4B12"/>
    <w:rsid w:val="29B071BF"/>
    <w:rsid w:val="29BB3A39"/>
    <w:rsid w:val="29CC7C6B"/>
    <w:rsid w:val="29DC495E"/>
    <w:rsid w:val="29DD2B5B"/>
    <w:rsid w:val="29E756DA"/>
    <w:rsid w:val="29F47DE1"/>
    <w:rsid w:val="29F72AF1"/>
    <w:rsid w:val="2A051128"/>
    <w:rsid w:val="2A082B2A"/>
    <w:rsid w:val="2A0E5F4E"/>
    <w:rsid w:val="2A223250"/>
    <w:rsid w:val="2A236BA8"/>
    <w:rsid w:val="2A2A1B81"/>
    <w:rsid w:val="2A2F4DB5"/>
    <w:rsid w:val="2A317ABC"/>
    <w:rsid w:val="2A3933B6"/>
    <w:rsid w:val="2A3C360E"/>
    <w:rsid w:val="2A433DAD"/>
    <w:rsid w:val="2A4410BD"/>
    <w:rsid w:val="2A484407"/>
    <w:rsid w:val="2A52597D"/>
    <w:rsid w:val="2A5573B0"/>
    <w:rsid w:val="2A5C20DC"/>
    <w:rsid w:val="2A5E64C1"/>
    <w:rsid w:val="2A617C6D"/>
    <w:rsid w:val="2A6445EE"/>
    <w:rsid w:val="2A7C5BCC"/>
    <w:rsid w:val="2A8360A8"/>
    <w:rsid w:val="2A8745F9"/>
    <w:rsid w:val="2A9245C5"/>
    <w:rsid w:val="2A9839C9"/>
    <w:rsid w:val="2A9B6CB9"/>
    <w:rsid w:val="2AA363E8"/>
    <w:rsid w:val="2AA36B39"/>
    <w:rsid w:val="2AA74CEC"/>
    <w:rsid w:val="2AA90518"/>
    <w:rsid w:val="2AB0339F"/>
    <w:rsid w:val="2ACB7C94"/>
    <w:rsid w:val="2ACD5BFD"/>
    <w:rsid w:val="2ACF7F42"/>
    <w:rsid w:val="2AD17815"/>
    <w:rsid w:val="2AD815B9"/>
    <w:rsid w:val="2ADC7BBF"/>
    <w:rsid w:val="2AE07C74"/>
    <w:rsid w:val="2AE15155"/>
    <w:rsid w:val="2AE867A4"/>
    <w:rsid w:val="2AEC352C"/>
    <w:rsid w:val="2AEE7497"/>
    <w:rsid w:val="2B023147"/>
    <w:rsid w:val="2B067960"/>
    <w:rsid w:val="2B087FE5"/>
    <w:rsid w:val="2B124BA1"/>
    <w:rsid w:val="2B1B73A8"/>
    <w:rsid w:val="2B206D03"/>
    <w:rsid w:val="2B24398E"/>
    <w:rsid w:val="2B2A22BF"/>
    <w:rsid w:val="2B312986"/>
    <w:rsid w:val="2B3A45F4"/>
    <w:rsid w:val="2B3B580A"/>
    <w:rsid w:val="2B3C0E14"/>
    <w:rsid w:val="2B4B61DE"/>
    <w:rsid w:val="2B4C0E48"/>
    <w:rsid w:val="2B4E47A3"/>
    <w:rsid w:val="2B571052"/>
    <w:rsid w:val="2B624427"/>
    <w:rsid w:val="2B6A529E"/>
    <w:rsid w:val="2B6D4DAB"/>
    <w:rsid w:val="2B7847F1"/>
    <w:rsid w:val="2B7B13F7"/>
    <w:rsid w:val="2B842775"/>
    <w:rsid w:val="2B843DA6"/>
    <w:rsid w:val="2B890E3A"/>
    <w:rsid w:val="2B897F71"/>
    <w:rsid w:val="2B8E54FE"/>
    <w:rsid w:val="2B91265C"/>
    <w:rsid w:val="2B9B7586"/>
    <w:rsid w:val="2BA558C5"/>
    <w:rsid w:val="2BBB2383"/>
    <w:rsid w:val="2BC4295F"/>
    <w:rsid w:val="2BC85FC7"/>
    <w:rsid w:val="2BCB6147"/>
    <w:rsid w:val="2BCF0D64"/>
    <w:rsid w:val="2BD203C1"/>
    <w:rsid w:val="2BD6093F"/>
    <w:rsid w:val="2BE53733"/>
    <w:rsid w:val="2BE84879"/>
    <w:rsid w:val="2BEB21E7"/>
    <w:rsid w:val="2BF40E01"/>
    <w:rsid w:val="2BF91D20"/>
    <w:rsid w:val="2BFB748F"/>
    <w:rsid w:val="2BFC6561"/>
    <w:rsid w:val="2C0A0638"/>
    <w:rsid w:val="2C136876"/>
    <w:rsid w:val="2C1C4D29"/>
    <w:rsid w:val="2C1D6162"/>
    <w:rsid w:val="2C2B5B2D"/>
    <w:rsid w:val="2C353703"/>
    <w:rsid w:val="2C413D19"/>
    <w:rsid w:val="2C490223"/>
    <w:rsid w:val="2C4F7763"/>
    <w:rsid w:val="2C582A81"/>
    <w:rsid w:val="2C644E04"/>
    <w:rsid w:val="2C672421"/>
    <w:rsid w:val="2C6B4656"/>
    <w:rsid w:val="2C702073"/>
    <w:rsid w:val="2C7744DC"/>
    <w:rsid w:val="2C780FA3"/>
    <w:rsid w:val="2C8C7E95"/>
    <w:rsid w:val="2C9006A6"/>
    <w:rsid w:val="2C9021DC"/>
    <w:rsid w:val="2C9558EA"/>
    <w:rsid w:val="2C9F7BC4"/>
    <w:rsid w:val="2CA2757E"/>
    <w:rsid w:val="2CA61FD8"/>
    <w:rsid w:val="2CA654FC"/>
    <w:rsid w:val="2CB162FE"/>
    <w:rsid w:val="2CB438CF"/>
    <w:rsid w:val="2CB60EA3"/>
    <w:rsid w:val="2CB64D52"/>
    <w:rsid w:val="2CC330D7"/>
    <w:rsid w:val="2CD01FD6"/>
    <w:rsid w:val="2CD94D53"/>
    <w:rsid w:val="2CDD658C"/>
    <w:rsid w:val="2CEB0C39"/>
    <w:rsid w:val="2CEC70EB"/>
    <w:rsid w:val="2CED46DA"/>
    <w:rsid w:val="2CF1023B"/>
    <w:rsid w:val="2CFE2849"/>
    <w:rsid w:val="2D0014D8"/>
    <w:rsid w:val="2D002F35"/>
    <w:rsid w:val="2D177C0F"/>
    <w:rsid w:val="2D1B37B0"/>
    <w:rsid w:val="2D1F0F7F"/>
    <w:rsid w:val="2D26336A"/>
    <w:rsid w:val="2D2841C8"/>
    <w:rsid w:val="2D325F6B"/>
    <w:rsid w:val="2D392FF2"/>
    <w:rsid w:val="2D3B062A"/>
    <w:rsid w:val="2D416593"/>
    <w:rsid w:val="2D4E6316"/>
    <w:rsid w:val="2D6478F7"/>
    <w:rsid w:val="2D6C424B"/>
    <w:rsid w:val="2D753B43"/>
    <w:rsid w:val="2D781E46"/>
    <w:rsid w:val="2D7C48F8"/>
    <w:rsid w:val="2D807ABB"/>
    <w:rsid w:val="2D8310FA"/>
    <w:rsid w:val="2D8F798B"/>
    <w:rsid w:val="2D935E05"/>
    <w:rsid w:val="2D982860"/>
    <w:rsid w:val="2D9D60EF"/>
    <w:rsid w:val="2DA00022"/>
    <w:rsid w:val="2DB42648"/>
    <w:rsid w:val="2DB57E2C"/>
    <w:rsid w:val="2DB824E3"/>
    <w:rsid w:val="2DBF016E"/>
    <w:rsid w:val="2DD00813"/>
    <w:rsid w:val="2DD35D82"/>
    <w:rsid w:val="2DD64A67"/>
    <w:rsid w:val="2DE77DDF"/>
    <w:rsid w:val="2DF90944"/>
    <w:rsid w:val="2DFC470B"/>
    <w:rsid w:val="2E0039AD"/>
    <w:rsid w:val="2E0C47C8"/>
    <w:rsid w:val="2E1318A0"/>
    <w:rsid w:val="2E150D78"/>
    <w:rsid w:val="2E157E3F"/>
    <w:rsid w:val="2E172AFA"/>
    <w:rsid w:val="2E23161C"/>
    <w:rsid w:val="2E2E0DF6"/>
    <w:rsid w:val="2E32318D"/>
    <w:rsid w:val="2E416270"/>
    <w:rsid w:val="2E430993"/>
    <w:rsid w:val="2E4D6137"/>
    <w:rsid w:val="2E4F355B"/>
    <w:rsid w:val="2E58638E"/>
    <w:rsid w:val="2E6C2372"/>
    <w:rsid w:val="2E881B75"/>
    <w:rsid w:val="2EB106ED"/>
    <w:rsid w:val="2EB2493C"/>
    <w:rsid w:val="2ECB1282"/>
    <w:rsid w:val="2ED27338"/>
    <w:rsid w:val="2ED441F6"/>
    <w:rsid w:val="2ED87D97"/>
    <w:rsid w:val="2EDC38D5"/>
    <w:rsid w:val="2EE307B1"/>
    <w:rsid w:val="2EE5031A"/>
    <w:rsid w:val="2EF037E8"/>
    <w:rsid w:val="2EF174AE"/>
    <w:rsid w:val="2EFF3D85"/>
    <w:rsid w:val="2F07604B"/>
    <w:rsid w:val="2F0A0208"/>
    <w:rsid w:val="2F243F2E"/>
    <w:rsid w:val="2F2C43EA"/>
    <w:rsid w:val="2F324654"/>
    <w:rsid w:val="2F372AB9"/>
    <w:rsid w:val="2F393B28"/>
    <w:rsid w:val="2F3A408C"/>
    <w:rsid w:val="2F405617"/>
    <w:rsid w:val="2F41390C"/>
    <w:rsid w:val="2F5C7E43"/>
    <w:rsid w:val="2F670C65"/>
    <w:rsid w:val="2F72184C"/>
    <w:rsid w:val="2F731367"/>
    <w:rsid w:val="2F732DE7"/>
    <w:rsid w:val="2F7766C0"/>
    <w:rsid w:val="2F791117"/>
    <w:rsid w:val="2F8D4858"/>
    <w:rsid w:val="2F8D78A4"/>
    <w:rsid w:val="2F942C88"/>
    <w:rsid w:val="2F995917"/>
    <w:rsid w:val="2F9A0DA5"/>
    <w:rsid w:val="2FA240D1"/>
    <w:rsid w:val="2FA374FB"/>
    <w:rsid w:val="2FAB562A"/>
    <w:rsid w:val="2FB45930"/>
    <w:rsid w:val="2FB7698C"/>
    <w:rsid w:val="2FB95E68"/>
    <w:rsid w:val="2FBC685A"/>
    <w:rsid w:val="2FD84495"/>
    <w:rsid w:val="2FDC5EA7"/>
    <w:rsid w:val="2FDF172F"/>
    <w:rsid w:val="2FFC211A"/>
    <w:rsid w:val="2FFC2B43"/>
    <w:rsid w:val="30007103"/>
    <w:rsid w:val="300B76AD"/>
    <w:rsid w:val="301D4A39"/>
    <w:rsid w:val="301D6C24"/>
    <w:rsid w:val="30272D80"/>
    <w:rsid w:val="302C0060"/>
    <w:rsid w:val="303306F6"/>
    <w:rsid w:val="30404617"/>
    <w:rsid w:val="304A330F"/>
    <w:rsid w:val="304C3B9A"/>
    <w:rsid w:val="304D6D89"/>
    <w:rsid w:val="304F2AA8"/>
    <w:rsid w:val="3052525E"/>
    <w:rsid w:val="307932A5"/>
    <w:rsid w:val="308551F7"/>
    <w:rsid w:val="308F5C6A"/>
    <w:rsid w:val="309063DB"/>
    <w:rsid w:val="3096008E"/>
    <w:rsid w:val="309723B6"/>
    <w:rsid w:val="30BD0AC7"/>
    <w:rsid w:val="30BE243E"/>
    <w:rsid w:val="30C94C9C"/>
    <w:rsid w:val="30CF51F6"/>
    <w:rsid w:val="30DC12C9"/>
    <w:rsid w:val="30DC6F38"/>
    <w:rsid w:val="30E33877"/>
    <w:rsid w:val="31035C14"/>
    <w:rsid w:val="310478C7"/>
    <w:rsid w:val="31157D04"/>
    <w:rsid w:val="31273A24"/>
    <w:rsid w:val="31314501"/>
    <w:rsid w:val="313C43D8"/>
    <w:rsid w:val="31472F94"/>
    <w:rsid w:val="314C6E55"/>
    <w:rsid w:val="314E6853"/>
    <w:rsid w:val="314F4F9C"/>
    <w:rsid w:val="31513D8B"/>
    <w:rsid w:val="3156245A"/>
    <w:rsid w:val="31572714"/>
    <w:rsid w:val="31691158"/>
    <w:rsid w:val="317209DD"/>
    <w:rsid w:val="317F772E"/>
    <w:rsid w:val="318B7B40"/>
    <w:rsid w:val="319425C7"/>
    <w:rsid w:val="319D1B07"/>
    <w:rsid w:val="31A02238"/>
    <w:rsid w:val="31A205F4"/>
    <w:rsid w:val="31A36CE0"/>
    <w:rsid w:val="31B4596E"/>
    <w:rsid w:val="31C61E1E"/>
    <w:rsid w:val="31CB3E85"/>
    <w:rsid w:val="31D6584C"/>
    <w:rsid w:val="31E241BF"/>
    <w:rsid w:val="31E44CCE"/>
    <w:rsid w:val="31EE4824"/>
    <w:rsid w:val="31F30CD7"/>
    <w:rsid w:val="31F44947"/>
    <w:rsid w:val="31FB2DF3"/>
    <w:rsid w:val="32157DA7"/>
    <w:rsid w:val="321611EC"/>
    <w:rsid w:val="321643AD"/>
    <w:rsid w:val="3227237D"/>
    <w:rsid w:val="322C0982"/>
    <w:rsid w:val="322D1C10"/>
    <w:rsid w:val="323160DC"/>
    <w:rsid w:val="323A1810"/>
    <w:rsid w:val="323F0CAB"/>
    <w:rsid w:val="3245177C"/>
    <w:rsid w:val="324D5A3B"/>
    <w:rsid w:val="324E4F10"/>
    <w:rsid w:val="3251124C"/>
    <w:rsid w:val="325E19DD"/>
    <w:rsid w:val="326675A0"/>
    <w:rsid w:val="3267277F"/>
    <w:rsid w:val="329C41B6"/>
    <w:rsid w:val="32B5772E"/>
    <w:rsid w:val="32DC7DB5"/>
    <w:rsid w:val="32E0472A"/>
    <w:rsid w:val="32E078CC"/>
    <w:rsid w:val="32E465FD"/>
    <w:rsid w:val="32FB526E"/>
    <w:rsid w:val="32FD1F26"/>
    <w:rsid w:val="32FF502A"/>
    <w:rsid w:val="33083851"/>
    <w:rsid w:val="3309049A"/>
    <w:rsid w:val="330D0083"/>
    <w:rsid w:val="330E1D9B"/>
    <w:rsid w:val="331518AF"/>
    <w:rsid w:val="331A2670"/>
    <w:rsid w:val="331E5FBF"/>
    <w:rsid w:val="33374D91"/>
    <w:rsid w:val="333D2482"/>
    <w:rsid w:val="33487F18"/>
    <w:rsid w:val="334F3177"/>
    <w:rsid w:val="33600D63"/>
    <w:rsid w:val="33687F66"/>
    <w:rsid w:val="336A6F26"/>
    <w:rsid w:val="336B19B4"/>
    <w:rsid w:val="336D2732"/>
    <w:rsid w:val="33734927"/>
    <w:rsid w:val="339B65FD"/>
    <w:rsid w:val="339F53D4"/>
    <w:rsid w:val="33A909D6"/>
    <w:rsid w:val="33B01A32"/>
    <w:rsid w:val="33BE3A56"/>
    <w:rsid w:val="33C127AE"/>
    <w:rsid w:val="33D56668"/>
    <w:rsid w:val="33D71050"/>
    <w:rsid w:val="33D7492A"/>
    <w:rsid w:val="33D767C3"/>
    <w:rsid w:val="33D917CC"/>
    <w:rsid w:val="33FC0EA2"/>
    <w:rsid w:val="33FD71EB"/>
    <w:rsid w:val="34100B91"/>
    <w:rsid w:val="341E20F4"/>
    <w:rsid w:val="34240573"/>
    <w:rsid w:val="343233C8"/>
    <w:rsid w:val="34552BA1"/>
    <w:rsid w:val="345F025E"/>
    <w:rsid w:val="34681CC7"/>
    <w:rsid w:val="346C5B8E"/>
    <w:rsid w:val="348413B2"/>
    <w:rsid w:val="34970029"/>
    <w:rsid w:val="34A12720"/>
    <w:rsid w:val="34A30D73"/>
    <w:rsid w:val="34AA54DD"/>
    <w:rsid w:val="34B1679A"/>
    <w:rsid w:val="34BC189C"/>
    <w:rsid w:val="34C25E16"/>
    <w:rsid w:val="34C43B05"/>
    <w:rsid w:val="34C9438D"/>
    <w:rsid w:val="34CE4ABA"/>
    <w:rsid w:val="34D00D9F"/>
    <w:rsid w:val="34D260F5"/>
    <w:rsid w:val="34E0481A"/>
    <w:rsid w:val="34E571C7"/>
    <w:rsid w:val="34E765C7"/>
    <w:rsid w:val="34EA1784"/>
    <w:rsid w:val="34FC6AE3"/>
    <w:rsid w:val="34FE361A"/>
    <w:rsid w:val="350952A0"/>
    <w:rsid w:val="350F6CC6"/>
    <w:rsid w:val="35113DFB"/>
    <w:rsid w:val="35176A3A"/>
    <w:rsid w:val="351B66AE"/>
    <w:rsid w:val="351D664F"/>
    <w:rsid w:val="351E3063"/>
    <w:rsid w:val="35230E5A"/>
    <w:rsid w:val="35303C05"/>
    <w:rsid w:val="3541371F"/>
    <w:rsid w:val="354618F4"/>
    <w:rsid w:val="354D5EF4"/>
    <w:rsid w:val="355B3419"/>
    <w:rsid w:val="355E0BEA"/>
    <w:rsid w:val="356A4DE0"/>
    <w:rsid w:val="356C3433"/>
    <w:rsid w:val="357366FA"/>
    <w:rsid w:val="35864876"/>
    <w:rsid w:val="35912C86"/>
    <w:rsid w:val="3598149A"/>
    <w:rsid w:val="359A0F12"/>
    <w:rsid w:val="35A13074"/>
    <w:rsid w:val="35AE5BA6"/>
    <w:rsid w:val="35B126BF"/>
    <w:rsid w:val="35B33B37"/>
    <w:rsid w:val="35C90DAF"/>
    <w:rsid w:val="35CA2472"/>
    <w:rsid w:val="35CE1102"/>
    <w:rsid w:val="35D136D7"/>
    <w:rsid w:val="35D15FFE"/>
    <w:rsid w:val="35DB0285"/>
    <w:rsid w:val="35DC507F"/>
    <w:rsid w:val="35DD7474"/>
    <w:rsid w:val="36196764"/>
    <w:rsid w:val="36207847"/>
    <w:rsid w:val="36283ADF"/>
    <w:rsid w:val="362C24BD"/>
    <w:rsid w:val="36450952"/>
    <w:rsid w:val="36571D0F"/>
    <w:rsid w:val="365B706C"/>
    <w:rsid w:val="366065AD"/>
    <w:rsid w:val="36610376"/>
    <w:rsid w:val="3675018F"/>
    <w:rsid w:val="36781728"/>
    <w:rsid w:val="367C7A96"/>
    <w:rsid w:val="368719F5"/>
    <w:rsid w:val="368A0507"/>
    <w:rsid w:val="368B1E9F"/>
    <w:rsid w:val="36920987"/>
    <w:rsid w:val="36945C80"/>
    <w:rsid w:val="36955FF9"/>
    <w:rsid w:val="369E5C24"/>
    <w:rsid w:val="36A313B4"/>
    <w:rsid w:val="36A5302C"/>
    <w:rsid w:val="36AA62FB"/>
    <w:rsid w:val="36BE5729"/>
    <w:rsid w:val="36C335CF"/>
    <w:rsid w:val="36C36A07"/>
    <w:rsid w:val="36C60A93"/>
    <w:rsid w:val="36C84033"/>
    <w:rsid w:val="36CE1397"/>
    <w:rsid w:val="36D801C0"/>
    <w:rsid w:val="36DB003E"/>
    <w:rsid w:val="37060FCA"/>
    <w:rsid w:val="3706687F"/>
    <w:rsid w:val="370F34D1"/>
    <w:rsid w:val="371E23A0"/>
    <w:rsid w:val="371F184F"/>
    <w:rsid w:val="372F64A5"/>
    <w:rsid w:val="37312910"/>
    <w:rsid w:val="373B4813"/>
    <w:rsid w:val="374819D5"/>
    <w:rsid w:val="374C3B44"/>
    <w:rsid w:val="375363F6"/>
    <w:rsid w:val="37667A79"/>
    <w:rsid w:val="37845600"/>
    <w:rsid w:val="378E0FF9"/>
    <w:rsid w:val="378E31F7"/>
    <w:rsid w:val="379F2396"/>
    <w:rsid w:val="379F25D3"/>
    <w:rsid w:val="37B910F2"/>
    <w:rsid w:val="37B9622A"/>
    <w:rsid w:val="37BE651D"/>
    <w:rsid w:val="37C345F1"/>
    <w:rsid w:val="37CC5BF7"/>
    <w:rsid w:val="37DB4FC8"/>
    <w:rsid w:val="37DC72D1"/>
    <w:rsid w:val="37DE68DF"/>
    <w:rsid w:val="37E01F4D"/>
    <w:rsid w:val="37F227F1"/>
    <w:rsid w:val="37F233C2"/>
    <w:rsid w:val="37F4146D"/>
    <w:rsid w:val="37FB001F"/>
    <w:rsid w:val="380C5412"/>
    <w:rsid w:val="381C3CA1"/>
    <w:rsid w:val="382E05BC"/>
    <w:rsid w:val="38332248"/>
    <w:rsid w:val="384E7558"/>
    <w:rsid w:val="385069F8"/>
    <w:rsid w:val="385237AA"/>
    <w:rsid w:val="385C0488"/>
    <w:rsid w:val="38652C9B"/>
    <w:rsid w:val="38656F15"/>
    <w:rsid w:val="3869502C"/>
    <w:rsid w:val="386C3003"/>
    <w:rsid w:val="386F18FC"/>
    <w:rsid w:val="387049DE"/>
    <w:rsid w:val="388E0466"/>
    <w:rsid w:val="38981088"/>
    <w:rsid w:val="389974DD"/>
    <w:rsid w:val="38A82192"/>
    <w:rsid w:val="38AF450B"/>
    <w:rsid w:val="38BB5A21"/>
    <w:rsid w:val="38BE1E38"/>
    <w:rsid w:val="38BF3CCA"/>
    <w:rsid w:val="38C10EBD"/>
    <w:rsid w:val="38CA0A2E"/>
    <w:rsid w:val="38D02CD4"/>
    <w:rsid w:val="38DB025C"/>
    <w:rsid w:val="38E552FF"/>
    <w:rsid w:val="38F31C3E"/>
    <w:rsid w:val="38F50982"/>
    <w:rsid w:val="38FB5012"/>
    <w:rsid w:val="39035440"/>
    <w:rsid w:val="39077FAE"/>
    <w:rsid w:val="390B5DD7"/>
    <w:rsid w:val="39114E11"/>
    <w:rsid w:val="39165F2F"/>
    <w:rsid w:val="3920152B"/>
    <w:rsid w:val="392B275E"/>
    <w:rsid w:val="39380C5C"/>
    <w:rsid w:val="393B22E8"/>
    <w:rsid w:val="393D4FBA"/>
    <w:rsid w:val="39554A5B"/>
    <w:rsid w:val="3969154C"/>
    <w:rsid w:val="396F452D"/>
    <w:rsid w:val="397D455F"/>
    <w:rsid w:val="398300EB"/>
    <w:rsid w:val="398B5300"/>
    <w:rsid w:val="398C3040"/>
    <w:rsid w:val="398D12CC"/>
    <w:rsid w:val="398D73E6"/>
    <w:rsid w:val="399D340D"/>
    <w:rsid w:val="399D6EA0"/>
    <w:rsid w:val="39A60EB5"/>
    <w:rsid w:val="39A95983"/>
    <w:rsid w:val="39AC4E6A"/>
    <w:rsid w:val="39AF3281"/>
    <w:rsid w:val="39AF6B1A"/>
    <w:rsid w:val="39BD4559"/>
    <w:rsid w:val="39C837B6"/>
    <w:rsid w:val="39C9254C"/>
    <w:rsid w:val="39D52C02"/>
    <w:rsid w:val="39DF75BC"/>
    <w:rsid w:val="39E1354D"/>
    <w:rsid w:val="39E14EB9"/>
    <w:rsid w:val="39E207D2"/>
    <w:rsid w:val="39E645BF"/>
    <w:rsid w:val="39E7290C"/>
    <w:rsid w:val="39FD0B70"/>
    <w:rsid w:val="39FF1E01"/>
    <w:rsid w:val="3A0C2918"/>
    <w:rsid w:val="3A0E657E"/>
    <w:rsid w:val="3A1D7418"/>
    <w:rsid w:val="3A245A02"/>
    <w:rsid w:val="3A417154"/>
    <w:rsid w:val="3A481624"/>
    <w:rsid w:val="3A4954F9"/>
    <w:rsid w:val="3A4A3778"/>
    <w:rsid w:val="3A4F35AA"/>
    <w:rsid w:val="3A5967E1"/>
    <w:rsid w:val="3A5E16FC"/>
    <w:rsid w:val="3A60034E"/>
    <w:rsid w:val="3A64460C"/>
    <w:rsid w:val="3A673A17"/>
    <w:rsid w:val="3A6766DD"/>
    <w:rsid w:val="3A6B6EE8"/>
    <w:rsid w:val="3A6E3B01"/>
    <w:rsid w:val="3A753E58"/>
    <w:rsid w:val="3A7C1909"/>
    <w:rsid w:val="3A7D6477"/>
    <w:rsid w:val="3A83542E"/>
    <w:rsid w:val="3A867867"/>
    <w:rsid w:val="3A881AC2"/>
    <w:rsid w:val="3A901F29"/>
    <w:rsid w:val="3A9547D1"/>
    <w:rsid w:val="3A9B46A1"/>
    <w:rsid w:val="3A9E78C3"/>
    <w:rsid w:val="3A9F2D43"/>
    <w:rsid w:val="3AC32CFB"/>
    <w:rsid w:val="3AD0210C"/>
    <w:rsid w:val="3AD45747"/>
    <w:rsid w:val="3AD718CD"/>
    <w:rsid w:val="3AE243F5"/>
    <w:rsid w:val="3AE37888"/>
    <w:rsid w:val="3AE93385"/>
    <w:rsid w:val="3AEE5831"/>
    <w:rsid w:val="3AFD2E0A"/>
    <w:rsid w:val="3B1B22F3"/>
    <w:rsid w:val="3B255066"/>
    <w:rsid w:val="3B327AB7"/>
    <w:rsid w:val="3B3432CD"/>
    <w:rsid w:val="3B3C64FA"/>
    <w:rsid w:val="3B583543"/>
    <w:rsid w:val="3B5F4C46"/>
    <w:rsid w:val="3B646BBF"/>
    <w:rsid w:val="3B6974FF"/>
    <w:rsid w:val="3B6D23C3"/>
    <w:rsid w:val="3B6F1586"/>
    <w:rsid w:val="3B732909"/>
    <w:rsid w:val="3B774B06"/>
    <w:rsid w:val="3B8C2C8F"/>
    <w:rsid w:val="3B952353"/>
    <w:rsid w:val="3B9C65AF"/>
    <w:rsid w:val="3BAF007A"/>
    <w:rsid w:val="3BBC2706"/>
    <w:rsid w:val="3BC05EC5"/>
    <w:rsid w:val="3BC335B8"/>
    <w:rsid w:val="3BC56478"/>
    <w:rsid w:val="3BC84CCE"/>
    <w:rsid w:val="3BCB4D78"/>
    <w:rsid w:val="3BDA47BB"/>
    <w:rsid w:val="3BDC0941"/>
    <w:rsid w:val="3BE21405"/>
    <w:rsid w:val="3BE33497"/>
    <w:rsid w:val="3BE944F7"/>
    <w:rsid w:val="3BFB1A53"/>
    <w:rsid w:val="3C173963"/>
    <w:rsid w:val="3C18083C"/>
    <w:rsid w:val="3C1B1A6E"/>
    <w:rsid w:val="3C292B6F"/>
    <w:rsid w:val="3C2A48C2"/>
    <w:rsid w:val="3C3215CE"/>
    <w:rsid w:val="3C322FA4"/>
    <w:rsid w:val="3C364411"/>
    <w:rsid w:val="3C38586D"/>
    <w:rsid w:val="3C3D75EE"/>
    <w:rsid w:val="3C446C9D"/>
    <w:rsid w:val="3C4A09B9"/>
    <w:rsid w:val="3C4A270A"/>
    <w:rsid w:val="3C4A2B79"/>
    <w:rsid w:val="3C517902"/>
    <w:rsid w:val="3C5369B6"/>
    <w:rsid w:val="3C565079"/>
    <w:rsid w:val="3C592F05"/>
    <w:rsid w:val="3C68053A"/>
    <w:rsid w:val="3C6F21B6"/>
    <w:rsid w:val="3C825C07"/>
    <w:rsid w:val="3C8A066C"/>
    <w:rsid w:val="3C920962"/>
    <w:rsid w:val="3C941FA7"/>
    <w:rsid w:val="3C94758F"/>
    <w:rsid w:val="3C9D6045"/>
    <w:rsid w:val="3CA139E6"/>
    <w:rsid w:val="3CC076B9"/>
    <w:rsid w:val="3CC25BC4"/>
    <w:rsid w:val="3CC916A8"/>
    <w:rsid w:val="3CCC6192"/>
    <w:rsid w:val="3CD30CE1"/>
    <w:rsid w:val="3CD55A94"/>
    <w:rsid w:val="3CD60922"/>
    <w:rsid w:val="3CDC0710"/>
    <w:rsid w:val="3CE926C1"/>
    <w:rsid w:val="3CEB2CB8"/>
    <w:rsid w:val="3CF062F2"/>
    <w:rsid w:val="3CF70BE2"/>
    <w:rsid w:val="3CF9016D"/>
    <w:rsid w:val="3D044827"/>
    <w:rsid w:val="3D186613"/>
    <w:rsid w:val="3D1D16D8"/>
    <w:rsid w:val="3D215CA0"/>
    <w:rsid w:val="3D253D16"/>
    <w:rsid w:val="3D293DD4"/>
    <w:rsid w:val="3D310619"/>
    <w:rsid w:val="3D37734B"/>
    <w:rsid w:val="3D3E0BA5"/>
    <w:rsid w:val="3D53026B"/>
    <w:rsid w:val="3D573634"/>
    <w:rsid w:val="3D586040"/>
    <w:rsid w:val="3D646534"/>
    <w:rsid w:val="3D672959"/>
    <w:rsid w:val="3D6A3B46"/>
    <w:rsid w:val="3D711E5E"/>
    <w:rsid w:val="3D7356A6"/>
    <w:rsid w:val="3D930EE4"/>
    <w:rsid w:val="3D932308"/>
    <w:rsid w:val="3DA263B3"/>
    <w:rsid w:val="3DA42A9A"/>
    <w:rsid w:val="3DB4181C"/>
    <w:rsid w:val="3DB44E04"/>
    <w:rsid w:val="3DBA24AE"/>
    <w:rsid w:val="3DC3390E"/>
    <w:rsid w:val="3DC84669"/>
    <w:rsid w:val="3DCA71BA"/>
    <w:rsid w:val="3DD3162C"/>
    <w:rsid w:val="3DD805B3"/>
    <w:rsid w:val="3DD81C6E"/>
    <w:rsid w:val="3DD8250F"/>
    <w:rsid w:val="3DDA7241"/>
    <w:rsid w:val="3DDE30B2"/>
    <w:rsid w:val="3DE60797"/>
    <w:rsid w:val="3DE837D9"/>
    <w:rsid w:val="3DE96807"/>
    <w:rsid w:val="3DEE4063"/>
    <w:rsid w:val="3DFB2974"/>
    <w:rsid w:val="3E171629"/>
    <w:rsid w:val="3E18705A"/>
    <w:rsid w:val="3E452568"/>
    <w:rsid w:val="3E493EDF"/>
    <w:rsid w:val="3E4B384E"/>
    <w:rsid w:val="3E4C49B4"/>
    <w:rsid w:val="3E4E592E"/>
    <w:rsid w:val="3E521CDD"/>
    <w:rsid w:val="3E544AC2"/>
    <w:rsid w:val="3E581321"/>
    <w:rsid w:val="3E58555B"/>
    <w:rsid w:val="3E59217E"/>
    <w:rsid w:val="3E5E14B7"/>
    <w:rsid w:val="3E702CD7"/>
    <w:rsid w:val="3E816544"/>
    <w:rsid w:val="3E871114"/>
    <w:rsid w:val="3E8B1C91"/>
    <w:rsid w:val="3E9230A3"/>
    <w:rsid w:val="3E997252"/>
    <w:rsid w:val="3E9F69E0"/>
    <w:rsid w:val="3EA43810"/>
    <w:rsid w:val="3EA71794"/>
    <w:rsid w:val="3EAE613F"/>
    <w:rsid w:val="3EBB75B7"/>
    <w:rsid w:val="3EC02E9F"/>
    <w:rsid w:val="3EC03992"/>
    <w:rsid w:val="3EC423B2"/>
    <w:rsid w:val="3EC6634F"/>
    <w:rsid w:val="3ED501FD"/>
    <w:rsid w:val="3EE240B7"/>
    <w:rsid w:val="3EEC637E"/>
    <w:rsid w:val="3EF115A8"/>
    <w:rsid w:val="3EF835E0"/>
    <w:rsid w:val="3F0019BB"/>
    <w:rsid w:val="3F067D88"/>
    <w:rsid w:val="3F0F4277"/>
    <w:rsid w:val="3F113965"/>
    <w:rsid w:val="3F154CBA"/>
    <w:rsid w:val="3F2714F8"/>
    <w:rsid w:val="3F2961CC"/>
    <w:rsid w:val="3F2C7A0A"/>
    <w:rsid w:val="3F357B3F"/>
    <w:rsid w:val="3F364D15"/>
    <w:rsid w:val="3F3C4EF0"/>
    <w:rsid w:val="3F3C5298"/>
    <w:rsid w:val="3F4A66F3"/>
    <w:rsid w:val="3F524F21"/>
    <w:rsid w:val="3F53144C"/>
    <w:rsid w:val="3F5911F6"/>
    <w:rsid w:val="3F60659B"/>
    <w:rsid w:val="3F6B63FB"/>
    <w:rsid w:val="3F753871"/>
    <w:rsid w:val="3F7669CB"/>
    <w:rsid w:val="3F7C5C72"/>
    <w:rsid w:val="3F926EF6"/>
    <w:rsid w:val="3F952F12"/>
    <w:rsid w:val="3F9A0605"/>
    <w:rsid w:val="3F9A0F4F"/>
    <w:rsid w:val="3FA15C61"/>
    <w:rsid w:val="3FA62349"/>
    <w:rsid w:val="3FB52FA6"/>
    <w:rsid w:val="3FB56F0A"/>
    <w:rsid w:val="3FBC5091"/>
    <w:rsid w:val="3FBE29CF"/>
    <w:rsid w:val="3FC20C9C"/>
    <w:rsid w:val="3FC66D9F"/>
    <w:rsid w:val="3FD006B7"/>
    <w:rsid w:val="3FDA3378"/>
    <w:rsid w:val="3FE22D45"/>
    <w:rsid w:val="3FE25DC7"/>
    <w:rsid w:val="3FE265AF"/>
    <w:rsid w:val="3FF26645"/>
    <w:rsid w:val="3FF512EC"/>
    <w:rsid w:val="401E6682"/>
    <w:rsid w:val="40267AD8"/>
    <w:rsid w:val="402C00C9"/>
    <w:rsid w:val="403F5B76"/>
    <w:rsid w:val="404049A2"/>
    <w:rsid w:val="40424DC8"/>
    <w:rsid w:val="40442C4B"/>
    <w:rsid w:val="40443E47"/>
    <w:rsid w:val="404F79DA"/>
    <w:rsid w:val="405160DB"/>
    <w:rsid w:val="405330F5"/>
    <w:rsid w:val="40562A87"/>
    <w:rsid w:val="40566B5B"/>
    <w:rsid w:val="40574E85"/>
    <w:rsid w:val="405D6D55"/>
    <w:rsid w:val="406569D4"/>
    <w:rsid w:val="40671336"/>
    <w:rsid w:val="40673576"/>
    <w:rsid w:val="40737F8E"/>
    <w:rsid w:val="40761A4C"/>
    <w:rsid w:val="40826AE0"/>
    <w:rsid w:val="408B00F2"/>
    <w:rsid w:val="408E5077"/>
    <w:rsid w:val="4094386B"/>
    <w:rsid w:val="40944DF0"/>
    <w:rsid w:val="40980848"/>
    <w:rsid w:val="409B1838"/>
    <w:rsid w:val="409D22B6"/>
    <w:rsid w:val="40A75C50"/>
    <w:rsid w:val="40AC6C55"/>
    <w:rsid w:val="40B818F3"/>
    <w:rsid w:val="40CC6D3E"/>
    <w:rsid w:val="40D66D2B"/>
    <w:rsid w:val="40DC5F57"/>
    <w:rsid w:val="40E317DE"/>
    <w:rsid w:val="40EE6E21"/>
    <w:rsid w:val="41076DAF"/>
    <w:rsid w:val="410D638C"/>
    <w:rsid w:val="4122787C"/>
    <w:rsid w:val="412F7628"/>
    <w:rsid w:val="414E67BC"/>
    <w:rsid w:val="414F6B23"/>
    <w:rsid w:val="41633889"/>
    <w:rsid w:val="41665C60"/>
    <w:rsid w:val="416C4790"/>
    <w:rsid w:val="416D65B9"/>
    <w:rsid w:val="41753CF9"/>
    <w:rsid w:val="4178438E"/>
    <w:rsid w:val="41805B44"/>
    <w:rsid w:val="419438E2"/>
    <w:rsid w:val="419679B7"/>
    <w:rsid w:val="419A7742"/>
    <w:rsid w:val="419B31E4"/>
    <w:rsid w:val="419F71B2"/>
    <w:rsid w:val="41A811B2"/>
    <w:rsid w:val="41AA1795"/>
    <w:rsid w:val="41BD3897"/>
    <w:rsid w:val="41C13299"/>
    <w:rsid w:val="41C53990"/>
    <w:rsid w:val="41C57102"/>
    <w:rsid w:val="41CA64BD"/>
    <w:rsid w:val="41D67320"/>
    <w:rsid w:val="41D8414A"/>
    <w:rsid w:val="41E608DD"/>
    <w:rsid w:val="41E64C18"/>
    <w:rsid w:val="41F035EB"/>
    <w:rsid w:val="41F1343C"/>
    <w:rsid w:val="41F967D9"/>
    <w:rsid w:val="42022B4C"/>
    <w:rsid w:val="42027D67"/>
    <w:rsid w:val="42045054"/>
    <w:rsid w:val="420536FE"/>
    <w:rsid w:val="421426FD"/>
    <w:rsid w:val="42167422"/>
    <w:rsid w:val="421855F4"/>
    <w:rsid w:val="421B14AD"/>
    <w:rsid w:val="421D47D9"/>
    <w:rsid w:val="42213FBB"/>
    <w:rsid w:val="4223145A"/>
    <w:rsid w:val="42275C10"/>
    <w:rsid w:val="422A54BD"/>
    <w:rsid w:val="42305551"/>
    <w:rsid w:val="424C1B8F"/>
    <w:rsid w:val="42500B55"/>
    <w:rsid w:val="42513C94"/>
    <w:rsid w:val="42593F2C"/>
    <w:rsid w:val="425D2D04"/>
    <w:rsid w:val="4261565C"/>
    <w:rsid w:val="42641CE1"/>
    <w:rsid w:val="4268779A"/>
    <w:rsid w:val="426F43CC"/>
    <w:rsid w:val="42800220"/>
    <w:rsid w:val="428135A0"/>
    <w:rsid w:val="428B6936"/>
    <w:rsid w:val="429045A2"/>
    <w:rsid w:val="42920628"/>
    <w:rsid w:val="429254EA"/>
    <w:rsid w:val="4296221B"/>
    <w:rsid w:val="42BB1908"/>
    <w:rsid w:val="42BF6942"/>
    <w:rsid w:val="42C175F3"/>
    <w:rsid w:val="42C20D83"/>
    <w:rsid w:val="42C35A0C"/>
    <w:rsid w:val="42C5345D"/>
    <w:rsid w:val="42C748F3"/>
    <w:rsid w:val="42D06642"/>
    <w:rsid w:val="42D5350C"/>
    <w:rsid w:val="42D9149A"/>
    <w:rsid w:val="42DF3BE1"/>
    <w:rsid w:val="42EF4B6F"/>
    <w:rsid w:val="42F00607"/>
    <w:rsid w:val="42F82A8D"/>
    <w:rsid w:val="42FA1F4A"/>
    <w:rsid w:val="42FC782A"/>
    <w:rsid w:val="43037379"/>
    <w:rsid w:val="43062959"/>
    <w:rsid w:val="431B7164"/>
    <w:rsid w:val="431F488E"/>
    <w:rsid w:val="43300473"/>
    <w:rsid w:val="43386021"/>
    <w:rsid w:val="43447033"/>
    <w:rsid w:val="43614F4E"/>
    <w:rsid w:val="436425AB"/>
    <w:rsid w:val="437414A9"/>
    <w:rsid w:val="4379693A"/>
    <w:rsid w:val="43847C26"/>
    <w:rsid w:val="438E646C"/>
    <w:rsid w:val="438E6B5F"/>
    <w:rsid w:val="438F1D72"/>
    <w:rsid w:val="439A3DA5"/>
    <w:rsid w:val="43AA634C"/>
    <w:rsid w:val="43B01C89"/>
    <w:rsid w:val="43B07E37"/>
    <w:rsid w:val="43C749D0"/>
    <w:rsid w:val="43D31FED"/>
    <w:rsid w:val="43D802E0"/>
    <w:rsid w:val="43D840E4"/>
    <w:rsid w:val="43D9519B"/>
    <w:rsid w:val="43DC7CD6"/>
    <w:rsid w:val="43E02734"/>
    <w:rsid w:val="43ED6BD5"/>
    <w:rsid w:val="43EF4800"/>
    <w:rsid w:val="43EF671B"/>
    <w:rsid w:val="43F60183"/>
    <w:rsid w:val="43F949BA"/>
    <w:rsid w:val="44006A6A"/>
    <w:rsid w:val="440A19EE"/>
    <w:rsid w:val="440E68C0"/>
    <w:rsid w:val="44247BB9"/>
    <w:rsid w:val="44286DE5"/>
    <w:rsid w:val="44322406"/>
    <w:rsid w:val="444E5E9E"/>
    <w:rsid w:val="444F1BCB"/>
    <w:rsid w:val="44522BC5"/>
    <w:rsid w:val="445C17DA"/>
    <w:rsid w:val="44615BC1"/>
    <w:rsid w:val="44650421"/>
    <w:rsid w:val="4465092F"/>
    <w:rsid w:val="44744E0F"/>
    <w:rsid w:val="447F1C75"/>
    <w:rsid w:val="4483166A"/>
    <w:rsid w:val="448F5241"/>
    <w:rsid w:val="44A84134"/>
    <w:rsid w:val="44B4451B"/>
    <w:rsid w:val="44B6140E"/>
    <w:rsid w:val="44B83E2A"/>
    <w:rsid w:val="44BD5055"/>
    <w:rsid w:val="44CA5203"/>
    <w:rsid w:val="44D509EC"/>
    <w:rsid w:val="44EB366A"/>
    <w:rsid w:val="44F577FB"/>
    <w:rsid w:val="45074AE0"/>
    <w:rsid w:val="450B3A6E"/>
    <w:rsid w:val="450D10FC"/>
    <w:rsid w:val="45167FF7"/>
    <w:rsid w:val="452D08EE"/>
    <w:rsid w:val="4530264F"/>
    <w:rsid w:val="45331A28"/>
    <w:rsid w:val="4549462B"/>
    <w:rsid w:val="454B6A9E"/>
    <w:rsid w:val="454E7348"/>
    <w:rsid w:val="45505CEF"/>
    <w:rsid w:val="45527DB4"/>
    <w:rsid w:val="455967BA"/>
    <w:rsid w:val="455A6581"/>
    <w:rsid w:val="455E6FB9"/>
    <w:rsid w:val="455F3B76"/>
    <w:rsid w:val="45693693"/>
    <w:rsid w:val="456F1345"/>
    <w:rsid w:val="45745DA6"/>
    <w:rsid w:val="457C50D6"/>
    <w:rsid w:val="45810A09"/>
    <w:rsid w:val="458B6C0D"/>
    <w:rsid w:val="45945396"/>
    <w:rsid w:val="45982214"/>
    <w:rsid w:val="459F089F"/>
    <w:rsid w:val="45AB00F5"/>
    <w:rsid w:val="45AB34D1"/>
    <w:rsid w:val="45AB360E"/>
    <w:rsid w:val="45BF7327"/>
    <w:rsid w:val="45CA5824"/>
    <w:rsid w:val="45CC605B"/>
    <w:rsid w:val="45CE0650"/>
    <w:rsid w:val="45CE1A35"/>
    <w:rsid w:val="45CE2C01"/>
    <w:rsid w:val="45D502FD"/>
    <w:rsid w:val="45DF46AB"/>
    <w:rsid w:val="45E404CB"/>
    <w:rsid w:val="45E5491C"/>
    <w:rsid w:val="45E8717B"/>
    <w:rsid w:val="45EE59CA"/>
    <w:rsid w:val="45F14747"/>
    <w:rsid w:val="45F2751A"/>
    <w:rsid w:val="45F42913"/>
    <w:rsid w:val="45FE5713"/>
    <w:rsid w:val="46052AB1"/>
    <w:rsid w:val="460A6543"/>
    <w:rsid w:val="46126FC8"/>
    <w:rsid w:val="461771DA"/>
    <w:rsid w:val="461B3DE1"/>
    <w:rsid w:val="461B477B"/>
    <w:rsid w:val="46247257"/>
    <w:rsid w:val="462D40AC"/>
    <w:rsid w:val="463D5565"/>
    <w:rsid w:val="464F726E"/>
    <w:rsid w:val="46624D2A"/>
    <w:rsid w:val="467876B1"/>
    <w:rsid w:val="467C4AEE"/>
    <w:rsid w:val="46827BE9"/>
    <w:rsid w:val="46851148"/>
    <w:rsid w:val="468D598B"/>
    <w:rsid w:val="468E47D3"/>
    <w:rsid w:val="468E732D"/>
    <w:rsid w:val="469472FB"/>
    <w:rsid w:val="46A5411B"/>
    <w:rsid w:val="46A82C5A"/>
    <w:rsid w:val="46B6216C"/>
    <w:rsid w:val="46B62659"/>
    <w:rsid w:val="46B82F75"/>
    <w:rsid w:val="46B919BB"/>
    <w:rsid w:val="46BF4AFA"/>
    <w:rsid w:val="46C41901"/>
    <w:rsid w:val="46C811E6"/>
    <w:rsid w:val="46CA05B3"/>
    <w:rsid w:val="46CC038A"/>
    <w:rsid w:val="46CF49C5"/>
    <w:rsid w:val="46D2500A"/>
    <w:rsid w:val="46E759A3"/>
    <w:rsid w:val="46EA1FEC"/>
    <w:rsid w:val="46EA22F9"/>
    <w:rsid w:val="46F61F53"/>
    <w:rsid w:val="46FB4E02"/>
    <w:rsid w:val="46FC0476"/>
    <w:rsid w:val="471121FB"/>
    <w:rsid w:val="47182E5F"/>
    <w:rsid w:val="47194127"/>
    <w:rsid w:val="472A51F9"/>
    <w:rsid w:val="472B1077"/>
    <w:rsid w:val="472C3EFA"/>
    <w:rsid w:val="472D1B39"/>
    <w:rsid w:val="4730149E"/>
    <w:rsid w:val="47327FF6"/>
    <w:rsid w:val="47354A7B"/>
    <w:rsid w:val="474579FD"/>
    <w:rsid w:val="47530806"/>
    <w:rsid w:val="475759D7"/>
    <w:rsid w:val="4767168C"/>
    <w:rsid w:val="476D3CFE"/>
    <w:rsid w:val="47805A90"/>
    <w:rsid w:val="478E6BFB"/>
    <w:rsid w:val="47902719"/>
    <w:rsid w:val="47931B56"/>
    <w:rsid w:val="479B3B5F"/>
    <w:rsid w:val="479F1729"/>
    <w:rsid w:val="47A82E38"/>
    <w:rsid w:val="47AE7C2F"/>
    <w:rsid w:val="47B47E81"/>
    <w:rsid w:val="47B85FE6"/>
    <w:rsid w:val="47B961A7"/>
    <w:rsid w:val="47BA200F"/>
    <w:rsid w:val="47C02964"/>
    <w:rsid w:val="47C94C82"/>
    <w:rsid w:val="47CE28F6"/>
    <w:rsid w:val="47D501DF"/>
    <w:rsid w:val="47D64F75"/>
    <w:rsid w:val="47D777AF"/>
    <w:rsid w:val="47D8611B"/>
    <w:rsid w:val="47DB2018"/>
    <w:rsid w:val="47DE2777"/>
    <w:rsid w:val="47DF6CB1"/>
    <w:rsid w:val="47E16F7D"/>
    <w:rsid w:val="47E6714C"/>
    <w:rsid w:val="47F96936"/>
    <w:rsid w:val="480071E8"/>
    <w:rsid w:val="480D777B"/>
    <w:rsid w:val="48190321"/>
    <w:rsid w:val="48193EEE"/>
    <w:rsid w:val="48244C70"/>
    <w:rsid w:val="48264B1A"/>
    <w:rsid w:val="48395442"/>
    <w:rsid w:val="483A148F"/>
    <w:rsid w:val="484640E7"/>
    <w:rsid w:val="48575FEA"/>
    <w:rsid w:val="485B58B3"/>
    <w:rsid w:val="486D4A3F"/>
    <w:rsid w:val="488F7CF8"/>
    <w:rsid w:val="4893007B"/>
    <w:rsid w:val="48982AD5"/>
    <w:rsid w:val="48A20B1F"/>
    <w:rsid w:val="48A75157"/>
    <w:rsid w:val="48B67677"/>
    <w:rsid w:val="48B90A38"/>
    <w:rsid w:val="48C0763A"/>
    <w:rsid w:val="48C8782A"/>
    <w:rsid w:val="48D316AB"/>
    <w:rsid w:val="48DB2A5B"/>
    <w:rsid w:val="48E63B1C"/>
    <w:rsid w:val="48EC1588"/>
    <w:rsid w:val="48EC5A6F"/>
    <w:rsid w:val="49006F98"/>
    <w:rsid w:val="490539BB"/>
    <w:rsid w:val="49164C70"/>
    <w:rsid w:val="49176FAC"/>
    <w:rsid w:val="491B1789"/>
    <w:rsid w:val="491E4616"/>
    <w:rsid w:val="49226AE7"/>
    <w:rsid w:val="49355A53"/>
    <w:rsid w:val="493C107B"/>
    <w:rsid w:val="493C563D"/>
    <w:rsid w:val="493F6C34"/>
    <w:rsid w:val="4943619D"/>
    <w:rsid w:val="494A1EAC"/>
    <w:rsid w:val="4954659A"/>
    <w:rsid w:val="49547589"/>
    <w:rsid w:val="495A6B02"/>
    <w:rsid w:val="495E1696"/>
    <w:rsid w:val="49626D92"/>
    <w:rsid w:val="496A1AD8"/>
    <w:rsid w:val="49721007"/>
    <w:rsid w:val="497708BA"/>
    <w:rsid w:val="498130B9"/>
    <w:rsid w:val="49825592"/>
    <w:rsid w:val="498361AB"/>
    <w:rsid w:val="49863CDB"/>
    <w:rsid w:val="498D371D"/>
    <w:rsid w:val="498D3921"/>
    <w:rsid w:val="49947884"/>
    <w:rsid w:val="49974BD6"/>
    <w:rsid w:val="499A0057"/>
    <w:rsid w:val="49AD24A3"/>
    <w:rsid w:val="49B2059A"/>
    <w:rsid w:val="49C15E95"/>
    <w:rsid w:val="49C41FDF"/>
    <w:rsid w:val="49CB78A8"/>
    <w:rsid w:val="49D27C5E"/>
    <w:rsid w:val="49DA0301"/>
    <w:rsid w:val="49E26D2D"/>
    <w:rsid w:val="49E36AAB"/>
    <w:rsid w:val="49EB01EC"/>
    <w:rsid w:val="49F4545F"/>
    <w:rsid w:val="49F72CD2"/>
    <w:rsid w:val="4A0E612D"/>
    <w:rsid w:val="4A0F452D"/>
    <w:rsid w:val="4A12367D"/>
    <w:rsid w:val="4A1C6D0D"/>
    <w:rsid w:val="4A2052EB"/>
    <w:rsid w:val="4A2325A6"/>
    <w:rsid w:val="4A287281"/>
    <w:rsid w:val="4A2C3411"/>
    <w:rsid w:val="4A434C2F"/>
    <w:rsid w:val="4A444741"/>
    <w:rsid w:val="4A4902FC"/>
    <w:rsid w:val="4A566C42"/>
    <w:rsid w:val="4A5C62B6"/>
    <w:rsid w:val="4A730CE1"/>
    <w:rsid w:val="4A7345F7"/>
    <w:rsid w:val="4A7531BD"/>
    <w:rsid w:val="4A795D94"/>
    <w:rsid w:val="4A803C58"/>
    <w:rsid w:val="4A951959"/>
    <w:rsid w:val="4A991D11"/>
    <w:rsid w:val="4AAE0120"/>
    <w:rsid w:val="4AB10C7D"/>
    <w:rsid w:val="4ACD3E57"/>
    <w:rsid w:val="4ADB1719"/>
    <w:rsid w:val="4AEA6F11"/>
    <w:rsid w:val="4AEB7B5F"/>
    <w:rsid w:val="4AF670AD"/>
    <w:rsid w:val="4B0145C9"/>
    <w:rsid w:val="4B027938"/>
    <w:rsid w:val="4B2612F0"/>
    <w:rsid w:val="4B286DD6"/>
    <w:rsid w:val="4B3371AE"/>
    <w:rsid w:val="4B343325"/>
    <w:rsid w:val="4B447E82"/>
    <w:rsid w:val="4B4752B1"/>
    <w:rsid w:val="4B5257F6"/>
    <w:rsid w:val="4B530156"/>
    <w:rsid w:val="4B576D3F"/>
    <w:rsid w:val="4B5A1226"/>
    <w:rsid w:val="4B5C6F81"/>
    <w:rsid w:val="4B645B5A"/>
    <w:rsid w:val="4B65132C"/>
    <w:rsid w:val="4B6F4BBD"/>
    <w:rsid w:val="4B782F46"/>
    <w:rsid w:val="4B7A55D3"/>
    <w:rsid w:val="4B851795"/>
    <w:rsid w:val="4B856CAC"/>
    <w:rsid w:val="4B857A99"/>
    <w:rsid w:val="4B942370"/>
    <w:rsid w:val="4B9F3A1F"/>
    <w:rsid w:val="4BA831E8"/>
    <w:rsid w:val="4BB75441"/>
    <w:rsid w:val="4BC4296C"/>
    <w:rsid w:val="4BC74127"/>
    <w:rsid w:val="4BDC3B95"/>
    <w:rsid w:val="4BE9041D"/>
    <w:rsid w:val="4BEC611D"/>
    <w:rsid w:val="4BFA7621"/>
    <w:rsid w:val="4BFB5522"/>
    <w:rsid w:val="4BFF37C0"/>
    <w:rsid w:val="4C035CD7"/>
    <w:rsid w:val="4C055BC7"/>
    <w:rsid w:val="4C077E34"/>
    <w:rsid w:val="4C0A4815"/>
    <w:rsid w:val="4C0C5511"/>
    <w:rsid w:val="4C1520F7"/>
    <w:rsid w:val="4C2E3B75"/>
    <w:rsid w:val="4C34493D"/>
    <w:rsid w:val="4C4C38A8"/>
    <w:rsid w:val="4C5E1F4D"/>
    <w:rsid w:val="4C615F1E"/>
    <w:rsid w:val="4C7C3B4D"/>
    <w:rsid w:val="4C886ED2"/>
    <w:rsid w:val="4C984EA7"/>
    <w:rsid w:val="4C9E2355"/>
    <w:rsid w:val="4CA44A2D"/>
    <w:rsid w:val="4CA8100D"/>
    <w:rsid w:val="4CB51EE9"/>
    <w:rsid w:val="4CC75B84"/>
    <w:rsid w:val="4CD07E69"/>
    <w:rsid w:val="4CDA5BD4"/>
    <w:rsid w:val="4CE267C2"/>
    <w:rsid w:val="4CE509A0"/>
    <w:rsid w:val="4CEA7A83"/>
    <w:rsid w:val="4CFF6C87"/>
    <w:rsid w:val="4D0703EA"/>
    <w:rsid w:val="4D1458A4"/>
    <w:rsid w:val="4D197F35"/>
    <w:rsid w:val="4D1F2043"/>
    <w:rsid w:val="4D2235F5"/>
    <w:rsid w:val="4D282079"/>
    <w:rsid w:val="4D3F074B"/>
    <w:rsid w:val="4D416916"/>
    <w:rsid w:val="4D4E654F"/>
    <w:rsid w:val="4D606E5A"/>
    <w:rsid w:val="4D615950"/>
    <w:rsid w:val="4D6F2EE1"/>
    <w:rsid w:val="4D7016FF"/>
    <w:rsid w:val="4D727AA3"/>
    <w:rsid w:val="4D795C85"/>
    <w:rsid w:val="4DA03510"/>
    <w:rsid w:val="4DA10C16"/>
    <w:rsid w:val="4DA141E3"/>
    <w:rsid w:val="4DA45A66"/>
    <w:rsid w:val="4DA53CD0"/>
    <w:rsid w:val="4DA96BFD"/>
    <w:rsid w:val="4DAF2CCC"/>
    <w:rsid w:val="4DB86423"/>
    <w:rsid w:val="4DC24A46"/>
    <w:rsid w:val="4DC51C35"/>
    <w:rsid w:val="4DC54251"/>
    <w:rsid w:val="4DCD737A"/>
    <w:rsid w:val="4DD70B17"/>
    <w:rsid w:val="4DDE11E8"/>
    <w:rsid w:val="4DE23E03"/>
    <w:rsid w:val="4DEB108C"/>
    <w:rsid w:val="4DF33D78"/>
    <w:rsid w:val="4DF96BDB"/>
    <w:rsid w:val="4DFE2C5D"/>
    <w:rsid w:val="4E002C15"/>
    <w:rsid w:val="4E006347"/>
    <w:rsid w:val="4E046E63"/>
    <w:rsid w:val="4E0848C5"/>
    <w:rsid w:val="4E0908D3"/>
    <w:rsid w:val="4E097742"/>
    <w:rsid w:val="4E1226A0"/>
    <w:rsid w:val="4E3109A1"/>
    <w:rsid w:val="4E31193C"/>
    <w:rsid w:val="4E3302B7"/>
    <w:rsid w:val="4E3F3ABC"/>
    <w:rsid w:val="4E4045D5"/>
    <w:rsid w:val="4E4B1772"/>
    <w:rsid w:val="4E4E47F1"/>
    <w:rsid w:val="4E52094C"/>
    <w:rsid w:val="4E59044C"/>
    <w:rsid w:val="4E5A53E4"/>
    <w:rsid w:val="4E5B30D7"/>
    <w:rsid w:val="4E651D45"/>
    <w:rsid w:val="4E776B60"/>
    <w:rsid w:val="4E7E237D"/>
    <w:rsid w:val="4E803B08"/>
    <w:rsid w:val="4E855974"/>
    <w:rsid w:val="4E8D5255"/>
    <w:rsid w:val="4E905B0F"/>
    <w:rsid w:val="4E9145B3"/>
    <w:rsid w:val="4EAF49B6"/>
    <w:rsid w:val="4EB164E3"/>
    <w:rsid w:val="4EB73672"/>
    <w:rsid w:val="4EBD621F"/>
    <w:rsid w:val="4EC44398"/>
    <w:rsid w:val="4ECB342C"/>
    <w:rsid w:val="4ECC2835"/>
    <w:rsid w:val="4ED549C4"/>
    <w:rsid w:val="4EE04722"/>
    <w:rsid w:val="4EE659CE"/>
    <w:rsid w:val="4EF076D4"/>
    <w:rsid w:val="4EFB430A"/>
    <w:rsid w:val="4EFD35C3"/>
    <w:rsid w:val="4F054999"/>
    <w:rsid w:val="4F0562C2"/>
    <w:rsid w:val="4F072AC9"/>
    <w:rsid w:val="4F1367D6"/>
    <w:rsid w:val="4F1D1FD9"/>
    <w:rsid w:val="4F1D311B"/>
    <w:rsid w:val="4F1D62DA"/>
    <w:rsid w:val="4F317ACA"/>
    <w:rsid w:val="4F48160A"/>
    <w:rsid w:val="4F4B31C9"/>
    <w:rsid w:val="4F6374A7"/>
    <w:rsid w:val="4F6732F3"/>
    <w:rsid w:val="4F711867"/>
    <w:rsid w:val="4F752534"/>
    <w:rsid w:val="4FB71328"/>
    <w:rsid w:val="4FC227FF"/>
    <w:rsid w:val="4FC3154E"/>
    <w:rsid w:val="4FC705D8"/>
    <w:rsid w:val="4FD43982"/>
    <w:rsid w:val="4FD64AB5"/>
    <w:rsid w:val="4FDD2CE8"/>
    <w:rsid w:val="4FE31149"/>
    <w:rsid w:val="4FE502D1"/>
    <w:rsid w:val="4FEF4E92"/>
    <w:rsid w:val="4FF45AC8"/>
    <w:rsid w:val="4FF47F3A"/>
    <w:rsid w:val="4FF54ECA"/>
    <w:rsid w:val="4FFB1FE9"/>
    <w:rsid w:val="4FFD1430"/>
    <w:rsid w:val="50045719"/>
    <w:rsid w:val="50077408"/>
    <w:rsid w:val="50105937"/>
    <w:rsid w:val="5011257A"/>
    <w:rsid w:val="501234AD"/>
    <w:rsid w:val="501B1407"/>
    <w:rsid w:val="502928AE"/>
    <w:rsid w:val="502D5519"/>
    <w:rsid w:val="502D6141"/>
    <w:rsid w:val="502F652B"/>
    <w:rsid w:val="5030728F"/>
    <w:rsid w:val="50317183"/>
    <w:rsid w:val="50342534"/>
    <w:rsid w:val="503A00D3"/>
    <w:rsid w:val="503A48DB"/>
    <w:rsid w:val="503F10B7"/>
    <w:rsid w:val="50410F95"/>
    <w:rsid w:val="5042512F"/>
    <w:rsid w:val="50432079"/>
    <w:rsid w:val="50503FA6"/>
    <w:rsid w:val="50557AEB"/>
    <w:rsid w:val="505C206B"/>
    <w:rsid w:val="5060527C"/>
    <w:rsid w:val="5062718B"/>
    <w:rsid w:val="50676AA2"/>
    <w:rsid w:val="50751CA8"/>
    <w:rsid w:val="5077606D"/>
    <w:rsid w:val="50853834"/>
    <w:rsid w:val="50880CF0"/>
    <w:rsid w:val="50961CC8"/>
    <w:rsid w:val="509950B4"/>
    <w:rsid w:val="509A157F"/>
    <w:rsid w:val="50A51F3C"/>
    <w:rsid w:val="50B2546E"/>
    <w:rsid w:val="50BA5AFB"/>
    <w:rsid w:val="50BF1902"/>
    <w:rsid w:val="50C47178"/>
    <w:rsid w:val="50C50E18"/>
    <w:rsid w:val="50C640C5"/>
    <w:rsid w:val="50D84BBC"/>
    <w:rsid w:val="50DC45AE"/>
    <w:rsid w:val="50E40265"/>
    <w:rsid w:val="50F42063"/>
    <w:rsid w:val="50F80F09"/>
    <w:rsid w:val="50FC58DB"/>
    <w:rsid w:val="50FE7958"/>
    <w:rsid w:val="510B4A5A"/>
    <w:rsid w:val="510F3524"/>
    <w:rsid w:val="51166C34"/>
    <w:rsid w:val="51193A52"/>
    <w:rsid w:val="511E3F37"/>
    <w:rsid w:val="51205B58"/>
    <w:rsid w:val="51217A1A"/>
    <w:rsid w:val="514C7A34"/>
    <w:rsid w:val="51525CD2"/>
    <w:rsid w:val="51554E7A"/>
    <w:rsid w:val="515563B6"/>
    <w:rsid w:val="515A5929"/>
    <w:rsid w:val="515F3252"/>
    <w:rsid w:val="5169571E"/>
    <w:rsid w:val="51730A09"/>
    <w:rsid w:val="517E180D"/>
    <w:rsid w:val="51811E21"/>
    <w:rsid w:val="518973B4"/>
    <w:rsid w:val="519060F4"/>
    <w:rsid w:val="51953CC2"/>
    <w:rsid w:val="51A43CD9"/>
    <w:rsid w:val="51A56FCE"/>
    <w:rsid w:val="51AE2F1C"/>
    <w:rsid w:val="51B036EA"/>
    <w:rsid w:val="51B15BA9"/>
    <w:rsid w:val="51B37741"/>
    <w:rsid w:val="51C121A2"/>
    <w:rsid w:val="51CD207C"/>
    <w:rsid w:val="51CD2397"/>
    <w:rsid w:val="51D932A2"/>
    <w:rsid w:val="51E16D7C"/>
    <w:rsid w:val="51E57BA0"/>
    <w:rsid w:val="52014B25"/>
    <w:rsid w:val="520772C7"/>
    <w:rsid w:val="52084253"/>
    <w:rsid w:val="52176856"/>
    <w:rsid w:val="52206041"/>
    <w:rsid w:val="52371818"/>
    <w:rsid w:val="524356DB"/>
    <w:rsid w:val="524B7E61"/>
    <w:rsid w:val="524C4890"/>
    <w:rsid w:val="5262010C"/>
    <w:rsid w:val="526C7EFD"/>
    <w:rsid w:val="528B3E07"/>
    <w:rsid w:val="528B7A93"/>
    <w:rsid w:val="52915822"/>
    <w:rsid w:val="52956B79"/>
    <w:rsid w:val="52A15CC6"/>
    <w:rsid w:val="52A179E5"/>
    <w:rsid w:val="52AE79BD"/>
    <w:rsid w:val="52BC6F7A"/>
    <w:rsid w:val="52CC02BF"/>
    <w:rsid w:val="52CD6172"/>
    <w:rsid w:val="52CE42C5"/>
    <w:rsid w:val="52CF6312"/>
    <w:rsid w:val="52D05BB5"/>
    <w:rsid w:val="52DA30A9"/>
    <w:rsid w:val="52E253CF"/>
    <w:rsid w:val="52E449D1"/>
    <w:rsid w:val="52E623C9"/>
    <w:rsid w:val="52E93320"/>
    <w:rsid w:val="52EA03AC"/>
    <w:rsid w:val="52FB5399"/>
    <w:rsid w:val="52FE0606"/>
    <w:rsid w:val="530127E7"/>
    <w:rsid w:val="530D5856"/>
    <w:rsid w:val="531A4D5A"/>
    <w:rsid w:val="532234AF"/>
    <w:rsid w:val="53235379"/>
    <w:rsid w:val="53245744"/>
    <w:rsid w:val="532701E4"/>
    <w:rsid w:val="532B1B63"/>
    <w:rsid w:val="534375C8"/>
    <w:rsid w:val="534C7077"/>
    <w:rsid w:val="53734703"/>
    <w:rsid w:val="538452B2"/>
    <w:rsid w:val="53905F3A"/>
    <w:rsid w:val="539468FC"/>
    <w:rsid w:val="53BD41E4"/>
    <w:rsid w:val="53CA4A4A"/>
    <w:rsid w:val="53CD2501"/>
    <w:rsid w:val="53D958FE"/>
    <w:rsid w:val="53DE7FBA"/>
    <w:rsid w:val="53E028EB"/>
    <w:rsid w:val="53E23B91"/>
    <w:rsid w:val="53EB05EF"/>
    <w:rsid w:val="53F31525"/>
    <w:rsid w:val="53FD69DC"/>
    <w:rsid w:val="541A1748"/>
    <w:rsid w:val="541B3CBF"/>
    <w:rsid w:val="541B6513"/>
    <w:rsid w:val="541C095D"/>
    <w:rsid w:val="5426570F"/>
    <w:rsid w:val="542E7C2A"/>
    <w:rsid w:val="5430342A"/>
    <w:rsid w:val="54403E12"/>
    <w:rsid w:val="54416CCB"/>
    <w:rsid w:val="54416F7D"/>
    <w:rsid w:val="54533C59"/>
    <w:rsid w:val="54570880"/>
    <w:rsid w:val="546562D4"/>
    <w:rsid w:val="548B71A5"/>
    <w:rsid w:val="548C0D32"/>
    <w:rsid w:val="54977313"/>
    <w:rsid w:val="549A0F0C"/>
    <w:rsid w:val="54A610B7"/>
    <w:rsid w:val="54B73F7E"/>
    <w:rsid w:val="54BC2CA2"/>
    <w:rsid w:val="54BE5941"/>
    <w:rsid w:val="54CB5A1C"/>
    <w:rsid w:val="54DA7ED2"/>
    <w:rsid w:val="54E42862"/>
    <w:rsid w:val="54F350F9"/>
    <w:rsid w:val="550A6C24"/>
    <w:rsid w:val="55164469"/>
    <w:rsid w:val="55232E15"/>
    <w:rsid w:val="55236C31"/>
    <w:rsid w:val="552F5FE7"/>
    <w:rsid w:val="553035EB"/>
    <w:rsid w:val="55321CA0"/>
    <w:rsid w:val="553555EF"/>
    <w:rsid w:val="55376FF9"/>
    <w:rsid w:val="553F2FF0"/>
    <w:rsid w:val="55423D58"/>
    <w:rsid w:val="55424FA0"/>
    <w:rsid w:val="55540B9C"/>
    <w:rsid w:val="556F2413"/>
    <w:rsid w:val="55767E5E"/>
    <w:rsid w:val="557778E7"/>
    <w:rsid w:val="558346D6"/>
    <w:rsid w:val="5586138C"/>
    <w:rsid w:val="55884B4F"/>
    <w:rsid w:val="5590600B"/>
    <w:rsid w:val="55940FD3"/>
    <w:rsid w:val="55943DBC"/>
    <w:rsid w:val="55984946"/>
    <w:rsid w:val="55B3356C"/>
    <w:rsid w:val="55C71F8D"/>
    <w:rsid w:val="55CC0B00"/>
    <w:rsid w:val="55D96886"/>
    <w:rsid w:val="55DF11B4"/>
    <w:rsid w:val="55F14E85"/>
    <w:rsid w:val="55F84C84"/>
    <w:rsid w:val="56107682"/>
    <w:rsid w:val="561F05B3"/>
    <w:rsid w:val="562243A9"/>
    <w:rsid w:val="562B35E2"/>
    <w:rsid w:val="562E735A"/>
    <w:rsid w:val="56462AE7"/>
    <w:rsid w:val="564A2B08"/>
    <w:rsid w:val="565C3142"/>
    <w:rsid w:val="565D0F53"/>
    <w:rsid w:val="566523A5"/>
    <w:rsid w:val="566801E3"/>
    <w:rsid w:val="568567E9"/>
    <w:rsid w:val="568B4A80"/>
    <w:rsid w:val="568D19CD"/>
    <w:rsid w:val="56944DCD"/>
    <w:rsid w:val="5695673E"/>
    <w:rsid w:val="569672C0"/>
    <w:rsid w:val="56A07DDB"/>
    <w:rsid w:val="56A569CF"/>
    <w:rsid w:val="56A57229"/>
    <w:rsid w:val="56B357E4"/>
    <w:rsid w:val="56DE3E65"/>
    <w:rsid w:val="56E4187B"/>
    <w:rsid w:val="56ED171D"/>
    <w:rsid w:val="56F9285F"/>
    <w:rsid w:val="57020945"/>
    <w:rsid w:val="57034A82"/>
    <w:rsid w:val="57042898"/>
    <w:rsid w:val="571C3710"/>
    <w:rsid w:val="572257FD"/>
    <w:rsid w:val="57290783"/>
    <w:rsid w:val="57294D4B"/>
    <w:rsid w:val="572A1030"/>
    <w:rsid w:val="572C695E"/>
    <w:rsid w:val="57326766"/>
    <w:rsid w:val="57337C9F"/>
    <w:rsid w:val="573E2C9F"/>
    <w:rsid w:val="57463A32"/>
    <w:rsid w:val="574D7419"/>
    <w:rsid w:val="57570F60"/>
    <w:rsid w:val="57585708"/>
    <w:rsid w:val="575A3A46"/>
    <w:rsid w:val="57721501"/>
    <w:rsid w:val="577B33C7"/>
    <w:rsid w:val="577C2BEE"/>
    <w:rsid w:val="577D0EA6"/>
    <w:rsid w:val="57856D81"/>
    <w:rsid w:val="57906939"/>
    <w:rsid w:val="5791460E"/>
    <w:rsid w:val="57A05578"/>
    <w:rsid w:val="57AE3AE0"/>
    <w:rsid w:val="57C207AB"/>
    <w:rsid w:val="57D431DF"/>
    <w:rsid w:val="57D96409"/>
    <w:rsid w:val="57DE77A8"/>
    <w:rsid w:val="57E26B0B"/>
    <w:rsid w:val="57F02862"/>
    <w:rsid w:val="57FE7AC6"/>
    <w:rsid w:val="58044443"/>
    <w:rsid w:val="580649AF"/>
    <w:rsid w:val="58157348"/>
    <w:rsid w:val="5817026A"/>
    <w:rsid w:val="581B58BA"/>
    <w:rsid w:val="581E2A79"/>
    <w:rsid w:val="581F3AD6"/>
    <w:rsid w:val="58204954"/>
    <w:rsid w:val="582272C8"/>
    <w:rsid w:val="58363180"/>
    <w:rsid w:val="583A6CFC"/>
    <w:rsid w:val="58411364"/>
    <w:rsid w:val="58475377"/>
    <w:rsid w:val="584942BC"/>
    <w:rsid w:val="584F459D"/>
    <w:rsid w:val="58552F4E"/>
    <w:rsid w:val="58571CD7"/>
    <w:rsid w:val="585F5808"/>
    <w:rsid w:val="58781A45"/>
    <w:rsid w:val="58785276"/>
    <w:rsid w:val="587E0075"/>
    <w:rsid w:val="588C2409"/>
    <w:rsid w:val="588D69D2"/>
    <w:rsid w:val="589927BB"/>
    <w:rsid w:val="58A878E3"/>
    <w:rsid w:val="58B217BE"/>
    <w:rsid w:val="58B34995"/>
    <w:rsid w:val="58C47292"/>
    <w:rsid w:val="58C66FF9"/>
    <w:rsid w:val="58CB15DB"/>
    <w:rsid w:val="58CD4C52"/>
    <w:rsid w:val="58DE4FAE"/>
    <w:rsid w:val="58E776F8"/>
    <w:rsid w:val="58F004D5"/>
    <w:rsid w:val="58F344E4"/>
    <w:rsid w:val="58FB2269"/>
    <w:rsid w:val="59012E78"/>
    <w:rsid w:val="591B63BA"/>
    <w:rsid w:val="59207B53"/>
    <w:rsid w:val="59281288"/>
    <w:rsid w:val="592E547F"/>
    <w:rsid w:val="59340713"/>
    <w:rsid w:val="593674C5"/>
    <w:rsid w:val="59427903"/>
    <w:rsid w:val="594711C5"/>
    <w:rsid w:val="594B5867"/>
    <w:rsid w:val="5952594C"/>
    <w:rsid w:val="59577BA4"/>
    <w:rsid w:val="595C7E22"/>
    <w:rsid w:val="595E2531"/>
    <w:rsid w:val="596A2CF3"/>
    <w:rsid w:val="596A4FDE"/>
    <w:rsid w:val="5972014D"/>
    <w:rsid w:val="597467A0"/>
    <w:rsid w:val="59750828"/>
    <w:rsid w:val="597935BA"/>
    <w:rsid w:val="5986613A"/>
    <w:rsid w:val="59895F80"/>
    <w:rsid w:val="5990649D"/>
    <w:rsid w:val="599141EF"/>
    <w:rsid w:val="59983B91"/>
    <w:rsid w:val="599D5275"/>
    <w:rsid w:val="59B02154"/>
    <w:rsid w:val="59B03739"/>
    <w:rsid w:val="59C46770"/>
    <w:rsid w:val="59D2412D"/>
    <w:rsid w:val="59DA4499"/>
    <w:rsid w:val="59DC23EA"/>
    <w:rsid w:val="59DF5CDC"/>
    <w:rsid w:val="59E20868"/>
    <w:rsid w:val="59E8450B"/>
    <w:rsid w:val="59EE0EDA"/>
    <w:rsid w:val="59EE12F3"/>
    <w:rsid w:val="59F6248A"/>
    <w:rsid w:val="59F62AAA"/>
    <w:rsid w:val="59FC2731"/>
    <w:rsid w:val="5A1A061D"/>
    <w:rsid w:val="5A202985"/>
    <w:rsid w:val="5A217626"/>
    <w:rsid w:val="5A240D03"/>
    <w:rsid w:val="5A26742C"/>
    <w:rsid w:val="5A2720C6"/>
    <w:rsid w:val="5A351FE8"/>
    <w:rsid w:val="5A3D2FFE"/>
    <w:rsid w:val="5A491AE4"/>
    <w:rsid w:val="5A5175E5"/>
    <w:rsid w:val="5A556F79"/>
    <w:rsid w:val="5A58538F"/>
    <w:rsid w:val="5A5A42F7"/>
    <w:rsid w:val="5A607048"/>
    <w:rsid w:val="5A755E45"/>
    <w:rsid w:val="5A7C407A"/>
    <w:rsid w:val="5A864117"/>
    <w:rsid w:val="5A87451C"/>
    <w:rsid w:val="5A8C73BE"/>
    <w:rsid w:val="5AA07DF7"/>
    <w:rsid w:val="5AA73A50"/>
    <w:rsid w:val="5AA824D5"/>
    <w:rsid w:val="5AAC2AEC"/>
    <w:rsid w:val="5AB53830"/>
    <w:rsid w:val="5ABF3D87"/>
    <w:rsid w:val="5AC14CEC"/>
    <w:rsid w:val="5ACC5445"/>
    <w:rsid w:val="5AD72B06"/>
    <w:rsid w:val="5AE10467"/>
    <w:rsid w:val="5AF060EB"/>
    <w:rsid w:val="5AF84F57"/>
    <w:rsid w:val="5B0C2A3E"/>
    <w:rsid w:val="5B1015E4"/>
    <w:rsid w:val="5B230DAF"/>
    <w:rsid w:val="5B2C5C2C"/>
    <w:rsid w:val="5B2D161D"/>
    <w:rsid w:val="5B2F7C6F"/>
    <w:rsid w:val="5B3A270A"/>
    <w:rsid w:val="5B411806"/>
    <w:rsid w:val="5B4167B0"/>
    <w:rsid w:val="5B443BF8"/>
    <w:rsid w:val="5B496CE2"/>
    <w:rsid w:val="5B4B45F6"/>
    <w:rsid w:val="5B4C21D0"/>
    <w:rsid w:val="5B5B5726"/>
    <w:rsid w:val="5B616C71"/>
    <w:rsid w:val="5B653C58"/>
    <w:rsid w:val="5B656838"/>
    <w:rsid w:val="5B6C195B"/>
    <w:rsid w:val="5B74310B"/>
    <w:rsid w:val="5B7C7BF8"/>
    <w:rsid w:val="5B891474"/>
    <w:rsid w:val="5B9639FB"/>
    <w:rsid w:val="5B9C7979"/>
    <w:rsid w:val="5B9D71B8"/>
    <w:rsid w:val="5BBD04F0"/>
    <w:rsid w:val="5BC607A9"/>
    <w:rsid w:val="5BD2207C"/>
    <w:rsid w:val="5BDA51EC"/>
    <w:rsid w:val="5BDB4FF1"/>
    <w:rsid w:val="5BE022D3"/>
    <w:rsid w:val="5BE30C6C"/>
    <w:rsid w:val="5BF22C43"/>
    <w:rsid w:val="5BF63E86"/>
    <w:rsid w:val="5BF96835"/>
    <w:rsid w:val="5C06084A"/>
    <w:rsid w:val="5C0C3581"/>
    <w:rsid w:val="5C1135D5"/>
    <w:rsid w:val="5C144066"/>
    <w:rsid w:val="5C1F2117"/>
    <w:rsid w:val="5C2B79F3"/>
    <w:rsid w:val="5C300909"/>
    <w:rsid w:val="5C38282B"/>
    <w:rsid w:val="5C3E0892"/>
    <w:rsid w:val="5C456DF6"/>
    <w:rsid w:val="5C5702A8"/>
    <w:rsid w:val="5C5A5B48"/>
    <w:rsid w:val="5C5D4784"/>
    <w:rsid w:val="5C603E75"/>
    <w:rsid w:val="5C63306A"/>
    <w:rsid w:val="5C6438FA"/>
    <w:rsid w:val="5C6932F0"/>
    <w:rsid w:val="5C6A34BC"/>
    <w:rsid w:val="5C6D68E4"/>
    <w:rsid w:val="5C705712"/>
    <w:rsid w:val="5C71025E"/>
    <w:rsid w:val="5C971C0C"/>
    <w:rsid w:val="5C994724"/>
    <w:rsid w:val="5C9B08C9"/>
    <w:rsid w:val="5CA123F9"/>
    <w:rsid w:val="5CB140B3"/>
    <w:rsid w:val="5CB62E26"/>
    <w:rsid w:val="5CBE34E1"/>
    <w:rsid w:val="5CBE7A29"/>
    <w:rsid w:val="5CC445F0"/>
    <w:rsid w:val="5CC47C9D"/>
    <w:rsid w:val="5CE47C90"/>
    <w:rsid w:val="5CEB2905"/>
    <w:rsid w:val="5CED67FE"/>
    <w:rsid w:val="5CF33568"/>
    <w:rsid w:val="5CF61F3B"/>
    <w:rsid w:val="5CFE7035"/>
    <w:rsid w:val="5D07568F"/>
    <w:rsid w:val="5D171D69"/>
    <w:rsid w:val="5D1A5E26"/>
    <w:rsid w:val="5D261A59"/>
    <w:rsid w:val="5D323AEA"/>
    <w:rsid w:val="5D332D2C"/>
    <w:rsid w:val="5D3551E6"/>
    <w:rsid w:val="5D44044D"/>
    <w:rsid w:val="5D445263"/>
    <w:rsid w:val="5D491667"/>
    <w:rsid w:val="5D541770"/>
    <w:rsid w:val="5D5D73E7"/>
    <w:rsid w:val="5D60244A"/>
    <w:rsid w:val="5D6033B6"/>
    <w:rsid w:val="5D6B7F4F"/>
    <w:rsid w:val="5D7C6826"/>
    <w:rsid w:val="5D85365D"/>
    <w:rsid w:val="5D857BE8"/>
    <w:rsid w:val="5D864674"/>
    <w:rsid w:val="5D8C604D"/>
    <w:rsid w:val="5D8D346F"/>
    <w:rsid w:val="5D91156E"/>
    <w:rsid w:val="5D98701B"/>
    <w:rsid w:val="5DAE2C7F"/>
    <w:rsid w:val="5DAE6AC7"/>
    <w:rsid w:val="5DAF45DA"/>
    <w:rsid w:val="5DB32D3E"/>
    <w:rsid w:val="5DB53910"/>
    <w:rsid w:val="5DB8621A"/>
    <w:rsid w:val="5DBA1999"/>
    <w:rsid w:val="5DC41B66"/>
    <w:rsid w:val="5DCA6D94"/>
    <w:rsid w:val="5DD27B91"/>
    <w:rsid w:val="5DD41762"/>
    <w:rsid w:val="5DD81C62"/>
    <w:rsid w:val="5DDD25C8"/>
    <w:rsid w:val="5DDF1ABD"/>
    <w:rsid w:val="5DE4559E"/>
    <w:rsid w:val="5DE53FF5"/>
    <w:rsid w:val="5DF41F37"/>
    <w:rsid w:val="5E017581"/>
    <w:rsid w:val="5E0F0022"/>
    <w:rsid w:val="5E270F71"/>
    <w:rsid w:val="5E2934B4"/>
    <w:rsid w:val="5E2E4B87"/>
    <w:rsid w:val="5E342B6D"/>
    <w:rsid w:val="5E3A4229"/>
    <w:rsid w:val="5E53189C"/>
    <w:rsid w:val="5E53658F"/>
    <w:rsid w:val="5E5B04D0"/>
    <w:rsid w:val="5E78635A"/>
    <w:rsid w:val="5E813F02"/>
    <w:rsid w:val="5E87189D"/>
    <w:rsid w:val="5E872F92"/>
    <w:rsid w:val="5E914493"/>
    <w:rsid w:val="5E972F16"/>
    <w:rsid w:val="5E976ED8"/>
    <w:rsid w:val="5E990F78"/>
    <w:rsid w:val="5EA800C0"/>
    <w:rsid w:val="5EAF2B72"/>
    <w:rsid w:val="5EB50648"/>
    <w:rsid w:val="5EC91B1D"/>
    <w:rsid w:val="5ECA5118"/>
    <w:rsid w:val="5ECC09B7"/>
    <w:rsid w:val="5ED25847"/>
    <w:rsid w:val="5ED77A07"/>
    <w:rsid w:val="5ED92F13"/>
    <w:rsid w:val="5EDE0263"/>
    <w:rsid w:val="5EE14FF5"/>
    <w:rsid w:val="5EEC3705"/>
    <w:rsid w:val="5EF00D4F"/>
    <w:rsid w:val="5EFE4F00"/>
    <w:rsid w:val="5F124BE7"/>
    <w:rsid w:val="5F1377EC"/>
    <w:rsid w:val="5F1717BC"/>
    <w:rsid w:val="5F343A72"/>
    <w:rsid w:val="5F38725D"/>
    <w:rsid w:val="5F3C7E24"/>
    <w:rsid w:val="5F4442C9"/>
    <w:rsid w:val="5F4C394A"/>
    <w:rsid w:val="5F51027E"/>
    <w:rsid w:val="5F51101C"/>
    <w:rsid w:val="5F6007F4"/>
    <w:rsid w:val="5F6059CB"/>
    <w:rsid w:val="5F620D37"/>
    <w:rsid w:val="5F7037A2"/>
    <w:rsid w:val="5F75482D"/>
    <w:rsid w:val="5F75587F"/>
    <w:rsid w:val="5F7F5C43"/>
    <w:rsid w:val="5F8166A4"/>
    <w:rsid w:val="5F8C3A23"/>
    <w:rsid w:val="5F9B1F2C"/>
    <w:rsid w:val="5F9E459B"/>
    <w:rsid w:val="5FA424BA"/>
    <w:rsid w:val="5FA63438"/>
    <w:rsid w:val="5FA87D47"/>
    <w:rsid w:val="5FB401DA"/>
    <w:rsid w:val="5FBA0344"/>
    <w:rsid w:val="5FCD49C4"/>
    <w:rsid w:val="5FD03913"/>
    <w:rsid w:val="5FD162D4"/>
    <w:rsid w:val="5FF4483D"/>
    <w:rsid w:val="600E3B5E"/>
    <w:rsid w:val="600F6AB2"/>
    <w:rsid w:val="60102CB7"/>
    <w:rsid w:val="6018247A"/>
    <w:rsid w:val="60197A08"/>
    <w:rsid w:val="60231995"/>
    <w:rsid w:val="602E1EB2"/>
    <w:rsid w:val="6033568F"/>
    <w:rsid w:val="60445A67"/>
    <w:rsid w:val="60493036"/>
    <w:rsid w:val="60591795"/>
    <w:rsid w:val="605A3063"/>
    <w:rsid w:val="605B5C4F"/>
    <w:rsid w:val="605F33BD"/>
    <w:rsid w:val="60604FDE"/>
    <w:rsid w:val="60683330"/>
    <w:rsid w:val="60777806"/>
    <w:rsid w:val="607900A8"/>
    <w:rsid w:val="607B703C"/>
    <w:rsid w:val="608355C7"/>
    <w:rsid w:val="60855DB8"/>
    <w:rsid w:val="608B107D"/>
    <w:rsid w:val="608B46A5"/>
    <w:rsid w:val="608C2E12"/>
    <w:rsid w:val="609A0AD7"/>
    <w:rsid w:val="60A375E8"/>
    <w:rsid w:val="60A70117"/>
    <w:rsid w:val="60B01868"/>
    <w:rsid w:val="60B35A83"/>
    <w:rsid w:val="60B71E47"/>
    <w:rsid w:val="60C360D4"/>
    <w:rsid w:val="60C9609B"/>
    <w:rsid w:val="60C978BE"/>
    <w:rsid w:val="60D95F2E"/>
    <w:rsid w:val="60DD021D"/>
    <w:rsid w:val="60E807DF"/>
    <w:rsid w:val="60E87CA6"/>
    <w:rsid w:val="60F14250"/>
    <w:rsid w:val="60F46E3D"/>
    <w:rsid w:val="60F80181"/>
    <w:rsid w:val="60FF1B6F"/>
    <w:rsid w:val="61073ED8"/>
    <w:rsid w:val="61137509"/>
    <w:rsid w:val="61264411"/>
    <w:rsid w:val="61281B60"/>
    <w:rsid w:val="612843E7"/>
    <w:rsid w:val="61357B04"/>
    <w:rsid w:val="613B01F6"/>
    <w:rsid w:val="614219B1"/>
    <w:rsid w:val="615D11C7"/>
    <w:rsid w:val="615E355D"/>
    <w:rsid w:val="616618BA"/>
    <w:rsid w:val="6166555B"/>
    <w:rsid w:val="61697CF4"/>
    <w:rsid w:val="616F2670"/>
    <w:rsid w:val="61732E43"/>
    <w:rsid w:val="61744A02"/>
    <w:rsid w:val="61771AB8"/>
    <w:rsid w:val="61782DD7"/>
    <w:rsid w:val="61921279"/>
    <w:rsid w:val="61962A3E"/>
    <w:rsid w:val="61AB48BD"/>
    <w:rsid w:val="61B73A48"/>
    <w:rsid w:val="61BE0663"/>
    <w:rsid w:val="61E74168"/>
    <w:rsid w:val="61EB72D6"/>
    <w:rsid w:val="61ED0122"/>
    <w:rsid w:val="61F12946"/>
    <w:rsid w:val="61F31371"/>
    <w:rsid w:val="62006E74"/>
    <w:rsid w:val="621253CE"/>
    <w:rsid w:val="621A21E8"/>
    <w:rsid w:val="621A2FB8"/>
    <w:rsid w:val="62272324"/>
    <w:rsid w:val="62280AF5"/>
    <w:rsid w:val="622A53B1"/>
    <w:rsid w:val="62325164"/>
    <w:rsid w:val="62331292"/>
    <w:rsid w:val="623A6E49"/>
    <w:rsid w:val="623C2F29"/>
    <w:rsid w:val="623E4635"/>
    <w:rsid w:val="625C79B1"/>
    <w:rsid w:val="62633375"/>
    <w:rsid w:val="626351AA"/>
    <w:rsid w:val="62654984"/>
    <w:rsid w:val="627629E4"/>
    <w:rsid w:val="629232E7"/>
    <w:rsid w:val="62985672"/>
    <w:rsid w:val="629C3389"/>
    <w:rsid w:val="629D3E9A"/>
    <w:rsid w:val="62BC2E9C"/>
    <w:rsid w:val="62DC77D2"/>
    <w:rsid w:val="62DD1584"/>
    <w:rsid w:val="62DE6DBE"/>
    <w:rsid w:val="62EB242A"/>
    <w:rsid w:val="62EE456F"/>
    <w:rsid w:val="62F02909"/>
    <w:rsid w:val="62F07DE6"/>
    <w:rsid w:val="62F805E8"/>
    <w:rsid w:val="63112B66"/>
    <w:rsid w:val="631A16CA"/>
    <w:rsid w:val="631F6CEE"/>
    <w:rsid w:val="633176A7"/>
    <w:rsid w:val="6339691A"/>
    <w:rsid w:val="63493FFC"/>
    <w:rsid w:val="634A6783"/>
    <w:rsid w:val="634B6267"/>
    <w:rsid w:val="6357789D"/>
    <w:rsid w:val="63584331"/>
    <w:rsid w:val="635A0E10"/>
    <w:rsid w:val="635F4734"/>
    <w:rsid w:val="63650381"/>
    <w:rsid w:val="63717F54"/>
    <w:rsid w:val="6375320B"/>
    <w:rsid w:val="637F3375"/>
    <w:rsid w:val="638704ED"/>
    <w:rsid w:val="638B59EC"/>
    <w:rsid w:val="638C3393"/>
    <w:rsid w:val="639E0393"/>
    <w:rsid w:val="63A56B5F"/>
    <w:rsid w:val="63AC0361"/>
    <w:rsid w:val="63AE4633"/>
    <w:rsid w:val="63B96078"/>
    <w:rsid w:val="63BF588F"/>
    <w:rsid w:val="63C86B8F"/>
    <w:rsid w:val="63CA23FA"/>
    <w:rsid w:val="63D30C57"/>
    <w:rsid w:val="63DB139C"/>
    <w:rsid w:val="63E042C0"/>
    <w:rsid w:val="63F11569"/>
    <w:rsid w:val="63F353C5"/>
    <w:rsid w:val="63FC19D6"/>
    <w:rsid w:val="640F69C7"/>
    <w:rsid w:val="641720F7"/>
    <w:rsid w:val="64214410"/>
    <w:rsid w:val="64261A15"/>
    <w:rsid w:val="642A7B66"/>
    <w:rsid w:val="64303D19"/>
    <w:rsid w:val="643736AF"/>
    <w:rsid w:val="6446160E"/>
    <w:rsid w:val="6446756E"/>
    <w:rsid w:val="6455542C"/>
    <w:rsid w:val="645A77BC"/>
    <w:rsid w:val="64756AAA"/>
    <w:rsid w:val="6476579A"/>
    <w:rsid w:val="64783CCD"/>
    <w:rsid w:val="64792C30"/>
    <w:rsid w:val="647F5F70"/>
    <w:rsid w:val="64847183"/>
    <w:rsid w:val="64854F9D"/>
    <w:rsid w:val="648E5477"/>
    <w:rsid w:val="64A703C9"/>
    <w:rsid w:val="64A86079"/>
    <w:rsid w:val="64AA23E3"/>
    <w:rsid w:val="64AB3A26"/>
    <w:rsid w:val="64B82054"/>
    <w:rsid w:val="64BA0E07"/>
    <w:rsid w:val="64BA33FA"/>
    <w:rsid w:val="64BE381E"/>
    <w:rsid w:val="64E82201"/>
    <w:rsid w:val="64EC42CE"/>
    <w:rsid w:val="64FB0B11"/>
    <w:rsid w:val="65014AAA"/>
    <w:rsid w:val="650D2709"/>
    <w:rsid w:val="651252AF"/>
    <w:rsid w:val="651B6253"/>
    <w:rsid w:val="65216A92"/>
    <w:rsid w:val="652B02BB"/>
    <w:rsid w:val="652B1EC7"/>
    <w:rsid w:val="652C0E81"/>
    <w:rsid w:val="65351B26"/>
    <w:rsid w:val="653C153E"/>
    <w:rsid w:val="6552279A"/>
    <w:rsid w:val="65596146"/>
    <w:rsid w:val="655A7993"/>
    <w:rsid w:val="655B77C8"/>
    <w:rsid w:val="655C3BC0"/>
    <w:rsid w:val="65602836"/>
    <w:rsid w:val="657323B9"/>
    <w:rsid w:val="65764CED"/>
    <w:rsid w:val="657A107E"/>
    <w:rsid w:val="658143D7"/>
    <w:rsid w:val="65996119"/>
    <w:rsid w:val="65A16890"/>
    <w:rsid w:val="65B70706"/>
    <w:rsid w:val="65BD0626"/>
    <w:rsid w:val="65BE2DF2"/>
    <w:rsid w:val="65BF7544"/>
    <w:rsid w:val="65CA1CE6"/>
    <w:rsid w:val="65CE02EE"/>
    <w:rsid w:val="65D9262D"/>
    <w:rsid w:val="65E1227D"/>
    <w:rsid w:val="65ED4FB7"/>
    <w:rsid w:val="65F80F9E"/>
    <w:rsid w:val="65FF4D0E"/>
    <w:rsid w:val="6601225C"/>
    <w:rsid w:val="6605020F"/>
    <w:rsid w:val="660641FB"/>
    <w:rsid w:val="6608127C"/>
    <w:rsid w:val="66085CF3"/>
    <w:rsid w:val="660B6F62"/>
    <w:rsid w:val="66136759"/>
    <w:rsid w:val="66155E76"/>
    <w:rsid w:val="661749D4"/>
    <w:rsid w:val="66192998"/>
    <w:rsid w:val="663311E6"/>
    <w:rsid w:val="6634577B"/>
    <w:rsid w:val="663C4E25"/>
    <w:rsid w:val="66404312"/>
    <w:rsid w:val="6648418B"/>
    <w:rsid w:val="6655533D"/>
    <w:rsid w:val="665B3EFE"/>
    <w:rsid w:val="665E419F"/>
    <w:rsid w:val="66647EF9"/>
    <w:rsid w:val="66664997"/>
    <w:rsid w:val="66697743"/>
    <w:rsid w:val="666A348E"/>
    <w:rsid w:val="66752B96"/>
    <w:rsid w:val="667959A8"/>
    <w:rsid w:val="66981BB1"/>
    <w:rsid w:val="66A86E20"/>
    <w:rsid w:val="66B61579"/>
    <w:rsid w:val="66B6798A"/>
    <w:rsid w:val="66B739FF"/>
    <w:rsid w:val="66C0320D"/>
    <w:rsid w:val="66C7307B"/>
    <w:rsid w:val="66C84144"/>
    <w:rsid w:val="66CF2FDD"/>
    <w:rsid w:val="66D4638A"/>
    <w:rsid w:val="66E11CC6"/>
    <w:rsid w:val="66E56F42"/>
    <w:rsid w:val="66EF3298"/>
    <w:rsid w:val="66F15A83"/>
    <w:rsid w:val="66F94323"/>
    <w:rsid w:val="67024530"/>
    <w:rsid w:val="67075693"/>
    <w:rsid w:val="670A29EF"/>
    <w:rsid w:val="6713651E"/>
    <w:rsid w:val="67251063"/>
    <w:rsid w:val="67264898"/>
    <w:rsid w:val="672A5EFF"/>
    <w:rsid w:val="67382F56"/>
    <w:rsid w:val="67403E2D"/>
    <w:rsid w:val="6759632B"/>
    <w:rsid w:val="675E084E"/>
    <w:rsid w:val="675F41E7"/>
    <w:rsid w:val="67605C3C"/>
    <w:rsid w:val="67624DC6"/>
    <w:rsid w:val="67662F1C"/>
    <w:rsid w:val="67665B22"/>
    <w:rsid w:val="6777350E"/>
    <w:rsid w:val="67784B7C"/>
    <w:rsid w:val="67793E09"/>
    <w:rsid w:val="677A0B24"/>
    <w:rsid w:val="677D457D"/>
    <w:rsid w:val="678006E6"/>
    <w:rsid w:val="67986475"/>
    <w:rsid w:val="67A5523A"/>
    <w:rsid w:val="67AA5031"/>
    <w:rsid w:val="67AD05A7"/>
    <w:rsid w:val="67B22266"/>
    <w:rsid w:val="67BA7D56"/>
    <w:rsid w:val="67C27D14"/>
    <w:rsid w:val="67D4684B"/>
    <w:rsid w:val="67D63C23"/>
    <w:rsid w:val="67E012B3"/>
    <w:rsid w:val="67E17154"/>
    <w:rsid w:val="67E27F67"/>
    <w:rsid w:val="67E6412A"/>
    <w:rsid w:val="67E65439"/>
    <w:rsid w:val="67E7039A"/>
    <w:rsid w:val="68083FFD"/>
    <w:rsid w:val="68094E71"/>
    <w:rsid w:val="680A6CA2"/>
    <w:rsid w:val="680D0660"/>
    <w:rsid w:val="681154A5"/>
    <w:rsid w:val="681311FA"/>
    <w:rsid w:val="68132166"/>
    <w:rsid w:val="6814625D"/>
    <w:rsid w:val="681C2581"/>
    <w:rsid w:val="6825031B"/>
    <w:rsid w:val="6826183C"/>
    <w:rsid w:val="683204A7"/>
    <w:rsid w:val="68341B84"/>
    <w:rsid w:val="683D6B0A"/>
    <w:rsid w:val="684F4C91"/>
    <w:rsid w:val="68571CBD"/>
    <w:rsid w:val="685A6624"/>
    <w:rsid w:val="685D7F4E"/>
    <w:rsid w:val="68635FEC"/>
    <w:rsid w:val="68962AC3"/>
    <w:rsid w:val="68BD62C5"/>
    <w:rsid w:val="68C26118"/>
    <w:rsid w:val="68C40FBC"/>
    <w:rsid w:val="68C707D9"/>
    <w:rsid w:val="68C842B7"/>
    <w:rsid w:val="68CA653E"/>
    <w:rsid w:val="68D115C0"/>
    <w:rsid w:val="68D86779"/>
    <w:rsid w:val="68DA5D75"/>
    <w:rsid w:val="68FB3E50"/>
    <w:rsid w:val="69002FCE"/>
    <w:rsid w:val="69022342"/>
    <w:rsid w:val="69024368"/>
    <w:rsid w:val="69076945"/>
    <w:rsid w:val="690F60B1"/>
    <w:rsid w:val="69104476"/>
    <w:rsid w:val="691707CF"/>
    <w:rsid w:val="6917713F"/>
    <w:rsid w:val="691A7446"/>
    <w:rsid w:val="69222A83"/>
    <w:rsid w:val="69271C97"/>
    <w:rsid w:val="6929643D"/>
    <w:rsid w:val="692D0FC0"/>
    <w:rsid w:val="692F3CD0"/>
    <w:rsid w:val="693E285D"/>
    <w:rsid w:val="693F330A"/>
    <w:rsid w:val="69517D4F"/>
    <w:rsid w:val="695B4DE0"/>
    <w:rsid w:val="695F022D"/>
    <w:rsid w:val="696228B8"/>
    <w:rsid w:val="69784E06"/>
    <w:rsid w:val="697B7043"/>
    <w:rsid w:val="697E1769"/>
    <w:rsid w:val="6981162F"/>
    <w:rsid w:val="698C5947"/>
    <w:rsid w:val="69971F97"/>
    <w:rsid w:val="69A3703D"/>
    <w:rsid w:val="69A75973"/>
    <w:rsid w:val="69AF0E34"/>
    <w:rsid w:val="69B06215"/>
    <w:rsid w:val="69B327EB"/>
    <w:rsid w:val="69CD09A5"/>
    <w:rsid w:val="69D2338B"/>
    <w:rsid w:val="69DB494D"/>
    <w:rsid w:val="69DE07A1"/>
    <w:rsid w:val="69DE657C"/>
    <w:rsid w:val="69E75D29"/>
    <w:rsid w:val="69F17425"/>
    <w:rsid w:val="69FC47F3"/>
    <w:rsid w:val="69FE10C4"/>
    <w:rsid w:val="6A083F88"/>
    <w:rsid w:val="6A0A1964"/>
    <w:rsid w:val="6A0F280D"/>
    <w:rsid w:val="6A1177EF"/>
    <w:rsid w:val="6A23020E"/>
    <w:rsid w:val="6A2316F8"/>
    <w:rsid w:val="6A2B1DB2"/>
    <w:rsid w:val="6A2B2A3C"/>
    <w:rsid w:val="6A2F0C27"/>
    <w:rsid w:val="6A313894"/>
    <w:rsid w:val="6A313F0A"/>
    <w:rsid w:val="6A4337E7"/>
    <w:rsid w:val="6A454B8D"/>
    <w:rsid w:val="6A5C09EF"/>
    <w:rsid w:val="6A5F227F"/>
    <w:rsid w:val="6A621A7F"/>
    <w:rsid w:val="6A6624FB"/>
    <w:rsid w:val="6A750A2D"/>
    <w:rsid w:val="6A786067"/>
    <w:rsid w:val="6A7C5E35"/>
    <w:rsid w:val="6A831FAE"/>
    <w:rsid w:val="6A840087"/>
    <w:rsid w:val="6AAD4847"/>
    <w:rsid w:val="6ABB348D"/>
    <w:rsid w:val="6ABD2C22"/>
    <w:rsid w:val="6ABF0115"/>
    <w:rsid w:val="6AC516B2"/>
    <w:rsid w:val="6ACE555B"/>
    <w:rsid w:val="6ACE5A23"/>
    <w:rsid w:val="6AE118FE"/>
    <w:rsid w:val="6AE44E1B"/>
    <w:rsid w:val="6AED68E1"/>
    <w:rsid w:val="6AEE249E"/>
    <w:rsid w:val="6AF42FD9"/>
    <w:rsid w:val="6AF7357D"/>
    <w:rsid w:val="6B135FC7"/>
    <w:rsid w:val="6B180BAF"/>
    <w:rsid w:val="6B1D1AE4"/>
    <w:rsid w:val="6B2433F1"/>
    <w:rsid w:val="6B272118"/>
    <w:rsid w:val="6B350602"/>
    <w:rsid w:val="6B3E5626"/>
    <w:rsid w:val="6B447CB1"/>
    <w:rsid w:val="6B4D51E4"/>
    <w:rsid w:val="6B4D799D"/>
    <w:rsid w:val="6B4E7C84"/>
    <w:rsid w:val="6B4F399A"/>
    <w:rsid w:val="6B5573F1"/>
    <w:rsid w:val="6B574B89"/>
    <w:rsid w:val="6B5872F8"/>
    <w:rsid w:val="6B5F2916"/>
    <w:rsid w:val="6B6D19A9"/>
    <w:rsid w:val="6B772981"/>
    <w:rsid w:val="6B7B4E56"/>
    <w:rsid w:val="6B81686B"/>
    <w:rsid w:val="6B873526"/>
    <w:rsid w:val="6B8B6C28"/>
    <w:rsid w:val="6B8C713A"/>
    <w:rsid w:val="6B9A24BD"/>
    <w:rsid w:val="6BA7537F"/>
    <w:rsid w:val="6BA76DA4"/>
    <w:rsid w:val="6BA836C2"/>
    <w:rsid w:val="6BAF5DC7"/>
    <w:rsid w:val="6BB344F0"/>
    <w:rsid w:val="6BB37374"/>
    <w:rsid w:val="6BBD5295"/>
    <w:rsid w:val="6BC70C80"/>
    <w:rsid w:val="6BCA2402"/>
    <w:rsid w:val="6BCD4A8F"/>
    <w:rsid w:val="6BD261A0"/>
    <w:rsid w:val="6BE372F1"/>
    <w:rsid w:val="6BE64A40"/>
    <w:rsid w:val="6BEF47B1"/>
    <w:rsid w:val="6BF25DAC"/>
    <w:rsid w:val="6BF81AC4"/>
    <w:rsid w:val="6BFA1166"/>
    <w:rsid w:val="6BFC3FE0"/>
    <w:rsid w:val="6BFE7BB3"/>
    <w:rsid w:val="6BFF7BAA"/>
    <w:rsid w:val="6C1471B3"/>
    <w:rsid w:val="6C1F3906"/>
    <w:rsid w:val="6C327BBD"/>
    <w:rsid w:val="6C3830A8"/>
    <w:rsid w:val="6C392AFC"/>
    <w:rsid w:val="6C3F5E51"/>
    <w:rsid w:val="6C497D26"/>
    <w:rsid w:val="6C4A7712"/>
    <w:rsid w:val="6C4F0794"/>
    <w:rsid w:val="6C4F5BD4"/>
    <w:rsid w:val="6C580421"/>
    <w:rsid w:val="6C603481"/>
    <w:rsid w:val="6C646DDF"/>
    <w:rsid w:val="6C66060B"/>
    <w:rsid w:val="6C69450E"/>
    <w:rsid w:val="6C7656CD"/>
    <w:rsid w:val="6C787490"/>
    <w:rsid w:val="6C823ADC"/>
    <w:rsid w:val="6C8304F0"/>
    <w:rsid w:val="6C897776"/>
    <w:rsid w:val="6C8B4C0A"/>
    <w:rsid w:val="6CA852EC"/>
    <w:rsid w:val="6CB31482"/>
    <w:rsid w:val="6CB51D1C"/>
    <w:rsid w:val="6CB84C24"/>
    <w:rsid w:val="6CBD0946"/>
    <w:rsid w:val="6CC22C17"/>
    <w:rsid w:val="6CE00A0E"/>
    <w:rsid w:val="6CE44BAF"/>
    <w:rsid w:val="6CE53991"/>
    <w:rsid w:val="6CFC3146"/>
    <w:rsid w:val="6D015572"/>
    <w:rsid w:val="6D0178CF"/>
    <w:rsid w:val="6D0476D1"/>
    <w:rsid w:val="6D140395"/>
    <w:rsid w:val="6D1663C2"/>
    <w:rsid w:val="6D185A38"/>
    <w:rsid w:val="6D284F31"/>
    <w:rsid w:val="6D3915B9"/>
    <w:rsid w:val="6D3A034E"/>
    <w:rsid w:val="6D3A3D25"/>
    <w:rsid w:val="6D3C3FB8"/>
    <w:rsid w:val="6D3F6CB1"/>
    <w:rsid w:val="6D536EC9"/>
    <w:rsid w:val="6D5638CF"/>
    <w:rsid w:val="6D6D1A06"/>
    <w:rsid w:val="6D754C22"/>
    <w:rsid w:val="6D7D5461"/>
    <w:rsid w:val="6D837015"/>
    <w:rsid w:val="6D8416F5"/>
    <w:rsid w:val="6D846ABC"/>
    <w:rsid w:val="6D93550C"/>
    <w:rsid w:val="6D93726F"/>
    <w:rsid w:val="6D957997"/>
    <w:rsid w:val="6D9C6B2C"/>
    <w:rsid w:val="6DA36900"/>
    <w:rsid w:val="6DB078F5"/>
    <w:rsid w:val="6DB97716"/>
    <w:rsid w:val="6DBD5513"/>
    <w:rsid w:val="6DBF21D3"/>
    <w:rsid w:val="6DC57F35"/>
    <w:rsid w:val="6DCE678C"/>
    <w:rsid w:val="6DD07850"/>
    <w:rsid w:val="6DD650B4"/>
    <w:rsid w:val="6DDD2D11"/>
    <w:rsid w:val="6DE01A53"/>
    <w:rsid w:val="6DE97C7B"/>
    <w:rsid w:val="6DEF2960"/>
    <w:rsid w:val="6DF31C42"/>
    <w:rsid w:val="6E107267"/>
    <w:rsid w:val="6E387F8E"/>
    <w:rsid w:val="6E3A1E6D"/>
    <w:rsid w:val="6E4C4FF9"/>
    <w:rsid w:val="6E4F6931"/>
    <w:rsid w:val="6E531358"/>
    <w:rsid w:val="6E5E5513"/>
    <w:rsid w:val="6E5F095F"/>
    <w:rsid w:val="6E710EBC"/>
    <w:rsid w:val="6E7A1FE1"/>
    <w:rsid w:val="6E842BB7"/>
    <w:rsid w:val="6E936BF5"/>
    <w:rsid w:val="6E9C78A4"/>
    <w:rsid w:val="6E9E644F"/>
    <w:rsid w:val="6EA07396"/>
    <w:rsid w:val="6EAD3725"/>
    <w:rsid w:val="6EB33908"/>
    <w:rsid w:val="6EBA192A"/>
    <w:rsid w:val="6EDE05D1"/>
    <w:rsid w:val="6EDF7C89"/>
    <w:rsid w:val="6EE6321D"/>
    <w:rsid w:val="6EF87334"/>
    <w:rsid w:val="6EF906DC"/>
    <w:rsid w:val="6EF91550"/>
    <w:rsid w:val="6F03757F"/>
    <w:rsid w:val="6F0F34CA"/>
    <w:rsid w:val="6F1465A6"/>
    <w:rsid w:val="6F1A2612"/>
    <w:rsid w:val="6F2B4BA0"/>
    <w:rsid w:val="6F371DF8"/>
    <w:rsid w:val="6F3D0D7A"/>
    <w:rsid w:val="6F413B1F"/>
    <w:rsid w:val="6F4F2628"/>
    <w:rsid w:val="6F6208DD"/>
    <w:rsid w:val="6F63575F"/>
    <w:rsid w:val="6F686DAE"/>
    <w:rsid w:val="6F81005D"/>
    <w:rsid w:val="6F8143D9"/>
    <w:rsid w:val="6F8931B9"/>
    <w:rsid w:val="6F8966FF"/>
    <w:rsid w:val="6F8A3EA0"/>
    <w:rsid w:val="6F8E595D"/>
    <w:rsid w:val="6F9461C5"/>
    <w:rsid w:val="6FB5198C"/>
    <w:rsid w:val="6FC26B47"/>
    <w:rsid w:val="6FCC35E0"/>
    <w:rsid w:val="6FCD0762"/>
    <w:rsid w:val="6FDF5106"/>
    <w:rsid w:val="6FE12380"/>
    <w:rsid w:val="6FEE2667"/>
    <w:rsid w:val="6FFA6678"/>
    <w:rsid w:val="70056DCF"/>
    <w:rsid w:val="70057A65"/>
    <w:rsid w:val="7009130E"/>
    <w:rsid w:val="70122247"/>
    <w:rsid w:val="7015323C"/>
    <w:rsid w:val="703114CC"/>
    <w:rsid w:val="703910B6"/>
    <w:rsid w:val="70420E82"/>
    <w:rsid w:val="704A2858"/>
    <w:rsid w:val="704E46C9"/>
    <w:rsid w:val="705755B2"/>
    <w:rsid w:val="705906C8"/>
    <w:rsid w:val="705D6E25"/>
    <w:rsid w:val="70614B01"/>
    <w:rsid w:val="706310FC"/>
    <w:rsid w:val="70674398"/>
    <w:rsid w:val="70693452"/>
    <w:rsid w:val="707C01ED"/>
    <w:rsid w:val="708D6801"/>
    <w:rsid w:val="708E5866"/>
    <w:rsid w:val="709E4B75"/>
    <w:rsid w:val="709F1D18"/>
    <w:rsid w:val="70AA7E45"/>
    <w:rsid w:val="70AC5EC3"/>
    <w:rsid w:val="70B230D6"/>
    <w:rsid w:val="70BB417E"/>
    <w:rsid w:val="70C42815"/>
    <w:rsid w:val="70C77B27"/>
    <w:rsid w:val="70CF3FCC"/>
    <w:rsid w:val="70D02C48"/>
    <w:rsid w:val="70DF2B91"/>
    <w:rsid w:val="70E44246"/>
    <w:rsid w:val="70EA7AA8"/>
    <w:rsid w:val="70F2718C"/>
    <w:rsid w:val="70F542DF"/>
    <w:rsid w:val="70FC647C"/>
    <w:rsid w:val="70FD3AC0"/>
    <w:rsid w:val="710E34BD"/>
    <w:rsid w:val="71113569"/>
    <w:rsid w:val="711411A9"/>
    <w:rsid w:val="71284ED0"/>
    <w:rsid w:val="71297BB5"/>
    <w:rsid w:val="713412A4"/>
    <w:rsid w:val="713512D9"/>
    <w:rsid w:val="713B002F"/>
    <w:rsid w:val="713E24A4"/>
    <w:rsid w:val="713E5D2F"/>
    <w:rsid w:val="713F5A04"/>
    <w:rsid w:val="714A4FF1"/>
    <w:rsid w:val="714E1E4E"/>
    <w:rsid w:val="71596708"/>
    <w:rsid w:val="715C4C2E"/>
    <w:rsid w:val="71676462"/>
    <w:rsid w:val="716864C0"/>
    <w:rsid w:val="716F2439"/>
    <w:rsid w:val="71721E24"/>
    <w:rsid w:val="71731374"/>
    <w:rsid w:val="71880373"/>
    <w:rsid w:val="71A12AF0"/>
    <w:rsid w:val="71B56E7B"/>
    <w:rsid w:val="71B67E8A"/>
    <w:rsid w:val="71BA5EBB"/>
    <w:rsid w:val="71D92B3C"/>
    <w:rsid w:val="71DC3675"/>
    <w:rsid w:val="71DE70CD"/>
    <w:rsid w:val="71E60F98"/>
    <w:rsid w:val="71EA0F33"/>
    <w:rsid w:val="71EB0722"/>
    <w:rsid w:val="71EB5841"/>
    <w:rsid w:val="71ED46EE"/>
    <w:rsid w:val="72036D8D"/>
    <w:rsid w:val="720908D2"/>
    <w:rsid w:val="72155B90"/>
    <w:rsid w:val="721F7105"/>
    <w:rsid w:val="72232A5C"/>
    <w:rsid w:val="7228368E"/>
    <w:rsid w:val="722E5633"/>
    <w:rsid w:val="722F550B"/>
    <w:rsid w:val="72387374"/>
    <w:rsid w:val="723E1647"/>
    <w:rsid w:val="72531B16"/>
    <w:rsid w:val="725335C8"/>
    <w:rsid w:val="725D18FF"/>
    <w:rsid w:val="7260364E"/>
    <w:rsid w:val="7263525F"/>
    <w:rsid w:val="727B78A3"/>
    <w:rsid w:val="72847239"/>
    <w:rsid w:val="728D1DDC"/>
    <w:rsid w:val="728E77A6"/>
    <w:rsid w:val="729228B8"/>
    <w:rsid w:val="72946915"/>
    <w:rsid w:val="72981518"/>
    <w:rsid w:val="729B5AF0"/>
    <w:rsid w:val="72A637F6"/>
    <w:rsid w:val="72C2298E"/>
    <w:rsid w:val="72E52B67"/>
    <w:rsid w:val="72F2498B"/>
    <w:rsid w:val="72F26821"/>
    <w:rsid w:val="72F61FA5"/>
    <w:rsid w:val="72FE6FD1"/>
    <w:rsid w:val="73070C7D"/>
    <w:rsid w:val="730814F2"/>
    <w:rsid w:val="73092A35"/>
    <w:rsid w:val="7310737E"/>
    <w:rsid w:val="731B0F40"/>
    <w:rsid w:val="732C2240"/>
    <w:rsid w:val="733D42E4"/>
    <w:rsid w:val="733F4909"/>
    <w:rsid w:val="73431E0C"/>
    <w:rsid w:val="734B19E7"/>
    <w:rsid w:val="735B39F1"/>
    <w:rsid w:val="735E0F66"/>
    <w:rsid w:val="73610258"/>
    <w:rsid w:val="73624A3D"/>
    <w:rsid w:val="7377339D"/>
    <w:rsid w:val="73794180"/>
    <w:rsid w:val="738776B2"/>
    <w:rsid w:val="739758B7"/>
    <w:rsid w:val="739A6726"/>
    <w:rsid w:val="73A13F50"/>
    <w:rsid w:val="73B51073"/>
    <w:rsid w:val="73B74761"/>
    <w:rsid w:val="73BF3DBD"/>
    <w:rsid w:val="73C57640"/>
    <w:rsid w:val="73DB323F"/>
    <w:rsid w:val="73DE7492"/>
    <w:rsid w:val="73E062B1"/>
    <w:rsid w:val="73E65E40"/>
    <w:rsid w:val="73EF07AD"/>
    <w:rsid w:val="73FA4F56"/>
    <w:rsid w:val="74015AA9"/>
    <w:rsid w:val="74060136"/>
    <w:rsid w:val="74067800"/>
    <w:rsid w:val="74100899"/>
    <w:rsid w:val="741401D6"/>
    <w:rsid w:val="74190D3B"/>
    <w:rsid w:val="74290FCE"/>
    <w:rsid w:val="742C0856"/>
    <w:rsid w:val="74372BD0"/>
    <w:rsid w:val="743F6253"/>
    <w:rsid w:val="7454179D"/>
    <w:rsid w:val="74633376"/>
    <w:rsid w:val="74656F78"/>
    <w:rsid w:val="746B215F"/>
    <w:rsid w:val="74711CE9"/>
    <w:rsid w:val="747204AA"/>
    <w:rsid w:val="748678DA"/>
    <w:rsid w:val="74892582"/>
    <w:rsid w:val="74892BC5"/>
    <w:rsid w:val="74935F73"/>
    <w:rsid w:val="749F0C3C"/>
    <w:rsid w:val="74A1101B"/>
    <w:rsid w:val="74AE60EF"/>
    <w:rsid w:val="74E22F04"/>
    <w:rsid w:val="74E25475"/>
    <w:rsid w:val="74E27B92"/>
    <w:rsid w:val="74E94C7E"/>
    <w:rsid w:val="74EC5C82"/>
    <w:rsid w:val="74F22A3F"/>
    <w:rsid w:val="74F55145"/>
    <w:rsid w:val="750352CB"/>
    <w:rsid w:val="750B5E16"/>
    <w:rsid w:val="750D3960"/>
    <w:rsid w:val="751C0503"/>
    <w:rsid w:val="751C7FCA"/>
    <w:rsid w:val="752314D1"/>
    <w:rsid w:val="75235F17"/>
    <w:rsid w:val="75272469"/>
    <w:rsid w:val="75285939"/>
    <w:rsid w:val="75315108"/>
    <w:rsid w:val="75334299"/>
    <w:rsid w:val="7536309A"/>
    <w:rsid w:val="75440EB2"/>
    <w:rsid w:val="75451A70"/>
    <w:rsid w:val="75484551"/>
    <w:rsid w:val="7549664B"/>
    <w:rsid w:val="75497567"/>
    <w:rsid w:val="754D39D8"/>
    <w:rsid w:val="75522F54"/>
    <w:rsid w:val="75527C07"/>
    <w:rsid w:val="75565339"/>
    <w:rsid w:val="755C60C8"/>
    <w:rsid w:val="756C28A9"/>
    <w:rsid w:val="756E346D"/>
    <w:rsid w:val="757145A0"/>
    <w:rsid w:val="75717FE5"/>
    <w:rsid w:val="75766939"/>
    <w:rsid w:val="75812E47"/>
    <w:rsid w:val="75827BBC"/>
    <w:rsid w:val="75856F89"/>
    <w:rsid w:val="758962FA"/>
    <w:rsid w:val="75985C6C"/>
    <w:rsid w:val="75BB791D"/>
    <w:rsid w:val="75C6577F"/>
    <w:rsid w:val="75CC7ABB"/>
    <w:rsid w:val="75D55081"/>
    <w:rsid w:val="75D752BA"/>
    <w:rsid w:val="75DD7B13"/>
    <w:rsid w:val="75DE34E6"/>
    <w:rsid w:val="75EA5967"/>
    <w:rsid w:val="75F6692D"/>
    <w:rsid w:val="75F91D24"/>
    <w:rsid w:val="76041682"/>
    <w:rsid w:val="760D7B0F"/>
    <w:rsid w:val="7616478C"/>
    <w:rsid w:val="762D70BC"/>
    <w:rsid w:val="76425C62"/>
    <w:rsid w:val="76501317"/>
    <w:rsid w:val="76652B9D"/>
    <w:rsid w:val="76662C59"/>
    <w:rsid w:val="766E4456"/>
    <w:rsid w:val="76763F19"/>
    <w:rsid w:val="76767DA1"/>
    <w:rsid w:val="767C7D3C"/>
    <w:rsid w:val="768F390B"/>
    <w:rsid w:val="76920CC0"/>
    <w:rsid w:val="769D7D7B"/>
    <w:rsid w:val="76AB3460"/>
    <w:rsid w:val="76B63D4C"/>
    <w:rsid w:val="76BA3CD7"/>
    <w:rsid w:val="76BB0CF2"/>
    <w:rsid w:val="76BB71CF"/>
    <w:rsid w:val="76BD7B4F"/>
    <w:rsid w:val="76BE41E1"/>
    <w:rsid w:val="76C47DEF"/>
    <w:rsid w:val="76C736A2"/>
    <w:rsid w:val="76CD541B"/>
    <w:rsid w:val="76DB5A18"/>
    <w:rsid w:val="76DF15C4"/>
    <w:rsid w:val="76E17F4D"/>
    <w:rsid w:val="76E25CA6"/>
    <w:rsid w:val="76E31BBD"/>
    <w:rsid w:val="76EC2724"/>
    <w:rsid w:val="76FE37F8"/>
    <w:rsid w:val="77027813"/>
    <w:rsid w:val="77047E8E"/>
    <w:rsid w:val="770B4A23"/>
    <w:rsid w:val="77163892"/>
    <w:rsid w:val="7720385C"/>
    <w:rsid w:val="772675F4"/>
    <w:rsid w:val="772D4475"/>
    <w:rsid w:val="773A1EA2"/>
    <w:rsid w:val="77510F08"/>
    <w:rsid w:val="77512DC1"/>
    <w:rsid w:val="77522C2F"/>
    <w:rsid w:val="775758F9"/>
    <w:rsid w:val="775A156A"/>
    <w:rsid w:val="775F6CD8"/>
    <w:rsid w:val="77724DF0"/>
    <w:rsid w:val="777400D0"/>
    <w:rsid w:val="7786047A"/>
    <w:rsid w:val="778A573A"/>
    <w:rsid w:val="77A523FF"/>
    <w:rsid w:val="77AD2705"/>
    <w:rsid w:val="77BD1F36"/>
    <w:rsid w:val="77BE21F9"/>
    <w:rsid w:val="77C03F2F"/>
    <w:rsid w:val="77D241C8"/>
    <w:rsid w:val="77D44AC1"/>
    <w:rsid w:val="77D81ABE"/>
    <w:rsid w:val="77D924C4"/>
    <w:rsid w:val="77E36C3F"/>
    <w:rsid w:val="77E97FC1"/>
    <w:rsid w:val="77F77C37"/>
    <w:rsid w:val="78006181"/>
    <w:rsid w:val="780517B7"/>
    <w:rsid w:val="780C5EFC"/>
    <w:rsid w:val="78114AE5"/>
    <w:rsid w:val="7819614D"/>
    <w:rsid w:val="782D4AE3"/>
    <w:rsid w:val="78395D9B"/>
    <w:rsid w:val="783A0F6A"/>
    <w:rsid w:val="784321E0"/>
    <w:rsid w:val="784F3DDB"/>
    <w:rsid w:val="787A3904"/>
    <w:rsid w:val="787E7B60"/>
    <w:rsid w:val="788C727F"/>
    <w:rsid w:val="788E5A7E"/>
    <w:rsid w:val="78903704"/>
    <w:rsid w:val="78960DDD"/>
    <w:rsid w:val="78977153"/>
    <w:rsid w:val="78A15696"/>
    <w:rsid w:val="78B13B38"/>
    <w:rsid w:val="78BA5E2B"/>
    <w:rsid w:val="78CC2D61"/>
    <w:rsid w:val="78D63A43"/>
    <w:rsid w:val="78DB7BFE"/>
    <w:rsid w:val="78DC7BAB"/>
    <w:rsid w:val="78DD32D6"/>
    <w:rsid w:val="78E7672D"/>
    <w:rsid w:val="78EC24A0"/>
    <w:rsid w:val="78F3212F"/>
    <w:rsid w:val="791C2E03"/>
    <w:rsid w:val="791F2DF2"/>
    <w:rsid w:val="792A23BD"/>
    <w:rsid w:val="792C211E"/>
    <w:rsid w:val="793E49E3"/>
    <w:rsid w:val="79460F3C"/>
    <w:rsid w:val="7956007A"/>
    <w:rsid w:val="795A2FD6"/>
    <w:rsid w:val="79671B91"/>
    <w:rsid w:val="79680B9C"/>
    <w:rsid w:val="79687D63"/>
    <w:rsid w:val="796D2C9D"/>
    <w:rsid w:val="79752C7B"/>
    <w:rsid w:val="797C3F17"/>
    <w:rsid w:val="7982554E"/>
    <w:rsid w:val="799D1207"/>
    <w:rsid w:val="79A31EE6"/>
    <w:rsid w:val="79A428D4"/>
    <w:rsid w:val="79A6145A"/>
    <w:rsid w:val="79A64887"/>
    <w:rsid w:val="79A77F60"/>
    <w:rsid w:val="79B111F5"/>
    <w:rsid w:val="79B508F0"/>
    <w:rsid w:val="79BA0C18"/>
    <w:rsid w:val="79C033FE"/>
    <w:rsid w:val="79C63362"/>
    <w:rsid w:val="79C94E49"/>
    <w:rsid w:val="79D66F37"/>
    <w:rsid w:val="79DB716B"/>
    <w:rsid w:val="79F25193"/>
    <w:rsid w:val="79F73C90"/>
    <w:rsid w:val="79FB3F63"/>
    <w:rsid w:val="79FF3432"/>
    <w:rsid w:val="7A001BE0"/>
    <w:rsid w:val="7A150AFF"/>
    <w:rsid w:val="7A1B67DF"/>
    <w:rsid w:val="7A22427B"/>
    <w:rsid w:val="7A227819"/>
    <w:rsid w:val="7A530B3A"/>
    <w:rsid w:val="7A552593"/>
    <w:rsid w:val="7A57467B"/>
    <w:rsid w:val="7A5C55A1"/>
    <w:rsid w:val="7A64061A"/>
    <w:rsid w:val="7A651D64"/>
    <w:rsid w:val="7A756566"/>
    <w:rsid w:val="7A800189"/>
    <w:rsid w:val="7A8045F5"/>
    <w:rsid w:val="7A820B44"/>
    <w:rsid w:val="7A8D027D"/>
    <w:rsid w:val="7A8E2FEF"/>
    <w:rsid w:val="7A9D380F"/>
    <w:rsid w:val="7AA67ADE"/>
    <w:rsid w:val="7AAC3694"/>
    <w:rsid w:val="7ABA6DBA"/>
    <w:rsid w:val="7ACC249D"/>
    <w:rsid w:val="7AD741A3"/>
    <w:rsid w:val="7AE66210"/>
    <w:rsid w:val="7AF00195"/>
    <w:rsid w:val="7AF76E61"/>
    <w:rsid w:val="7AF92EB0"/>
    <w:rsid w:val="7AFF0B2B"/>
    <w:rsid w:val="7B021824"/>
    <w:rsid w:val="7B0C1E5A"/>
    <w:rsid w:val="7B0D10C0"/>
    <w:rsid w:val="7B0D2A6D"/>
    <w:rsid w:val="7B0E5523"/>
    <w:rsid w:val="7B15043E"/>
    <w:rsid w:val="7B180F27"/>
    <w:rsid w:val="7B214CBD"/>
    <w:rsid w:val="7B234B5E"/>
    <w:rsid w:val="7B3A13DE"/>
    <w:rsid w:val="7B3A405F"/>
    <w:rsid w:val="7B3F7F2E"/>
    <w:rsid w:val="7B431913"/>
    <w:rsid w:val="7B541BB8"/>
    <w:rsid w:val="7B5C5D29"/>
    <w:rsid w:val="7B73281A"/>
    <w:rsid w:val="7B756DF5"/>
    <w:rsid w:val="7B77268E"/>
    <w:rsid w:val="7B7B1E20"/>
    <w:rsid w:val="7B843244"/>
    <w:rsid w:val="7B8F5E18"/>
    <w:rsid w:val="7B9058BC"/>
    <w:rsid w:val="7B960DDE"/>
    <w:rsid w:val="7B9C4924"/>
    <w:rsid w:val="7BAF0EE3"/>
    <w:rsid w:val="7BB0429E"/>
    <w:rsid w:val="7BC054B0"/>
    <w:rsid w:val="7BC07F09"/>
    <w:rsid w:val="7BC46FD2"/>
    <w:rsid w:val="7BC83CD7"/>
    <w:rsid w:val="7BCC2442"/>
    <w:rsid w:val="7BD04D53"/>
    <w:rsid w:val="7BD96942"/>
    <w:rsid w:val="7BE00434"/>
    <w:rsid w:val="7BE36087"/>
    <w:rsid w:val="7BE84AD2"/>
    <w:rsid w:val="7BEF62B2"/>
    <w:rsid w:val="7BF415AE"/>
    <w:rsid w:val="7BF73D2F"/>
    <w:rsid w:val="7C08170B"/>
    <w:rsid w:val="7C1F7BAB"/>
    <w:rsid w:val="7C2A2840"/>
    <w:rsid w:val="7C304EEB"/>
    <w:rsid w:val="7C305B3F"/>
    <w:rsid w:val="7C3217D7"/>
    <w:rsid w:val="7C326CEE"/>
    <w:rsid w:val="7C373640"/>
    <w:rsid w:val="7C4D7831"/>
    <w:rsid w:val="7C5857B1"/>
    <w:rsid w:val="7C5F71BD"/>
    <w:rsid w:val="7C663C2C"/>
    <w:rsid w:val="7C6D4737"/>
    <w:rsid w:val="7C6E6B6C"/>
    <w:rsid w:val="7C757939"/>
    <w:rsid w:val="7C7A2F7B"/>
    <w:rsid w:val="7C7C12BA"/>
    <w:rsid w:val="7C873101"/>
    <w:rsid w:val="7C8F61A2"/>
    <w:rsid w:val="7C91612A"/>
    <w:rsid w:val="7C921314"/>
    <w:rsid w:val="7C950A5E"/>
    <w:rsid w:val="7C9A74C4"/>
    <w:rsid w:val="7C9D0C4F"/>
    <w:rsid w:val="7C9E685D"/>
    <w:rsid w:val="7CA54729"/>
    <w:rsid w:val="7CAE2EA8"/>
    <w:rsid w:val="7CB5667E"/>
    <w:rsid w:val="7CB6010D"/>
    <w:rsid w:val="7CC41265"/>
    <w:rsid w:val="7CCB64D4"/>
    <w:rsid w:val="7CCE6E96"/>
    <w:rsid w:val="7CD52E00"/>
    <w:rsid w:val="7CD63F13"/>
    <w:rsid w:val="7CD713A8"/>
    <w:rsid w:val="7CE22216"/>
    <w:rsid w:val="7CFD39FC"/>
    <w:rsid w:val="7D092145"/>
    <w:rsid w:val="7D1D3E03"/>
    <w:rsid w:val="7D22186C"/>
    <w:rsid w:val="7D262E38"/>
    <w:rsid w:val="7D2655FD"/>
    <w:rsid w:val="7D276039"/>
    <w:rsid w:val="7D2F25C4"/>
    <w:rsid w:val="7D3C57BC"/>
    <w:rsid w:val="7D3D4ADD"/>
    <w:rsid w:val="7D42570D"/>
    <w:rsid w:val="7D580F2D"/>
    <w:rsid w:val="7D5F1423"/>
    <w:rsid w:val="7D662B33"/>
    <w:rsid w:val="7D66544A"/>
    <w:rsid w:val="7D754D27"/>
    <w:rsid w:val="7D762B06"/>
    <w:rsid w:val="7D7671DA"/>
    <w:rsid w:val="7D7E61AA"/>
    <w:rsid w:val="7D82040A"/>
    <w:rsid w:val="7D821C70"/>
    <w:rsid w:val="7D8747D7"/>
    <w:rsid w:val="7D8A516C"/>
    <w:rsid w:val="7D905277"/>
    <w:rsid w:val="7D97182C"/>
    <w:rsid w:val="7D9D3023"/>
    <w:rsid w:val="7DA307C9"/>
    <w:rsid w:val="7DA63E97"/>
    <w:rsid w:val="7DAC26B8"/>
    <w:rsid w:val="7DAD5E31"/>
    <w:rsid w:val="7DB1589C"/>
    <w:rsid w:val="7DBA2B0E"/>
    <w:rsid w:val="7DBB1D80"/>
    <w:rsid w:val="7DC746AD"/>
    <w:rsid w:val="7DD07383"/>
    <w:rsid w:val="7DDD46CA"/>
    <w:rsid w:val="7DDF5D42"/>
    <w:rsid w:val="7DF65E74"/>
    <w:rsid w:val="7DF72AFC"/>
    <w:rsid w:val="7E014F50"/>
    <w:rsid w:val="7E02744C"/>
    <w:rsid w:val="7E033C3D"/>
    <w:rsid w:val="7E0A0304"/>
    <w:rsid w:val="7E0F1472"/>
    <w:rsid w:val="7E203BAF"/>
    <w:rsid w:val="7E213B59"/>
    <w:rsid w:val="7E2812DB"/>
    <w:rsid w:val="7E2A7BDC"/>
    <w:rsid w:val="7E2F3CC3"/>
    <w:rsid w:val="7E384CFF"/>
    <w:rsid w:val="7E3E36CD"/>
    <w:rsid w:val="7E4B4126"/>
    <w:rsid w:val="7E531F46"/>
    <w:rsid w:val="7E561053"/>
    <w:rsid w:val="7E67417F"/>
    <w:rsid w:val="7E71415B"/>
    <w:rsid w:val="7E745FF4"/>
    <w:rsid w:val="7E756F30"/>
    <w:rsid w:val="7E797AFE"/>
    <w:rsid w:val="7E8078AA"/>
    <w:rsid w:val="7E864C88"/>
    <w:rsid w:val="7E8D3B31"/>
    <w:rsid w:val="7E952E20"/>
    <w:rsid w:val="7E9B7F5E"/>
    <w:rsid w:val="7EA34003"/>
    <w:rsid w:val="7EB56A82"/>
    <w:rsid w:val="7EB6591D"/>
    <w:rsid w:val="7EB86DA3"/>
    <w:rsid w:val="7EC03161"/>
    <w:rsid w:val="7EC9447E"/>
    <w:rsid w:val="7ED60DC1"/>
    <w:rsid w:val="7EDB388D"/>
    <w:rsid w:val="7EEC21DC"/>
    <w:rsid w:val="7EED7184"/>
    <w:rsid w:val="7EED7E8B"/>
    <w:rsid w:val="7EEE43AD"/>
    <w:rsid w:val="7EFB5414"/>
    <w:rsid w:val="7EFD4782"/>
    <w:rsid w:val="7F024B7B"/>
    <w:rsid w:val="7F07219C"/>
    <w:rsid w:val="7F0A2C52"/>
    <w:rsid w:val="7F4E2AAC"/>
    <w:rsid w:val="7F657166"/>
    <w:rsid w:val="7F6D5DBD"/>
    <w:rsid w:val="7F7F7361"/>
    <w:rsid w:val="7F8740C9"/>
    <w:rsid w:val="7F8A6D0C"/>
    <w:rsid w:val="7F8F028C"/>
    <w:rsid w:val="7F97573F"/>
    <w:rsid w:val="7F9937CA"/>
    <w:rsid w:val="7FB569C6"/>
    <w:rsid w:val="7FB87ED1"/>
    <w:rsid w:val="7FBA51F6"/>
    <w:rsid w:val="7FBA6520"/>
    <w:rsid w:val="7FBD6C55"/>
    <w:rsid w:val="7FBF54DE"/>
    <w:rsid w:val="7FC87968"/>
    <w:rsid w:val="7FDA048B"/>
    <w:rsid w:val="7FE1777B"/>
    <w:rsid w:val="7FE30D0F"/>
    <w:rsid w:val="7FE3113F"/>
    <w:rsid w:val="7FE621F8"/>
    <w:rsid w:val="7FE8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numPr>
        <w:ilvl w:val="0"/>
        <w:numId w:val="1"/>
      </w:numPr>
      <w:spacing w:before="340" w:after="330" w:line="578" w:lineRule="auto"/>
      <w:jc w:val="center"/>
      <w:outlineLvl w:val="0"/>
    </w:pPr>
    <w:rPr>
      <w:rFonts w:ascii="黑体" w:hAnsi="Times New Roman" w:eastAsia="黑体" w:cs="Times New Roman"/>
      <w:b/>
      <w:bCs/>
      <w:kern w:val="44"/>
      <w:sz w:val="44"/>
      <w:szCs w:val="44"/>
      <w:lang w:val="en-US" w:eastAsia="zh-CN" w:bidi="ar-SA"/>
    </w:rPr>
  </w:style>
  <w:style w:type="paragraph" w:styleId="4">
    <w:name w:val="heading 3"/>
    <w:basedOn w:val="1"/>
    <w:next w:val="1"/>
    <w:qFormat/>
    <w:uiPriority w:val="0"/>
    <w:pPr>
      <w:keepNext/>
      <w:keepLines/>
      <w:spacing w:before="260" w:beforeLines="0" w:after="260" w:afterLines="0" w:line="416" w:lineRule="auto"/>
      <w:outlineLvl w:val="2"/>
    </w:pPr>
    <w:rPr>
      <w:rFonts w:ascii="黑体" w:eastAsia="黑体"/>
      <w:b/>
      <w:bCs/>
      <w:sz w:val="32"/>
      <w:szCs w:val="32"/>
    </w:rPr>
  </w:style>
  <w:style w:type="paragraph" w:styleId="2">
    <w:name w:val="heading 4"/>
    <w:basedOn w:val="1"/>
    <w:next w:val="1"/>
    <w:qFormat/>
    <w:uiPriority w:val="0"/>
    <w:pPr>
      <w:keepNext/>
      <w:keepLines/>
      <w:numPr>
        <w:ilvl w:val="4"/>
        <w:numId w:val="1"/>
      </w:numPr>
      <w:spacing w:before="280" w:after="290" w:line="376" w:lineRule="auto"/>
      <w:outlineLvl w:val="3"/>
    </w:pPr>
    <w:rPr>
      <w:rFonts w:ascii="Arial" w:hAnsi="Arial" w:eastAsia="黑体"/>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widowControl/>
      <w:ind w:firstLine="420"/>
      <w:jc w:val="left"/>
    </w:pPr>
  </w:style>
  <w:style w:type="paragraph" w:styleId="6">
    <w:name w:val="annotation text"/>
    <w:basedOn w:val="1"/>
    <w:qFormat/>
    <w:uiPriority w:val="0"/>
    <w:pPr>
      <w:jc w:val="left"/>
    </w:pPr>
  </w:style>
  <w:style w:type="paragraph" w:styleId="7">
    <w:name w:val="Body Text"/>
    <w:basedOn w:val="1"/>
    <w:qFormat/>
    <w:uiPriority w:val="0"/>
    <w:pPr>
      <w:autoSpaceDE w:val="0"/>
      <w:autoSpaceDN w:val="0"/>
      <w:adjustRightInd w:val="0"/>
    </w:pPr>
    <w:rPr>
      <w:rFonts w:ascii="仿宋_GB2312" w:eastAsia="仿宋_GB2312"/>
      <w:kern w:val="0"/>
      <w:sz w:val="28"/>
      <w:szCs w:val="20"/>
    </w:rPr>
  </w:style>
  <w:style w:type="paragraph" w:styleId="8">
    <w:name w:val="Block Text"/>
    <w:basedOn w:val="1"/>
    <w:qFormat/>
    <w:uiPriority w:val="0"/>
    <w:pPr>
      <w:adjustRightInd w:val="0"/>
      <w:ind w:left="420" w:right="33"/>
      <w:jc w:val="left"/>
      <w:textAlignment w:val="baseline"/>
    </w:pPr>
    <w:rPr>
      <w:rFonts w:ascii="Times New Roman" w:hAnsi="Times New Roman" w:eastAsia="宋体" w:cs="Times New Roman"/>
      <w:kern w:val="0"/>
      <w:sz w:val="24"/>
      <w:szCs w:val="20"/>
    </w:rPr>
  </w:style>
  <w:style w:type="paragraph" w:styleId="9">
    <w:name w:val="Plain Text"/>
    <w:basedOn w:val="1"/>
    <w:qFormat/>
    <w:uiPriority w:val="0"/>
    <w:rPr>
      <w:rFonts w:ascii="宋体" w:hAnsi="Courier New"/>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ind w:left="359" w:leftChars="171" w:firstLine="359" w:firstLineChars="171"/>
    </w:pPr>
  </w:style>
  <w:style w:type="paragraph" w:styleId="13">
    <w:name w:val="Body Text 2"/>
    <w:basedOn w:val="1"/>
    <w:qFormat/>
    <w:uiPriority w:val="0"/>
    <w:pPr>
      <w:adjustRightInd w:val="0"/>
      <w:spacing w:after="20" w:afterLines="0" w:line="720" w:lineRule="auto"/>
      <w:ind w:firstLine="420"/>
      <w:textAlignment w:val="baseline"/>
    </w:pPr>
    <w:rPr>
      <w:sz w:val="30"/>
    </w:rPr>
  </w:style>
  <w:style w:type="paragraph" w:styleId="14">
    <w:name w:val="Normal (Web)"/>
    <w:basedOn w:val="1"/>
    <w:qFormat/>
    <w:uiPriority w:val="0"/>
    <w:pPr>
      <w:widowControl/>
      <w:adjustRightInd w:val="0"/>
      <w:spacing w:before="100" w:beforeLines="0" w:beforeAutospacing="1" w:after="100" w:afterLines="0" w:afterAutospacing="1" w:line="288" w:lineRule="auto"/>
      <w:ind w:firstLine="420"/>
      <w:jc w:val="left"/>
      <w:textAlignment w:val="baseline"/>
    </w:pPr>
    <w:rPr>
      <w:rFonts w:ascii="宋体" w:hAnsi="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qFormat/>
    <w:uiPriority w:val="0"/>
    <w:rPr>
      <w:color w:val="000000"/>
      <w:u w:val="none"/>
    </w:rPr>
  </w:style>
  <w:style w:type="character" w:styleId="20">
    <w:name w:val="Emphasis"/>
    <w:basedOn w:val="17"/>
    <w:qFormat/>
    <w:uiPriority w:val="0"/>
  </w:style>
  <w:style w:type="character" w:styleId="21">
    <w:name w:val="HTML Typewriter"/>
    <w:qFormat/>
    <w:uiPriority w:val="0"/>
    <w:rPr>
      <w:rFonts w:ascii="宋体" w:hAnsi="宋体" w:eastAsia="宋体" w:cs="宋体"/>
      <w:sz w:val="24"/>
      <w:szCs w:val="24"/>
    </w:rPr>
  </w:style>
  <w:style w:type="character" w:styleId="22">
    <w:name w:val="Hyperlink"/>
    <w:basedOn w:val="17"/>
    <w:qFormat/>
    <w:uiPriority w:val="0"/>
    <w:rPr>
      <w:color w:val="000000"/>
      <w:u w:val="none"/>
    </w:rPr>
  </w:style>
  <w:style w:type="character" w:styleId="23">
    <w:name w:val="HTML Code"/>
    <w:basedOn w:val="17"/>
    <w:qFormat/>
    <w:uiPriority w:val="0"/>
    <w:rPr>
      <w:rFonts w:ascii="Courier New" w:hAnsi="Courier New"/>
      <w:sz w:val="20"/>
    </w:rPr>
  </w:style>
  <w:style w:type="character" w:styleId="24">
    <w:name w:val="annotation reference"/>
    <w:qFormat/>
    <w:uiPriority w:val="0"/>
    <w:rPr>
      <w:sz w:val="21"/>
      <w:szCs w:val="21"/>
    </w:rPr>
  </w:style>
  <w:style w:type="character" w:customStyle="1" w:styleId="25">
    <w:name w:val="tit"/>
    <w:basedOn w:val="17"/>
    <w:qFormat/>
    <w:uiPriority w:val="0"/>
    <w:rPr>
      <w:color w:val="DB2200"/>
    </w:rPr>
  </w:style>
  <w:style w:type="character" w:customStyle="1" w:styleId="26">
    <w:name w:val="more6"/>
    <w:basedOn w:val="17"/>
    <w:qFormat/>
    <w:uiPriority w:val="0"/>
  </w:style>
  <w:style w:type="paragraph" w:styleId="27">
    <w:name w:val="List Paragraph"/>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2019-06-26T03:20:00Z</dcterms:created>
  <dc:creator>Administrator</dc:creator>
  <cp:lastModifiedBy>王乾</cp:lastModifiedBy>
  <cp:lastPrinted>2019-10-12T05:00:00Z</cp:lastPrinted>
  <dcterms:modified xsi:type="dcterms:W3CDTF">2019-11-25T03:24:42Z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