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8A5A8">
      <w:pPr>
        <w:rPr>
          <w:rFonts w:hint="default" w:asciiTheme="minorEastAsia" w:hAnsiTheme="minorEastAsia" w:eastAsiaTheme="minorEastAsia"/>
          <w:color w:val="auto"/>
          <w:sz w:val="24"/>
          <w:lang w:val="en-US" w:eastAsia="zh-CN"/>
        </w:rPr>
      </w:pPr>
      <w:bookmarkStart w:id="0" w:name="_Toc246996900"/>
      <w:bookmarkStart w:id="1" w:name="_Toc247085671"/>
      <w:bookmarkStart w:id="2" w:name="_Toc247096243"/>
      <w:bookmarkStart w:id="3" w:name="_Toc246996157"/>
      <w:bookmarkStart w:id="4" w:name="_Toc296602401"/>
      <w:bookmarkStart w:id="161" w:name="_GoBack"/>
      <w:r>
        <w:rPr>
          <w:rFonts w:hint="eastAsia" w:asciiTheme="minorEastAsia" w:hAnsiTheme="minorEastAsia" w:eastAsiaTheme="minorEastAsia"/>
          <w:color w:val="auto"/>
          <w:sz w:val="24"/>
        </w:rPr>
        <w:t>项目编号：采购计划-[2025]-00028号</w:t>
      </w:r>
      <w:r>
        <w:rPr>
          <w:rFonts w:hint="eastAsia" w:asciiTheme="minorEastAsia" w:hAnsiTheme="minorEastAsia" w:eastAsiaTheme="minorEastAsia"/>
          <w:color w:val="auto"/>
          <w:sz w:val="24"/>
          <w:lang w:val="en-US" w:eastAsia="zh-CN"/>
        </w:rPr>
        <w:t>-JLHY2025-GHY006-01</w:t>
      </w:r>
    </w:p>
    <w:p w14:paraId="315B1CC0">
      <w:pPr>
        <w:spacing w:line="400" w:lineRule="exact"/>
        <w:jc w:val="center"/>
        <w:rPr>
          <w:rFonts w:asciiTheme="minorEastAsia" w:hAnsiTheme="minorEastAsia" w:eastAsiaTheme="minorEastAsia"/>
          <w:color w:val="auto"/>
        </w:rPr>
      </w:pPr>
    </w:p>
    <w:p w14:paraId="5BEEBF94">
      <w:pPr>
        <w:spacing w:line="400" w:lineRule="exact"/>
        <w:jc w:val="center"/>
        <w:rPr>
          <w:rFonts w:asciiTheme="minorEastAsia" w:hAnsiTheme="minorEastAsia" w:eastAsiaTheme="minorEastAsia"/>
          <w:color w:val="auto"/>
        </w:rPr>
      </w:pPr>
    </w:p>
    <w:p w14:paraId="6FE15CF0">
      <w:pPr>
        <w:spacing w:line="400" w:lineRule="exact"/>
        <w:jc w:val="center"/>
        <w:rPr>
          <w:rFonts w:asciiTheme="minorEastAsia" w:hAnsiTheme="minorEastAsia" w:eastAsiaTheme="minorEastAsia"/>
          <w:color w:val="auto"/>
        </w:rPr>
      </w:pPr>
    </w:p>
    <w:p w14:paraId="7E6D832D">
      <w:pPr>
        <w:spacing w:line="360" w:lineRule="auto"/>
        <w:jc w:val="center"/>
        <w:rPr>
          <w:rFonts w:hint="eastAsia" w:asciiTheme="minorEastAsia" w:hAnsiTheme="minorEastAsia" w:eastAsiaTheme="minorEastAsia"/>
          <w:b/>
          <w:color w:val="auto"/>
          <w:sz w:val="48"/>
          <w:szCs w:val="36"/>
          <w:lang w:val="en-US" w:eastAsia="zh-CN"/>
        </w:rPr>
      </w:pPr>
      <w:r>
        <w:rPr>
          <w:rFonts w:hint="eastAsia" w:asciiTheme="minorEastAsia" w:hAnsiTheme="minorEastAsia" w:eastAsiaTheme="minorEastAsia"/>
          <w:b/>
          <w:color w:val="auto"/>
          <w:sz w:val="48"/>
          <w:szCs w:val="36"/>
          <w:lang w:eastAsia="zh-CN"/>
        </w:rPr>
        <w:t xml:space="preserve"> 2024年计划生育家庭特别扶助对象住院护理补贴保险项目二次</w:t>
      </w:r>
    </w:p>
    <w:p w14:paraId="78E356A5">
      <w:pPr>
        <w:spacing w:line="360" w:lineRule="auto"/>
        <w:jc w:val="center"/>
        <w:rPr>
          <w:rFonts w:asciiTheme="minorEastAsia" w:hAnsiTheme="minorEastAsia" w:eastAsiaTheme="minorEastAsia"/>
          <w:b/>
          <w:color w:val="auto"/>
          <w:sz w:val="44"/>
          <w:szCs w:val="32"/>
        </w:rPr>
      </w:pPr>
    </w:p>
    <w:p w14:paraId="2015564D">
      <w:pPr>
        <w:spacing w:line="360" w:lineRule="auto"/>
        <w:jc w:val="center"/>
        <w:rPr>
          <w:rFonts w:asciiTheme="minorEastAsia" w:hAnsiTheme="minorEastAsia" w:eastAsiaTheme="minorEastAsia"/>
          <w:color w:val="auto"/>
          <w:sz w:val="72"/>
          <w:szCs w:val="72"/>
        </w:rPr>
      </w:pPr>
      <w:r>
        <w:rPr>
          <w:rFonts w:hint="eastAsia" w:asciiTheme="minorEastAsia" w:hAnsiTheme="minorEastAsia" w:eastAsiaTheme="minorEastAsia"/>
          <w:color w:val="auto"/>
          <w:sz w:val="72"/>
          <w:szCs w:val="72"/>
        </w:rPr>
        <w:t>竞争性磋商文件</w:t>
      </w:r>
    </w:p>
    <w:p w14:paraId="74BA030B">
      <w:pPr>
        <w:spacing w:line="360" w:lineRule="auto"/>
        <w:jc w:val="center"/>
        <w:rPr>
          <w:rFonts w:asciiTheme="minorEastAsia" w:hAnsiTheme="minorEastAsia" w:eastAsiaTheme="minorEastAsia"/>
          <w:color w:val="auto"/>
        </w:rPr>
      </w:pPr>
    </w:p>
    <w:p w14:paraId="03461AD4">
      <w:pPr>
        <w:spacing w:line="400" w:lineRule="exact"/>
        <w:jc w:val="center"/>
        <w:rPr>
          <w:rFonts w:asciiTheme="minorEastAsia" w:hAnsiTheme="minorEastAsia" w:eastAsiaTheme="minorEastAsia"/>
          <w:color w:val="auto"/>
        </w:rPr>
      </w:pPr>
    </w:p>
    <w:p w14:paraId="0767A654">
      <w:pPr>
        <w:spacing w:line="400" w:lineRule="exact"/>
        <w:jc w:val="center"/>
        <w:rPr>
          <w:rFonts w:asciiTheme="minorEastAsia" w:hAnsiTheme="minorEastAsia" w:eastAsiaTheme="minorEastAsia"/>
          <w:color w:val="auto"/>
        </w:rPr>
      </w:pPr>
    </w:p>
    <w:p w14:paraId="11FCE633">
      <w:pPr>
        <w:spacing w:line="400" w:lineRule="exact"/>
        <w:jc w:val="center"/>
        <w:rPr>
          <w:rFonts w:asciiTheme="minorEastAsia" w:hAnsiTheme="minorEastAsia" w:eastAsiaTheme="minorEastAsia"/>
          <w:color w:val="auto"/>
        </w:rPr>
      </w:pPr>
    </w:p>
    <w:p w14:paraId="15B7FB23">
      <w:pPr>
        <w:spacing w:line="400" w:lineRule="exact"/>
        <w:jc w:val="center"/>
        <w:rPr>
          <w:rFonts w:asciiTheme="minorEastAsia" w:hAnsiTheme="minorEastAsia" w:eastAsiaTheme="minorEastAsia"/>
          <w:color w:val="auto"/>
        </w:rPr>
      </w:pPr>
    </w:p>
    <w:p w14:paraId="3DEC2BB9">
      <w:pPr>
        <w:spacing w:line="400" w:lineRule="exact"/>
        <w:jc w:val="center"/>
        <w:rPr>
          <w:rFonts w:asciiTheme="minorEastAsia" w:hAnsiTheme="minorEastAsia" w:eastAsiaTheme="minorEastAsia"/>
          <w:color w:val="auto"/>
        </w:rPr>
      </w:pPr>
    </w:p>
    <w:p w14:paraId="084E71ED">
      <w:pPr>
        <w:spacing w:line="400" w:lineRule="exact"/>
        <w:jc w:val="center"/>
        <w:rPr>
          <w:rFonts w:asciiTheme="minorEastAsia" w:hAnsiTheme="minorEastAsia" w:eastAsiaTheme="minorEastAsia"/>
          <w:color w:val="auto"/>
        </w:rPr>
      </w:pPr>
    </w:p>
    <w:p w14:paraId="58EB9DCF">
      <w:pPr>
        <w:spacing w:line="400" w:lineRule="exact"/>
        <w:jc w:val="center"/>
        <w:rPr>
          <w:rFonts w:asciiTheme="minorEastAsia" w:hAnsiTheme="minorEastAsia" w:eastAsiaTheme="minorEastAsia"/>
          <w:color w:val="auto"/>
        </w:rPr>
      </w:pPr>
    </w:p>
    <w:p w14:paraId="4C440A3E">
      <w:pPr>
        <w:spacing w:line="400" w:lineRule="exact"/>
        <w:jc w:val="center"/>
        <w:rPr>
          <w:rFonts w:asciiTheme="minorEastAsia" w:hAnsiTheme="minorEastAsia" w:eastAsiaTheme="minorEastAsia"/>
          <w:color w:val="auto"/>
        </w:rPr>
      </w:pPr>
    </w:p>
    <w:p w14:paraId="480F3B7A">
      <w:pPr>
        <w:spacing w:line="400" w:lineRule="exact"/>
        <w:jc w:val="center"/>
        <w:rPr>
          <w:rFonts w:asciiTheme="minorEastAsia" w:hAnsiTheme="minorEastAsia" w:eastAsiaTheme="minorEastAsia"/>
          <w:color w:val="auto"/>
        </w:rPr>
      </w:pPr>
    </w:p>
    <w:p w14:paraId="35FE52FC">
      <w:pPr>
        <w:spacing w:line="400" w:lineRule="exact"/>
        <w:jc w:val="center"/>
        <w:rPr>
          <w:rFonts w:asciiTheme="minorEastAsia" w:hAnsiTheme="minorEastAsia" w:eastAsiaTheme="minorEastAsia"/>
          <w:color w:val="auto"/>
        </w:rPr>
      </w:pPr>
    </w:p>
    <w:p w14:paraId="387FA4FD">
      <w:pPr>
        <w:spacing w:line="360" w:lineRule="auto"/>
        <w:jc w:val="center"/>
        <w:rPr>
          <w:rFonts w:ascii="宋体" w:hAnsi="宋体" w:eastAsia="宋体" w:cs="Times New Roman"/>
          <w:b/>
          <w:color w:val="auto"/>
          <w:sz w:val="28"/>
          <w:szCs w:val="28"/>
        </w:rPr>
      </w:pPr>
      <w:r>
        <w:rPr>
          <w:rFonts w:hint="eastAsia" w:ascii="宋体" w:hAnsi="宋体" w:eastAsia="宋体" w:cs="Times New Roman"/>
          <w:b/>
          <w:color w:val="auto"/>
          <w:sz w:val="28"/>
          <w:szCs w:val="28"/>
          <w:lang w:eastAsia="zh-CN"/>
        </w:rPr>
        <w:t>采购</w:t>
      </w:r>
      <w:r>
        <w:rPr>
          <w:rFonts w:hint="eastAsia" w:ascii="宋体" w:hAnsi="宋体" w:eastAsia="宋体" w:cs="Times New Roman"/>
          <w:b/>
          <w:color w:val="auto"/>
          <w:sz w:val="28"/>
          <w:szCs w:val="28"/>
        </w:rPr>
        <w:t>人：</w:t>
      </w:r>
      <w:r>
        <w:rPr>
          <w:rFonts w:hint="eastAsia" w:ascii="宋体" w:hAnsi="宋体" w:eastAsia="宋体" w:cs="Times New Roman"/>
          <w:b/>
          <w:color w:val="auto"/>
          <w:sz w:val="28"/>
          <w:szCs w:val="28"/>
          <w:u w:val="single"/>
        </w:rPr>
        <w:t xml:space="preserve">                    （</w:t>
      </w:r>
      <w:r>
        <w:rPr>
          <w:rFonts w:hint="eastAsia" w:ascii="宋体" w:hAnsi="宋体" w:eastAsia="宋体" w:cs="Times New Roman"/>
          <w:b/>
          <w:color w:val="auto"/>
          <w:sz w:val="28"/>
          <w:szCs w:val="28"/>
        </w:rPr>
        <w:t>盖单位章）</w:t>
      </w:r>
    </w:p>
    <w:p w14:paraId="252481DB">
      <w:pPr>
        <w:spacing w:line="360" w:lineRule="auto"/>
        <w:rPr>
          <w:rFonts w:ascii="宋体" w:hAnsi="宋体" w:eastAsia="宋体" w:cs="Times New Roman"/>
          <w:b/>
          <w:color w:val="auto"/>
          <w:sz w:val="28"/>
          <w:szCs w:val="28"/>
        </w:rPr>
      </w:pPr>
    </w:p>
    <w:p w14:paraId="5464C572">
      <w:pPr>
        <w:spacing w:line="360" w:lineRule="auto"/>
        <w:ind w:firstLine="1654" w:firstLineChars="591"/>
        <w:rPr>
          <w:rFonts w:ascii="宋体" w:hAnsi="宋体" w:eastAsia="宋体" w:cs="Times New Roman"/>
          <w:b/>
          <w:color w:val="auto"/>
          <w:sz w:val="28"/>
          <w:szCs w:val="28"/>
        </w:rPr>
      </w:pPr>
    </w:p>
    <w:p w14:paraId="620BDF3E">
      <w:pPr>
        <w:spacing w:line="360" w:lineRule="auto"/>
        <w:ind w:firstLine="1654" w:firstLineChars="591"/>
        <w:rPr>
          <w:rFonts w:ascii="宋体" w:hAnsi="宋体" w:eastAsia="宋体" w:cs="Times New Roman"/>
          <w:b/>
          <w:color w:val="auto"/>
          <w:sz w:val="28"/>
          <w:szCs w:val="28"/>
        </w:rPr>
      </w:pPr>
    </w:p>
    <w:p w14:paraId="6ADBCD58">
      <w:pPr>
        <w:spacing w:line="360" w:lineRule="auto"/>
        <w:ind w:firstLine="1680" w:firstLineChars="600"/>
        <w:rPr>
          <w:rFonts w:ascii="宋体" w:hAnsi="宋体" w:eastAsia="宋体" w:cs="Times New Roman"/>
          <w:b/>
          <w:color w:val="auto"/>
          <w:sz w:val="28"/>
          <w:szCs w:val="28"/>
        </w:rPr>
      </w:pPr>
      <w:r>
        <w:rPr>
          <w:rFonts w:hint="eastAsia" w:ascii="宋体" w:hAnsi="宋体" w:eastAsia="宋体" w:cs="Times New Roman"/>
          <w:b/>
          <w:color w:val="auto"/>
          <w:sz w:val="28"/>
          <w:szCs w:val="28"/>
          <w:lang w:eastAsia="zh-CN"/>
        </w:rPr>
        <w:t>采购</w:t>
      </w:r>
      <w:r>
        <w:rPr>
          <w:rFonts w:hint="eastAsia" w:ascii="宋体" w:hAnsi="宋体" w:eastAsia="宋体" w:cs="Times New Roman"/>
          <w:b/>
          <w:color w:val="auto"/>
          <w:sz w:val="28"/>
          <w:szCs w:val="28"/>
        </w:rPr>
        <w:t>代理机构：</w:t>
      </w:r>
      <w:r>
        <w:rPr>
          <w:rFonts w:hint="eastAsia" w:ascii="宋体" w:hAnsi="宋体" w:eastAsia="宋体" w:cs="Times New Roman"/>
          <w:b/>
          <w:color w:val="auto"/>
          <w:sz w:val="28"/>
          <w:szCs w:val="28"/>
          <w:u w:val="single"/>
        </w:rPr>
        <w:t xml:space="preserve">                  </w:t>
      </w:r>
      <w:r>
        <w:rPr>
          <w:rFonts w:hint="eastAsia" w:ascii="宋体" w:hAnsi="宋体" w:eastAsia="宋体" w:cs="Times New Roman"/>
          <w:b/>
          <w:color w:val="auto"/>
          <w:sz w:val="28"/>
          <w:szCs w:val="28"/>
        </w:rPr>
        <w:t>（盖单位章）</w:t>
      </w:r>
    </w:p>
    <w:p w14:paraId="27F1832F">
      <w:pPr>
        <w:spacing w:line="360" w:lineRule="auto"/>
        <w:ind w:firstLine="1932" w:firstLineChars="690"/>
        <w:rPr>
          <w:rFonts w:ascii="宋体" w:hAnsi="宋体" w:eastAsia="宋体" w:cs="Times New Roman"/>
          <w:b/>
          <w:color w:val="auto"/>
          <w:sz w:val="28"/>
          <w:szCs w:val="28"/>
        </w:rPr>
      </w:pPr>
    </w:p>
    <w:p w14:paraId="498DEB8D">
      <w:pPr>
        <w:spacing w:line="360" w:lineRule="auto"/>
        <w:ind w:firstLine="1932" w:firstLineChars="690"/>
        <w:rPr>
          <w:rFonts w:ascii="宋体" w:hAnsi="宋体" w:eastAsia="宋体" w:cs="Times New Roman"/>
          <w:b/>
          <w:color w:val="auto"/>
          <w:sz w:val="28"/>
          <w:szCs w:val="28"/>
        </w:rPr>
      </w:pPr>
    </w:p>
    <w:p w14:paraId="6FDC57CC">
      <w:pPr>
        <w:spacing w:line="400" w:lineRule="exact"/>
        <w:ind w:left="210" w:leftChars="1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202</w:t>
      </w:r>
      <w:r>
        <w:rPr>
          <w:rFonts w:hint="eastAsia" w:ascii="宋体" w:hAnsi="宋体" w:cs="Times New Roman"/>
          <w:b/>
          <w:color w:val="auto"/>
          <w:sz w:val="28"/>
          <w:szCs w:val="28"/>
          <w:lang w:val="en-US" w:eastAsia="zh-CN"/>
        </w:rPr>
        <w:t>5</w:t>
      </w:r>
      <w:r>
        <w:rPr>
          <w:rFonts w:hint="eastAsia" w:ascii="宋体" w:hAnsi="宋体" w:eastAsia="宋体" w:cs="Times New Roman"/>
          <w:b/>
          <w:color w:val="auto"/>
          <w:sz w:val="28"/>
          <w:szCs w:val="28"/>
        </w:rPr>
        <w:t>年</w:t>
      </w:r>
      <w:r>
        <w:rPr>
          <w:rFonts w:hint="eastAsia" w:ascii="宋体" w:hAnsi="宋体" w:cs="Times New Roman"/>
          <w:b/>
          <w:color w:val="auto"/>
          <w:sz w:val="28"/>
          <w:szCs w:val="28"/>
          <w:lang w:val="en-US" w:eastAsia="zh-CN"/>
        </w:rPr>
        <w:t>6</w:t>
      </w:r>
      <w:r>
        <w:rPr>
          <w:rFonts w:hint="eastAsia" w:ascii="宋体" w:hAnsi="宋体" w:eastAsia="宋体" w:cs="Times New Roman"/>
          <w:b/>
          <w:color w:val="auto"/>
          <w:sz w:val="28"/>
          <w:szCs w:val="28"/>
        </w:rPr>
        <w:t>月</w:t>
      </w:r>
    </w:p>
    <w:p w14:paraId="206A6CDF">
      <w:pPr>
        <w:spacing w:line="360" w:lineRule="auto"/>
        <w:jc w:val="center"/>
        <w:rPr>
          <w:rFonts w:asciiTheme="minorEastAsia" w:hAnsiTheme="minorEastAsia" w:eastAsiaTheme="minorEastAsia"/>
          <w:b/>
          <w:color w:val="auto"/>
          <w:sz w:val="72"/>
          <w:szCs w:val="72"/>
        </w:rPr>
      </w:pPr>
    </w:p>
    <w:p w14:paraId="725860B5">
      <w:pPr>
        <w:jc w:val="center"/>
        <w:rPr>
          <w:b/>
          <w:bCs/>
          <w:color w:val="auto"/>
          <w:sz w:val="36"/>
          <w:szCs w:val="36"/>
        </w:rPr>
      </w:pPr>
      <w:r>
        <w:rPr>
          <w:rFonts w:hint="eastAsia" w:ascii="宋体" w:hAnsi="宋体" w:cs="宋体"/>
          <w:b/>
          <w:color w:val="auto"/>
          <w:sz w:val="44"/>
          <w:szCs w:val="44"/>
        </w:rPr>
        <w:t>目　　录</w:t>
      </w:r>
    </w:p>
    <w:p w14:paraId="489020F8">
      <w:pPr>
        <w:pStyle w:val="18"/>
        <w:rPr>
          <w:rFonts w:hAnsi="宋体"/>
          <w:color w:val="auto"/>
          <w:sz w:val="28"/>
          <w:szCs w:val="28"/>
        </w:rPr>
      </w:pPr>
    </w:p>
    <w:p w14:paraId="4CA7832A">
      <w:pPr>
        <w:pStyle w:val="23"/>
        <w:tabs>
          <w:tab w:val="right" w:leader="dot" w:pos="8400"/>
        </w:tabs>
        <w:snapToGrid w:val="0"/>
        <w:spacing w:before="0" w:after="0" w:line="480" w:lineRule="auto"/>
        <w:ind w:left="178" w:leftChars="85" w:firstLine="210" w:firstLineChars="75"/>
        <w:rPr>
          <w:rFonts w:ascii="宋体" w:hAnsi="宋体" w:cs="宋体"/>
          <w:caps w:val="0"/>
          <w:color w:val="auto"/>
          <w:sz w:val="28"/>
          <w:szCs w:val="28"/>
        </w:rPr>
      </w:pPr>
      <w:r>
        <w:rPr>
          <w:rFonts w:hint="eastAsia" w:ascii="宋体" w:hAnsi="宋体" w:cs="宋体"/>
          <w:caps w:val="0"/>
          <w:color w:val="auto"/>
          <w:sz w:val="28"/>
          <w:szCs w:val="28"/>
        </w:rPr>
        <w:fldChar w:fldCharType="begin"/>
      </w:r>
      <w:r>
        <w:rPr>
          <w:rFonts w:hint="eastAsia" w:ascii="宋体" w:hAnsi="宋体" w:cs="宋体"/>
          <w:caps w:val="0"/>
          <w:color w:val="auto"/>
          <w:sz w:val="28"/>
          <w:szCs w:val="28"/>
        </w:rPr>
        <w:instrText xml:space="preserve"> TOC \o "1-3" \h \z \u </w:instrText>
      </w:r>
      <w:r>
        <w:rPr>
          <w:rFonts w:hint="eastAsia" w:ascii="宋体" w:hAnsi="宋体" w:cs="宋体"/>
          <w:caps w:val="0"/>
          <w:color w:val="auto"/>
          <w:sz w:val="28"/>
          <w:szCs w:val="28"/>
        </w:rPr>
        <w:fldChar w:fldCharType="separate"/>
      </w:r>
      <w:r>
        <w:rPr>
          <w:color w:val="auto"/>
        </w:rPr>
        <w:fldChar w:fldCharType="begin"/>
      </w:r>
      <w:r>
        <w:rPr>
          <w:color w:val="auto"/>
        </w:rPr>
        <w:instrText xml:space="preserve"> HYPERLINK \l "_Toc31550" </w:instrText>
      </w:r>
      <w:r>
        <w:rPr>
          <w:color w:val="auto"/>
        </w:rPr>
        <w:fldChar w:fldCharType="separate"/>
      </w:r>
      <w:r>
        <w:rPr>
          <w:rFonts w:hint="eastAsia" w:ascii="宋体" w:hAnsi="宋体" w:cs="宋体"/>
          <w:caps w:val="0"/>
          <w:color w:val="auto"/>
          <w:sz w:val="28"/>
          <w:szCs w:val="28"/>
        </w:rPr>
        <w:t>第一章 竞争性磋商公告</w:t>
      </w:r>
      <w:r>
        <w:rPr>
          <w:rFonts w:hint="eastAsia" w:ascii="宋体" w:hAnsi="宋体" w:cs="宋体"/>
          <w:caps w:val="0"/>
          <w:color w:val="auto"/>
          <w:sz w:val="28"/>
          <w:szCs w:val="28"/>
        </w:rPr>
        <w:tab/>
      </w:r>
      <w:r>
        <w:rPr>
          <w:rFonts w:hint="eastAsia" w:ascii="宋体" w:hAnsi="宋体" w:cs="宋体"/>
          <w:caps w:val="0"/>
          <w:color w:val="auto"/>
          <w:sz w:val="28"/>
          <w:szCs w:val="28"/>
        </w:rPr>
        <w:t>1</w:t>
      </w:r>
      <w:r>
        <w:rPr>
          <w:rFonts w:hint="eastAsia" w:ascii="宋体" w:hAnsi="宋体" w:cs="宋体"/>
          <w:caps w:val="0"/>
          <w:color w:val="auto"/>
          <w:sz w:val="28"/>
          <w:szCs w:val="28"/>
        </w:rPr>
        <w:fldChar w:fldCharType="end"/>
      </w:r>
    </w:p>
    <w:p w14:paraId="094A8F3B">
      <w:pPr>
        <w:pStyle w:val="23"/>
        <w:tabs>
          <w:tab w:val="right" w:leader="dot" w:pos="8400"/>
        </w:tabs>
        <w:snapToGrid w:val="0"/>
        <w:spacing w:before="0" w:after="0" w:line="480" w:lineRule="auto"/>
        <w:ind w:left="178" w:leftChars="85" w:firstLine="150" w:firstLineChars="75"/>
        <w:rPr>
          <w:rFonts w:ascii="宋体" w:hAnsi="宋体" w:cs="宋体"/>
          <w:caps w:val="0"/>
          <w:color w:val="auto"/>
          <w:sz w:val="28"/>
          <w:szCs w:val="28"/>
        </w:rPr>
      </w:pPr>
      <w:r>
        <w:rPr>
          <w:color w:val="auto"/>
        </w:rPr>
        <w:fldChar w:fldCharType="begin"/>
      </w:r>
      <w:r>
        <w:rPr>
          <w:color w:val="auto"/>
        </w:rPr>
        <w:instrText xml:space="preserve"> HYPERLINK \l "_Toc7381" </w:instrText>
      </w:r>
      <w:r>
        <w:rPr>
          <w:color w:val="auto"/>
        </w:rPr>
        <w:fldChar w:fldCharType="separate"/>
      </w:r>
      <w:r>
        <w:rPr>
          <w:rFonts w:hint="eastAsia" w:ascii="宋体" w:hAnsi="宋体" w:cs="宋体"/>
          <w:caps w:val="0"/>
          <w:color w:val="auto"/>
          <w:sz w:val="28"/>
          <w:szCs w:val="28"/>
        </w:rPr>
        <w:t xml:space="preserve">第二章 </w:t>
      </w:r>
      <w:r>
        <w:rPr>
          <w:rFonts w:hint="eastAsia" w:ascii="宋体" w:hAnsi="宋体" w:cs="宋体"/>
          <w:caps w:val="0"/>
          <w:color w:val="auto"/>
          <w:sz w:val="28"/>
          <w:szCs w:val="28"/>
          <w:lang w:eastAsia="zh-CN"/>
        </w:rPr>
        <w:t>供应商</w:t>
      </w:r>
      <w:r>
        <w:rPr>
          <w:rFonts w:hint="eastAsia" w:ascii="宋体" w:hAnsi="宋体" w:cs="宋体"/>
          <w:caps w:val="0"/>
          <w:color w:val="auto"/>
          <w:sz w:val="28"/>
          <w:szCs w:val="28"/>
        </w:rPr>
        <w:t>须知</w:t>
      </w:r>
      <w:r>
        <w:rPr>
          <w:rFonts w:hint="eastAsia" w:ascii="宋体" w:hAnsi="宋体" w:cs="宋体"/>
          <w:caps w:val="0"/>
          <w:color w:val="auto"/>
          <w:sz w:val="28"/>
          <w:szCs w:val="28"/>
        </w:rPr>
        <w:tab/>
      </w:r>
      <w:r>
        <w:rPr>
          <w:rFonts w:hint="eastAsia" w:ascii="宋体" w:hAnsi="宋体" w:cs="宋体"/>
          <w:caps w:val="0"/>
          <w:color w:val="auto"/>
          <w:sz w:val="28"/>
          <w:szCs w:val="28"/>
        </w:rPr>
        <w:t>6</w:t>
      </w:r>
      <w:r>
        <w:rPr>
          <w:rFonts w:hint="eastAsia" w:ascii="宋体" w:hAnsi="宋体" w:cs="宋体"/>
          <w:caps w:val="0"/>
          <w:color w:val="auto"/>
          <w:sz w:val="28"/>
          <w:szCs w:val="28"/>
        </w:rPr>
        <w:fldChar w:fldCharType="end"/>
      </w:r>
    </w:p>
    <w:p w14:paraId="634BE875">
      <w:pPr>
        <w:pStyle w:val="23"/>
        <w:tabs>
          <w:tab w:val="right" w:leader="dot" w:pos="8400"/>
        </w:tabs>
        <w:snapToGrid w:val="0"/>
        <w:spacing w:before="0" w:after="0" w:line="480" w:lineRule="auto"/>
        <w:ind w:left="178" w:leftChars="85" w:firstLine="150" w:firstLineChars="75"/>
        <w:rPr>
          <w:rFonts w:ascii="宋体" w:hAnsi="宋体" w:cs="宋体"/>
          <w:caps w:val="0"/>
          <w:color w:val="auto"/>
          <w:sz w:val="28"/>
          <w:szCs w:val="28"/>
        </w:rPr>
      </w:pPr>
      <w:r>
        <w:rPr>
          <w:color w:val="auto"/>
        </w:rPr>
        <w:fldChar w:fldCharType="begin"/>
      </w:r>
      <w:r>
        <w:rPr>
          <w:color w:val="auto"/>
        </w:rPr>
        <w:instrText xml:space="preserve"> HYPERLINK \l "_Toc2950" </w:instrText>
      </w:r>
      <w:r>
        <w:rPr>
          <w:color w:val="auto"/>
        </w:rPr>
        <w:fldChar w:fldCharType="separate"/>
      </w:r>
      <w:r>
        <w:rPr>
          <w:rFonts w:hint="eastAsia" w:ascii="宋体" w:hAnsi="宋体" w:cs="宋体"/>
          <w:caps w:val="0"/>
          <w:color w:val="auto"/>
          <w:sz w:val="28"/>
          <w:szCs w:val="28"/>
        </w:rPr>
        <w:t>第三章 评审办法（综合评分法）</w:t>
      </w:r>
      <w:r>
        <w:rPr>
          <w:rFonts w:hint="eastAsia" w:ascii="宋体" w:hAnsi="宋体" w:cs="宋体"/>
          <w:caps w:val="0"/>
          <w:color w:val="auto"/>
          <w:sz w:val="28"/>
          <w:szCs w:val="28"/>
        </w:rPr>
        <w:tab/>
      </w:r>
      <w:r>
        <w:rPr>
          <w:rFonts w:hint="eastAsia" w:ascii="宋体" w:hAnsi="宋体" w:cs="宋体"/>
          <w:caps w:val="0"/>
          <w:color w:val="auto"/>
          <w:sz w:val="28"/>
          <w:szCs w:val="28"/>
        </w:rPr>
        <w:t>22</w:t>
      </w:r>
      <w:r>
        <w:rPr>
          <w:rFonts w:hint="eastAsia" w:ascii="宋体" w:hAnsi="宋体" w:cs="宋体"/>
          <w:caps w:val="0"/>
          <w:color w:val="auto"/>
          <w:sz w:val="28"/>
          <w:szCs w:val="28"/>
        </w:rPr>
        <w:fldChar w:fldCharType="end"/>
      </w:r>
    </w:p>
    <w:p w14:paraId="5408D536">
      <w:pPr>
        <w:pStyle w:val="23"/>
        <w:tabs>
          <w:tab w:val="right" w:leader="dot" w:pos="8400"/>
        </w:tabs>
        <w:snapToGrid w:val="0"/>
        <w:spacing w:before="0" w:after="0" w:line="480" w:lineRule="auto"/>
        <w:ind w:left="178" w:leftChars="85" w:firstLine="150" w:firstLineChars="75"/>
        <w:rPr>
          <w:rFonts w:ascii="宋体" w:hAnsi="宋体" w:cs="宋体"/>
          <w:caps w:val="0"/>
          <w:color w:val="auto"/>
          <w:sz w:val="28"/>
          <w:szCs w:val="28"/>
        </w:rPr>
      </w:pPr>
      <w:r>
        <w:rPr>
          <w:color w:val="auto"/>
        </w:rPr>
        <w:fldChar w:fldCharType="begin"/>
      </w:r>
      <w:r>
        <w:rPr>
          <w:color w:val="auto"/>
        </w:rPr>
        <w:instrText xml:space="preserve"> HYPERLINK \l "_Toc13444" </w:instrText>
      </w:r>
      <w:r>
        <w:rPr>
          <w:color w:val="auto"/>
        </w:rPr>
        <w:fldChar w:fldCharType="separate"/>
      </w:r>
      <w:r>
        <w:rPr>
          <w:rFonts w:hint="eastAsia" w:ascii="宋体" w:hAnsi="宋体" w:cs="宋体"/>
          <w:caps w:val="0"/>
          <w:color w:val="auto"/>
          <w:sz w:val="28"/>
          <w:szCs w:val="28"/>
        </w:rPr>
        <w:t>第四章 合同条款及格式</w:t>
      </w:r>
      <w:r>
        <w:rPr>
          <w:rFonts w:hint="eastAsia" w:ascii="宋体" w:hAnsi="宋体" w:cs="宋体"/>
          <w:caps w:val="0"/>
          <w:color w:val="auto"/>
          <w:sz w:val="28"/>
          <w:szCs w:val="28"/>
        </w:rPr>
        <w:tab/>
      </w:r>
      <w:r>
        <w:rPr>
          <w:rFonts w:hint="eastAsia" w:ascii="宋体" w:hAnsi="宋体" w:cs="宋体"/>
          <w:caps w:val="0"/>
          <w:color w:val="auto"/>
          <w:sz w:val="28"/>
          <w:szCs w:val="28"/>
        </w:rPr>
        <w:t>29</w:t>
      </w:r>
      <w:r>
        <w:rPr>
          <w:rFonts w:hint="eastAsia" w:ascii="宋体" w:hAnsi="宋体" w:cs="宋体"/>
          <w:caps w:val="0"/>
          <w:color w:val="auto"/>
          <w:sz w:val="28"/>
          <w:szCs w:val="28"/>
        </w:rPr>
        <w:fldChar w:fldCharType="end"/>
      </w:r>
    </w:p>
    <w:p w14:paraId="698F837D">
      <w:pPr>
        <w:pStyle w:val="23"/>
        <w:tabs>
          <w:tab w:val="right" w:leader="dot" w:pos="8400"/>
        </w:tabs>
        <w:snapToGrid w:val="0"/>
        <w:spacing w:before="0" w:after="0" w:line="480" w:lineRule="auto"/>
        <w:ind w:left="178" w:leftChars="85" w:firstLine="150" w:firstLineChars="75"/>
        <w:rPr>
          <w:rFonts w:ascii="宋体" w:hAnsi="宋体" w:cs="宋体"/>
          <w:caps w:val="0"/>
          <w:color w:val="auto"/>
          <w:sz w:val="28"/>
          <w:szCs w:val="28"/>
        </w:rPr>
      </w:pPr>
      <w:r>
        <w:rPr>
          <w:color w:val="auto"/>
        </w:rPr>
        <w:fldChar w:fldCharType="begin"/>
      </w:r>
      <w:r>
        <w:rPr>
          <w:color w:val="auto"/>
        </w:rPr>
        <w:instrText xml:space="preserve"> HYPERLINK \l "_Toc19464" </w:instrText>
      </w:r>
      <w:r>
        <w:rPr>
          <w:color w:val="auto"/>
        </w:rPr>
        <w:fldChar w:fldCharType="separate"/>
      </w:r>
      <w:r>
        <w:rPr>
          <w:rFonts w:hint="eastAsia" w:ascii="宋体" w:hAnsi="宋体" w:cs="宋体"/>
          <w:caps w:val="0"/>
          <w:color w:val="auto"/>
          <w:sz w:val="28"/>
          <w:szCs w:val="28"/>
        </w:rPr>
        <w:t>第五章 服务内容及要求</w:t>
      </w:r>
      <w:r>
        <w:rPr>
          <w:rFonts w:hint="eastAsia" w:ascii="宋体" w:hAnsi="宋体" w:cs="宋体"/>
          <w:caps w:val="0"/>
          <w:color w:val="auto"/>
          <w:sz w:val="28"/>
          <w:szCs w:val="28"/>
        </w:rPr>
        <w:tab/>
      </w:r>
      <w:r>
        <w:rPr>
          <w:rFonts w:hint="eastAsia" w:ascii="宋体" w:hAnsi="宋体" w:cs="宋体"/>
          <w:caps w:val="0"/>
          <w:color w:val="auto"/>
          <w:sz w:val="28"/>
          <w:szCs w:val="28"/>
        </w:rPr>
        <w:t>34</w:t>
      </w:r>
      <w:r>
        <w:rPr>
          <w:rFonts w:hint="eastAsia" w:ascii="宋体" w:hAnsi="宋体" w:cs="宋体"/>
          <w:caps w:val="0"/>
          <w:color w:val="auto"/>
          <w:sz w:val="28"/>
          <w:szCs w:val="28"/>
        </w:rPr>
        <w:fldChar w:fldCharType="end"/>
      </w:r>
    </w:p>
    <w:p w14:paraId="01A17BAB">
      <w:pPr>
        <w:pStyle w:val="23"/>
        <w:tabs>
          <w:tab w:val="right" w:leader="dot" w:pos="8400"/>
        </w:tabs>
        <w:snapToGrid w:val="0"/>
        <w:spacing w:before="0" w:after="0" w:line="480" w:lineRule="auto"/>
        <w:ind w:left="178" w:leftChars="85" w:firstLine="150" w:firstLineChars="75"/>
        <w:rPr>
          <w:rFonts w:ascii="宋体" w:hAnsi="宋体" w:cs="宋体"/>
          <w:caps w:val="0"/>
          <w:color w:val="auto"/>
          <w:sz w:val="28"/>
          <w:szCs w:val="28"/>
        </w:rPr>
      </w:pPr>
      <w:r>
        <w:rPr>
          <w:color w:val="auto"/>
        </w:rPr>
        <w:fldChar w:fldCharType="begin"/>
      </w:r>
      <w:r>
        <w:rPr>
          <w:color w:val="auto"/>
        </w:rPr>
        <w:instrText xml:space="preserve"> HYPERLINK \l "_Toc14579" </w:instrText>
      </w:r>
      <w:r>
        <w:rPr>
          <w:color w:val="auto"/>
        </w:rPr>
        <w:fldChar w:fldCharType="separate"/>
      </w:r>
      <w:r>
        <w:rPr>
          <w:rFonts w:hint="eastAsia" w:ascii="宋体" w:hAnsi="宋体" w:cs="宋体"/>
          <w:caps w:val="0"/>
          <w:color w:val="auto"/>
          <w:sz w:val="28"/>
          <w:szCs w:val="28"/>
        </w:rPr>
        <w:t>第六章 竞争性磋商响应文件格式</w:t>
      </w:r>
      <w:r>
        <w:rPr>
          <w:rFonts w:hint="eastAsia" w:ascii="宋体" w:hAnsi="宋体" w:cs="宋体"/>
          <w:caps w:val="0"/>
          <w:color w:val="auto"/>
          <w:sz w:val="28"/>
          <w:szCs w:val="28"/>
        </w:rPr>
        <w:tab/>
      </w:r>
      <w:r>
        <w:rPr>
          <w:rFonts w:hint="eastAsia" w:ascii="宋体" w:hAnsi="宋体" w:cs="宋体"/>
          <w:caps w:val="0"/>
          <w:color w:val="auto"/>
          <w:sz w:val="28"/>
          <w:szCs w:val="28"/>
        </w:rPr>
        <w:t>3</w:t>
      </w:r>
      <w:r>
        <w:rPr>
          <w:rFonts w:hint="eastAsia" w:ascii="宋体" w:hAnsi="宋体" w:cs="宋体"/>
          <w:caps w:val="0"/>
          <w:color w:val="auto"/>
          <w:sz w:val="28"/>
          <w:szCs w:val="28"/>
          <w:lang w:val="en-US" w:eastAsia="zh-CN"/>
        </w:rPr>
        <w:t>6</w:t>
      </w:r>
      <w:r>
        <w:rPr>
          <w:rFonts w:hint="eastAsia" w:ascii="宋体" w:hAnsi="宋体" w:cs="宋体"/>
          <w:caps w:val="0"/>
          <w:color w:val="auto"/>
          <w:sz w:val="28"/>
          <w:szCs w:val="28"/>
        </w:rPr>
        <w:fldChar w:fldCharType="end"/>
      </w:r>
    </w:p>
    <w:p w14:paraId="40CEB90D">
      <w:pPr>
        <w:spacing w:line="360" w:lineRule="auto"/>
        <w:jc w:val="center"/>
        <w:rPr>
          <w:rFonts w:asciiTheme="minorEastAsia" w:hAnsiTheme="minorEastAsia" w:eastAsiaTheme="minorEastAsia"/>
          <w:color w:val="auto"/>
          <w:sz w:val="32"/>
          <w:szCs w:val="32"/>
        </w:rPr>
      </w:pPr>
      <w:r>
        <w:rPr>
          <w:rFonts w:hint="eastAsia" w:ascii="宋体" w:hAnsi="宋体" w:cs="宋体"/>
          <w:b/>
          <w:bCs/>
          <w:color w:val="auto"/>
          <w:sz w:val="28"/>
          <w:szCs w:val="28"/>
        </w:rPr>
        <w:fldChar w:fldCharType="end"/>
      </w:r>
    </w:p>
    <w:p w14:paraId="19866B9A">
      <w:pPr>
        <w:spacing w:line="360" w:lineRule="auto"/>
        <w:jc w:val="center"/>
        <w:rPr>
          <w:rFonts w:asciiTheme="minorEastAsia" w:hAnsiTheme="minorEastAsia" w:eastAsiaTheme="minorEastAsia"/>
          <w:color w:val="auto"/>
          <w:sz w:val="32"/>
          <w:szCs w:val="32"/>
        </w:rPr>
      </w:pPr>
    </w:p>
    <w:p w14:paraId="573F8381">
      <w:pPr>
        <w:spacing w:line="360" w:lineRule="auto"/>
        <w:jc w:val="center"/>
        <w:rPr>
          <w:rFonts w:asciiTheme="minorEastAsia" w:hAnsiTheme="minorEastAsia" w:eastAsiaTheme="minorEastAsia"/>
          <w:color w:val="auto"/>
          <w:sz w:val="32"/>
          <w:szCs w:val="32"/>
        </w:rPr>
      </w:pPr>
    </w:p>
    <w:p w14:paraId="25032C9B">
      <w:pPr>
        <w:spacing w:line="360" w:lineRule="auto"/>
        <w:jc w:val="center"/>
        <w:rPr>
          <w:rFonts w:asciiTheme="minorEastAsia" w:hAnsiTheme="minorEastAsia" w:eastAsiaTheme="minorEastAsia"/>
          <w:color w:val="auto"/>
          <w:sz w:val="32"/>
          <w:szCs w:val="32"/>
        </w:rPr>
      </w:pPr>
    </w:p>
    <w:p w14:paraId="3425E61F">
      <w:pPr>
        <w:spacing w:line="360" w:lineRule="auto"/>
        <w:jc w:val="center"/>
        <w:rPr>
          <w:rFonts w:asciiTheme="minorEastAsia" w:hAnsiTheme="minorEastAsia" w:eastAsiaTheme="minorEastAsia"/>
          <w:color w:val="auto"/>
          <w:sz w:val="32"/>
          <w:szCs w:val="32"/>
        </w:rPr>
      </w:pPr>
    </w:p>
    <w:p w14:paraId="74933E29">
      <w:pPr>
        <w:rPr>
          <w:rFonts w:asciiTheme="minorEastAsia" w:hAnsiTheme="minorEastAsia" w:eastAsiaTheme="minorEastAsia"/>
          <w:color w:val="auto"/>
          <w:sz w:val="32"/>
          <w:szCs w:val="32"/>
        </w:rPr>
      </w:pPr>
    </w:p>
    <w:p w14:paraId="790EBC21">
      <w:pPr>
        <w:ind w:left="1188"/>
        <w:rPr>
          <w:rFonts w:asciiTheme="minorEastAsia" w:hAnsiTheme="minorEastAsia" w:eastAsiaTheme="minorEastAsia"/>
          <w:color w:val="auto"/>
          <w:sz w:val="32"/>
          <w:szCs w:val="32"/>
        </w:rPr>
      </w:pPr>
    </w:p>
    <w:p w14:paraId="608A97EA">
      <w:pPr>
        <w:rPr>
          <w:rFonts w:asciiTheme="minorEastAsia" w:hAnsiTheme="minorEastAsia" w:eastAsiaTheme="minorEastAsia"/>
          <w:color w:val="auto"/>
          <w:sz w:val="32"/>
          <w:szCs w:val="32"/>
        </w:rPr>
      </w:pPr>
    </w:p>
    <w:p w14:paraId="42D7D5BF">
      <w:pPr>
        <w:rPr>
          <w:rFonts w:asciiTheme="minorEastAsia" w:hAnsiTheme="minorEastAsia" w:eastAsiaTheme="minorEastAsia"/>
          <w:color w:val="auto"/>
          <w:sz w:val="32"/>
          <w:szCs w:val="32"/>
        </w:rPr>
      </w:pPr>
    </w:p>
    <w:p w14:paraId="73E28711">
      <w:pPr>
        <w:rPr>
          <w:rFonts w:asciiTheme="minorEastAsia" w:hAnsiTheme="minorEastAsia" w:eastAsiaTheme="minorEastAsia"/>
          <w:color w:val="auto"/>
        </w:rPr>
      </w:pPr>
    </w:p>
    <w:p w14:paraId="01F77024">
      <w:pPr>
        <w:rPr>
          <w:rFonts w:asciiTheme="minorEastAsia" w:hAnsiTheme="minorEastAsia" w:eastAsiaTheme="minorEastAsia"/>
          <w:color w:val="auto"/>
        </w:rPr>
      </w:pPr>
    </w:p>
    <w:p w14:paraId="0FE22B8C">
      <w:pPr>
        <w:rPr>
          <w:rFonts w:asciiTheme="minorEastAsia" w:hAnsiTheme="minorEastAsia" w:eastAsiaTheme="minorEastAsia"/>
          <w:color w:val="auto"/>
        </w:rPr>
      </w:pPr>
    </w:p>
    <w:p w14:paraId="3F82E0D1">
      <w:pPr>
        <w:rPr>
          <w:rFonts w:asciiTheme="minorEastAsia" w:hAnsiTheme="minorEastAsia" w:eastAsiaTheme="minorEastAsia"/>
          <w:color w:val="auto"/>
        </w:rPr>
      </w:pPr>
    </w:p>
    <w:p w14:paraId="7457BF5A">
      <w:pPr>
        <w:rPr>
          <w:rFonts w:asciiTheme="minorEastAsia" w:hAnsiTheme="minorEastAsia" w:eastAsiaTheme="minorEastAsia"/>
          <w:color w:val="auto"/>
        </w:rPr>
      </w:pPr>
    </w:p>
    <w:bookmarkEnd w:id="0"/>
    <w:bookmarkEnd w:id="1"/>
    <w:bookmarkEnd w:id="2"/>
    <w:bookmarkEnd w:id="3"/>
    <w:bookmarkEnd w:id="4"/>
    <w:p w14:paraId="7A6DD9A9">
      <w:pPr>
        <w:pStyle w:val="2"/>
        <w:spacing w:line="240" w:lineRule="auto"/>
        <w:jc w:val="center"/>
        <w:rPr>
          <w:rFonts w:asciiTheme="minorEastAsia" w:hAnsiTheme="minorEastAsia" w:eastAsiaTheme="minorEastAsia"/>
          <w:color w:val="auto"/>
        </w:rPr>
      </w:pPr>
      <w:bookmarkStart w:id="5" w:name="OLE_LINK2"/>
      <w:bookmarkStart w:id="6" w:name="OLE_LINK1"/>
      <w:r>
        <w:rPr>
          <w:rFonts w:hint="eastAsia"/>
          <w:color w:val="auto"/>
        </w:rPr>
        <w:t>第一章 竞争性磋商公告</w:t>
      </w:r>
    </w:p>
    <w:p w14:paraId="2BA2525F">
      <w:pPr>
        <w:autoSpaceDE w:val="0"/>
        <w:autoSpaceDN w:val="0"/>
        <w:adjustRightInd w:val="0"/>
        <w:jc w:val="center"/>
        <w:rPr>
          <w:rFonts w:cs="宋体" w:asciiTheme="minorEastAsia" w:hAnsiTheme="minorEastAsia" w:eastAsiaTheme="minorEastAsia"/>
          <w:color w:val="auto"/>
          <w:szCs w:val="21"/>
          <w:lang w:val="zh-CN"/>
        </w:rPr>
      </w:pPr>
      <w:bookmarkStart w:id="7" w:name="_Toc247085687"/>
      <w:bookmarkStart w:id="8" w:name="_Toc296602418"/>
      <w:bookmarkStart w:id="9" w:name="_Toc152045527"/>
      <w:bookmarkStart w:id="10" w:name="_Toc246996173"/>
      <w:bookmarkStart w:id="11" w:name="_Toc144974495"/>
      <w:bookmarkStart w:id="12" w:name="_Toc152042303"/>
      <w:bookmarkStart w:id="13" w:name="_Toc179632544"/>
      <w:bookmarkStart w:id="14" w:name="_Toc246996916"/>
      <w:r>
        <w:rPr>
          <w:rFonts w:hint="eastAsia" w:cs="宋体" w:asciiTheme="minorEastAsia" w:hAnsiTheme="minorEastAsia" w:eastAsiaTheme="minorEastAsia"/>
          <w:color w:val="auto"/>
          <w:szCs w:val="21"/>
          <w:lang w:val="zh-CN"/>
        </w:rPr>
        <w:t>采用资格后审方式</w:t>
      </w:r>
    </w:p>
    <w:p w14:paraId="07A3062C">
      <w:pPr>
        <w:pBdr>
          <w:top w:val="single" w:color="auto" w:sz="4" w:space="1"/>
          <w:left w:val="single" w:color="auto" w:sz="4" w:space="4"/>
          <w:bottom w:val="single" w:color="auto" w:sz="4" w:space="1"/>
          <w:right w:val="single" w:color="auto" w:sz="4" w:space="4"/>
        </w:pBd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项目概况：</w:t>
      </w:r>
    </w:p>
    <w:p w14:paraId="6D7FDD87">
      <w:pPr>
        <w:pBdr>
          <w:top w:val="single" w:color="auto" w:sz="4" w:space="1"/>
          <w:left w:val="single" w:color="auto" w:sz="4" w:space="4"/>
          <w:bottom w:val="single" w:color="auto" w:sz="4" w:space="1"/>
          <w:right w:val="single" w:color="auto" w:sz="4" w:space="4"/>
        </w:pBd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u w:val="single"/>
          <w:lang w:eastAsia="zh-CN"/>
        </w:rPr>
        <w:t xml:space="preserve"> 2024年计划生育家庭特别扶助对象住院护理补贴保险项目二次</w:t>
      </w:r>
      <w:r>
        <w:rPr>
          <w:rFonts w:hint="eastAsia" w:cs="宋体" w:asciiTheme="minorEastAsia" w:hAnsiTheme="minorEastAsia" w:eastAsiaTheme="minorEastAsia"/>
          <w:color w:val="auto"/>
        </w:rPr>
        <w:t>招标项目的潜在</w:t>
      </w:r>
      <w:r>
        <w:rPr>
          <w:rFonts w:hint="eastAsia" w:cs="宋体" w:asciiTheme="minorEastAsia" w:hAnsiTheme="minorEastAsia" w:eastAsiaTheme="minorEastAsia"/>
          <w:color w:val="auto"/>
          <w:lang w:eastAsia="zh-CN"/>
        </w:rPr>
        <w:t>供应商</w:t>
      </w:r>
      <w:r>
        <w:rPr>
          <w:rFonts w:hint="eastAsia" w:cs="宋体" w:asciiTheme="minorEastAsia" w:hAnsiTheme="minorEastAsia" w:eastAsiaTheme="minorEastAsia"/>
          <w:color w:val="auto"/>
        </w:rPr>
        <w:t>应在</w:t>
      </w:r>
      <w:r>
        <w:rPr>
          <w:rFonts w:hint="eastAsia" w:cs="宋体" w:asciiTheme="minorEastAsia" w:hAnsiTheme="minorEastAsia" w:eastAsiaTheme="minorEastAsia"/>
          <w:color w:val="auto"/>
          <w:u w:val="single"/>
          <w:lang w:eastAsia="zh-CN"/>
        </w:rPr>
        <w:t>政府采购云平台(详见“三、获取竞争性磋商文件”)获取竞争性磋商文件</w:t>
      </w:r>
      <w:r>
        <w:rPr>
          <w:rFonts w:hint="eastAsia" w:cs="宋体" w:asciiTheme="minorEastAsia" w:hAnsiTheme="minorEastAsia" w:eastAsiaTheme="minorEastAsia"/>
          <w:color w:val="auto"/>
        </w:rPr>
        <w:t>，并于</w:t>
      </w:r>
      <w:r>
        <w:rPr>
          <w:rFonts w:hint="eastAsia" w:cs="宋体" w:asciiTheme="minorEastAsia" w:hAnsiTheme="minorEastAsia" w:eastAsiaTheme="minorEastAsia"/>
          <w:color w:val="auto"/>
          <w:u w:val="single"/>
        </w:rPr>
        <w:t xml:space="preserve"> 202</w:t>
      </w:r>
      <w:r>
        <w:rPr>
          <w:rFonts w:hint="eastAsia" w:cs="宋体" w:asciiTheme="minorEastAsia" w:hAnsiTheme="minorEastAsia" w:eastAsiaTheme="minorEastAsia"/>
          <w:color w:val="auto"/>
          <w:u w:val="single"/>
          <w:lang w:val="en-US" w:eastAsia="zh-CN"/>
        </w:rPr>
        <w:t>5</w:t>
      </w:r>
      <w:r>
        <w:rPr>
          <w:rFonts w:hint="eastAsia" w:cs="宋体" w:asciiTheme="minorEastAsia" w:hAnsiTheme="minorEastAsia" w:eastAsiaTheme="minorEastAsia"/>
          <w:color w:val="auto"/>
          <w:u w:val="single"/>
        </w:rPr>
        <w:t>年</w:t>
      </w:r>
      <w:r>
        <w:rPr>
          <w:rFonts w:hint="eastAsia" w:cs="宋体" w:asciiTheme="minorEastAsia" w:hAnsiTheme="minorEastAsia" w:eastAsiaTheme="minorEastAsia"/>
          <w:color w:val="auto"/>
          <w:u w:val="single"/>
          <w:lang w:val="en-US" w:eastAsia="zh-CN"/>
        </w:rPr>
        <w:t>7</w:t>
      </w:r>
      <w:r>
        <w:rPr>
          <w:rFonts w:hint="eastAsia" w:cs="宋体" w:asciiTheme="minorEastAsia" w:hAnsiTheme="minorEastAsia" w:eastAsiaTheme="minorEastAsia"/>
          <w:color w:val="auto"/>
          <w:u w:val="single"/>
        </w:rPr>
        <w:t>月</w:t>
      </w:r>
      <w:r>
        <w:rPr>
          <w:rFonts w:hint="eastAsia" w:cs="宋体" w:asciiTheme="minorEastAsia" w:hAnsiTheme="minorEastAsia" w:eastAsiaTheme="minorEastAsia"/>
          <w:color w:val="auto"/>
          <w:u w:val="single"/>
          <w:lang w:val="en-US" w:eastAsia="zh-CN"/>
        </w:rPr>
        <w:t>9</w:t>
      </w:r>
      <w:r>
        <w:rPr>
          <w:rFonts w:hint="eastAsia" w:cs="宋体" w:asciiTheme="minorEastAsia" w:hAnsiTheme="minorEastAsia" w:eastAsiaTheme="minorEastAsia"/>
          <w:color w:val="auto"/>
          <w:u w:val="single"/>
        </w:rPr>
        <w:t>日9点00分</w:t>
      </w:r>
      <w:r>
        <w:rPr>
          <w:rFonts w:hint="eastAsia" w:cs="宋体" w:asciiTheme="minorEastAsia" w:hAnsiTheme="minorEastAsia" w:eastAsiaTheme="minorEastAsia"/>
          <w:bCs/>
          <w:color w:val="auto"/>
          <w:u w:val="single"/>
        </w:rPr>
        <w:t>（</w:t>
      </w:r>
      <w:r>
        <w:rPr>
          <w:rFonts w:hint="eastAsia" w:cs="宋体" w:asciiTheme="minorEastAsia" w:hAnsiTheme="minorEastAsia" w:eastAsiaTheme="minorEastAsia"/>
          <w:bCs/>
          <w:color w:val="auto"/>
        </w:rPr>
        <w:t>北京时间）前</w:t>
      </w:r>
      <w:r>
        <w:rPr>
          <w:rFonts w:hint="eastAsia" w:cs="宋体" w:asciiTheme="minorEastAsia" w:hAnsiTheme="minorEastAsia" w:eastAsiaTheme="minorEastAsia"/>
          <w:bCs/>
          <w:color w:val="auto"/>
          <w:lang w:eastAsia="zh-CN"/>
        </w:rPr>
        <w:t>上传响应</w:t>
      </w:r>
      <w:r>
        <w:rPr>
          <w:rFonts w:hint="eastAsia" w:cs="宋体" w:asciiTheme="minorEastAsia" w:hAnsiTheme="minorEastAsia" w:eastAsiaTheme="minorEastAsia"/>
          <w:bCs/>
          <w:color w:val="auto"/>
        </w:rPr>
        <w:t>文件</w:t>
      </w:r>
      <w:r>
        <w:rPr>
          <w:rFonts w:hint="eastAsia" w:cs="宋体" w:asciiTheme="minorEastAsia" w:hAnsiTheme="minorEastAsia" w:eastAsiaTheme="minorEastAsia"/>
          <w:color w:val="auto"/>
        </w:rPr>
        <w:t>。</w:t>
      </w:r>
    </w:p>
    <w:p w14:paraId="683D8C31">
      <w:pPr>
        <w:autoSpaceDE w:val="0"/>
        <w:autoSpaceDN w:val="0"/>
        <w:adjustRightInd w:val="0"/>
        <w:jc w:val="center"/>
        <w:rPr>
          <w:rFonts w:cs="宋体" w:asciiTheme="minorEastAsia" w:hAnsiTheme="minorEastAsia" w:eastAsiaTheme="minorEastAsia"/>
          <w:color w:val="auto"/>
          <w:szCs w:val="21"/>
        </w:rPr>
      </w:pPr>
    </w:p>
    <w:p w14:paraId="5B88E338">
      <w:pPr>
        <w:spacing w:before="312" w:beforeLines="100" w:after="312" w:afterLine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一.项目概况与招标范围</w:t>
      </w:r>
    </w:p>
    <w:p w14:paraId="5CBD05D5">
      <w:pPr>
        <w:spacing w:line="360" w:lineRule="auto"/>
        <w:ind w:firstLine="420" w:firstLineChars="200"/>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eastAsia="zh-CN"/>
        </w:rPr>
        <w:t>项目</w:t>
      </w:r>
      <w:r>
        <w:rPr>
          <w:rFonts w:hint="eastAsia" w:cs="宋体" w:asciiTheme="minorEastAsia" w:hAnsiTheme="minorEastAsia" w:eastAsiaTheme="minorEastAsia"/>
          <w:color w:val="auto"/>
        </w:rPr>
        <w:t>编号：采购计划-[2025]-00028号-JLHY2025-GHY006-01</w:t>
      </w:r>
    </w:p>
    <w:p w14:paraId="4AC3EE6E">
      <w:pPr>
        <w:spacing w:line="360" w:lineRule="auto"/>
        <w:ind w:firstLine="420" w:firstLineChars="200"/>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rPr>
        <w:t>2、招标方式：</w:t>
      </w:r>
      <w:r>
        <w:rPr>
          <w:rFonts w:hint="eastAsia" w:cs="宋体" w:asciiTheme="minorEastAsia" w:hAnsiTheme="minorEastAsia" w:eastAsiaTheme="minorEastAsia"/>
          <w:color w:val="auto"/>
          <w:lang w:eastAsia="zh-CN"/>
        </w:rPr>
        <w:t>竞争性磋商</w:t>
      </w:r>
    </w:p>
    <w:p w14:paraId="7089F626">
      <w:pPr>
        <w:spacing w:line="360" w:lineRule="auto"/>
        <w:ind w:firstLine="420" w:firstLineChars="200"/>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rPr>
        <w:t>3、项目名称：</w:t>
      </w:r>
      <w:r>
        <w:rPr>
          <w:rFonts w:hint="eastAsia" w:cs="宋体" w:asciiTheme="minorEastAsia" w:hAnsiTheme="minorEastAsia" w:eastAsiaTheme="minorEastAsia"/>
          <w:color w:val="auto"/>
          <w:lang w:eastAsia="zh-CN"/>
        </w:rPr>
        <w:t xml:space="preserve"> 2024年计划生育家庭特别扶助对象住院护理补贴保险项目二次</w:t>
      </w:r>
    </w:p>
    <w:p w14:paraId="0CDAAE3D">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4、标段划分：一个；</w:t>
      </w:r>
    </w:p>
    <w:p w14:paraId="7B2A1245">
      <w:pPr>
        <w:spacing w:line="360" w:lineRule="auto"/>
        <w:ind w:firstLine="420" w:firstLineChars="200"/>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5、预算金额：</w:t>
      </w:r>
      <w:r>
        <w:rPr>
          <w:rFonts w:hint="eastAsia" w:cs="宋体" w:asciiTheme="minorEastAsia" w:hAnsiTheme="minorEastAsia" w:eastAsiaTheme="minorEastAsia"/>
          <w:color w:val="auto"/>
          <w:lang w:val="en-US" w:eastAsia="zh-CN"/>
        </w:rPr>
        <w:t>39.1104</w:t>
      </w:r>
      <w:r>
        <w:rPr>
          <w:rFonts w:hint="eastAsia" w:cs="宋体" w:asciiTheme="minorEastAsia" w:hAnsiTheme="minorEastAsia" w:eastAsiaTheme="minorEastAsia"/>
          <w:color w:val="auto"/>
        </w:rPr>
        <w:t>万元</w:t>
      </w:r>
    </w:p>
    <w:p w14:paraId="5AE33F4E">
      <w:pPr>
        <w:spacing w:line="360" w:lineRule="auto"/>
        <w:ind w:firstLine="420" w:firstLineChars="200"/>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6、最高投标限价：</w:t>
      </w:r>
      <w:r>
        <w:rPr>
          <w:rFonts w:hint="eastAsia" w:cs="宋体" w:asciiTheme="minorEastAsia" w:hAnsiTheme="minorEastAsia" w:eastAsiaTheme="minorEastAsia"/>
          <w:color w:val="auto"/>
          <w:lang w:val="en-US" w:eastAsia="zh-CN"/>
        </w:rPr>
        <w:t>39.1104万元</w:t>
      </w:r>
    </w:p>
    <w:p w14:paraId="170A7B65">
      <w:pPr>
        <w:spacing w:line="360" w:lineRule="auto"/>
        <w:ind w:firstLine="420" w:firstLineChars="20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7、服务内容：</w:t>
      </w:r>
      <w:r>
        <w:rPr>
          <w:rFonts w:hint="eastAsia" w:cs="宋体" w:asciiTheme="minorEastAsia" w:hAnsiTheme="minorEastAsia" w:eastAsiaTheme="minorEastAsia"/>
          <w:color w:val="auto"/>
          <w:lang w:eastAsia="zh-CN"/>
        </w:rPr>
        <w:t>对纳入吉林省计划生育家庭特别扶助制度的扶助对象投保住院护理险</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eastAsia="zh-CN"/>
        </w:rPr>
        <w:t>具体要求详见第五章服务内容及要求</w:t>
      </w:r>
      <w:r>
        <w:rPr>
          <w:rFonts w:hint="eastAsia" w:cs="宋体" w:asciiTheme="minorEastAsia" w:hAnsiTheme="minorEastAsia" w:eastAsiaTheme="minorEastAsia"/>
          <w:color w:val="auto"/>
        </w:rPr>
        <w:t>）</w:t>
      </w:r>
    </w:p>
    <w:p w14:paraId="2A902464">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8、服务地点：甲方指定地点；</w:t>
      </w:r>
    </w:p>
    <w:p w14:paraId="2D74B144">
      <w:pPr>
        <w:spacing w:line="360" w:lineRule="auto"/>
        <w:ind w:firstLine="420" w:firstLineChars="200"/>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9、服务期限：</w:t>
      </w:r>
      <w:r>
        <w:rPr>
          <w:rFonts w:hint="eastAsia" w:cs="宋体" w:asciiTheme="minorEastAsia" w:hAnsiTheme="minorEastAsia" w:eastAsiaTheme="minorEastAsia"/>
          <w:color w:val="auto"/>
          <w:lang w:eastAsia="zh-CN"/>
        </w:rPr>
        <w:t>保费在签订协议后30日内完成支付</w:t>
      </w:r>
      <w:r>
        <w:rPr>
          <w:rFonts w:hint="eastAsia" w:cs="宋体" w:asciiTheme="minorEastAsia" w:hAnsiTheme="minorEastAsia" w:eastAsiaTheme="minorEastAsia"/>
          <w:color w:val="auto"/>
          <w:lang w:val="en-US" w:eastAsia="zh-CN"/>
        </w:rPr>
        <w:t>。</w:t>
      </w:r>
    </w:p>
    <w:p w14:paraId="2294027F">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10、本项目不接受联合体投标。</w:t>
      </w:r>
    </w:p>
    <w:p w14:paraId="25EC1EB6">
      <w:pPr>
        <w:spacing w:before="312" w:beforeLines="100" w:after="312" w:afterLines="100"/>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rPr>
        <w:t>二.</w:t>
      </w:r>
      <w:r>
        <w:rPr>
          <w:rFonts w:hint="eastAsia" w:asciiTheme="minorEastAsia" w:hAnsiTheme="minorEastAsia" w:eastAsiaTheme="minorEastAsia"/>
          <w:b/>
          <w:color w:val="auto"/>
          <w:sz w:val="24"/>
          <w:lang w:eastAsia="zh-CN"/>
        </w:rPr>
        <w:t>供应商资格要求</w:t>
      </w:r>
    </w:p>
    <w:p w14:paraId="35D32FB3">
      <w:pPr>
        <w:tabs>
          <w:tab w:val="left" w:pos="0"/>
          <w:tab w:val="left" w:pos="420"/>
        </w:tabs>
        <w:autoSpaceDE w:val="0"/>
        <w:autoSpaceDN w:val="0"/>
        <w:adjustRightInd w:val="0"/>
        <w:spacing w:line="360" w:lineRule="auto"/>
        <w:ind w:firstLine="420" w:firstLineChars="200"/>
        <w:jc w:val="left"/>
        <w:rPr>
          <w:rFonts w:cs="宋体" w:asciiTheme="minorEastAsia" w:hAnsiTheme="minorEastAsia" w:eastAsiaTheme="minorEastAsia"/>
          <w:color w:val="auto"/>
          <w:kern w:val="0"/>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shd w:val="clear" w:color="auto" w:fill="FFFFFF"/>
        </w:rPr>
        <w:t>满足《中华人民共和国政府采购法》第二十二条的规定；</w:t>
      </w:r>
    </w:p>
    <w:p w14:paraId="2657FAE9">
      <w:pPr>
        <w:tabs>
          <w:tab w:val="left" w:pos="-1418"/>
          <w:tab w:val="left" w:pos="0"/>
        </w:tabs>
        <w:autoSpaceDE w:val="0"/>
        <w:autoSpaceDN w:val="0"/>
        <w:adjustRightInd w:val="0"/>
        <w:spacing w:line="360" w:lineRule="auto"/>
        <w:ind w:firstLine="420" w:firstLineChars="200"/>
        <w:jc w:val="left"/>
        <w:rPr>
          <w:rFonts w:cs="宋体" w:asciiTheme="minorEastAsia" w:hAnsiTheme="minorEastAsia" w:eastAsiaTheme="minorEastAsia"/>
          <w:color w:val="auto"/>
          <w:lang w:val="zh-CN"/>
        </w:rPr>
      </w:pPr>
      <w:r>
        <w:rPr>
          <w:rFonts w:hint="eastAsia" w:cs="宋体" w:asciiTheme="minorEastAsia" w:hAnsiTheme="minorEastAsia" w:eastAsiaTheme="minorEastAsia"/>
          <w:color w:val="auto"/>
          <w:lang w:val="zh-CN"/>
        </w:rPr>
        <w:t>2、落实政府采购政策需满足的资格要求：本项目非专门面向中小企业采购</w:t>
      </w:r>
    </w:p>
    <w:p w14:paraId="20239843">
      <w:pPr>
        <w:widowControl/>
        <w:snapToGrid w:val="0"/>
        <w:spacing w:line="360" w:lineRule="auto"/>
        <w:ind w:firstLine="408"/>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3、本项目的特定资格要求：</w:t>
      </w:r>
    </w:p>
    <w:p w14:paraId="4257E022">
      <w:pPr>
        <w:widowControl/>
        <w:snapToGrid w:val="0"/>
        <w:spacing w:line="360" w:lineRule="auto"/>
        <w:ind w:firstLine="408"/>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eastAsia="zh-CN"/>
        </w:rPr>
        <w:t>供应商</w:t>
      </w:r>
      <w:r>
        <w:rPr>
          <w:rFonts w:hint="eastAsia" w:cs="宋体" w:asciiTheme="minorEastAsia" w:hAnsiTheme="minorEastAsia" w:eastAsiaTheme="minorEastAsia"/>
          <w:color w:val="auto"/>
          <w:kern w:val="0"/>
          <w:szCs w:val="21"/>
        </w:rPr>
        <w:t>须是在中华人民共和国境内注册的，有能力提供相应服务的供应商，须符合《中华人民共和国政府采购法》第二十二条第一款规定的条件；</w:t>
      </w:r>
    </w:p>
    <w:p w14:paraId="69109EED">
      <w:pPr>
        <w:widowControl/>
        <w:snapToGrid w:val="0"/>
        <w:spacing w:line="360" w:lineRule="auto"/>
        <w:ind w:firstLine="408"/>
        <w:jc w:val="left"/>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）供应商可为保险总公司、可为经保险总公司授权的县级以上（含县级）分公司（支公司）参加磋商。（提供授权书并加盖保险总公司公章）。</w:t>
      </w:r>
    </w:p>
    <w:p w14:paraId="10FE6522">
      <w:pPr>
        <w:widowControl/>
        <w:snapToGrid w:val="0"/>
        <w:spacing w:line="360" w:lineRule="auto"/>
        <w:ind w:firstLine="408"/>
        <w:jc w:val="left"/>
        <w:rPr>
          <w:rFonts w:hint="eastAsia" w:ascii="宋体" w:hAnsi="宋体" w:cs="宋体"/>
          <w:color w:val="auto"/>
          <w:lang w:eastAsia="zh-CN"/>
        </w:rPr>
      </w:pPr>
      <w:r>
        <w:rPr>
          <w:rFonts w:hint="eastAsia" w:ascii="宋体" w:hAnsi="宋体" w:cs="宋体"/>
          <w:color w:val="auto"/>
          <w:lang w:eastAsia="zh-CN"/>
        </w:rPr>
        <w:t>（3）供应商需具备保险监督管理机构颁发的《保险许可证》。</w:t>
      </w:r>
    </w:p>
    <w:p w14:paraId="58EF8AA3">
      <w:pPr>
        <w:widowControl/>
        <w:snapToGrid w:val="0"/>
        <w:spacing w:line="360" w:lineRule="auto"/>
        <w:ind w:firstLine="408"/>
        <w:jc w:val="left"/>
        <w:rPr>
          <w:rFonts w:hint="eastAsia" w:ascii="宋体" w:hAnsi="宋体" w:cs="宋体"/>
          <w:color w:val="auto"/>
          <w:lang w:eastAsia="zh-CN"/>
        </w:rPr>
      </w:pPr>
      <w:r>
        <w:rPr>
          <w:rFonts w:hint="eastAsia" w:ascii="宋体" w:hAnsi="宋体" w:cs="宋体"/>
          <w:color w:val="auto"/>
          <w:lang w:eastAsia="zh-CN"/>
        </w:rPr>
        <w:t>（4）同一保险集团公司的不同分（支）公司，不得同时参加本项目磋商；</w:t>
      </w:r>
    </w:p>
    <w:p w14:paraId="07FD187B">
      <w:pPr>
        <w:widowControl/>
        <w:snapToGrid w:val="0"/>
        <w:spacing w:line="360" w:lineRule="auto"/>
        <w:ind w:firstLine="408"/>
        <w:jc w:val="left"/>
        <w:rPr>
          <w:rFonts w:cs="Arial"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lang w:val="en-US" w:eastAsia="zh-CN"/>
        </w:rPr>
        <w:t>5</w:t>
      </w:r>
      <w:r>
        <w:rPr>
          <w:rFonts w:hint="eastAsia" w:cs="宋体" w:asciiTheme="minorEastAsia" w:hAnsiTheme="minorEastAsia" w:eastAsiaTheme="minorEastAsia"/>
          <w:color w:val="auto"/>
          <w:kern w:val="0"/>
          <w:szCs w:val="21"/>
        </w:rPr>
        <w:t>）202</w:t>
      </w:r>
      <w:r>
        <w:rPr>
          <w:rFonts w:hint="eastAsia" w:cs="宋体" w:asciiTheme="minorEastAsia" w:hAnsiTheme="minorEastAsia" w:eastAsiaTheme="minorEastAsia"/>
          <w:color w:val="auto"/>
          <w:kern w:val="0"/>
          <w:szCs w:val="21"/>
          <w:lang w:val="en-US" w:eastAsia="zh-CN"/>
        </w:rPr>
        <w:t>4</w:t>
      </w:r>
      <w:r>
        <w:rPr>
          <w:rFonts w:hint="eastAsia" w:cs="宋体" w:asciiTheme="minorEastAsia" w:hAnsiTheme="minorEastAsia" w:eastAsiaTheme="minorEastAsia"/>
          <w:color w:val="auto"/>
          <w:kern w:val="0"/>
          <w:szCs w:val="21"/>
        </w:rPr>
        <w:t>年度财务审计报告或财务报表（含资产负债表、现金流量表、利润表）（若供应商为202</w:t>
      </w:r>
      <w:r>
        <w:rPr>
          <w:rFonts w:hint="eastAsia" w:cs="宋体" w:asciiTheme="minorEastAsia" w:hAnsiTheme="minorEastAsia" w:eastAsiaTheme="minorEastAsia"/>
          <w:color w:val="auto"/>
          <w:kern w:val="0"/>
          <w:szCs w:val="21"/>
          <w:lang w:val="en-US" w:eastAsia="zh-CN"/>
        </w:rPr>
        <w:t>5</w:t>
      </w:r>
      <w:r>
        <w:rPr>
          <w:rFonts w:hint="eastAsia" w:cs="宋体" w:asciiTheme="minorEastAsia" w:hAnsiTheme="minorEastAsia" w:eastAsiaTheme="minorEastAsia"/>
          <w:color w:val="auto"/>
          <w:kern w:val="0"/>
          <w:szCs w:val="21"/>
        </w:rPr>
        <w:t>年以后注册成立公司的，须提供银行资信证明）；</w:t>
      </w:r>
    </w:p>
    <w:p w14:paraId="6B20365D">
      <w:pPr>
        <w:tabs>
          <w:tab w:val="left" w:pos="-1418"/>
        </w:tabs>
        <w:autoSpaceDE w:val="0"/>
        <w:autoSpaceDN w:val="0"/>
        <w:adjustRightInd w:val="0"/>
        <w:spacing w:line="360" w:lineRule="auto"/>
        <w:ind w:left="8" w:firstLine="411" w:firstLineChars="196"/>
        <w:jc w:val="left"/>
        <w:rPr>
          <w:rFonts w:asciiTheme="minorEastAsia" w:hAnsiTheme="minorEastAsia" w:eastAsiaTheme="minorEastAsia"/>
          <w:color w:val="auto"/>
        </w:rPr>
      </w:pPr>
      <w:r>
        <w:rPr>
          <w:rFonts w:hint="eastAsia" w:cs="宋体" w:asciiTheme="minorEastAsia" w:hAnsiTheme="minorEastAsia" w:eastAsiaTheme="minorEastAsia"/>
          <w:color w:val="auto"/>
          <w:lang w:val="zh-CN"/>
        </w:rPr>
        <w:t>（</w:t>
      </w:r>
      <w:r>
        <w:rPr>
          <w:rFonts w:hint="eastAsia" w:cs="宋体" w:asciiTheme="minorEastAsia" w:hAnsiTheme="minorEastAsia" w:eastAsiaTheme="minorEastAsia"/>
          <w:color w:val="auto"/>
          <w:lang w:val="en-US" w:eastAsia="zh-CN"/>
        </w:rPr>
        <w:t>6</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val="zh-CN"/>
        </w:rPr>
        <w:t>近六个月内（任意一个月）依法缴纳税收和社会保障资金的相关证明材料，依法免税的供应商须提供相应文件证明其依法免税</w:t>
      </w:r>
      <w:r>
        <w:rPr>
          <w:rFonts w:hint="eastAsia" w:asciiTheme="minorEastAsia" w:hAnsiTheme="minorEastAsia" w:eastAsiaTheme="minorEastAsia"/>
          <w:color w:val="auto"/>
        </w:rPr>
        <w:t>；</w:t>
      </w:r>
    </w:p>
    <w:p w14:paraId="6EFD7C61">
      <w:pPr>
        <w:tabs>
          <w:tab w:val="left" w:pos="-1418"/>
        </w:tabs>
        <w:autoSpaceDE w:val="0"/>
        <w:autoSpaceDN w:val="0"/>
        <w:adjustRightInd w:val="0"/>
        <w:spacing w:line="360" w:lineRule="auto"/>
        <w:ind w:left="8" w:firstLine="411" w:firstLineChars="196"/>
        <w:jc w:val="left"/>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lang w:val="en-US" w:eastAsia="zh-CN"/>
        </w:rPr>
        <w:t>7</w:t>
      </w:r>
      <w:r>
        <w:rPr>
          <w:rFonts w:hint="eastAsia" w:ascii="宋体" w:hAnsi="宋体" w:cs="宋体"/>
          <w:color w:val="auto"/>
        </w:rPr>
        <w:t>）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w:t>
      </w:r>
    </w:p>
    <w:p w14:paraId="0EF63FF5">
      <w:pPr>
        <w:tabs>
          <w:tab w:val="left" w:pos="-1418"/>
        </w:tabs>
        <w:autoSpaceDE w:val="0"/>
        <w:autoSpaceDN w:val="0"/>
        <w:adjustRightInd w:val="0"/>
        <w:spacing w:line="360" w:lineRule="auto"/>
        <w:ind w:left="8" w:firstLine="411" w:firstLineChars="196"/>
        <w:jc w:val="left"/>
        <w:rPr>
          <w:rFonts w:ascii="宋体" w:hAnsi="宋体" w:cs="宋体"/>
          <w:color w:val="auto"/>
        </w:rPr>
      </w:pPr>
      <w:r>
        <w:rPr>
          <w:rFonts w:hint="eastAsia" w:ascii="宋体" w:hAnsi="宋体" w:cs="宋体"/>
          <w:color w:val="auto"/>
          <w:lang w:val="zh-CN"/>
        </w:rPr>
        <w:t>（</w:t>
      </w:r>
      <w:r>
        <w:rPr>
          <w:rFonts w:hint="eastAsia" w:ascii="宋体" w:hAnsi="宋体" w:cs="宋体"/>
          <w:color w:val="auto"/>
          <w:lang w:val="en-US" w:eastAsia="zh-CN"/>
        </w:rPr>
        <w:t>8</w:t>
      </w:r>
      <w:r>
        <w:rPr>
          <w:rFonts w:hint="eastAsia" w:ascii="宋体" w:hAnsi="宋体" w:cs="宋体"/>
          <w:color w:val="auto"/>
          <w:lang w:val="zh-CN"/>
        </w:rPr>
        <w:t>）</w:t>
      </w:r>
      <w:r>
        <w:rPr>
          <w:rFonts w:hint="eastAsia" w:ascii="宋体" w:hAnsi="宋体"/>
          <w:color w:val="auto"/>
          <w:szCs w:val="21"/>
        </w:rPr>
        <w:t>供应商参加采购活动前三年内在经营活动中没有重大违法记录</w:t>
      </w:r>
      <w:r>
        <w:rPr>
          <w:rFonts w:hint="eastAsia" w:ascii="宋体" w:hAnsi="宋体" w:cs="宋体"/>
          <w:color w:val="auto"/>
          <w:lang w:val="zh-CN"/>
        </w:rPr>
        <w:t>；</w:t>
      </w:r>
    </w:p>
    <w:p w14:paraId="571E00A3">
      <w:pPr>
        <w:tabs>
          <w:tab w:val="left" w:pos="-1418"/>
        </w:tabs>
        <w:autoSpaceDE w:val="0"/>
        <w:autoSpaceDN w:val="0"/>
        <w:adjustRightInd w:val="0"/>
        <w:spacing w:line="360" w:lineRule="auto"/>
        <w:ind w:left="8" w:firstLine="411" w:firstLineChars="196"/>
        <w:jc w:val="left"/>
        <w:rPr>
          <w:rFonts w:ascii="宋体" w:hAnsi="宋体" w:cs="宋体"/>
          <w:color w:val="auto"/>
        </w:rPr>
      </w:pPr>
      <w:r>
        <w:rPr>
          <w:rFonts w:hint="eastAsia" w:ascii="宋体" w:hAnsi="宋体" w:cs="宋体"/>
          <w:color w:val="auto"/>
          <w:lang w:val="zh-CN"/>
        </w:rPr>
        <w:t>（</w:t>
      </w:r>
      <w:r>
        <w:rPr>
          <w:rFonts w:hint="eastAsia" w:ascii="宋体" w:hAnsi="宋体" w:cs="宋体"/>
          <w:color w:val="auto"/>
          <w:lang w:val="en-US" w:eastAsia="zh-CN"/>
        </w:rPr>
        <w:t>9</w:t>
      </w:r>
      <w:r>
        <w:rPr>
          <w:rFonts w:hint="eastAsia" w:ascii="宋体" w:hAnsi="宋体" w:cs="宋体"/>
          <w:color w:val="auto"/>
          <w:lang w:val="zh-CN"/>
        </w:rPr>
        <w:t>）</w:t>
      </w:r>
      <w:r>
        <w:rPr>
          <w:rFonts w:hint="eastAsia" w:ascii="宋体" w:hAnsi="宋体"/>
          <w:color w:val="auto"/>
        </w:rPr>
        <w:t>供应商必须未被列入“信用中国” 网站(www.creditchina.gov.cn)、中国政府采购网(www.ccgp.gov.cn)等渠道信用记录失信被执行人、重大税收违法案件当事人名单、政府采购严重违法失信行为记录名单</w:t>
      </w:r>
      <w:r>
        <w:rPr>
          <w:rFonts w:hint="eastAsia" w:ascii="宋体" w:hAnsi="宋体" w:cs="宋体"/>
          <w:color w:val="auto"/>
          <w:lang w:val="zh-CN"/>
        </w:rPr>
        <w:t>；</w:t>
      </w:r>
    </w:p>
    <w:p w14:paraId="5D8D2C82">
      <w:pPr>
        <w:tabs>
          <w:tab w:val="left" w:pos="-1418"/>
        </w:tabs>
        <w:autoSpaceDE w:val="0"/>
        <w:autoSpaceDN w:val="0"/>
        <w:adjustRightInd w:val="0"/>
        <w:spacing w:line="360" w:lineRule="auto"/>
        <w:ind w:left="8" w:firstLine="411" w:firstLineChars="196"/>
        <w:jc w:val="left"/>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lang w:val="en-US" w:eastAsia="zh-CN"/>
        </w:rPr>
        <w:t>10</w:t>
      </w:r>
      <w:r>
        <w:rPr>
          <w:rFonts w:hint="eastAsia" w:ascii="宋体" w:hAnsi="宋体" w:cs="宋体"/>
          <w:color w:val="auto"/>
          <w:lang w:val="zh-CN"/>
        </w:rPr>
        <w:t>）拒绝列入政府取消磋商资格记录期间的企业或个人参加本次磋商；</w:t>
      </w:r>
    </w:p>
    <w:p w14:paraId="0684210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三、获取</w:t>
      </w:r>
      <w:r>
        <w:rPr>
          <w:rFonts w:hint="eastAsia" w:asciiTheme="minorEastAsia" w:hAnsiTheme="minorEastAsia" w:eastAsiaTheme="minorEastAsia"/>
          <w:b/>
          <w:color w:val="auto"/>
          <w:sz w:val="24"/>
          <w:lang w:eastAsia="zh-CN"/>
        </w:rPr>
        <w:t>竞争性磋商</w:t>
      </w:r>
      <w:r>
        <w:rPr>
          <w:rFonts w:hint="eastAsia" w:asciiTheme="minorEastAsia" w:hAnsiTheme="minorEastAsia" w:eastAsiaTheme="minorEastAsia"/>
          <w:b/>
          <w:color w:val="auto"/>
          <w:sz w:val="24"/>
        </w:rPr>
        <w:t>文件</w:t>
      </w:r>
    </w:p>
    <w:p w14:paraId="6CE06FA6">
      <w:pPr>
        <w:spacing w:line="360" w:lineRule="auto"/>
        <w:ind w:firstLine="420" w:firstLineChars="200"/>
        <w:jc w:val="left"/>
        <w:rPr>
          <w:rFonts w:hint="eastAsia"/>
          <w:color w:val="auto"/>
          <w:lang w:val="en-US" w:eastAsia="zh-CN"/>
        </w:rPr>
      </w:pPr>
      <w:bookmarkStart w:id="15" w:name="_Toc28359005"/>
      <w:bookmarkStart w:id="16" w:name="_Toc35393624"/>
      <w:bookmarkStart w:id="17" w:name="_Toc35393793"/>
      <w:bookmarkStart w:id="18" w:name="_Toc28359082"/>
      <w:bookmarkStart w:id="19" w:name="_Toc35393626"/>
      <w:bookmarkStart w:id="20" w:name="_Toc35393795"/>
      <w:r>
        <w:rPr>
          <w:rFonts w:hint="eastAsia"/>
          <w:color w:val="auto"/>
          <w:lang w:val="en-US" w:eastAsia="zh-CN"/>
        </w:rPr>
        <w:t>1.时间：2025年6月25日8时30分至2025年7月2日16时00分（北京时间）。</w:t>
      </w:r>
    </w:p>
    <w:p w14:paraId="438CF0AF">
      <w:pPr>
        <w:spacing w:line="360" w:lineRule="auto"/>
        <w:ind w:firstLine="420" w:firstLineChars="200"/>
        <w:jc w:val="left"/>
        <w:rPr>
          <w:rFonts w:hint="eastAsia"/>
          <w:color w:val="auto"/>
          <w:lang w:val="en-US" w:eastAsia="zh-CN"/>
        </w:rPr>
      </w:pPr>
      <w:r>
        <w:rPr>
          <w:rFonts w:hint="eastAsia"/>
          <w:color w:val="auto"/>
          <w:lang w:val="en-US" w:eastAsia="zh-CN"/>
        </w:rPr>
        <w:t>2.地点：政府采购云平台（https://www.zcygov.cn/）</w:t>
      </w:r>
    </w:p>
    <w:p w14:paraId="5FAD8DD1">
      <w:pPr>
        <w:spacing w:line="360" w:lineRule="auto"/>
        <w:ind w:firstLine="420" w:firstLineChars="200"/>
        <w:jc w:val="left"/>
        <w:rPr>
          <w:rFonts w:hint="eastAsia"/>
          <w:color w:val="auto"/>
          <w:lang w:val="en-US" w:eastAsia="zh-CN"/>
        </w:rPr>
      </w:pPr>
      <w:r>
        <w:rPr>
          <w:rFonts w:hint="eastAsia"/>
          <w:color w:val="auto"/>
          <w:lang w:val="en-US" w:eastAsia="zh-CN"/>
        </w:rPr>
        <w:t>3.方式：网上免费获取[潜在供应商自行登录政府采购云平台，网上注册（https://middle.zcygov.cn/v-settle-front/registry）并下载竞争性磋商文件，其他途径获取的竞争性磋商文件开标时一律按无效投标处理]。</w:t>
      </w:r>
    </w:p>
    <w:p w14:paraId="5497C31F">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4.售价：0.00元。</w:t>
      </w:r>
    </w:p>
    <w:bookmarkEnd w:id="15"/>
    <w:bookmarkEnd w:id="16"/>
    <w:bookmarkEnd w:id="17"/>
    <w:bookmarkEnd w:id="18"/>
    <w:p w14:paraId="656CCA70">
      <w:pPr>
        <w:spacing w:line="48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四、响应文件提交：</w:t>
      </w:r>
    </w:p>
    <w:p w14:paraId="20714140">
      <w:pPr>
        <w:spacing w:line="480" w:lineRule="auto"/>
        <w:ind w:firstLine="42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1.截止时间：2025年</w:t>
      </w:r>
      <w:r>
        <w:rPr>
          <w:rFonts w:hint="eastAsia" w:cs="宋体" w:asciiTheme="minorEastAsia" w:hAnsiTheme="minorEastAsia" w:eastAsiaTheme="minorEastAsia"/>
          <w:bCs/>
          <w:color w:val="auto"/>
          <w:lang w:val="en-US" w:eastAsia="zh-CN"/>
        </w:rPr>
        <w:t>7</w:t>
      </w:r>
      <w:r>
        <w:rPr>
          <w:rFonts w:hint="eastAsia" w:cs="宋体" w:asciiTheme="minorEastAsia" w:hAnsiTheme="minorEastAsia" w:eastAsiaTheme="minorEastAsia"/>
          <w:bCs/>
          <w:color w:val="auto"/>
        </w:rPr>
        <w:t>月</w:t>
      </w:r>
      <w:r>
        <w:rPr>
          <w:rFonts w:hint="eastAsia" w:cs="宋体" w:asciiTheme="minorEastAsia" w:hAnsiTheme="minorEastAsia" w:eastAsiaTheme="minorEastAsia"/>
          <w:bCs/>
          <w:color w:val="auto"/>
          <w:lang w:val="en-US" w:eastAsia="zh-CN"/>
        </w:rPr>
        <w:t>9</w:t>
      </w:r>
      <w:r>
        <w:rPr>
          <w:rFonts w:hint="eastAsia" w:cs="宋体" w:asciiTheme="minorEastAsia" w:hAnsiTheme="minorEastAsia" w:eastAsiaTheme="minorEastAsia"/>
          <w:bCs/>
          <w:color w:val="auto"/>
        </w:rPr>
        <w:t>日9点00分（北京时间）</w:t>
      </w:r>
    </w:p>
    <w:p w14:paraId="2E9B3923">
      <w:pPr>
        <w:spacing w:line="480" w:lineRule="auto"/>
        <w:ind w:firstLine="42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2.提交方式：本项目为全流程电子化采购项目，通过政府采购云平台实行在线电子投标，响应文件应加密并在提交截止时间前通过政府采购云平台在线提交。</w:t>
      </w:r>
    </w:p>
    <w:p w14:paraId="6D6D888B">
      <w:pPr>
        <w:spacing w:line="480" w:lineRule="auto"/>
        <w:ind w:firstLine="42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lang w:val="en-US" w:eastAsia="zh-CN"/>
        </w:rPr>
        <w:t>3</w:t>
      </w:r>
      <w:r>
        <w:rPr>
          <w:rFonts w:hint="eastAsia" w:cs="宋体" w:asciiTheme="minorEastAsia" w:hAnsiTheme="minorEastAsia" w:eastAsiaTheme="minorEastAsia"/>
          <w:bCs/>
          <w:color w:val="auto"/>
        </w:rPr>
        <w:t>.操作流程：供应商在政府采购云平台网注册入库成为正式供应商后，在平台上按《政府采购项目电子交易管理操作指南-供应商》进行投标操作。未进行政府采购云平台注册并办理数字证书（CA认证）的供应商将无法参与本项目政府采购活动，潜在供应商应当在响应文件提交截止时间前，完成政采云平台上的CA数字证书办理及响应文件的提交。</w:t>
      </w:r>
    </w:p>
    <w:p w14:paraId="7408FD3A">
      <w:pPr>
        <w:keepNext/>
        <w:keepLines/>
        <w:spacing w:before="260" w:after="260" w:line="360" w:lineRule="auto"/>
        <w:outlineLvl w:val="1"/>
        <w:rPr>
          <w:rFonts w:cs="宋体" w:asciiTheme="minorEastAsia" w:hAnsiTheme="minorEastAsia" w:eastAsiaTheme="minorEastAsia"/>
          <w:b/>
          <w:bCs/>
          <w:color w:val="auto"/>
          <w:szCs w:val="21"/>
        </w:rPr>
      </w:pPr>
      <w:bookmarkStart w:id="21" w:name="_Toc28359016"/>
      <w:bookmarkStart w:id="22" w:name="_Toc35393633"/>
      <w:bookmarkStart w:id="23" w:name="_Toc28359093"/>
      <w:bookmarkStart w:id="24" w:name="_Toc35393802"/>
      <w:r>
        <w:rPr>
          <w:rFonts w:hint="eastAsia" w:cs="宋体" w:asciiTheme="minorEastAsia" w:hAnsiTheme="minorEastAsia" w:eastAsiaTheme="minorEastAsia"/>
          <w:b/>
          <w:bCs/>
          <w:color w:val="auto"/>
          <w:sz w:val="24"/>
          <w:szCs w:val="21"/>
        </w:rPr>
        <w:t>五、</w:t>
      </w:r>
      <w:r>
        <w:rPr>
          <w:rFonts w:hint="eastAsia" w:cs="宋体" w:asciiTheme="minorEastAsia" w:hAnsiTheme="minorEastAsia" w:eastAsiaTheme="minorEastAsia"/>
          <w:b/>
          <w:bCs/>
          <w:color w:val="auto"/>
          <w:szCs w:val="21"/>
        </w:rPr>
        <w:t>开启</w:t>
      </w:r>
      <w:bookmarkEnd w:id="21"/>
      <w:bookmarkEnd w:id="22"/>
      <w:bookmarkEnd w:id="23"/>
      <w:bookmarkEnd w:id="24"/>
    </w:p>
    <w:p w14:paraId="1F8A3087">
      <w:pPr>
        <w:spacing w:line="360" w:lineRule="auto"/>
        <w:ind w:firstLine="630" w:firstLineChars="300"/>
        <w:rPr>
          <w:rFonts w:hint="eastAsia" w:ascii="宋体" w:hAnsi="宋体" w:eastAsia="宋体" w:cs="宋体"/>
          <w:color w:val="auto"/>
          <w:szCs w:val="21"/>
          <w:lang w:val="zh-CN" w:eastAsia="zh-CN"/>
        </w:rPr>
      </w:pPr>
      <w:bookmarkStart w:id="25" w:name="_Toc35393803"/>
      <w:bookmarkStart w:id="26" w:name="_Toc28359017"/>
      <w:bookmarkStart w:id="27" w:name="_Toc35393634"/>
      <w:bookmarkStart w:id="28" w:name="_Toc28359094"/>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eastAsia="zh-CN"/>
        </w:rPr>
        <w:t>时间（</w:t>
      </w:r>
      <w:r>
        <w:rPr>
          <w:rFonts w:hint="eastAsia" w:ascii="宋体" w:hAnsi="宋体" w:eastAsia="宋体" w:cs="宋体"/>
          <w:color w:val="auto"/>
          <w:szCs w:val="21"/>
          <w:lang w:val="en-US" w:eastAsia="zh-CN"/>
        </w:rPr>
        <w:t>解密</w:t>
      </w:r>
      <w:r>
        <w:rPr>
          <w:rFonts w:hint="eastAsia" w:ascii="宋体" w:hAnsi="宋体" w:eastAsia="宋体" w:cs="宋体"/>
          <w:color w:val="auto"/>
          <w:szCs w:val="21"/>
          <w:lang w:val="en-US" w:eastAsia="zh-CN"/>
        </w:rPr>
        <w:t>时间）</w:t>
      </w:r>
      <w:r>
        <w:rPr>
          <w:rFonts w:hint="eastAsia" w:ascii="宋体" w:hAnsi="宋体" w:eastAsia="宋体" w:cs="宋体"/>
          <w:color w:val="auto"/>
          <w:szCs w:val="21"/>
          <w:lang w:val="zh-CN" w:eastAsia="zh-CN"/>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年</w:t>
      </w:r>
      <w:r>
        <w:rPr>
          <w:rFonts w:hint="eastAsia" w:ascii="宋体" w:hAnsi="宋体" w:cs="宋体"/>
          <w:color w:val="auto"/>
          <w:szCs w:val="21"/>
          <w:lang w:val="en-US" w:eastAsia="zh-CN"/>
        </w:rPr>
        <w:t>7</w:t>
      </w:r>
      <w:r>
        <w:rPr>
          <w:rFonts w:hint="eastAsia" w:ascii="宋体" w:hAnsi="宋体" w:eastAsia="宋体" w:cs="宋体"/>
          <w:color w:val="auto"/>
          <w:szCs w:val="21"/>
          <w:lang w:val="zh-CN" w:eastAsia="zh-CN"/>
        </w:rPr>
        <w:t>月</w:t>
      </w:r>
      <w:r>
        <w:rPr>
          <w:rFonts w:hint="eastAsia" w:ascii="宋体" w:hAnsi="宋体" w:cs="宋体"/>
          <w:color w:val="auto"/>
          <w:szCs w:val="21"/>
          <w:lang w:val="en-US" w:eastAsia="zh-CN"/>
        </w:rPr>
        <w:t>9</w:t>
      </w:r>
      <w:r>
        <w:rPr>
          <w:rFonts w:hint="eastAsia" w:ascii="宋体" w:hAnsi="宋体" w:eastAsia="宋体" w:cs="宋体"/>
          <w:color w:val="auto"/>
          <w:szCs w:val="21"/>
          <w:lang w:val="zh-CN" w:eastAsia="zh-CN"/>
        </w:rPr>
        <w:t>日</w:t>
      </w:r>
      <w:r>
        <w:rPr>
          <w:rFonts w:hint="eastAsia" w:ascii="宋体" w:hAnsi="宋体" w:eastAsia="宋体" w:cs="宋体"/>
          <w:color w:val="auto"/>
          <w:szCs w:val="21"/>
          <w:lang w:val="en-US" w:eastAsia="zh-CN"/>
        </w:rPr>
        <w:t>9</w:t>
      </w:r>
      <w:r>
        <w:rPr>
          <w:rFonts w:hint="eastAsia" w:ascii="宋体" w:hAnsi="宋体" w:eastAsia="宋体" w:cs="宋体"/>
          <w:color w:val="auto"/>
          <w:szCs w:val="21"/>
          <w:lang w:val="zh-CN" w:eastAsia="zh-CN"/>
        </w:rPr>
        <w:t>时</w:t>
      </w:r>
      <w:r>
        <w:rPr>
          <w:rFonts w:hint="eastAsia" w:ascii="宋体" w:hAnsi="宋体" w:eastAsia="宋体" w:cs="宋体"/>
          <w:color w:val="auto"/>
          <w:szCs w:val="21"/>
          <w:lang w:val="en-US" w:eastAsia="zh-CN"/>
        </w:rPr>
        <w:t>00</w:t>
      </w:r>
      <w:r>
        <w:rPr>
          <w:rFonts w:hint="eastAsia" w:ascii="宋体" w:hAnsi="宋体" w:eastAsia="宋体" w:cs="宋体"/>
          <w:color w:val="auto"/>
          <w:szCs w:val="21"/>
          <w:lang w:val="zh-CN" w:eastAsia="zh-CN"/>
        </w:rPr>
        <w:t>分（北京时间）</w:t>
      </w:r>
    </w:p>
    <w:p w14:paraId="549F73E6">
      <w:pPr>
        <w:spacing w:line="360" w:lineRule="auto"/>
        <w:ind w:firstLine="630" w:firstLineChars="300"/>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eastAsia="zh-CN"/>
        </w:rPr>
        <w:t>地点：</w:t>
      </w:r>
      <w:r>
        <w:rPr>
          <w:rFonts w:hint="eastAsia" w:ascii="宋体" w:hAnsi="宋体" w:eastAsia="宋体" w:cs="宋体"/>
          <w:color w:val="auto"/>
          <w:szCs w:val="21"/>
          <w:lang w:val="en-US" w:eastAsia="zh-CN"/>
        </w:rPr>
        <w:t>延吉市公共资源交易中心（延吉市政务大厅6楼），地址为吉林省延吉市光华路 166-1号。</w:t>
      </w:r>
    </w:p>
    <w:p w14:paraId="0E8A4408">
      <w:pPr>
        <w:spacing w:line="360" w:lineRule="auto"/>
        <w:ind w:firstLine="630" w:firstLineChars="3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3.开启（解密）方式：电子响应文件解密期限及方式：开启时间后30分钟内，由供应商持制作该电子响应文件的同一数字证书（CA锁）及电脑进行远程解密（各投标</w:t>
      </w:r>
      <w:r>
        <w:rPr>
          <w:rFonts w:hint="eastAsia" w:ascii="宋体" w:hAnsi="宋体" w:cs="宋体"/>
          <w:color w:val="auto"/>
          <w:szCs w:val="21"/>
          <w:lang w:val="en-US" w:eastAsia="zh-CN"/>
        </w:rPr>
        <w:t>供应商</w:t>
      </w:r>
      <w:r>
        <w:rPr>
          <w:rFonts w:hint="eastAsia" w:ascii="宋体" w:hAnsi="宋体" w:eastAsia="宋体" w:cs="宋体"/>
          <w:color w:val="auto"/>
          <w:szCs w:val="21"/>
          <w:lang w:val="en-US" w:eastAsia="zh-CN"/>
        </w:rPr>
        <w:t>开标前及网上开评标系统公布</w:t>
      </w:r>
      <w:r>
        <w:rPr>
          <w:rFonts w:hint="eastAsia" w:ascii="宋体" w:hAnsi="宋体" w:cs="宋体"/>
          <w:color w:val="auto"/>
          <w:szCs w:val="21"/>
          <w:lang w:val="en-US" w:eastAsia="zh-CN"/>
        </w:rPr>
        <w:t>供应商</w:t>
      </w:r>
      <w:r>
        <w:rPr>
          <w:rFonts w:hint="eastAsia" w:ascii="宋体" w:hAnsi="宋体" w:eastAsia="宋体" w:cs="宋体"/>
          <w:color w:val="auto"/>
          <w:szCs w:val="21"/>
          <w:lang w:val="en-US" w:eastAsia="zh-CN"/>
        </w:rPr>
        <w:t>名单前，不要提前进行远程解密），没有在规定时间内解密成功的，视为无效响应。</w:t>
      </w:r>
    </w:p>
    <w:p w14:paraId="4C0F7CB2">
      <w:pPr>
        <w:spacing w:line="360" w:lineRule="auto"/>
        <w:ind w:firstLine="630" w:firstLineChars="3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eastAsia="zh-CN"/>
        </w:rPr>
        <w:t>政府采购云平台、</w:t>
      </w:r>
      <w:r>
        <w:rPr>
          <w:rFonts w:hint="eastAsia" w:ascii="宋体" w:hAnsi="宋体" w:eastAsia="宋体" w:cs="宋体"/>
          <w:color w:val="auto"/>
          <w:szCs w:val="21"/>
          <w:lang w:val="en-US" w:eastAsia="zh-CN"/>
        </w:rPr>
        <w:t>延边朝鲜族自治州公共资源交易网</w:t>
      </w:r>
      <w:r>
        <w:rPr>
          <w:rFonts w:hint="eastAsia" w:ascii="宋体" w:hAnsi="宋体" w:eastAsia="宋体" w:cs="宋体"/>
          <w:color w:val="auto"/>
          <w:szCs w:val="21"/>
          <w:lang w:val="zh-CN" w:eastAsia="zh-CN"/>
        </w:rPr>
        <w:t>数字证书办理及技术咨询</w:t>
      </w:r>
      <w:r>
        <w:rPr>
          <w:rFonts w:hint="eastAsia" w:ascii="宋体" w:hAnsi="宋体" w:eastAsia="宋体" w:cs="宋体"/>
          <w:color w:val="auto"/>
          <w:szCs w:val="21"/>
          <w:lang w:val="en-US" w:eastAsia="zh-CN"/>
        </w:rPr>
        <w:t>（联系电话：0433-8333039）</w:t>
      </w:r>
      <w:r>
        <w:rPr>
          <w:rFonts w:hint="eastAsia" w:ascii="宋体" w:hAnsi="宋体" w:eastAsia="宋体" w:cs="宋体"/>
          <w:color w:val="auto"/>
          <w:szCs w:val="21"/>
          <w:lang w:val="zh-CN" w:eastAsia="zh-CN"/>
        </w:rPr>
        <w:t>：</w:t>
      </w:r>
      <w:r>
        <w:rPr>
          <w:rFonts w:hint="eastAsia" w:ascii="宋体" w:hAnsi="宋体" w:eastAsia="宋体" w:cs="宋体"/>
          <w:color w:val="auto"/>
          <w:szCs w:val="21"/>
          <w:lang w:val="en-US" w:eastAsia="zh-CN"/>
        </w:rPr>
        <w:t>供应商需登录</w:t>
      </w:r>
      <w:r>
        <w:rPr>
          <w:rFonts w:hint="eastAsia" w:ascii="宋体" w:hAnsi="宋体" w:eastAsia="宋体" w:cs="宋体"/>
          <w:color w:val="auto"/>
          <w:szCs w:val="21"/>
          <w:lang w:val="zh-CN" w:eastAsia="zh-CN"/>
        </w:rPr>
        <w:t>政府采购云平台</w:t>
      </w:r>
      <w:r>
        <w:rPr>
          <w:rFonts w:hint="eastAsia" w:ascii="宋体" w:hAnsi="宋体" w:eastAsia="宋体" w:cs="宋体"/>
          <w:color w:val="auto"/>
          <w:szCs w:val="21"/>
          <w:lang w:val="en-US" w:eastAsia="zh-CN"/>
        </w:rPr>
        <w:t>和延边朝鲜族自治州公共资源交易网，按办事指南中相关规定办理CA数字证书，上述两个网站均需供应商分别进行登陆及授权。未办理的供应商将无法参与招标采购活动。</w:t>
      </w:r>
    </w:p>
    <w:p w14:paraId="0280275F">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5.若对项目采购电子交易系统操作有疑问，可登录“政采云”平台（</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"https://www.zcygov.cn/"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https://www.zcygov.cn/</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），点击右侧咨询小采，获取采小蜜智能服务管家帮助，或拨打政采云服务热线400-881-7190获取热线服务帮助。</w:t>
      </w:r>
    </w:p>
    <w:p w14:paraId="297FA2C7">
      <w:pPr>
        <w:keepNext/>
        <w:keepLines/>
        <w:spacing w:before="260" w:after="260" w:line="360" w:lineRule="auto"/>
        <w:outlineLvl w:val="1"/>
        <w:rPr>
          <w:rFonts w:cs="宋体" w:asciiTheme="minorEastAsia" w:hAnsiTheme="minorEastAsia" w:eastAsiaTheme="minorEastAsia"/>
          <w:b/>
          <w:bCs/>
          <w:color w:val="auto"/>
          <w:sz w:val="24"/>
          <w:szCs w:val="21"/>
        </w:rPr>
      </w:pPr>
      <w:r>
        <w:rPr>
          <w:rFonts w:hint="eastAsia" w:cs="宋体" w:asciiTheme="minorEastAsia" w:hAnsiTheme="minorEastAsia" w:eastAsiaTheme="minorEastAsia"/>
          <w:b/>
          <w:bCs/>
          <w:color w:val="auto"/>
          <w:sz w:val="24"/>
          <w:szCs w:val="21"/>
        </w:rPr>
        <w:t>六、公告期限</w:t>
      </w:r>
      <w:bookmarkEnd w:id="25"/>
      <w:bookmarkEnd w:id="26"/>
      <w:bookmarkEnd w:id="27"/>
      <w:bookmarkEnd w:id="28"/>
    </w:p>
    <w:p w14:paraId="0201470C">
      <w:pPr>
        <w:spacing w:line="360" w:lineRule="auto"/>
        <w:ind w:firstLine="420" w:firstLineChars="200"/>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自本公告发布之日起5个工作日。</w:t>
      </w:r>
    </w:p>
    <w:p w14:paraId="4E068621">
      <w:pPr>
        <w:keepNext/>
        <w:keepLines/>
        <w:spacing w:before="260" w:after="260" w:line="360" w:lineRule="auto"/>
        <w:outlineLvl w:val="1"/>
        <w:rPr>
          <w:rFonts w:cs="宋体" w:asciiTheme="minorEastAsia" w:hAnsiTheme="minorEastAsia" w:eastAsiaTheme="minorEastAsia"/>
          <w:b/>
          <w:bCs/>
          <w:color w:val="auto"/>
          <w:sz w:val="24"/>
          <w:szCs w:val="21"/>
        </w:rPr>
      </w:pPr>
      <w:bookmarkStart w:id="29" w:name="_Toc35393804"/>
      <w:bookmarkStart w:id="30" w:name="_Toc35393635"/>
      <w:r>
        <w:rPr>
          <w:rFonts w:hint="eastAsia" w:cs="宋体" w:asciiTheme="minorEastAsia" w:hAnsiTheme="minorEastAsia" w:eastAsiaTheme="minorEastAsia"/>
          <w:b/>
          <w:bCs/>
          <w:color w:val="auto"/>
          <w:sz w:val="24"/>
          <w:szCs w:val="21"/>
        </w:rPr>
        <w:t>七、其他补充事宜</w:t>
      </w:r>
      <w:bookmarkEnd w:id="29"/>
      <w:bookmarkEnd w:id="30"/>
    </w:p>
    <w:bookmarkEnd w:id="19"/>
    <w:bookmarkEnd w:id="20"/>
    <w:p w14:paraId="4FA8FAEA">
      <w:pPr>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1.供应商须在响应文件递交截止时间前，应按照有关规定提供磋商保证金或担保公司开具的保函或银行保函。</w:t>
      </w:r>
    </w:p>
    <w:p w14:paraId="5A8E4695">
      <w:pPr>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2.未下载采购文件的、逾期上传或者没有在规定时间内解密成功的响应文件，采购人不予受理；</w:t>
      </w:r>
    </w:p>
    <w:p w14:paraId="69EFAD09">
      <w:pPr>
        <w:spacing w:line="360" w:lineRule="auto"/>
        <w:ind w:firstLine="420" w:firstLineChars="200"/>
        <w:rPr>
          <w:rFonts w:ascii="宋体" w:hAnsi="宋体"/>
          <w:color w:val="auto"/>
          <w:szCs w:val="21"/>
        </w:rPr>
      </w:pPr>
      <w:r>
        <w:rPr>
          <w:rFonts w:hint="eastAsia" w:ascii="宋体" w:hAnsi="宋体" w:cs="宋体"/>
          <w:color w:val="auto"/>
          <w:kern w:val="0"/>
          <w:szCs w:val="21"/>
          <w:lang w:val="en-US" w:eastAsia="zh-CN"/>
        </w:rPr>
        <w:t>3.本次竞争性磋商公告在“政采云”平台（http://www.zcygov.cn）发布，同步推送到吉林省政府采购网（http://www.ccgp-jilin.gov.cn/）、中国政府采购网发布</w:t>
      </w:r>
      <w:r>
        <w:rPr>
          <w:rFonts w:hint="eastAsia" w:ascii="宋体" w:hAnsi="宋体"/>
          <w:color w:val="auto"/>
          <w:szCs w:val="21"/>
        </w:rPr>
        <w:t>.</w:t>
      </w:r>
    </w:p>
    <w:p w14:paraId="1B3FD8A2">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八、对本次招标提出询问，请按以下方式联系。</w:t>
      </w:r>
    </w:p>
    <w:p w14:paraId="6625FF4C">
      <w:pPr>
        <w:widowControl/>
        <w:spacing w:line="360" w:lineRule="auto"/>
        <w:ind w:firstLine="420" w:firstLineChars="200"/>
        <w:jc w:val="left"/>
        <w:rPr>
          <w:rFonts w:hint="eastAsia" w:cs="宋体" w:asciiTheme="minorEastAsia" w:hAnsiTheme="minorEastAsia" w:eastAsiaTheme="minorEastAsia"/>
          <w:color w:val="auto"/>
          <w:kern w:val="0"/>
          <w:szCs w:val="20"/>
        </w:rPr>
      </w:pPr>
      <w:r>
        <w:rPr>
          <w:rFonts w:hint="eastAsia" w:cs="宋体" w:asciiTheme="minorEastAsia" w:hAnsiTheme="minorEastAsia" w:eastAsiaTheme="minorEastAsia"/>
          <w:color w:val="auto"/>
          <w:kern w:val="0"/>
          <w:szCs w:val="20"/>
        </w:rPr>
        <w:t>1、</w:t>
      </w:r>
      <w:r>
        <w:rPr>
          <w:rFonts w:hint="eastAsia" w:cs="宋体" w:asciiTheme="minorEastAsia" w:hAnsiTheme="minorEastAsia" w:eastAsiaTheme="minorEastAsia"/>
          <w:color w:val="auto"/>
          <w:kern w:val="0"/>
          <w:szCs w:val="20"/>
          <w:lang w:eastAsia="zh-CN"/>
        </w:rPr>
        <w:t>采购</w:t>
      </w:r>
      <w:r>
        <w:rPr>
          <w:rFonts w:hint="eastAsia" w:cs="宋体" w:asciiTheme="minorEastAsia" w:hAnsiTheme="minorEastAsia" w:eastAsiaTheme="minorEastAsia"/>
          <w:color w:val="auto"/>
          <w:kern w:val="0"/>
          <w:szCs w:val="20"/>
        </w:rPr>
        <w:t>人：</w:t>
      </w:r>
      <w:r>
        <w:rPr>
          <w:rFonts w:hint="eastAsia" w:cs="宋体" w:asciiTheme="minorEastAsia" w:hAnsiTheme="minorEastAsia" w:eastAsiaTheme="minorEastAsia"/>
          <w:color w:val="auto"/>
          <w:kern w:val="0"/>
          <w:szCs w:val="20"/>
          <w:lang w:eastAsia="zh-CN"/>
        </w:rPr>
        <w:t>延吉市卫生健康和医疗保障局</w:t>
      </w:r>
      <w:r>
        <w:rPr>
          <w:rFonts w:hint="eastAsia" w:cs="宋体" w:asciiTheme="minorEastAsia" w:hAnsiTheme="minorEastAsia" w:eastAsiaTheme="minorEastAsia"/>
          <w:color w:val="auto"/>
          <w:kern w:val="0"/>
          <w:szCs w:val="20"/>
        </w:rPr>
        <w:t xml:space="preserve">     </w:t>
      </w:r>
    </w:p>
    <w:p w14:paraId="2047F452">
      <w:pPr>
        <w:widowControl/>
        <w:spacing w:line="360" w:lineRule="auto"/>
        <w:ind w:firstLine="420" w:firstLineChars="200"/>
        <w:jc w:val="left"/>
        <w:rPr>
          <w:rFonts w:hint="eastAsia" w:cs="宋体" w:asciiTheme="minorEastAsia" w:hAnsiTheme="minorEastAsia" w:eastAsiaTheme="minorEastAsia"/>
          <w:color w:val="auto"/>
          <w:kern w:val="0"/>
          <w:szCs w:val="20"/>
        </w:rPr>
      </w:pPr>
      <w:r>
        <w:rPr>
          <w:rFonts w:hint="eastAsia" w:cs="宋体" w:asciiTheme="minorEastAsia" w:hAnsiTheme="minorEastAsia" w:eastAsiaTheme="minorEastAsia"/>
          <w:color w:val="auto"/>
          <w:kern w:val="0"/>
          <w:szCs w:val="20"/>
        </w:rPr>
        <w:t>联系人：</w:t>
      </w:r>
      <w:r>
        <w:rPr>
          <w:rFonts w:hint="eastAsia" w:cs="宋体" w:asciiTheme="minorEastAsia" w:hAnsiTheme="minorEastAsia" w:eastAsiaTheme="minorEastAsia"/>
          <w:color w:val="auto"/>
          <w:kern w:val="0"/>
          <w:szCs w:val="20"/>
          <w:lang w:eastAsia="zh-CN"/>
        </w:rPr>
        <w:t>王楚凡</w:t>
      </w:r>
      <w:r>
        <w:rPr>
          <w:rFonts w:hint="eastAsia" w:cs="宋体" w:asciiTheme="minorEastAsia" w:hAnsiTheme="minorEastAsia" w:eastAsiaTheme="minorEastAsia"/>
          <w:color w:val="auto"/>
          <w:kern w:val="0"/>
          <w:szCs w:val="20"/>
        </w:rPr>
        <w:t xml:space="preserve">    </w:t>
      </w:r>
    </w:p>
    <w:p w14:paraId="61E5CFA5">
      <w:pPr>
        <w:widowControl/>
        <w:spacing w:line="360" w:lineRule="auto"/>
        <w:ind w:firstLine="420" w:firstLineChars="200"/>
        <w:jc w:val="left"/>
        <w:rPr>
          <w:rFonts w:hint="default" w:cs="宋体" w:asciiTheme="minorEastAsia" w:hAnsiTheme="minorEastAsia" w:eastAsiaTheme="minorEastAsia"/>
          <w:color w:val="auto"/>
          <w:kern w:val="0"/>
          <w:szCs w:val="20"/>
          <w:lang w:val="en-US" w:eastAsia="zh-CN"/>
        </w:rPr>
      </w:pPr>
      <w:r>
        <w:rPr>
          <w:rFonts w:hint="eastAsia" w:cs="宋体" w:asciiTheme="minorEastAsia" w:hAnsiTheme="minorEastAsia" w:eastAsiaTheme="minorEastAsia"/>
          <w:color w:val="auto"/>
          <w:kern w:val="0"/>
          <w:szCs w:val="20"/>
        </w:rPr>
        <w:t>电话：</w:t>
      </w:r>
      <w:r>
        <w:rPr>
          <w:rFonts w:hint="eastAsia" w:cs="宋体" w:asciiTheme="minorEastAsia" w:hAnsiTheme="minorEastAsia" w:eastAsiaTheme="minorEastAsia"/>
          <w:color w:val="auto"/>
          <w:kern w:val="0"/>
          <w:szCs w:val="20"/>
          <w:lang w:val="en-US" w:eastAsia="zh-CN"/>
        </w:rPr>
        <w:t>0433-2360216</w:t>
      </w:r>
    </w:p>
    <w:p w14:paraId="4680CB8E">
      <w:pPr>
        <w:widowControl/>
        <w:spacing w:line="360" w:lineRule="auto"/>
        <w:ind w:firstLine="420" w:firstLineChars="200"/>
        <w:jc w:val="left"/>
        <w:rPr>
          <w:rFonts w:cs="宋体" w:asciiTheme="minorEastAsia" w:hAnsiTheme="minorEastAsia" w:eastAsiaTheme="minorEastAsia"/>
          <w:color w:val="auto"/>
          <w:kern w:val="0"/>
          <w:szCs w:val="20"/>
        </w:rPr>
      </w:pPr>
      <w:r>
        <w:rPr>
          <w:rFonts w:hint="eastAsia" w:cs="宋体" w:asciiTheme="minorEastAsia" w:hAnsiTheme="minorEastAsia" w:eastAsiaTheme="minorEastAsia"/>
          <w:color w:val="auto"/>
          <w:kern w:val="0"/>
          <w:szCs w:val="20"/>
        </w:rPr>
        <w:t>地址：</w:t>
      </w:r>
      <w:r>
        <w:rPr>
          <w:rFonts w:hint="eastAsia" w:cs="宋体" w:asciiTheme="minorEastAsia" w:hAnsiTheme="minorEastAsia" w:eastAsiaTheme="minorEastAsia"/>
          <w:color w:val="auto"/>
          <w:kern w:val="0"/>
          <w:szCs w:val="20"/>
          <w:lang w:eastAsia="zh-CN"/>
        </w:rPr>
        <w:t>延吉市河南街759号</w:t>
      </w:r>
      <w:r>
        <w:rPr>
          <w:rFonts w:hint="eastAsia" w:cs="宋体" w:asciiTheme="minorEastAsia" w:hAnsiTheme="minorEastAsia" w:eastAsiaTheme="minorEastAsia"/>
          <w:color w:val="auto"/>
          <w:kern w:val="0"/>
          <w:szCs w:val="20"/>
        </w:rPr>
        <w:t>；</w:t>
      </w:r>
    </w:p>
    <w:p w14:paraId="6EB75A7A">
      <w:pPr>
        <w:widowControl/>
        <w:spacing w:line="480" w:lineRule="auto"/>
        <w:ind w:firstLine="210" w:firstLineChars="100"/>
        <w:jc w:val="left"/>
        <w:rPr>
          <w:rFonts w:ascii="宋体" w:hAnsi="宋体" w:cs="宋体"/>
          <w:color w:val="auto"/>
          <w:kern w:val="0"/>
          <w:szCs w:val="20"/>
        </w:rPr>
      </w:pPr>
      <w:r>
        <w:rPr>
          <w:rFonts w:hint="eastAsia" w:ascii="宋体" w:hAnsi="宋体" w:cs="宋体"/>
          <w:color w:val="auto"/>
          <w:kern w:val="0"/>
          <w:szCs w:val="20"/>
        </w:rPr>
        <w:t>2、</w:t>
      </w:r>
      <w:r>
        <w:rPr>
          <w:rFonts w:hint="eastAsia" w:ascii="宋体" w:hAnsi="宋体" w:cs="宋体"/>
          <w:color w:val="auto"/>
          <w:kern w:val="0"/>
          <w:szCs w:val="20"/>
          <w:lang w:eastAsia="zh-CN"/>
        </w:rPr>
        <w:t>采购</w:t>
      </w:r>
      <w:r>
        <w:rPr>
          <w:rFonts w:hint="eastAsia" w:ascii="宋体" w:hAnsi="宋体" w:cs="宋体"/>
          <w:color w:val="auto"/>
          <w:kern w:val="0"/>
          <w:szCs w:val="20"/>
        </w:rPr>
        <w:t>代理机构：</w:t>
      </w:r>
      <w:r>
        <w:rPr>
          <w:rFonts w:hint="eastAsia" w:ascii="宋体" w:hAnsi="宋体" w:cs="宋体"/>
          <w:color w:val="auto"/>
          <w:kern w:val="0"/>
          <w:szCs w:val="20"/>
          <w:lang w:eastAsia="zh-CN"/>
        </w:rPr>
        <w:t>吉林泓远项目管理有限公司</w:t>
      </w:r>
      <w:r>
        <w:rPr>
          <w:rFonts w:hint="eastAsia" w:ascii="宋体" w:hAnsi="宋体" w:cs="宋体"/>
          <w:color w:val="auto"/>
          <w:kern w:val="0"/>
          <w:szCs w:val="20"/>
        </w:rPr>
        <w:t>；</w:t>
      </w:r>
    </w:p>
    <w:p w14:paraId="6DEE8E3D">
      <w:pPr>
        <w:widowControl/>
        <w:spacing w:line="480" w:lineRule="auto"/>
        <w:ind w:right="231" w:rightChars="110" w:firstLine="420" w:firstLineChars="200"/>
        <w:jc w:val="left"/>
        <w:rPr>
          <w:rFonts w:hint="eastAsia" w:ascii="宋体" w:hAnsi="宋体" w:cs="宋体"/>
          <w:color w:val="auto"/>
          <w:kern w:val="0"/>
          <w:szCs w:val="20"/>
        </w:rPr>
      </w:pPr>
      <w:r>
        <w:rPr>
          <w:rFonts w:hint="eastAsia" w:ascii="宋体" w:hAnsi="宋体" w:cs="宋体"/>
          <w:color w:val="auto"/>
          <w:kern w:val="0"/>
          <w:szCs w:val="20"/>
        </w:rPr>
        <w:t xml:space="preserve">地址：延边州延吉市太平街202号6001；    </w:t>
      </w:r>
    </w:p>
    <w:p w14:paraId="0F65C23B">
      <w:pPr>
        <w:widowControl/>
        <w:spacing w:line="480" w:lineRule="auto"/>
        <w:ind w:right="231" w:rightChars="110" w:firstLine="420" w:firstLineChars="200"/>
        <w:jc w:val="left"/>
        <w:rPr>
          <w:rFonts w:ascii="宋体" w:hAnsi="宋体" w:cs="宋体"/>
          <w:color w:val="auto"/>
          <w:kern w:val="0"/>
          <w:szCs w:val="20"/>
        </w:rPr>
      </w:pPr>
      <w:r>
        <w:rPr>
          <w:rFonts w:hint="eastAsia" w:ascii="宋体" w:hAnsi="宋体" w:cs="宋体"/>
          <w:color w:val="auto"/>
          <w:kern w:val="0"/>
          <w:szCs w:val="20"/>
        </w:rPr>
        <w:t>联系人：孙妍；</w:t>
      </w:r>
    </w:p>
    <w:p w14:paraId="2623B0E3">
      <w:pPr>
        <w:widowControl/>
        <w:spacing w:line="480" w:lineRule="auto"/>
        <w:ind w:right="231" w:rightChars="110" w:firstLine="420" w:firstLineChars="200"/>
        <w:jc w:val="left"/>
        <w:rPr>
          <w:rFonts w:hint="eastAsia" w:ascii="宋体" w:hAnsi="宋体" w:cs="宋体"/>
          <w:color w:val="auto"/>
          <w:kern w:val="0"/>
          <w:szCs w:val="20"/>
        </w:rPr>
      </w:pPr>
      <w:r>
        <w:rPr>
          <w:rFonts w:hint="eastAsia" w:ascii="宋体" w:hAnsi="宋体" w:cs="宋体"/>
          <w:color w:val="auto"/>
          <w:kern w:val="0"/>
          <w:szCs w:val="20"/>
        </w:rPr>
        <w:t xml:space="preserve">电话：0433-2867005；                 </w:t>
      </w:r>
    </w:p>
    <w:p w14:paraId="61195CCB">
      <w:pPr>
        <w:widowControl/>
        <w:spacing w:line="480" w:lineRule="auto"/>
        <w:ind w:right="231" w:rightChars="110" w:firstLine="420" w:firstLineChars="200"/>
        <w:jc w:val="left"/>
        <w:rPr>
          <w:rFonts w:ascii="宋体" w:hAnsi="宋体" w:cs="宋体"/>
          <w:color w:val="auto"/>
          <w:kern w:val="0"/>
          <w:szCs w:val="20"/>
        </w:rPr>
      </w:pPr>
      <w:r>
        <w:rPr>
          <w:rFonts w:hint="eastAsia" w:ascii="宋体" w:hAnsi="宋体" w:cs="宋体"/>
          <w:color w:val="auto"/>
          <w:kern w:val="0"/>
          <w:szCs w:val="20"/>
        </w:rPr>
        <w:t>邮箱：</w:t>
      </w:r>
      <w:r>
        <w:rPr>
          <w:color w:val="auto"/>
        </w:rPr>
        <w:fldChar w:fldCharType="begin"/>
      </w:r>
      <w:r>
        <w:rPr>
          <w:color w:val="auto"/>
        </w:rPr>
        <w:instrText xml:space="preserve"> HYPERLINK "mailto:pp8503@126.com" </w:instrText>
      </w:r>
      <w:r>
        <w:rPr>
          <w:color w:val="auto"/>
        </w:rPr>
        <w:fldChar w:fldCharType="separate"/>
      </w:r>
      <w:r>
        <w:rPr>
          <w:rFonts w:hint="eastAsia" w:ascii="宋体" w:hAnsi="宋体" w:cs="宋体"/>
          <w:color w:val="auto"/>
          <w:kern w:val="0"/>
          <w:szCs w:val="20"/>
        </w:rPr>
        <w:t>pp8503@126.com</w:t>
      </w:r>
      <w:r>
        <w:rPr>
          <w:rFonts w:hint="eastAsia" w:ascii="宋体" w:hAnsi="宋体" w:cs="宋体"/>
          <w:color w:val="auto"/>
          <w:kern w:val="0"/>
          <w:szCs w:val="20"/>
        </w:rPr>
        <w:fldChar w:fldCharType="end"/>
      </w:r>
      <w:r>
        <w:rPr>
          <w:rFonts w:hint="eastAsia" w:ascii="宋体" w:hAnsi="宋体" w:cs="宋体"/>
          <w:color w:val="auto"/>
          <w:kern w:val="0"/>
          <w:szCs w:val="20"/>
        </w:rPr>
        <w:t>；</w:t>
      </w:r>
    </w:p>
    <w:p w14:paraId="17F37FA5">
      <w:pPr>
        <w:rPr>
          <w:rFonts w:hint="eastAsia" w:ascii="宋体" w:hAnsi="宋体"/>
          <w:color w:val="auto"/>
          <w:szCs w:val="20"/>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w:t>
      </w:r>
      <w:r>
        <w:rPr>
          <w:rFonts w:hint="eastAsia" w:ascii="宋体" w:hAnsi="宋体" w:cs="宋体"/>
          <w:color w:val="auto"/>
          <w:sz w:val="21"/>
          <w:szCs w:val="21"/>
          <w:highlight w:val="none"/>
        </w:rPr>
        <w:t>监督</w:t>
      </w:r>
      <w:r>
        <w:rPr>
          <w:rFonts w:hint="eastAsia" w:ascii="宋体" w:hAnsi="宋体" w:cs="宋体"/>
          <w:color w:val="auto"/>
          <w:sz w:val="21"/>
          <w:szCs w:val="21"/>
          <w:highlight w:val="none"/>
          <w:lang w:val="en-US" w:eastAsia="zh-CN"/>
        </w:rPr>
        <w:t>管理</w:t>
      </w:r>
      <w:r>
        <w:rPr>
          <w:rFonts w:hint="eastAsia" w:ascii="宋体" w:hAnsi="宋体" w:cs="宋体"/>
          <w:color w:val="auto"/>
          <w:sz w:val="21"/>
          <w:szCs w:val="21"/>
          <w:highlight w:val="none"/>
        </w:rPr>
        <w:t>部门：</w:t>
      </w:r>
      <w:r>
        <w:rPr>
          <w:rFonts w:hint="eastAsia" w:ascii="宋体" w:hAnsi="宋体" w:cs="宋体"/>
          <w:color w:val="auto"/>
          <w:sz w:val="21"/>
          <w:szCs w:val="21"/>
          <w:lang w:val="en-US" w:eastAsia="zh-CN"/>
        </w:rPr>
        <w:t>延吉市</w:t>
      </w:r>
      <w:r>
        <w:rPr>
          <w:rFonts w:hint="eastAsia" w:ascii="宋体" w:hAnsi="宋体" w:eastAsia="宋体" w:cs="宋体"/>
          <w:color w:val="auto"/>
          <w:sz w:val="21"/>
          <w:szCs w:val="21"/>
          <w:lang w:val="en-US" w:eastAsia="zh-CN"/>
        </w:rPr>
        <w:t>财政局</w:t>
      </w:r>
      <w:r>
        <w:rPr>
          <w:rFonts w:hint="eastAsia" w:ascii="宋体" w:hAnsi="宋体" w:cs="宋体"/>
          <w:color w:val="auto"/>
          <w:sz w:val="21"/>
          <w:szCs w:val="21"/>
          <w:highlight w:val="none"/>
          <w:lang w:val="en-US" w:eastAsia="zh-CN"/>
        </w:rPr>
        <w:t>政府采购管理工作办公室</w:t>
      </w:r>
    </w:p>
    <w:p w14:paraId="14372E2B">
      <w:pPr>
        <w:widowControl/>
        <w:spacing w:line="480" w:lineRule="auto"/>
        <w:ind w:right="231" w:rightChars="110" w:firstLine="4305" w:firstLineChars="2050"/>
        <w:jc w:val="left"/>
        <w:rPr>
          <w:rFonts w:hint="eastAsia" w:ascii="宋体" w:hAnsi="宋体" w:cs="宋体"/>
          <w:color w:val="auto"/>
          <w:kern w:val="0"/>
          <w:szCs w:val="20"/>
        </w:rPr>
      </w:pPr>
    </w:p>
    <w:p w14:paraId="2BEAC9C6">
      <w:pPr>
        <w:widowControl/>
        <w:spacing w:line="480" w:lineRule="auto"/>
        <w:ind w:right="231" w:rightChars="110" w:firstLine="6405" w:firstLineChars="3050"/>
        <w:jc w:val="left"/>
        <w:rPr>
          <w:rFonts w:ascii="宋体" w:hAnsi="宋体" w:cs="宋体"/>
          <w:color w:val="auto"/>
          <w:kern w:val="0"/>
          <w:szCs w:val="20"/>
        </w:rPr>
      </w:pPr>
      <w:r>
        <w:rPr>
          <w:rFonts w:hint="eastAsia" w:ascii="宋体" w:hAnsi="宋体" w:cs="宋体"/>
          <w:color w:val="auto"/>
          <w:kern w:val="0"/>
          <w:szCs w:val="20"/>
          <w:lang w:eastAsia="zh-CN"/>
        </w:rPr>
        <w:t>吉林泓远项目管理有限公司</w:t>
      </w:r>
    </w:p>
    <w:p w14:paraId="60C3D1E5">
      <w:pPr>
        <w:widowControl/>
        <w:snapToGrid w:val="0"/>
        <w:spacing w:line="480" w:lineRule="auto"/>
        <w:jc w:val="center"/>
        <w:rPr>
          <w:rFonts w:hint="eastAsia" w:ascii="宋体" w:hAnsi="宋体"/>
          <w:color w:val="auto"/>
          <w:szCs w:val="20"/>
        </w:rPr>
      </w:pPr>
      <w:r>
        <w:rPr>
          <w:rFonts w:hint="eastAsia" w:ascii="宋体" w:hAnsi="宋体"/>
          <w:color w:val="auto"/>
          <w:szCs w:val="20"/>
        </w:rPr>
        <w:t xml:space="preserve">                                 </w:t>
      </w:r>
      <w:r>
        <w:rPr>
          <w:rFonts w:hint="eastAsia" w:ascii="宋体" w:hAnsi="宋体"/>
          <w:color w:val="auto"/>
          <w:szCs w:val="20"/>
          <w:lang w:val="en-US" w:eastAsia="zh-CN"/>
        </w:rPr>
        <w:t xml:space="preserve">                             </w:t>
      </w:r>
      <w:r>
        <w:rPr>
          <w:rFonts w:hint="eastAsia" w:ascii="宋体" w:hAnsi="宋体"/>
          <w:color w:val="auto"/>
          <w:szCs w:val="20"/>
        </w:rPr>
        <w:t xml:space="preserve"> 202</w:t>
      </w:r>
      <w:r>
        <w:rPr>
          <w:rFonts w:hint="eastAsia" w:ascii="宋体" w:hAnsi="宋体"/>
          <w:color w:val="auto"/>
          <w:szCs w:val="20"/>
          <w:lang w:val="en-US" w:eastAsia="zh-CN"/>
        </w:rPr>
        <w:t>5</w:t>
      </w:r>
      <w:r>
        <w:rPr>
          <w:rFonts w:hint="eastAsia" w:ascii="宋体" w:hAnsi="宋体"/>
          <w:color w:val="auto"/>
          <w:szCs w:val="20"/>
        </w:rPr>
        <w:t>年</w:t>
      </w:r>
      <w:r>
        <w:rPr>
          <w:rFonts w:hint="eastAsia" w:ascii="宋体" w:hAnsi="宋体"/>
          <w:color w:val="auto"/>
          <w:szCs w:val="20"/>
          <w:lang w:val="en-US" w:eastAsia="zh-CN"/>
        </w:rPr>
        <w:t>6</w:t>
      </w:r>
      <w:r>
        <w:rPr>
          <w:rFonts w:hint="eastAsia" w:ascii="宋体" w:hAnsi="宋体"/>
          <w:color w:val="auto"/>
          <w:szCs w:val="20"/>
        </w:rPr>
        <w:t>月</w:t>
      </w:r>
      <w:r>
        <w:rPr>
          <w:rFonts w:hint="eastAsia" w:ascii="宋体" w:hAnsi="宋体"/>
          <w:color w:val="auto"/>
          <w:szCs w:val="20"/>
          <w:lang w:val="en-US" w:eastAsia="zh-CN"/>
        </w:rPr>
        <w:t>24</w:t>
      </w:r>
      <w:r>
        <w:rPr>
          <w:rFonts w:hint="eastAsia" w:ascii="宋体" w:hAnsi="宋体"/>
          <w:color w:val="auto"/>
          <w:szCs w:val="20"/>
        </w:rPr>
        <w:t>日</w:t>
      </w:r>
    </w:p>
    <w:p w14:paraId="537B9F16">
      <w:pPr>
        <w:widowControl/>
        <w:snapToGrid w:val="0"/>
        <w:spacing w:line="480" w:lineRule="auto"/>
        <w:jc w:val="center"/>
        <w:rPr>
          <w:rFonts w:hint="eastAsia" w:ascii="宋体" w:hAnsi="宋体"/>
          <w:color w:val="auto"/>
          <w:szCs w:val="20"/>
        </w:rPr>
      </w:pPr>
    </w:p>
    <w:p w14:paraId="552CB240">
      <w:pPr>
        <w:widowControl/>
        <w:snapToGrid w:val="0"/>
        <w:spacing w:line="480" w:lineRule="auto"/>
        <w:jc w:val="center"/>
        <w:rPr>
          <w:rFonts w:hint="eastAsia" w:ascii="宋体" w:hAnsi="宋体"/>
          <w:color w:val="auto"/>
          <w:szCs w:val="20"/>
        </w:rPr>
      </w:pPr>
    </w:p>
    <w:p w14:paraId="6D7D91CF">
      <w:pPr>
        <w:pStyle w:val="32"/>
        <w:rPr>
          <w:rFonts w:hint="eastAsia" w:ascii="宋体" w:hAnsi="宋体"/>
          <w:color w:val="auto"/>
          <w:szCs w:val="20"/>
        </w:rPr>
      </w:pPr>
    </w:p>
    <w:p w14:paraId="68045214">
      <w:pPr>
        <w:rPr>
          <w:rFonts w:hint="eastAsia" w:ascii="宋体" w:hAnsi="宋体"/>
          <w:color w:val="auto"/>
          <w:szCs w:val="20"/>
        </w:rPr>
      </w:pPr>
    </w:p>
    <w:p w14:paraId="41E2034B">
      <w:pPr>
        <w:pStyle w:val="32"/>
        <w:rPr>
          <w:rFonts w:hint="eastAsia" w:ascii="宋体" w:hAnsi="宋体"/>
          <w:color w:val="auto"/>
          <w:szCs w:val="20"/>
        </w:rPr>
      </w:pPr>
    </w:p>
    <w:p w14:paraId="4E4EB851">
      <w:pPr>
        <w:rPr>
          <w:rFonts w:hint="eastAsia" w:ascii="宋体" w:hAnsi="宋体"/>
          <w:color w:val="auto"/>
          <w:szCs w:val="20"/>
        </w:rPr>
      </w:pPr>
    </w:p>
    <w:p w14:paraId="4042ABF1">
      <w:pPr>
        <w:pStyle w:val="32"/>
        <w:rPr>
          <w:rFonts w:hint="eastAsia" w:ascii="宋体" w:hAnsi="宋体"/>
          <w:color w:val="auto"/>
          <w:szCs w:val="20"/>
        </w:rPr>
      </w:pPr>
    </w:p>
    <w:p w14:paraId="18125D16">
      <w:pPr>
        <w:rPr>
          <w:rFonts w:hint="eastAsia" w:ascii="宋体" w:hAnsi="宋体"/>
          <w:color w:val="auto"/>
          <w:szCs w:val="20"/>
        </w:rPr>
      </w:pPr>
    </w:p>
    <w:p w14:paraId="14A1D890">
      <w:pPr>
        <w:pStyle w:val="32"/>
        <w:rPr>
          <w:rFonts w:hint="eastAsia" w:ascii="宋体" w:hAnsi="宋体"/>
          <w:color w:val="auto"/>
          <w:szCs w:val="20"/>
        </w:rPr>
      </w:pPr>
    </w:p>
    <w:p w14:paraId="6DF2E7D8">
      <w:pPr>
        <w:rPr>
          <w:rFonts w:hint="eastAsia" w:ascii="宋体" w:hAnsi="宋体"/>
          <w:color w:val="auto"/>
          <w:szCs w:val="20"/>
        </w:rPr>
      </w:pPr>
    </w:p>
    <w:p w14:paraId="32F0F758">
      <w:pPr>
        <w:pStyle w:val="32"/>
        <w:rPr>
          <w:rFonts w:hint="eastAsia" w:ascii="宋体" w:hAnsi="宋体"/>
          <w:color w:val="auto"/>
          <w:szCs w:val="20"/>
        </w:rPr>
      </w:pPr>
    </w:p>
    <w:p w14:paraId="1F7D2DB4">
      <w:pPr>
        <w:rPr>
          <w:rFonts w:hint="eastAsia" w:ascii="宋体" w:hAnsi="宋体"/>
          <w:color w:val="auto"/>
          <w:szCs w:val="20"/>
        </w:rPr>
      </w:pPr>
    </w:p>
    <w:p w14:paraId="3A9FFB1E">
      <w:pPr>
        <w:pStyle w:val="32"/>
        <w:rPr>
          <w:rFonts w:hint="eastAsia" w:ascii="宋体" w:hAnsi="宋体"/>
          <w:color w:val="auto"/>
          <w:szCs w:val="20"/>
        </w:rPr>
      </w:pPr>
    </w:p>
    <w:p w14:paraId="085A0E40">
      <w:pPr>
        <w:rPr>
          <w:rFonts w:hint="eastAsia" w:ascii="宋体" w:hAnsi="宋体"/>
          <w:color w:val="auto"/>
          <w:szCs w:val="20"/>
        </w:rPr>
      </w:pPr>
    </w:p>
    <w:p w14:paraId="1535C51B">
      <w:pPr>
        <w:rPr>
          <w:rFonts w:hint="eastAsia" w:ascii="宋体" w:hAnsi="宋体"/>
          <w:color w:val="auto"/>
          <w:szCs w:val="20"/>
        </w:rPr>
      </w:pPr>
    </w:p>
    <w:p w14:paraId="68C7B62F">
      <w:pPr>
        <w:rPr>
          <w:rFonts w:hint="eastAsia" w:ascii="宋体" w:hAnsi="宋体"/>
          <w:color w:val="auto"/>
          <w:szCs w:val="20"/>
        </w:rPr>
      </w:pPr>
    </w:p>
    <w:p w14:paraId="7B0DB656">
      <w:pPr>
        <w:rPr>
          <w:rFonts w:hint="eastAsia" w:ascii="宋体" w:hAnsi="宋体"/>
          <w:color w:val="auto"/>
          <w:szCs w:val="20"/>
        </w:rPr>
      </w:pPr>
    </w:p>
    <w:p w14:paraId="6403B0ED">
      <w:pPr>
        <w:rPr>
          <w:rFonts w:hint="eastAsia" w:ascii="宋体" w:hAnsi="宋体"/>
          <w:color w:val="auto"/>
          <w:szCs w:val="20"/>
        </w:rPr>
      </w:pPr>
    </w:p>
    <w:p w14:paraId="15E8747E">
      <w:pPr>
        <w:rPr>
          <w:rFonts w:hint="eastAsia" w:ascii="宋体" w:hAnsi="宋体"/>
          <w:color w:val="auto"/>
          <w:szCs w:val="20"/>
        </w:rPr>
      </w:pPr>
    </w:p>
    <w:p w14:paraId="6604FC5C">
      <w:pPr>
        <w:pStyle w:val="32"/>
        <w:rPr>
          <w:rFonts w:hint="eastAsia" w:ascii="宋体" w:hAnsi="宋体"/>
          <w:color w:val="auto"/>
          <w:szCs w:val="20"/>
        </w:rPr>
      </w:pPr>
    </w:p>
    <w:p w14:paraId="0F4BFAB5">
      <w:pPr>
        <w:rPr>
          <w:rFonts w:hint="eastAsia" w:ascii="宋体" w:hAnsi="宋体"/>
          <w:color w:val="auto"/>
          <w:szCs w:val="20"/>
        </w:rPr>
      </w:pPr>
    </w:p>
    <w:bookmarkEnd w:id="5"/>
    <w:bookmarkEnd w:id="6"/>
    <w:p w14:paraId="7CCB22E3">
      <w:pPr>
        <w:spacing w:line="276" w:lineRule="auto"/>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第二章</w:t>
      </w:r>
      <w:r>
        <w:rPr>
          <w:rFonts w:hint="eastAsia" w:asciiTheme="minorEastAsia" w:hAnsiTheme="minorEastAsia" w:eastAsiaTheme="minorEastAsia"/>
          <w:b/>
          <w:color w:val="auto"/>
          <w:sz w:val="44"/>
          <w:szCs w:val="44"/>
          <w:lang w:val="en-US" w:eastAsia="zh-CN"/>
        </w:rPr>
        <w:t xml:space="preserve"> </w:t>
      </w:r>
      <w:r>
        <w:rPr>
          <w:rFonts w:hint="eastAsia" w:asciiTheme="minorEastAsia" w:hAnsiTheme="minorEastAsia" w:eastAsiaTheme="minorEastAsia"/>
          <w:b/>
          <w:color w:val="auto"/>
          <w:sz w:val="44"/>
          <w:szCs w:val="44"/>
          <w:lang w:eastAsia="zh-CN"/>
        </w:rPr>
        <w:t>供应商</w:t>
      </w:r>
      <w:r>
        <w:rPr>
          <w:rFonts w:hint="eastAsia" w:asciiTheme="minorEastAsia" w:hAnsiTheme="minorEastAsia" w:eastAsiaTheme="minorEastAsia"/>
          <w:b/>
          <w:color w:val="auto"/>
          <w:sz w:val="44"/>
          <w:szCs w:val="44"/>
        </w:rPr>
        <w:t>须知</w:t>
      </w:r>
      <w:bookmarkEnd w:id="7"/>
      <w:bookmarkEnd w:id="8"/>
      <w:bookmarkEnd w:id="9"/>
      <w:bookmarkEnd w:id="10"/>
      <w:bookmarkEnd w:id="11"/>
      <w:bookmarkEnd w:id="12"/>
      <w:bookmarkEnd w:id="13"/>
      <w:bookmarkEnd w:id="14"/>
    </w:p>
    <w:p w14:paraId="7780E113">
      <w:pPr>
        <w:pStyle w:val="3"/>
        <w:spacing w:line="276" w:lineRule="auto"/>
        <w:rPr>
          <w:rFonts w:asciiTheme="minorEastAsia" w:hAnsiTheme="minorEastAsia" w:eastAsiaTheme="minorEastAsia"/>
          <w:color w:val="auto"/>
          <w:sz w:val="28"/>
        </w:rPr>
      </w:pPr>
      <w:bookmarkStart w:id="31" w:name="_Toc246996917"/>
      <w:bookmarkStart w:id="32" w:name="_Toc246996174"/>
      <w:bookmarkStart w:id="33" w:name="_Toc296602419"/>
      <w:bookmarkStart w:id="34" w:name="_Toc152045528"/>
      <w:bookmarkStart w:id="35" w:name="_Toc179632545"/>
      <w:bookmarkStart w:id="36" w:name="_Toc144974496"/>
      <w:bookmarkStart w:id="37" w:name="_Toc247085688"/>
      <w:bookmarkStart w:id="38" w:name="_Toc152042304"/>
      <w:r>
        <w:rPr>
          <w:rFonts w:hint="eastAsia" w:asciiTheme="minorEastAsia" w:hAnsiTheme="minorEastAsia" w:eastAsiaTheme="minorEastAsia"/>
          <w:color w:val="auto"/>
          <w:sz w:val="28"/>
          <w:lang w:eastAsia="zh-CN"/>
        </w:rPr>
        <w:t>供应商</w:t>
      </w:r>
      <w:r>
        <w:rPr>
          <w:rFonts w:hint="eastAsia" w:asciiTheme="minorEastAsia" w:hAnsiTheme="minorEastAsia" w:eastAsiaTheme="minorEastAsia"/>
          <w:color w:val="auto"/>
          <w:sz w:val="28"/>
        </w:rPr>
        <w:t>须知前附表</w:t>
      </w:r>
      <w:bookmarkEnd w:id="31"/>
      <w:bookmarkEnd w:id="32"/>
      <w:bookmarkEnd w:id="33"/>
      <w:bookmarkEnd w:id="34"/>
      <w:bookmarkEnd w:id="35"/>
      <w:bookmarkEnd w:id="36"/>
      <w:bookmarkEnd w:id="37"/>
      <w:bookmarkEnd w:id="38"/>
    </w:p>
    <w:tbl>
      <w:tblPr>
        <w:tblStyle w:val="33"/>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8"/>
        <w:gridCol w:w="3103"/>
        <w:gridCol w:w="5636"/>
      </w:tblGrid>
      <w:tr w14:paraId="3E432A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8E163CD">
            <w:pPr>
              <w:spacing w:line="44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条款号</w:t>
            </w:r>
          </w:p>
        </w:tc>
        <w:tc>
          <w:tcPr>
            <w:tcW w:w="3103" w:type="dxa"/>
            <w:vAlign w:val="center"/>
          </w:tcPr>
          <w:p w14:paraId="275C2BDC">
            <w:pPr>
              <w:spacing w:line="44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条款名称</w:t>
            </w:r>
          </w:p>
        </w:tc>
        <w:tc>
          <w:tcPr>
            <w:tcW w:w="5636" w:type="dxa"/>
            <w:vAlign w:val="center"/>
          </w:tcPr>
          <w:p w14:paraId="57DE72AF">
            <w:pPr>
              <w:spacing w:line="44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编列内容</w:t>
            </w:r>
          </w:p>
        </w:tc>
      </w:tr>
      <w:tr w14:paraId="59628A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43F311A">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1.1.2</w:t>
            </w:r>
          </w:p>
        </w:tc>
        <w:tc>
          <w:tcPr>
            <w:tcW w:w="3103" w:type="dxa"/>
            <w:vAlign w:val="center"/>
          </w:tcPr>
          <w:p w14:paraId="2F64CA16">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w:t>
            </w:r>
            <w:r>
              <w:rPr>
                <w:rFonts w:asciiTheme="minorEastAsia" w:hAnsiTheme="minorEastAsia" w:eastAsiaTheme="minorEastAsia"/>
                <w:color w:val="auto"/>
                <w:szCs w:val="21"/>
              </w:rPr>
              <w:t>人</w:t>
            </w:r>
          </w:p>
        </w:tc>
        <w:tc>
          <w:tcPr>
            <w:tcW w:w="5636" w:type="dxa"/>
            <w:vAlign w:val="center"/>
          </w:tcPr>
          <w:p w14:paraId="0F62FD7E">
            <w:pPr>
              <w:spacing w:line="440" w:lineRule="exact"/>
              <w:rPr>
                <w:rFonts w:hint="eastAsia" w:ascii="宋体" w:hAnsi="宋体"/>
                <w:color w:val="auto"/>
                <w:szCs w:val="21"/>
              </w:rPr>
            </w:pPr>
            <w:r>
              <w:rPr>
                <w:rFonts w:hint="eastAsia" w:ascii="宋体" w:hAnsi="宋体"/>
                <w:color w:val="auto"/>
                <w:szCs w:val="21"/>
              </w:rPr>
              <w:t>名称：</w:t>
            </w:r>
            <w:r>
              <w:rPr>
                <w:rFonts w:hint="eastAsia" w:cs="宋体" w:asciiTheme="minorEastAsia" w:hAnsiTheme="minorEastAsia" w:eastAsiaTheme="minorEastAsia"/>
                <w:color w:val="auto"/>
                <w:kern w:val="0"/>
                <w:szCs w:val="20"/>
                <w:lang w:eastAsia="zh-CN"/>
              </w:rPr>
              <w:t>延吉市卫生健康和医疗保障局</w:t>
            </w:r>
            <w:r>
              <w:rPr>
                <w:rFonts w:hint="eastAsia" w:ascii="宋体" w:hAnsi="宋体"/>
                <w:color w:val="auto"/>
                <w:szCs w:val="21"/>
              </w:rPr>
              <w:t xml:space="preserve">     </w:t>
            </w:r>
          </w:p>
          <w:p w14:paraId="6F02B0D5">
            <w:pPr>
              <w:spacing w:line="440" w:lineRule="exact"/>
              <w:rPr>
                <w:rFonts w:hint="eastAsia" w:ascii="宋体" w:hAnsi="宋体"/>
                <w:color w:val="auto"/>
                <w:szCs w:val="21"/>
              </w:rPr>
            </w:pPr>
            <w:r>
              <w:rPr>
                <w:rFonts w:hint="eastAsia" w:ascii="宋体" w:hAnsi="宋体"/>
                <w:color w:val="auto"/>
                <w:szCs w:val="21"/>
              </w:rPr>
              <w:t xml:space="preserve">联系人：王楚凡    </w:t>
            </w:r>
          </w:p>
          <w:p w14:paraId="05983CF6">
            <w:pPr>
              <w:spacing w:line="440" w:lineRule="exact"/>
              <w:rPr>
                <w:rFonts w:hint="eastAsia" w:ascii="宋体" w:hAnsi="宋体"/>
                <w:color w:val="auto"/>
                <w:szCs w:val="21"/>
              </w:rPr>
            </w:pPr>
            <w:r>
              <w:rPr>
                <w:rFonts w:hint="eastAsia" w:ascii="宋体" w:hAnsi="宋体"/>
                <w:color w:val="auto"/>
                <w:szCs w:val="21"/>
              </w:rPr>
              <w:t>电话：0433-2360216</w:t>
            </w:r>
          </w:p>
          <w:p w14:paraId="503F3E8C">
            <w:pPr>
              <w:spacing w:line="440" w:lineRule="exact"/>
              <w:rPr>
                <w:rFonts w:asciiTheme="minorEastAsia" w:hAnsiTheme="minorEastAsia" w:eastAsiaTheme="minorEastAsia"/>
                <w:color w:val="auto"/>
                <w:szCs w:val="21"/>
              </w:rPr>
            </w:pPr>
            <w:r>
              <w:rPr>
                <w:rFonts w:hint="eastAsia" w:ascii="宋体" w:hAnsi="宋体"/>
                <w:color w:val="auto"/>
                <w:szCs w:val="21"/>
              </w:rPr>
              <w:t>地址：延吉市河南街759号；</w:t>
            </w:r>
          </w:p>
        </w:tc>
      </w:tr>
      <w:tr w14:paraId="39AE65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3245D698">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1.1.3</w:t>
            </w:r>
          </w:p>
        </w:tc>
        <w:tc>
          <w:tcPr>
            <w:tcW w:w="3103" w:type="dxa"/>
            <w:vAlign w:val="center"/>
          </w:tcPr>
          <w:p w14:paraId="099E7836">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w:t>
            </w:r>
            <w:r>
              <w:rPr>
                <w:rFonts w:asciiTheme="minorEastAsia" w:hAnsiTheme="minorEastAsia" w:eastAsiaTheme="minorEastAsia"/>
                <w:color w:val="auto"/>
                <w:szCs w:val="21"/>
              </w:rPr>
              <w:t>代理机构</w:t>
            </w:r>
          </w:p>
        </w:tc>
        <w:tc>
          <w:tcPr>
            <w:tcW w:w="5636" w:type="dxa"/>
            <w:vAlign w:val="center"/>
          </w:tcPr>
          <w:p w14:paraId="72184056">
            <w:pPr>
              <w:spacing w:line="440" w:lineRule="exact"/>
              <w:rPr>
                <w:rFonts w:hint="eastAsia" w:eastAsia="宋体"/>
                <w:color w:val="auto"/>
                <w:szCs w:val="21"/>
                <w:lang w:eastAsia="zh-CN"/>
              </w:rPr>
            </w:pPr>
            <w:r>
              <w:rPr>
                <w:color w:val="auto"/>
                <w:szCs w:val="21"/>
              </w:rPr>
              <w:t>名称：</w:t>
            </w:r>
            <w:r>
              <w:rPr>
                <w:rFonts w:hint="eastAsia"/>
                <w:color w:val="auto"/>
                <w:szCs w:val="21"/>
                <w:lang w:eastAsia="zh-CN"/>
              </w:rPr>
              <w:t>吉林泓远项目管理有限公司</w:t>
            </w:r>
          </w:p>
          <w:p w14:paraId="132C42DC">
            <w:pPr>
              <w:spacing w:line="440" w:lineRule="exact"/>
              <w:rPr>
                <w:color w:val="auto"/>
                <w:szCs w:val="21"/>
              </w:rPr>
            </w:pPr>
            <w:r>
              <w:rPr>
                <w:color w:val="auto"/>
                <w:szCs w:val="21"/>
              </w:rPr>
              <w:t>地址：</w:t>
            </w:r>
            <w:r>
              <w:rPr>
                <w:rFonts w:hint="eastAsia" w:ascii="宋体" w:hAnsi="宋体" w:cs="宋体"/>
                <w:color w:val="auto"/>
                <w:kern w:val="0"/>
                <w:szCs w:val="20"/>
              </w:rPr>
              <w:t>延边州延吉市太平街202号6001</w:t>
            </w:r>
          </w:p>
          <w:p w14:paraId="2C1C0C18">
            <w:pPr>
              <w:spacing w:line="440" w:lineRule="exact"/>
              <w:rPr>
                <w:color w:val="auto"/>
                <w:szCs w:val="21"/>
              </w:rPr>
            </w:pPr>
            <w:r>
              <w:rPr>
                <w:color w:val="auto"/>
                <w:szCs w:val="21"/>
              </w:rPr>
              <w:t>联系人：</w:t>
            </w:r>
            <w:r>
              <w:rPr>
                <w:rFonts w:hint="eastAsia"/>
                <w:color w:val="auto"/>
                <w:szCs w:val="21"/>
              </w:rPr>
              <w:t>孙妍</w:t>
            </w:r>
          </w:p>
          <w:p w14:paraId="52506537">
            <w:pPr>
              <w:spacing w:line="440" w:lineRule="exact"/>
              <w:rPr>
                <w:rFonts w:asciiTheme="minorEastAsia" w:hAnsiTheme="minorEastAsia" w:eastAsiaTheme="minorEastAsia"/>
                <w:color w:val="auto"/>
                <w:szCs w:val="21"/>
              </w:rPr>
            </w:pPr>
            <w:r>
              <w:rPr>
                <w:color w:val="auto"/>
                <w:szCs w:val="21"/>
              </w:rPr>
              <w:t>电话：</w:t>
            </w:r>
            <w:r>
              <w:rPr>
                <w:rFonts w:hint="eastAsia"/>
                <w:color w:val="auto"/>
                <w:szCs w:val="21"/>
              </w:rPr>
              <w:t>0433-2867005</w:t>
            </w:r>
          </w:p>
        </w:tc>
      </w:tr>
      <w:tr w14:paraId="3F5EB4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8205A17">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1.1.4</w:t>
            </w:r>
          </w:p>
        </w:tc>
        <w:tc>
          <w:tcPr>
            <w:tcW w:w="3103" w:type="dxa"/>
            <w:vAlign w:val="center"/>
          </w:tcPr>
          <w:p w14:paraId="109E91DF">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项目名称</w:t>
            </w:r>
          </w:p>
        </w:tc>
        <w:tc>
          <w:tcPr>
            <w:tcW w:w="5636" w:type="dxa"/>
            <w:vAlign w:val="center"/>
          </w:tcPr>
          <w:p w14:paraId="195F5BBD">
            <w:pPr>
              <w:spacing w:line="440" w:lineRule="exact"/>
              <w:rPr>
                <w:rFonts w:hint="eastAsia" w:asciiTheme="minorEastAsia" w:hAnsiTheme="minorEastAsia" w:eastAsiaTheme="minorEastAsia"/>
                <w:color w:val="auto"/>
                <w:szCs w:val="21"/>
                <w:lang w:eastAsia="zh-CN"/>
              </w:rPr>
            </w:pPr>
            <w:r>
              <w:rPr>
                <w:rFonts w:hint="eastAsia" w:cs="宋体" w:asciiTheme="minorEastAsia" w:hAnsiTheme="minorEastAsia" w:eastAsiaTheme="minorEastAsia"/>
                <w:color w:val="auto"/>
                <w:lang w:eastAsia="zh-CN"/>
              </w:rPr>
              <w:t>2024年计划生育家庭特别扶助对象住院护理补贴保险项目二次</w:t>
            </w:r>
          </w:p>
        </w:tc>
      </w:tr>
      <w:tr w14:paraId="72A092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477A4D7">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1.1.5</w:t>
            </w:r>
          </w:p>
        </w:tc>
        <w:tc>
          <w:tcPr>
            <w:tcW w:w="3103" w:type="dxa"/>
            <w:vAlign w:val="center"/>
          </w:tcPr>
          <w:p w14:paraId="6450F0A7">
            <w:pPr>
              <w:spacing w:line="440" w:lineRule="exact"/>
              <w:jc w:val="center"/>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服务地点</w:t>
            </w:r>
          </w:p>
        </w:tc>
        <w:tc>
          <w:tcPr>
            <w:tcW w:w="5636" w:type="dxa"/>
            <w:vAlign w:val="center"/>
          </w:tcPr>
          <w:p w14:paraId="48798C4D">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甲方指定地点</w:t>
            </w:r>
          </w:p>
        </w:tc>
      </w:tr>
      <w:tr w14:paraId="1AD6C6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1008" w:type="dxa"/>
            <w:vAlign w:val="center"/>
          </w:tcPr>
          <w:p w14:paraId="641D3712">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1.2.1</w:t>
            </w:r>
          </w:p>
        </w:tc>
        <w:tc>
          <w:tcPr>
            <w:tcW w:w="3103" w:type="dxa"/>
            <w:vAlign w:val="center"/>
          </w:tcPr>
          <w:p w14:paraId="0D53E279">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资金来源</w:t>
            </w:r>
            <w:r>
              <w:rPr>
                <w:rFonts w:hint="eastAsia" w:asciiTheme="minorEastAsia" w:hAnsiTheme="minorEastAsia" w:eastAsiaTheme="minorEastAsia"/>
                <w:color w:val="auto"/>
                <w:szCs w:val="21"/>
              </w:rPr>
              <w:t>及比例</w:t>
            </w:r>
          </w:p>
        </w:tc>
        <w:tc>
          <w:tcPr>
            <w:tcW w:w="5636" w:type="dxa"/>
            <w:vAlign w:val="center"/>
          </w:tcPr>
          <w:p w14:paraId="6203A182">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财政</w:t>
            </w:r>
            <w:r>
              <w:rPr>
                <w:rFonts w:hint="eastAsia" w:asciiTheme="minorEastAsia" w:hAnsiTheme="minorEastAsia" w:eastAsiaTheme="minorEastAsia"/>
                <w:color w:val="auto"/>
                <w:szCs w:val="21"/>
              </w:rPr>
              <w:t>资金100%</w:t>
            </w:r>
          </w:p>
        </w:tc>
      </w:tr>
      <w:tr w14:paraId="193861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5523E73">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1.2.2</w:t>
            </w:r>
          </w:p>
        </w:tc>
        <w:tc>
          <w:tcPr>
            <w:tcW w:w="3103" w:type="dxa"/>
            <w:vAlign w:val="center"/>
          </w:tcPr>
          <w:p w14:paraId="69D0CA75">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资金</w:t>
            </w:r>
            <w:r>
              <w:rPr>
                <w:rFonts w:asciiTheme="minorEastAsia" w:hAnsiTheme="minorEastAsia" w:eastAsiaTheme="minorEastAsia"/>
                <w:color w:val="auto"/>
                <w:szCs w:val="21"/>
              </w:rPr>
              <w:t>落实情况</w:t>
            </w:r>
          </w:p>
        </w:tc>
        <w:tc>
          <w:tcPr>
            <w:tcW w:w="5636" w:type="dxa"/>
            <w:vAlign w:val="center"/>
          </w:tcPr>
          <w:p w14:paraId="1BD2B390">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已落实</w:t>
            </w:r>
          </w:p>
        </w:tc>
      </w:tr>
      <w:tr w14:paraId="5E2DAA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63A0338">
            <w:pPr>
              <w:spacing w:line="440" w:lineRule="exact"/>
              <w:jc w:val="center"/>
              <w:rPr>
                <w:rFonts w:asciiTheme="minorEastAsia" w:hAnsiTheme="minorEastAsia" w:eastAsiaTheme="minorEastAsia"/>
                <w:color w:val="auto"/>
                <w:szCs w:val="21"/>
              </w:rPr>
            </w:pPr>
          </w:p>
        </w:tc>
        <w:tc>
          <w:tcPr>
            <w:tcW w:w="3103" w:type="dxa"/>
            <w:vAlign w:val="center"/>
          </w:tcPr>
          <w:p w14:paraId="6F0CED79">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标段划分</w:t>
            </w:r>
          </w:p>
        </w:tc>
        <w:tc>
          <w:tcPr>
            <w:tcW w:w="5636" w:type="dxa"/>
            <w:vAlign w:val="center"/>
          </w:tcPr>
          <w:p w14:paraId="0E3C51F5">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一个</w:t>
            </w:r>
          </w:p>
        </w:tc>
      </w:tr>
      <w:tr w14:paraId="33F3A4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4FD56422">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.1</w:t>
            </w:r>
          </w:p>
        </w:tc>
        <w:tc>
          <w:tcPr>
            <w:tcW w:w="3103" w:type="dxa"/>
            <w:vAlign w:val="center"/>
          </w:tcPr>
          <w:p w14:paraId="5CBBBBDA">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服务内容</w:t>
            </w:r>
          </w:p>
        </w:tc>
        <w:tc>
          <w:tcPr>
            <w:tcW w:w="5636" w:type="dxa"/>
            <w:vAlign w:val="center"/>
          </w:tcPr>
          <w:p w14:paraId="369B2E35">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lang w:eastAsia="zh-CN"/>
              </w:rPr>
              <w:t>对纳入吉林省计划生育家庭特别扶助制度的扶助对象投保住院护理险</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eastAsia="zh-CN"/>
              </w:rPr>
              <w:t>具体要求详见第五章服务内容及要求</w:t>
            </w:r>
            <w:r>
              <w:rPr>
                <w:rFonts w:hint="eastAsia" w:cs="宋体" w:asciiTheme="minorEastAsia" w:hAnsiTheme="minorEastAsia" w:eastAsiaTheme="minorEastAsia"/>
                <w:color w:val="auto"/>
              </w:rPr>
              <w:t>）</w:t>
            </w:r>
          </w:p>
        </w:tc>
      </w:tr>
      <w:tr w14:paraId="379D90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9" w:hRule="atLeast"/>
        </w:trPr>
        <w:tc>
          <w:tcPr>
            <w:tcW w:w="1008" w:type="dxa"/>
            <w:vAlign w:val="center"/>
          </w:tcPr>
          <w:p w14:paraId="1AC9ADB3">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1.3.2</w:t>
            </w:r>
          </w:p>
        </w:tc>
        <w:tc>
          <w:tcPr>
            <w:tcW w:w="3103" w:type="dxa"/>
            <w:vAlign w:val="center"/>
          </w:tcPr>
          <w:p w14:paraId="2F408755">
            <w:pPr>
              <w:spacing w:line="440" w:lineRule="exact"/>
              <w:ind w:firstLine="1260" w:firstLineChars="600"/>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服务期限</w:t>
            </w:r>
          </w:p>
        </w:tc>
        <w:tc>
          <w:tcPr>
            <w:tcW w:w="5636" w:type="dxa"/>
            <w:vAlign w:val="center"/>
          </w:tcPr>
          <w:p w14:paraId="7CB48AD5">
            <w:pPr>
              <w:spacing w:line="360"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lang w:eastAsia="zh-CN"/>
              </w:rPr>
              <w:t>保费在签订协议后30日内完成支付</w:t>
            </w:r>
          </w:p>
        </w:tc>
      </w:tr>
      <w:tr w14:paraId="1C1CA7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367830A">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1.3.3</w:t>
            </w:r>
          </w:p>
        </w:tc>
        <w:tc>
          <w:tcPr>
            <w:tcW w:w="3103" w:type="dxa"/>
            <w:vAlign w:val="center"/>
          </w:tcPr>
          <w:p w14:paraId="456558B1">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服务</w:t>
            </w:r>
            <w:r>
              <w:rPr>
                <w:rFonts w:asciiTheme="minorEastAsia" w:hAnsiTheme="minorEastAsia" w:eastAsiaTheme="minorEastAsia"/>
                <w:color w:val="auto"/>
                <w:szCs w:val="21"/>
              </w:rPr>
              <w:t>要求</w:t>
            </w:r>
          </w:p>
        </w:tc>
        <w:tc>
          <w:tcPr>
            <w:tcW w:w="5636" w:type="dxa"/>
            <w:vAlign w:val="center"/>
          </w:tcPr>
          <w:p w14:paraId="5B284BDB">
            <w:pPr>
              <w:spacing w:line="440" w:lineRule="exact"/>
              <w:rPr>
                <w:rFonts w:hint="eastAsia" w:asciiTheme="minorEastAsia" w:hAnsiTheme="minorEastAsia" w:eastAsiaTheme="minorEastAsia"/>
                <w:color w:val="auto"/>
                <w:szCs w:val="21"/>
                <w:lang w:eastAsia="zh-CN"/>
              </w:rPr>
            </w:pPr>
            <w:r>
              <w:rPr>
                <w:rFonts w:hint="eastAsia" w:ascii="宋体" w:hAnsi="宋体" w:cs="宋体" w:eastAsiaTheme="minorEastAsia"/>
                <w:color w:val="auto"/>
                <w:lang w:eastAsia="zh-CN"/>
              </w:rPr>
              <w:t>优质服务</w:t>
            </w:r>
          </w:p>
        </w:tc>
      </w:tr>
      <w:tr w14:paraId="06B196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1C37FF4">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1.4.1</w:t>
            </w:r>
          </w:p>
        </w:tc>
        <w:tc>
          <w:tcPr>
            <w:tcW w:w="3103" w:type="dxa"/>
            <w:vAlign w:val="center"/>
          </w:tcPr>
          <w:p w14:paraId="5C009E70">
            <w:pPr>
              <w:spacing w:line="440" w:lineRule="exact"/>
              <w:jc w:val="center"/>
              <w:rPr>
                <w:rFonts w:hint="eastAsia" w:asciiTheme="minorEastAsia" w:hAnsiTheme="minorEastAsia" w:eastAsiaTheme="minorEastAsia"/>
                <w:color w:val="auto"/>
                <w:szCs w:val="21"/>
                <w:lang w:eastAsia="zh-CN"/>
              </w:rPr>
            </w:pPr>
            <w:r>
              <w:rPr>
                <w:rFonts w:hint="eastAsia" w:cs="宋体" w:asciiTheme="minorEastAsia" w:hAnsiTheme="minorEastAsia" w:eastAsiaTheme="minorEastAsia"/>
                <w:color w:val="auto"/>
                <w:kern w:val="0"/>
                <w:szCs w:val="21"/>
                <w:lang w:eastAsia="zh-CN"/>
              </w:rPr>
              <w:t>供应商资格要求</w:t>
            </w:r>
          </w:p>
        </w:tc>
        <w:tc>
          <w:tcPr>
            <w:tcW w:w="5636" w:type="dxa"/>
            <w:vAlign w:val="center"/>
          </w:tcPr>
          <w:p w14:paraId="1F76964F">
            <w:pPr>
              <w:spacing w:line="440" w:lineRule="exact"/>
              <w:rPr>
                <w:rFonts w:asciiTheme="minorEastAsia" w:hAnsiTheme="minorEastAsia" w:eastAsiaTheme="minorEastAsia"/>
                <w:color w:val="auto"/>
                <w:szCs w:val="21"/>
              </w:rPr>
            </w:pPr>
            <w:r>
              <w:rPr>
                <w:rFonts w:asciiTheme="minorEastAsia" w:hAnsiTheme="minorEastAsia" w:eastAsiaTheme="minorEastAsia"/>
                <w:color w:val="auto"/>
                <w:szCs w:val="21"/>
              </w:rPr>
              <w:t>资质条件：</w:t>
            </w:r>
          </w:p>
          <w:p w14:paraId="56BA69FE">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1、满足《中华人民共和国政府采购法》第二十二条的规定；</w:t>
            </w:r>
          </w:p>
          <w:p w14:paraId="0492E27F">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2、落实政府采购政策需满足的资格要求：本项目非专门面向中小企业采购</w:t>
            </w:r>
          </w:p>
          <w:p w14:paraId="5756C05F">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3、本项目的特定资格要求：</w:t>
            </w:r>
          </w:p>
          <w:p w14:paraId="16EDD136">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cs="宋体" w:asciiTheme="minorEastAsia" w:hAnsiTheme="minorEastAsia" w:eastAsiaTheme="minorEastAsia"/>
                <w:color w:val="auto"/>
                <w:kern w:val="0"/>
                <w:szCs w:val="21"/>
                <w:lang w:eastAsia="zh-CN"/>
              </w:rPr>
              <w:t>供应商</w:t>
            </w:r>
            <w:r>
              <w:rPr>
                <w:rFonts w:hint="eastAsia" w:cs="宋体" w:asciiTheme="minorEastAsia" w:hAnsiTheme="minorEastAsia" w:eastAsiaTheme="minorEastAsia"/>
                <w:color w:val="auto"/>
                <w:kern w:val="0"/>
                <w:szCs w:val="21"/>
              </w:rPr>
              <w:t>须是在中华人民共和国境内注册的，有能力提供相应服务的供应商，须符合《中华人民共和国政府采购法》第二十二条第一款规定的条件</w:t>
            </w:r>
            <w:r>
              <w:rPr>
                <w:rFonts w:hint="eastAsia" w:asciiTheme="minorEastAsia" w:hAnsiTheme="minorEastAsia" w:eastAsiaTheme="minorEastAsia"/>
                <w:color w:val="auto"/>
                <w:szCs w:val="21"/>
              </w:rPr>
              <w:t>；</w:t>
            </w:r>
          </w:p>
          <w:p w14:paraId="4023996C">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（2）供应商可为保险总公司、可为经保险总公司授权的县级以上（含县级）分公司（支公司）参加磋商。（提供授权书并加盖保险总公司公章）。</w:t>
            </w:r>
          </w:p>
          <w:p w14:paraId="63716FEA">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（3）供应商需具备保险监督管理机构颁发的《保险许可证》。</w:t>
            </w:r>
          </w:p>
          <w:p w14:paraId="3FE2840F">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（4）同一保险集团公司的不同分（支）公司，不得同时参加本项目磋商；</w:t>
            </w:r>
          </w:p>
          <w:p w14:paraId="1186585D">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（5）202</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年度财务审计报告或财务报表（含资产负债表、现金流量表、利润表）（若供应商为2025年以后注册成立公司的，须提供银行资信证明）；</w:t>
            </w:r>
          </w:p>
          <w:p w14:paraId="15CEA5DA">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（6）近六个月内（任意一个月）依法缴纳税收和社会保障资金的相关证明材料，依法免税的供应商须提供相应文件证明其依法免税；</w:t>
            </w:r>
          </w:p>
          <w:p w14:paraId="79E2FF6F">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7）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w:t>
            </w:r>
          </w:p>
          <w:p w14:paraId="4F3BF99B">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（8）供应商参加采购活动前三年内在经营活动中没有重大违法记录；</w:t>
            </w:r>
          </w:p>
          <w:p w14:paraId="34054FCF">
            <w:pPr>
              <w:tabs>
                <w:tab w:val="left" w:pos="-1418"/>
              </w:tabs>
              <w:autoSpaceDE w:val="0"/>
              <w:autoSpaceDN w:val="0"/>
              <w:adjustRightInd w:val="0"/>
              <w:spacing w:line="360" w:lineRule="auto"/>
              <w:ind w:left="8" w:firstLine="411" w:firstLineChars="196"/>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（9）供应商必须未被列入“信用中国” 网站(www.creditchina.gov.cn)、中国政府采购网(www.ccgp.gov.cn)等渠道信用记录失信被执行人、重大税收违法案件当事人名单、政府采购严重违法失信行为记录名单；</w:t>
            </w:r>
          </w:p>
          <w:p w14:paraId="4F4ECC4F">
            <w:pPr>
              <w:tabs>
                <w:tab w:val="left" w:pos="-1418"/>
              </w:tabs>
              <w:autoSpaceDE w:val="0"/>
              <w:autoSpaceDN w:val="0"/>
              <w:adjustRightInd w:val="0"/>
              <w:spacing w:line="360" w:lineRule="auto"/>
              <w:ind w:left="8" w:firstLine="411" w:firstLineChars="19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（10）拒绝列入政府取消磋商资格记录期间的企业或个人参加本次磋商；</w:t>
            </w:r>
          </w:p>
        </w:tc>
      </w:tr>
      <w:tr w14:paraId="76E46C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DA8063A">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9</w:t>
            </w:r>
            <w:r>
              <w:rPr>
                <w:rFonts w:asciiTheme="minorEastAsia" w:hAnsiTheme="minorEastAsia" w:eastAsiaTheme="minorEastAsia"/>
                <w:color w:val="auto"/>
                <w:szCs w:val="21"/>
              </w:rPr>
              <w:t>.1</w:t>
            </w:r>
          </w:p>
        </w:tc>
        <w:tc>
          <w:tcPr>
            <w:tcW w:w="3103" w:type="dxa"/>
            <w:vAlign w:val="center"/>
          </w:tcPr>
          <w:p w14:paraId="226A12CF">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投标预备会</w:t>
            </w:r>
          </w:p>
        </w:tc>
        <w:tc>
          <w:tcPr>
            <w:tcW w:w="5636" w:type="dxa"/>
            <w:vAlign w:val="center"/>
          </w:tcPr>
          <w:p w14:paraId="15A906B5">
            <w:pPr>
              <w:pStyle w:val="13"/>
              <w:topLinePunct/>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32"/>
                <w:szCs w:val="32"/>
              </w:rPr>
              <w:t>√</w:t>
            </w:r>
            <w:r>
              <w:rPr>
                <w:rFonts w:hint="eastAsia" w:asciiTheme="minorEastAsia" w:hAnsiTheme="minorEastAsia" w:eastAsiaTheme="minorEastAsia"/>
                <w:color w:val="auto"/>
                <w:kern w:val="2"/>
                <w:sz w:val="21"/>
                <w:szCs w:val="21"/>
              </w:rPr>
              <w:t>不召开</w:t>
            </w:r>
          </w:p>
          <w:p w14:paraId="7299066C">
            <w:pPr>
              <w:spacing w:line="440" w:lineRule="exact"/>
              <w:rPr>
                <w:rFonts w:asciiTheme="minorEastAsia" w:hAnsiTheme="minorEastAsia" w:eastAsiaTheme="minorEastAsia"/>
                <w:color w:val="auto"/>
                <w:szCs w:val="21"/>
              </w:rPr>
            </w:pPr>
            <w:r>
              <w:rPr>
                <w:rFonts w:asciiTheme="minorEastAsia" w:hAnsiTheme="minorEastAsia" w:eastAsiaTheme="minorEastAsia"/>
                <w:color w:val="auto"/>
                <w:sz w:val="32"/>
                <w:szCs w:val="32"/>
              </w:rPr>
              <w:t>□</w:t>
            </w:r>
            <w:r>
              <w:rPr>
                <w:rFonts w:hint="eastAsia" w:asciiTheme="minorEastAsia" w:hAnsiTheme="minorEastAsia" w:eastAsiaTheme="minorEastAsia"/>
                <w:color w:val="auto"/>
                <w:szCs w:val="21"/>
              </w:rPr>
              <w:t>召开，召开时间：</w:t>
            </w:r>
          </w:p>
          <w:p w14:paraId="22089A10">
            <w:pPr>
              <w:pStyle w:val="13"/>
              <w:topLinePunct/>
              <w:spacing w:line="400" w:lineRule="exact"/>
              <w:rPr>
                <w:rFonts w:asciiTheme="minorEastAsia" w:hAnsiTheme="minorEastAsia" w:eastAsiaTheme="minorEastAsia"/>
                <w:color w:val="auto"/>
                <w:kern w:val="2"/>
                <w:sz w:val="32"/>
                <w:szCs w:val="32"/>
              </w:rPr>
            </w:pPr>
            <w:r>
              <w:rPr>
                <w:rFonts w:hint="eastAsia" w:asciiTheme="minorEastAsia" w:hAnsiTheme="minorEastAsia" w:eastAsiaTheme="minorEastAsia"/>
                <w:color w:val="auto"/>
                <w:kern w:val="2"/>
                <w:szCs w:val="21"/>
              </w:rPr>
              <w:t xml:space="preserve">       召开地点：</w:t>
            </w:r>
          </w:p>
        </w:tc>
      </w:tr>
      <w:tr w14:paraId="2F8811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4EB91B30">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9</w:t>
            </w:r>
            <w:r>
              <w:rPr>
                <w:rFonts w:asciiTheme="minorEastAsia" w:hAnsiTheme="minorEastAsia" w:eastAsiaTheme="minorEastAsia"/>
                <w:color w:val="auto"/>
                <w:szCs w:val="21"/>
              </w:rPr>
              <w:t>.2</w:t>
            </w:r>
          </w:p>
        </w:tc>
        <w:tc>
          <w:tcPr>
            <w:tcW w:w="3103" w:type="dxa"/>
            <w:vAlign w:val="center"/>
          </w:tcPr>
          <w:p w14:paraId="1EC96C1D">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供应商</w:t>
            </w:r>
            <w:r>
              <w:rPr>
                <w:rFonts w:asciiTheme="minorEastAsia" w:hAnsiTheme="minorEastAsia" w:eastAsiaTheme="minorEastAsia"/>
                <w:color w:val="auto"/>
                <w:szCs w:val="21"/>
              </w:rPr>
              <w:t>提出问题的截止时间</w:t>
            </w:r>
          </w:p>
        </w:tc>
        <w:tc>
          <w:tcPr>
            <w:tcW w:w="5636" w:type="dxa"/>
            <w:vAlign w:val="center"/>
          </w:tcPr>
          <w:p w14:paraId="06EFA55D">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投标截止时间</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日前</w:t>
            </w:r>
          </w:p>
        </w:tc>
      </w:tr>
      <w:tr w14:paraId="299E49C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DDB354E">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9</w:t>
            </w:r>
            <w:r>
              <w:rPr>
                <w:rFonts w:asciiTheme="minorEastAsia" w:hAnsiTheme="minorEastAsia" w:eastAsiaTheme="minorEastAsia"/>
                <w:color w:val="auto"/>
                <w:szCs w:val="21"/>
              </w:rPr>
              <w:t>.3</w:t>
            </w:r>
          </w:p>
        </w:tc>
        <w:tc>
          <w:tcPr>
            <w:tcW w:w="3103" w:type="dxa"/>
            <w:vAlign w:val="center"/>
          </w:tcPr>
          <w:p w14:paraId="7C528F36">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w:t>
            </w:r>
            <w:r>
              <w:rPr>
                <w:rFonts w:asciiTheme="minorEastAsia" w:hAnsiTheme="minorEastAsia" w:eastAsiaTheme="minorEastAsia"/>
                <w:color w:val="auto"/>
                <w:szCs w:val="21"/>
              </w:rPr>
              <w:t>人书面澄清的时间</w:t>
            </w:r>
          </w:p>
        </w:tc>
        <w:tc>
          <w:tcPr>
            <w:tcW w:w="5636" w:type="dxa"/>
            <w:vAlign w:val="center"/>
          </w:tcPr>
          <w:p w14:paraId="0CAE5D3A">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投标截止时间</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日前</w:t>
            </w:r>
          </w:p>
        </w:tc>
      </w:tr>
      <w:tr w14:paraId="033B2C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1008" w:type="dxa"/>
            <w:vAlign w:val="center"/>
          </w:tcPr>
          <w:p w14:paraId="25BFE554">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2.1</w:t>
            </w:r>
          </w:p>
        </w:tc>
        <w:tc>
          <w:tcPr>
            <w:tcW w:w="3103" w:type="dxa"/>
            <w:vAlign w:val="center"/>
          </w:tcPr>
          <w:p w14:paraId="7E4E11C0">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构成</w:t>
            </w:r>
            <w:r>
              <w:rPr>
                <w:rFonts w:hint="eastAsia" w:asciiTheme="minorEastAsia" w:hAnsiTheme="minorEastAsia" w:eastAsiaTheme="minorEastAsia"/>
                <w:color w:val="auto"/>
                <w:szCs w:val="21"/>
                <w:lang w:eastAsia="zh-CN"/>
              </w:rPr>
              <w:t>竞争性磋商</w:t>
            </w:r>
            <w:r>
              <w:rPr>
                <w:rFonts w:asciiTheme="minorEastAsia" w:hAnsiTheme="minorEastAsia" w:eastAsiaTheme="minorEastAsia"/>
                <w:color w:val="auto"/>
                <w:szCs w:val="21"/>
              </w:rPr>
              <w:t>文件的其他材料</w:t>
            </w:r>
          </w:p>
        </w:tc>
        <w:tc>
          <w:tcPr>
            <w:tcW w:w="5636" w:type="dxa"/>
            <w:vAlign w:val="center"/>
          </w:tcPr>
          <w:p w14:paraId="1D295C41">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r>
      <w:tr w14:paraId="113E78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44D9D3BA">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2.2.1</w:t>
            </w:r>
          </w:p>
        </w:tc>
        <w:tc>
          <w:tcPr>
            <w:tcW w:w="3103" w:type="dxa"/>
            <w:vAlign w:val="center"/>
          </w:tcPr>
          <w:p w14:paraId="5144A4A5">
            <w:pPr>
              <w:spacing w:line="440" w:lineRule="exact"/>
              <w:jc w:val="center"/>
              <w:rPr>
                <w:rFonts w:asciiTheme="minorEastAsia" w:hAnsiTheme="minorEastAsia" w:eastAsiaTheme="minorEastAsia"/>
                <w:color w:val="auto"/>
                <w:szCs w:val="21"/>
              </w:rPr>
            </w:pPr>
            <w:r>
              <w:rPr>
                <w:color w:val="auto"/>
                <w:szCs w:val="21"/>
              </w:rPr>
              <w:t>供应商要求澄清竞争性磋商文件的截止时间</w:t>
            </w:r>
          </w:p>
        </w:tc>
        <w:tc>
          <w:tcPr>
            <w:tcW w:w="5636" w:type="dxa"/>
            <w:vAlign w:val="center"/>
          </w:tcPr>
          <w:p w14:paraId="2790E664">
            <w:pPr>
              <w:autoSpaceDE w:val="0"/>
              <w:autoSpaceDN w:val="0"/>
              <w:adjustRightInd w:val="0"/>
              <w:spacing w:before="156" w:beforeLines="50" w:after="156" w:afterLines="50"/>
              <w:rPr>
                <w:rFonts w:hint="eastAsia" w:ascii="宋体" w:hAnsi="宋体" w:cs="宋体"/>
                <w:color w:val="auto"/>
                <w:szCs w:val="21"/>
                <w:lang w:val="zh-CN"/>
              </w:rPr>
            </w:pPr>
            <w:r>
              <w:rPr>
                <w:rFonts w:hint="eastAsia" w:ascii="宋体" w:hAnsi="宋体" w:cs="宋体"/>
                <w:color w:val="auto"/>
                <w:szCs w:val="21"/>
                <w:lang w:val="zh-CN"/>
              </w:rPr>
              <w:t>递交首次响应文件截止时间5日前</w:t>
            </w:r>
          </w:p>
          <w:p w14:paraId="32FC3F2A">
            <w:pPr>
              <w:autoSpaceDE w:val="0"/>
              <w:autoSpaceDN w:val="0"/>
              <w:adjustRightInd w:val="0"/>
              <w:spacing w:before="156" w:beforeLines="50" w:after="156" w:afterLines="50"/>
              <w:rPr>
                <w:rFonts w:asciiTheme="minorEastAsia" w:hAnsiTheme="minorEastAsia" w:eastAsiaTheme="minorEastAsia"/>
                <w:color w:val="auto"/>
                <w:szCs w:val="21"/>
              </w:rPr>
            </w:pPr>
            <w:r>
              <w:rPr>
                <w:rFonts w:hint="eastAsia" w:ascii="宋体" w:hAnsi="宋体" w:eastAsia="宋体" w:cs="宋体"/>
                <w:color w:val="auto"/>
                <w:sz w:val="21"/>
                <w:szCs w:val="21"/>
                <w:lang w:val="en-US" w:eastAsia="zh-CN"/>
              </w:rPr>
              <w:t>形式：网上提交，在政府采购云平台（http：//www.zcygov.cn) 上发布。</w:t>
            </w:r>
          </w:p>
        </w:tc>
      </w:tr>
      <w:tr w14:paraId="423A6C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B0B3197">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2.2.3</w:t>
            </w:r>
          </w:p>
        </w:tc>
        <w:tc>
          <w:tcPr>
            <w:tcW w:w="3103" w:type="dxa"/>
            <w:vAlign w:val="center"/>
          </w:tcPr>
          <w:p w14:paraId="0F5D9C2E">
            <w:pPr>
              <w:spacing w:line="440" w:lineRule="exact"/>
              <w:jc w:val="center"/>
              <w:rPr>
                <w:rFonts w:asciiTheme="minorEastAsia" w:hAnsiTheme="minorEastAsia" w:eastAsiaTheme="minorEastAsia"/>
                <w:color w:val="auto"/>
                <w:szCs w:val="21"/>
              </w:rPr>
            </w:pPr>
            <w:r>
              <w:rPr>
                <w:color w:val="auto"/>
                <w:szCs w:val="21"/>
              </w:rPr>
              <w:t>供应商确认收到竞争性磋商文件澄清的时间</w:t>
            </w:r>
          </w:p>
        </w:tc>
        <w:tc>
          <w:tcPr>
            <w:tcW w:w="5636" w:type="dxa"/>
            <w:vAlign w:val="center"/>
          </w:tcPr>
          <w:p w14:paraId="0AAB831B">
            <w:pPr>
              <w:spacing w:line="440" w:lineRule="exact"/>
              <w:rPr>
                <w:rFonts w:hint="eastAsia" w:ascii="宋体" w:hAnsi="宋体"/>
                <w:color w:val="auto"/>
                <w:szCs w:val="21"/>
              </w:rPr>
            </w:pPr>
            <w:r>
              <w:rPr>
                <w:rFonts w:hint="eastAsia" w:ascii="宋体" w:hAnsi="宋体"/>
                <w:color w:val="auto"/>
                <w:szCs w:val="21"/>
              </w:rPr>
              <w:t>在收到相应澄清文件后24小时内</w:t>
            </w:r>
          </w:p>
          <w:p w14:paraId="181EC401">
            <w:pPr>
              <w:spacing w:line="440" w:lineRule="exact"/>
              <w:rPr>
                <w:rFonts w:asciiTheme="minorEastAsia" w:hAnsiTheme="minorEastAsia" w:eastAsiaTheme="minorEastAsia"/>
                <w:color w:val="auto"/>
                <w:szCs w:val="21"/>
              </w:rPr>
            </w:pPr>
            <w:r>
              <w:rPr>
                <w:rFonts w:hint="eastAsia" w:ascii="宋体" w:hAnsi="宋体" w:eastAsia="宋体" w:cs="宋体"/>
                <w:bCs/>
                <w:color w:val="auto"/>
                <w:sz w:val="21"/>
                <w:szCs w:val="21"/>
                <w:lang w:val="en-US" w:eastAsia="zh-CN"/>
              </w:rPr>
              <w:t>请供应商在参加与本项目招标期间关注网站信息，所有有意愿的供应商有义务在网上自行查询，无需书面回复。</w:t>
            </w:r>
          </w:p>
        </w:tc>
      </w:tr>
      <w:tr w14:paraId="6816D0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F77E40A">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2.3.2</w:t>
            </w:r>
          </w:p>
        </w:tc>
        <w:tc>
          <w:tcPr>
            <w:tcW w:w="3103" w:type="dxa"/>
            <w:vAlign w:val="center"/>
          </w:tcPr>
          <w:p w14:paraId="39730312">
            <w:pPr>
              <w:spacing w:line="440" w:lineRule="exact"/>
              <w:jc w:val="center"/>
              <w:rPr>
                <w:rFonts w:asciiTheme="minorEastAsia" w:hAnsiTheme="minorEastAsia" w:eastAsiaTheme="minorEastAsia"/>
                <w:color w:val="auto"/>
                <w:szCs w:val="21"/>
              </w:rPr>
            </w:pPr>
            <w:r>
              <w:rPr>
                <w:color w:val="auto"/>
                <w:szCs w:val="21"/>
              </w:rPr>
              <w:t>供应商确认收到竞争性磋商文件修改的时间</w:t>
            </w:r>
          </w:p>
        </w:tc>
        <w:tc>
          <w:tcPr>
            <w:tcW w:w="5636" w:type="dxa"/>
            <w:vAlign w:val="center"/>
          </w:tcPr>
          <w:p w14:paraId="42ABB7B2">
            <w:pPr>
              <w:spacing w:line="440" w:lineRule="exact"/>
              <w:rPr>
                <w:rFonts w:hint="eastAsia" w:ascii="宋体" w:hAnsi="宋体"/>
                <w:color w:val="auto"/>
                <w:szCs w:val="21"/>
              </w:rPr>
            </w:pPr>
            <w:r>
              <w:rPr>
                <w:rFonts w:hint="eastAsia" w:ascii="宋体" w:hAnsi="宋体"/>
                <w:color w:val="auto"/>
                <w:szCs w:val="21"/>
              </w:rPr>
              <w:t>在收到相应澄清文件后24小时内</w:t>
            </w:r>
          </w:p>
          <w:p w14:paraId="5185AA5F">
            <w:pPr>
              <w:spacing w:line="440" w:lineRule="exact"/>
              <w:rPr>
                <w:rFonts w:asciiTheme="minorEastAsia" w:hAnsiTheme="minorEastAsia" w:eastAsiaTheme="minorEastAsia"/>
                <w:color w:val="auto"/>
                <w:szCs w:val="21"/>
              </w:rPr>
            </w:pPr>
            <w:r>
              <w:rPr>
                <w:rFonts w:hint="eastAsia" w:ascii="宋体" w:hAnsi="宋体" w:eastAsia="宋体" w:cs="宋体"/>
                <w:bCs/>
                <w:color w:val="auto"/>
                <w:sz w:val="21"/>
                <w:szCs w:val="21"/>
                <w:lang w:val="en-US" w:eastAsia="zh-CN"/>
              </w:rPr>
              <w:t>请供应商在参加与本项目招标期间关注网站信息，所有有意愿的供应商有义务在网上自行查询，无需书面回复。</w:t>
            </w:r>
          </w:p>
        </w:tc>
      </w:tr>
      <w:tr w14:paraId="700FD4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AAB30A8">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3.1</w:t>
            </w:r>
          </w:p>
        </w:tc>
        <w:tc>
          <w:tcPr>
            <w:tcW w:w="3103" w:type="dxa"/>
            <w:vAlign w:val="center"/>
          </w:tcPr>
          <w:p w14:paraId="7EE59152">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构成</w:t>
            </w:r>
            <w:r>
              <w:rPr>
                <w:rFonts w:hint="eastAsia" w:asciiTheme="minorEastAsia" w:hAnsiTheme="minorEastAsia" w:eastAsiaTheme="minorEastAsia"/>
                <w:color w:val="auto"/>
                <w:szCs w:val="21"/>
                <w:lang w:eastAsia="zh-CN"/>
              </w:rPr>
              <w:t>响应</w:t>
            </w:r>
            <w:r>
              <w:rPr>
                <w:rFonts w:asciiTheme="minorEastAsia" w:hAnsiTheme="minorEastAsia" w:eastAsiaTheme="minorEastAsia"/>
                <w:color w:val="auto"/>
                <w:szCs w:val="21"/>
              </w:rPr>
              <w:t>文件的其他材料</w:t>
            </w:r>
          </w:p>
        </w:tc>
        <w:tc>
          <w:tcPr>
            <w:tcW w:w="5636" w:type="dxa"/>
            <w:vAlign w:val="center"/>
          </w:tcPr>
          <w:p w14:paraId="592BB30C">
            <w:pPr>
              <w:spacing w:line="440" w:lineRule="exact"/>
              <w:rPr>
                <w:rFonts w:asciiTheme="minorEastAsia" w:hAnsiTheme="minorEastAsia" w:eastAsiaTheme="minorEastAsia"/>
                <w:b/>
                <w:color w:val="auto"/>
                <w:szCs w:val="21"/>
              </w:rPr>
            </w:pPr>
            <w:r>
              <w:rPr>
                <w:rFonts w:hint="eastAsia" w:ascii="宋体" w:hAnsi="宋体" w:eastAsia="宋体" w:cs="宋体"/>
                <w:bCs/>
                <w:color w:val="auto"/>
                <w:sz w:val="21"/>
                <w:szCs w:val="21"/>
                <w:lang w:val="en-US" w:eastAsia="zh-CN"/>
              </w:rPr>
              <w:t>本项目所有证件资料以上传至</w:t>
            </w:r>
            <w:r>
              <w:rPr>
                <w:rFonts w:hint="eastAsia" w:ascii="宋体" w:hAnsi="宋体" w:eastAsia="宋体" w:cs="宋体"/>
                <w:color w:val="auto"/>
                <w:sz w:val="21"/>
                <w:szCs w:val="21"/>
                <w:lang w:val="en-US" w:eastAsia="zh-CN"/>
              </w:rPr>
              <w:t>政府采购云平台</w:t>
            </w:r>
            <w:r>
              <w:rPr>
                <w:rFonts w:hint="eastAsia" w:ascii="宋体" w:hAnsi="宋体" w:eastAsia="宋体" w:cs="宋体"/>
                <w:bCs/>
                <w:color w:val="auto"/>
                <w:sz w:val="21"/>
                <w:szCs w:val="21"/>
                <w:lang w:val="en-US" w:eastAsia="zh-CN"/>
              </w:rPr>
              <w:t>加盖公章的电子证件为准，评标时由评审委员会现场核验，如所提供的资料为虚假材料，响应文件将被否决。</w:t>
            </w:r>
          </w:p>
        </w:tc>
      </w:tr>
      <w:tr w14:paraId="08235E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7570147">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3.2.2</w:t>
            </w:r>
          </w:p>
        </w:tc>
        <w:tc>
          <w:tcPr>
            <w:tcW w:w="3103" w:type="dxa"/>
            <w:vAlign w:val="center"/>
          </w:tcPr>
          <w:p w14:paraId="15753ED3">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最高投标限价</w:t>
            </w:r>
          </w:p>
        </w:tc>
        <w:tc>
          <w:tcPr>
            <w:tcW w:w="5636" w:type="dxa"/>
            <w:vAlign w:val="center"/>
          </w:tcPr>
          <w:p w14:paraId="0EB447FE">
            <w:pPr>
              <w:spacing w:line="440" w:lineRule="exact"/>
              <w:rPr>
                <w:rFonts w:hint="default"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lang w:val="en-US" w:eastAsia="zh-CN"/>
              </w:rPr>
              <w:t>39.1104万元</w:t>
            </w:r>
          </w:p>
        </w:tc>
      </w:tr>
      <w:tr w14:paraId="3EA379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E285932">
            <w:pPr>
              <w:spacing w:before="120" w:beforeLines="50" w:after="120" w:afterLines="50"/>
              <w:jc w:val="center"/>
              <w:rPr>
                <w:rFonts w:hint="eastAsia" w:asciiTheme="minorEastAsia" w:hAnsiTheme="minorEastAsia" w:eastAsiaTheme="minorEastAsia"/>
                <w:color w:val="auto"/>
                <w:szCs w:val="21"/>
              </w:rPr>
            </w:pPr>
            <w:r>
              <w:rPr>
                <w:rFonts w:hint="eastAsia" w:ascii="宋体" w:hAnsi="宋体"/>
                <w:color w:val="auto"/>
                <w:szCs w:val="21"/>
              </w:rPr>
              <w:t>3.2.3</w:t>
            </w:r>
          </w:p>
        </w:tc>
        <w:tc>
          <w:tcPr>
            <w:tcW w:w="3103" w:type="dxa"/>
            <w:vAlign w:val="center"/>
          </w:tcPr>
          <w:p w14:paraId="4D4BFF0E">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center"/>
              <w:textAlignment w:val="auto"/>
              <w:rPr>
                <w:rFonts w:hint="eastAsia" w:asciiTheme="minorEastAsia" w:hAnsiTheme="minorEastAsia" w:eastAsiaTheme="minorEastAsia"/>
                <w:color w:val="auto"/>
                <w:szCs w:val="21"/>
              </w:rPr>
            </w:pPr>
            <w:r>
              <w:rPr>
                <w:rFonts w:hint="eastAsia" w:ascii="宋体" w:hAnsi="宋体" w:eastAsia="宋体" w:cs="Calibri"/>
                <w:color w:val="auto"/>
                <w:sz w:val="21"/>
                <w:szCs w:val="21"/>
              </w:rPr>
              <w:t>报价方式</w:t>
            </w:r>
          </w:p>
        </w:tc>
        <w:tc>
          <w:tcPr>
            <w:tcW w:w="5636" w:type="dxa"/>
            <w:vAlign w:val="center"/>
          </w:tcPr>
          <w:p w14:paraId="7310DD00">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eastAsia="宋体" w:cs="Calibri"/>
                <w:color w:val="auto"/>
                <w:sz w:val="21"/>
                <w:szCs w:val="21"/>
              </w:rPr>
            </w:pPr>
            <w:r>
              <w:rPr>
                <w:rFonts w:hint="eastAsia" w:eastAsia="宋体" w:cs="Calibri"/>
                <w:color w:val="auto"/>
                <w:sz w:val="21"/>
                <w:szCs w:val="21"/>
              </w:rPr>
              <w:t>实行两轮报价法，第二轮报价为最终报价。</w:t>
            </w:r>
          </w:p>
          <w:p w14:paraId="45342264">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eastAsia="宋体" w:cs="Calibri"/>
                <w:color w:val="auto"/>
                <w:sz w:val="21"/>
                <w:szCs w:val="21"/>
              </w:rPr>
            </w:pPr>
            <w:r>
              <w:rPr>
                <w:rFonts w:hint="eastAsia" w:eastAsia="宋体" w:cs="Calibri"/>
                <w:color w:val="auto"/>
                <w:sz w:val="21"/>
                <w:szCs w:val="21"/>
              </w:rPr>
              <w:t>供应商的报价不得超过</w:t>
            </w:r>
            <w:r>
              <w:rPr>
                <w:rFonts w:hint="eastAsia" w:ascii="宋体" w:hAnsi="宋体" w:eastAsia="宋体"/>
                <w:color w:val="auto"/>
                <w:sz w:val="21"/>
                <w:szCs w:val="21"/>
                <w:lang w:val="en-US" w:eastAsia="zh-CN"/>
              </w:rPr>
              <w:t>项目预算总</w:t>
            </w:r>
            <w:r>
              <w:rPr>
                <w:rFonts w:hint="eastAsia" w:ascii="宋体" w:hAnsi="宋体" w:eastAsia="宋体" w:cs="Times New Roman"/>
                <w:color w:val="auto"/>
                <w:sz w:val="21"/>
                <w:szCs w:val="21"/>
                <w:lang w:val="en-US" w:eastAsia="zh-CN"/>
              </w:rPr>
              <w:t>金额</w:t>
            </w:r>
            <w:r>
              <w:rPr>
                <w:rFonts w:hint="eastAsia" w:eastAsia="宋体" w:cs="Calibri"/>
                <w:color w:val="auto"/>
                <w:sz w:val="21"/>
                <w:szCs w:val="21"/>
              </w:rPr>
              <w:t>。</w:t>
            </w:r>
          </w:p>
          <w:p w14:paraId="52B0D28F">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cs="宋体" w:asciiTheme="minorEastAsia" w:hAnsiTheme="minorEastAsia" w:eastAsiaTheme="minorEastAsia"/>
                <w:color w:val="auto"/>
              </w:rPr>
            </w:pPr>
            <w:r>
              <w:rPr>
                <w:rFonts w:hint="eastAsia" w:ascii="宋体" w:hAnsi="宋体" w:eastAsia="宋体" w:cs="宋体"/>
                <w:color w:val="auto"/>
                <w:sz w:val="21"/>
                <w:szCs w:val="21"/>
                <w:lang w:val="en-US" w:eastAsia="zh-CN"/>
              </w:rPr>
              <w:t>形式：网上提交，在政府采购云平台（http：//www.zcygov.cn) 上传第二轮报价电子版文件。</w:t>
            </w:r>
          </w:p>
        </w:tc>
      </w:tr>
      <w:tr w14:paraId="4DB131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EE1032D">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3.3</w:t>
            </w:r>
            <w:r>
              <w:rPr>
                <w:rFonts w:hint="eastAsia" w:asciiTheme="minorEastAsia" w:hAnsiTheme="minorEastAsia" w:eastAsiaTheme="minorEastAsia"/>
                <w:color w:val="auto"/>
                <w:szCs w:val="21"/>
              </w:rPr>
              <w:t>.1</w:t>
            </w:r>
          </w:p>
        </w:tc>
        <w:tc>
          <w:tcPr>
            <w:tcW w:w="3103" w:type="dxa"/>
            <w:vAlign w:val="center"/>
          </w:tcPr>
          <w:p w14:paraId="3DC6EE71">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磋商</w:t>
            </w:r>
            <w:r>
              <w:rPr>
                <w:rFonts w:asciiTheme="minorEastAsia" w:hAnsiTheme="minorEastAsia" w:eastAsiaTheme="minorEastAsia"/>
                <w:color w:val="auto"/>
                <w:szCs w:val="21"/>
              </w:rPr>
              <w:t>有效期</w:t>
            </w:r>
          </w:p>
        </w:tc>
        <w:tc>
          <w:tcPr>
            <w:tcW w:w="5636" w:type="dxa"/>
            <w:vAlign w:val="center"/>
          </w:tcPr>
          <w:p w14:paraId="753F1E9D">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90日历天</w:t>
            </w:r>
          </w:p>
        </w:tc>
      </w:tr>
      <w:tr w14:paraId="0B1DD0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5EE9146">
            <w:pPr>
              <w:spacing w:line="440" w:lineRule="exact"/>
              <w:jc w:val="center"/>
              <w:rPr>
                <w:rFonts w:asciiTheme="minorEastAsia" w:hAnsiTheme="minorEastAsia" w:eastAsiaTheme="minorEastAsia"/>
                <w:color w:val="auto"/>
                <w:szCs w:val="21"/>
              </w:rPr>
            </w:pPr>
          </w:p>
        </w:tc>
        <w:tc>
          <w:tcPr>
            <w:tcW w:w="3103" w:type="dxa"/>
            <w:vAlign w:val="center"/>
          </w:tcPr>
          <w:p w14:paraId="5F6576A9">
            <w:pPr>
              <w:spacing w:line="440" w:lineRule="exact"/>
              <w:jc w:val="center"/>
              <w:rPr>
                <w:rFonts w:asciiTheme="minorEastAsia" w:hAnsiTheme="minorEastAsia" w:eastAsiaTheme="minorEastAsia"/>
                <w:color w:val="auto"/>
                <w:szCs w:val="21"/>
              </w:rPr>
            </w:pPr>
            <w:r>
              <w:rPr>
                <w:rFonts w:hint="eastAsia"/>
                <w:color w:val="auto"/>
                <w:szCs w:val="21"/>
                <w:lang w:eastAsia="zh-CN"/>
              </w:rPr>
              <w:t>磋商</w:t>
            </w:r>
            <w:r>
              <w:rPr>
                <w:color w:val="auto"/>
                <w:szCs w:val="21"/>
              </w:rPr>
              <w:t>保证金</w:t>
            </w:r>
          </w:p>
        </w:tc>
        <w:tc>
          <w:tcPr>
            <w:tcW w:w="5636" w:type="dxa"/>
            <w:vAlign w:val="center"/>
          </w:tcPr>
          <w:p w14:paraId="3FFCB9A2">
            <w:pPr>
              <w:pStyle w:val="18"/>
              <w:jc w:val="left"/>
              <w:rPr>
                <w:rFonts w:hint="eastAsia" w:ascii="宋体" w:hAnsi="宋体" w:eastAsia="宋体" w:cs="宋体"/>
                <w:color w:val="auto"/>
                <w:kern w:val="2"/>
                <w:sz w:val="21"/>
                <w:szCs w:val="21"/>
                <w:lang w:val="en-US" w:eastAsia="zh-CN" w:bidi="ar-SA"/>
              </w:rPr>
            </w:pPr>
            <w:r>
              <w:rPr>
                <w:rFonts w:hint="eastAsia" w:hAnsi="宋体"/>
                <w:color w:val="auto"/>
                <w:lang w:eastAsia="zh-CN"/>
              </w:rPr>
              <w:t>□</w:t>
            </w:r>
            <w:r>
              <w:rPr>
                <w:rFonts w:hint="eastAsia" w:hAnsi="宋体"/>
                <w:color w:val="auto"/>
              </w:rPr>
              <w:t xml:space="preserve"> </w:t>
            </w:r>
            <w:r>
              <w:rPr>
                <w:rFonts w:hint="eastAsia" w:ascii="宋体" w:hAnsi="宋体" w:eastAsia="宋体" w:cs="宋体"/>
                <w:color w:val="auto"/>
                <w:kern w:val="2"/>
                <w:sz w:val="21"/>
                <w:szCs w:val="21"/>
                <w:lang w:val="en-US" w:eastAsia="zh-CN" w:bidi="ar-SA"/>
              </w:rPr>
              <w:t>不要求递交磋商保证金</w:t>
            </w:r>
          </w:p>
          <w:p w14:paraId="179ACE5E">
            <w:pPr>
              <w:pStyle w:val="18"/>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要求递交磋商保证金：经采购人授权同意由代理机构代收取</w:t>
            </w:r>
          </w:p>
          <w:p w14:paraId="422CF517">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1、磋商保证金的金额：人民币</w:t>
            </w:r>
            <w:r>
              <w:rPr>
                <w:rFonts w:hint="eastAsia" w:ascii="宋体" w:hAnsi="宋体"/>
                <w:color w:val="auto"/>
                <w:szCs w:val="21"/>
                <w:lang w:val="en-US" w:eastAsia="zh-CN"/>
              </w:rPr>
              <w:t>0.4</w:t>
            </w:r>
            <w:r>
              <w:rPr>
                <w:rFonts w:hint="eastAsia" w:ascii="宋体" w:hAnsi="宋体" w:eastAsia="宋体"/>
                <w:color w:val="auto"/>
                <w:szCs w:val="21"/>
                <w:lang w:eastAsia="zh-CN"/>
              </w:rPr>
              <w:t>万元；</w:t>
            </w:r>
          </w:p>
          <w:p w14:paraId="69310D34">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2、缴纳形式：其形式应包括现金，银行出具的现金支票、保兑支票、银行汇票，银行保函，担保公司保函；以现金或支票形式提交的投标保证金应当从投标单位的基本账户转出。</w:t>
            </w:r>
          </w:p>
          <w:p w14:paraId="155AFCA4">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3、递交截止时间：投标截止时间为止（以银行到账时间为准）</w:t>
            </w:r>
          </w:p>
          <w:p w14:paraId="62E08A88">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4、递交方式：</w:t>
            </w:r>
          </w:p>
          <w:p w14:paraId="69D94BA7">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收款单位账户名称：吉林泓远项目管理有限公司</w:t>
            </w:r>
          </w:p>
          <w:p w14:paraId="35FF72B2">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开户行：吉林银行延吉市爱丹路支行</w:t>
            </w:r>
          </w:p>
          <w:p w14:paraId="11C0A1D7">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账号：8935 6761 4100 0001</w:t>
            </w:r>
          </w:p>
          <w:p w14:paraId="23D405D5">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行号：3132 4900 7015</w:t>
            </w:r>
          </w:p>
          <w:p w14:paraId="71039A08">
            <w:pPr>
              <w:spacing w:line="360" w:lineRule="auto"/>
              <w:rPr>
                <w:rFonts w:hint="eastAsia" w:ascii="宋体" w:hAnsi="宋体" w:eastAsia="宋体"/>
                <w:color w:val="auto"/>
                <w:szCs w:val="21"/>
                <w:lang w:eastAsia="zh-CN"/>
              </w:rPr>
            </w:pPr>
            <w:r>
              <w:rPr>
                <w:rFonts w:hint="eastAsia" w:ascii="宋体" w:hAnsi="宋体" w:eastAsia="宋体"/>
                <w:color w:val="auto"/>
                <w:szCs w:val="21"/>
                <w:lang w:eastAsia="zh-CN"/>
              </w:rPr>
              <w:t>交易用途：</w:t>
            </w:r>
            <w:r>
              <w:rPr>
                <w:rFonts w:hint="eastAsia" w:ascii="宋体" w:hAnsi="宋体"/>
                <w:color w:val="auto"/>
                <w:szCs w:val="21"/>
                <w:lang w:eastAsia="zh-CN"/>
              </w:rPr>
              <w:t>保险</w:t>
            </w:r>
            <w:r>
              <w:rPr>
                <w:rFonts w:hint="eastAsia" w:ascii="宋体" w:hAnsi="宋体" w:eastAsia="宋体"/>
                <w:color w:val="auto"/>
                <w:szCs w:val="21"/>
                <w:lang w:eastAsia="zh-CN"/>
              </w:rPr>
              <w:t>投保</w:t>
            </w:r>
          </w:p>
          <w:p w14:paraId="6A3E7472">
            <w:pPr>
              <w:spacing w:line="360" w:lineRule="auto"/>
              <w:rPr>
                <w:rFonts w:asciiTheme="minorEastAsia" w:hAnsiTheme="minorEastAsia" w:eastAsiaTheme="minorEastAsia"/>
                <w:color w:val="auto"/>
                <w:szCs w:val="21"/>
              </w:rPr>
            </w:pPr>
            <w:r>
              <w:rPr>
                <w:rFonts w:hint="eastAsia" w:ascii="宋体" w:hAnsi="宋体" w:eastAsia="宋体"/>
                <w:color w:val="auto"/>
                <w:szCs w:val="21"/>
                <w:lang w:eastAsia="zh-CN"/>
              </w:rPr>
              <w:t>退还投标保证金时退还给供应商基本账户中</w:t>
            </w:r>
          </w:p>
        </w:tc>
      </w:tr>
      <w:tr w14:paraId="270A37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B4E34E0">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p>
        </w:tc>
        <w:tc>
          <w:tcPr>
            <w:tcW w:w="3103" w:type="dxa"/>
            <w:vAlign w:val="center"/>
          </w:tcPr>
          <w:p w14:paraId="2DD31AFB">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近年财务状况的年份要求</w:t>
            </w:r>
          </w:p>
        </w:tc>
        <w:tc>
          <w:tcPr>
            <w:tcW w:w="5636" w:type="dxa"/>
            <w:vAlign w:val="center"/>
          </w:tcPr>
          <w:p w14:paraId="51DBC615">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年度</w:t>
            </w:r>
          </w:p>
        </w:tc>
      </w:tr>
      <w:tr w14:paraId="268714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06BB99C">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3</w:t>
            </w:r>
          </w:p>
        </w:tc>
        <w:tc>
          <w:tcPr>
            <w:tcW w:w="3103" w:type="dxa"/>
            <w:vAlign w:val="center"/>
          </w:tcPr>
          <w:p w14:paraId="0140A70E">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近年完成的类似项目的年份要求</w:t>
            </w:r>
          </w:p>
        </w:tc>
        <w:tc>
          <w:tcPr>
            <w:tcW w:w="5636" w:type="dxa"/>
            <w:vAlign w:val="center"/>
          </w:tcPr>
          <w:p w14:paraId="4EE737FE">
            <w:pPr>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月1日起至今</w:t>
            </w:r>
          </w:p>
        </w:tc>
      </w:tr>
      <w:tr w14:paraId="29168E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7FB2428">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.3</w:t>
            </w:r>
          </w:p>
        </w:tc>
        <w:tc>
          <w:tcPr>
            <w:tcW w:w="3103" w:type="dxa"/>
            <w:vAlign w:val="center"/>
          </w:tcPr>
          <w:p w14:paraId="2A556B69">
            <w:pPr>
              <w:spacing w:line="440" w:lineRule="exact"/>
              <w:jc w:val="center"/>
              <w:rPr>
                <w:rFonts w:asciiTheme="minorEastAsia" w:hAnsiTheme="minorEastAsia" w:eastAsiaTheme="minorEastAsia"/>
                <w:color w:val="auto"/>
                <w:szCs w:val="21"/>
              </w:rPr>
            </w:pPr>
            <w:r>
              <w:rPr>
                <w:color w:val="auto"/>
                <w:szCs w:val="21"/>
              </w:rPr>
              <w:t>签字或盖章要求</w:t>
            </w:r>
          </w:p>
        </w:tc>
        <w:tc>
          <w:tcPr>
            <w:tcW w:w="5636" w:type="dxa"/>
            <w:vAlign w:val="center"/>
          </w:tcPr>
          <w:p w14:paraId="6EEF93CF">
            <w:pPr>
              <w:spacing w:line="440" w:lineRule="exact"/>
              <w:rPr>
                <w:rFonts w:asciiTheme="minorEastAsia" w:hAnsiTheme="minorEastAsia" w:eastAsiaTheme="minorEastAsia"/>
                <w:color w:val="auto"/>
                <w:szCs w:val="21"/>
              </w:rPr>
            </w:pPr>
            <w:r>
              <w:rPr>
                <w:rFonts w:hint="eastAsia" w:ascii="宋体" w:hAnsi="宋体" w:eastAsia="宋体" w:cs="Calibri"/>
                <w:color w:val="auto"/>
                <w:sz w:val="21"/>
                <w:szCs w:val="21"/>
              </w:rPr>
              <w:t>按</w:t>
            </w:r>
            <w:r>
              <w:rPr>
                <w:rFonts w:hint="eastAsia" w:ascii="宋体" w:hAnsi="宋体" w:eastAsia="宋体" w:cs="Calibri"/>
                <w:color w:val="auto"/>
                <w:sz w:val="21"/>
                <w:szCs w:val="21"/>
                <w:lang w:val="en-US" w:eastAsia="zh-CN"/>
              </w:rPr>
              <w:t>竞争性磋商</w:t>
            </w:r>
            <w:r>
              <w:rPr>
                <w:rFonts w:hint="eastAsia" w:ascii="宋体" w:hAnsi="宋体" w:eastAsia="宋体" w:cs="Calibri"/>
                <w:color w:val="auto"/>
                <w:sz w:val="21"/>
                <w:szCs w:val="21"/>
              </w:rPr>
              <w:t>文件中提供的格式及要求填写</w:t>
            </w:r>
          </w:p>
        </w:tc>
      </w:tr>
      <w:tr w14:paraId="319EF8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83E1681">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4.2.2</w:t>
            </w:r>
          </w:p>
        </w:tc>
        <w:tc>
          <w:tcPr>
            <w:tcW w:w="3103" w:type="dxa"/>
            <w:vAlign w:val="center"/>
          </w:tcPr>
          <w:p w14:paraId="0DC5D60F">
            <w:pPr>
              <w:spacing w:line="440" w:lineRule="exact"/>
              <w:jc w:val="center"/>
              <w:rPr>
                <w:rFonts w:asciiTheme="minorEastAsia" w:hAnsiTheme="minorEastAsia" w:eastAsiaTheme="minorEastAsia"/>
                <w:color w:val="auto"/>
                <w:szCs w:val="21"/>
              </w:rPr>
            </w:pPr>
            <w:r>
              <w:rPr>
                <w:color w:val="auto"/>
                <w:szCs w:val="21"/>
              </w:rPr>
              <w:t>递交响应文件地点</w:t>
            </w:r>
          </w:p>
        </w:tc>
        <w:tc>
          <w:tcPr>
            <w:tcW w:w="5636" w:type="dxa"/>
            <w:vAlign w:val="center"/>
          </w:tcPr>
          <w:p w14:paraId="74948220">
            <w:pPr>
              <w:spacing w:line="240" w:lineRule="auto"/>
              <w:rPr>
                <w:rFonts w:hint="eastAsia" w:eastAsia="宋体" w:asciiTheme="minorEastAsia" w:hAnsiTheme="minorEastAsia"/>
                <w:color w:val="auto"/>
                <w:szCs w:val="21"/>
                <w:lang w:eastAsia="zh-CN"/>
              </w:rPr>
            </w:pPr>
            <w:r>
              <w:rPr>
                <w:rFonts w:hint="eastAsia" w:ascii="宋体" w:hAnsi="宋体" w:eastAsia="宋体" w:cs="Times New Roman"/>
                <w:color w:val="auto"/>
                <w:kern w:val="2"/>
                <w:sz w:val="21"/>
                <w:szCs w:val="21"/>
                <w:highlight w:val="none"/>
                <w:lang w:val="en-US" w:eastAsia="zh-CN" w:bidi="ar-SA"/>
              </w:rPr>
              <w:t>本项目为全流程电子化采购项目，通过</w:t>
            </w:r>
            <w:r>
              <w:rPr>
                <w:rFonts w:hint="eastAsia" w:ascii="宋体" w:hAnsi="宋体" w:eastAsia="宋体" w:cs="Times New Roman"/>
                <w:color w:val="auto"/>
                <w:kern w:val="2"/>
                <w:sz w:val="21"/>
                <w:szCs w:val="21"/>
                <w:highlight w:val="none"/>
                <w:lang w:val="zh-CN" w:eastAsia="zh-CN" w:bidi="ar-SA"/>
              </w:rPr>
              <w:t>政府采购云平台</w:t>
            </w:r>
            <w:r>
              <w:rPr>
                <w:rFonts w:hint="eastAsia" w:ascii="宋体" w:hAnsi="宋体" w:eastAsia="宋体" w:cs="Times New Roman"/>
                <w:color w:val="auto"/>
                <w:kern w:val="2"/>
                <w:sz w:val="21"/>
                <w:szCs w:val="21"/>
                <w:highlight w:val="none"/>
                <w:lang w:val="en-US" w:eastAsia="zh-CN" w:bidi="ar-SA"/>
              </w:rPr>
              <w:t>实行在线电子投标，响应文件应加密并在提交截止时间前通过政府采购云平台在线提交。</w:t>
            </w:r>
          </w:p>
        </w:tc>
      </w:tr>
      <w:tr w14:paraId="22A82A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1" w:hRule="atLeast"/>
        </w:trPr>
        <w:tc>
          <w:tcPr>
            <w:tcW w:w="1008" w:type="dxa"/>
            <w:vAlign w:val="center"/>
          </w:tcPr>
          <w:p w14:paraId="5678F059">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5.1</w:t>
            </w:r>
          </w:p>
        </w:tc>
        <w:tc>
          <w:tcPr>
            <w:tcW w:w="3103" w:type="dxa"/>
            <w:vAlign w:val="center"/>
          </w:tcPr>
          <w:p w14:paraId="108E3777">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center"/>
              <w:textAlignment w:val="auto"/>
              <w:rPr>
                <w:rFonts w:asciiTheme="minorEastAsia" w:hAnsiTheme="minorEastAsia" w:eastAsiaTheme="minorEastAsia"/>
                <w:color w:val="auto"/>
                <w:szCs w:val="21"/>
              </w:rPr>
            </w:pPr>
            <w:r>
              <w:rPr>
                <w:rFonts w:hint="eastAsia" w:ascii="宋体" w:hAnsi="宋体" w:eastAsia="宋体" w:cs="Calibri"/>
                <w:color w:val="auto"/>
                <w:sz w:val="21"/>
                <w:szCs w:val="21"/>
              </w:rPr>
              <w:t>磋商时间和地点</w:t>
            </w:r>
          </w:p>
        </w:tc>
        <w:tc>
          <w:tcPr>
            <w:tcW w:w="5636" w:type="dxa"/>
            <w:vAlign w:val="center"/>
          </w:tcPr>
          <w:p w14:paraId="5B0142C3">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磋商时间：同</w:t>
            </w:r>
            <w:r>
              <w:rPr>
                <w:rFonts w:hint="eastAsia" w:ascii="宋体" w:hAnsi="宋体" w:eastAsia="宋体" w:cs="宋体"/>
                <w:color w:val="auto"/>
                <w:sz w:val="21"/>
                <w:szCs w:val="21"/>
                <w:lang w:val="zh-CN"/>
              </w:rPr>
              <w:t>响应文件递交</w:t>
            </w:r>
            <w:r>
              <w:rPr>
                <w:rFonts w:hint="eastAsia" w:ascii="宋体" w:hAnsi="宋体" w:eastAsia="宋体" w:cs="宋体"/>
                <w:color w:val="auto"/>
                <w:sz w:val="21"/>
                <w:szCs w:val="21"/>
              </w:rPr>
              <w:t>截止时间</w:t>
            </w:r>
          </w:p>
          <w:p w14:paraId="5B1E040A">
            <w:pPr>
              <w:spacing w:line="240" w:lineRule="auto"/>
              <w:rPr>
                <w:rFonts w:hint="eastAsia" w:eastAsia="宋体" w:asciiTheme="minorEastAsia" w:hAnsiTheme="minorEastAsia"/>
                <w:color w:val="auto"/>
                <w:szCs w:val="21"/>
                <w:lang w:eastAsia="zh-CN"/>
              </w:rPr>
            </w:pPr>
            <w:r>
              <w:rPr>
                <w:rFonts w:hint="eastAsia" w:ascii="宋体" w:hAnsi="宋体" w:eastAsia="宋体" w:cs="宋体"/>
                <w:color w:val="auto"/>
                <w:sz w:val="21"/>
                <w:szCs w:val="21"/>
              </w:rPr>
              <w:t>磋商地点：“政采云”平台（http：//www.zcygov.cn）</w:t>
            </w:r>
            <w:r>
              <w:rPr>
                <w:rFonts w:hint="eastAsia" w:ascii="宋体" w:hAnsi="宋体" w:eastAsia="宋体" w:cs="宋体"/>
                <w:color w:val="auto"/>
                <w:sz w:val="21"/>
                <w:szCs w:val="21"/>
                <w:lang w:val="en-US" w:eastAsia="zh-CN"/>
              </w:rPr>
              <w:t>。</w:t>
            </w:r>
          </w:p>
        </w:tc>
      </w:tr>
      <w:tr w14:paraId="159AE7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 w:hRule="atLeast"/>
        </w:trPr>
        <w:tc>
          <w:tcPr>
            <w:tcW w:w="1008" w:type="dxa"/>
            <w:vAlign w:val="center"/>
          </w:tcPr>
          <w:p w14:paraId="15F84043">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5.2</w:t>
            </w:r>
          </w:p>
        </w:tc>
        <w:tc>
          <w:tcPr>
            <w:tcW w:w="3103" w:type="dxa"/>
            <w:vAlign w:val="center"/>
          </w:tcPr>
          <w:p w14:paraId="388338FF">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center"/>
              <w:textAlignment w:val="auto"/>
              <w:rPr>
                <w:rFonts w:asciiTheme="minorEastAsia" w:hAnsiTheme="minorEastAsia" w:eastAsiaTheme="minorEastAsia"/>
                <w:color w:val="auto"/>
                <w:szCs w:val="21"/>
              </w:rPr>
            </w:pPr>
            <w:r>
              <w:rPr>
                <w:rFonts w:hint="eastAsia" w:ascii="宋体" w:hAnsi="宋体" w:eastAsia="宋体" w:cs="Calibri"/>
                <w:color w:val="auto"/>
                <w:sz w:val="21"/>
                <w:szCs w:val="21"/>
              </w:rPr>
              <w:t>磋商程序</w:t>
            </w:r>
          </w:p>
        </w:tc>
        <w:tc>
          <w:tcPr>
            <w:tcW w:w="5636" w:type="dxa"/>
            <w:vAlign w:val="center"/>
          </w:tcPr>
          <w:p w14:paraId="2CC00423">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hint="eastAsia" w:ascii="宋体" w:hAnsi="宋体" w:eastAsia="宋体" w:cs="Calibri"/>
                <w:color w:val="auto"/>
                <w:sz w:val="21"/>
                <w:szCs w:val="21"/>
              </w:rPr>
            </w:pPr>
            <w:r>
              <w:rPr>
                <w:rFonts w:hint="eastAsia" w:ascii="宋体" w:hAnsi="宋体" w:eastAsia="宋体" w:cs="Calibri"/>
                <w:color w:val="auto"/>
                <w:sz w:val="21"/>
                <w:szCs w:val="21"/>
                <w:lang w:val="en-US" w:eastAsia="zh-CN"/>
              </w:rPr>
              <w:t>1、</w:t>
            </w:r>
            <w:r>
              <w:rPr>
                <w:rFonts w:hint="eastAsia" w:ascii="宋体" w:hAnsi="宋体" w:eastAsia="宋体" w:cs="Calibri"/>
                <w:color w:val="auto"/>
                <w:sz w:val="21"/>
                <w:szCs w:val="21"/>
                <w:lang w:eastAsia="zh-CN"/>
              </w:rPr>
              <w:t>供应商</w:t>
            </w:r>
            <w:r>
              <w:rPr>
                <w:rFonts w:hint="eastAsia" w:ascii="宋体" w:hAnsi="宋体" w:eastAsia="宋体" w:cs="Calibri"/>
                <w:color w:val="auto"/>
                <w:sz w:val="21"/>
                <w:szCs w:val="21"/>
              </w:rPr>
              <w:t>开标当日无需到现场，不需要递交纸质版</w:t>
            </w:r>
            <w:r>
              <w:rPr>
                <w:rFonts w:hint="eastAsia" w:ascii="宋体" w:hAnsi="宋体" w:eastAsia="宋体" w:cs="Calibri"/>
                <w:color w:val="auto"/>
                <w:sz w:val="21"/>
                <w:szCs w:val="21"/>
                <w:lang w:eastAsia="zh-CN"/>
              </w:rPr>
              <w:t>响应</w:t>
            </w:r>
            <w:r>
              <w:rPr>
                <w:rFonts w:hint="eastAsia" w:ascii="宋体" w:hAnsi="宋体" w:eastAsia="宋体" w:cs="Calibri"/>
                <w:color w:val="auto"/>
                <w:sz w:val="21"/>
                <w:szCs w:val="21"/>
              </w:rPr>
              <w:t>文件及</w:t>
            </w:r>
            <w:r>
              <w:rPr>
                <w:rFonts w:hint="eastAsia" w:ascii="宋体" w:hAnsi="宋体" w:eastAsia="宋体" w:cs="Calibri"/>
                <w:color w:val="auto"/>
                <w:sz w:val="21"/>
                <w:szCs w:val="21"/>
                <w:lang w:eastAsia="zh-CN"/>
              </w:rPr>
              <w:t>采购</w:t>
            </w:r>
            <w:r>
              <w:rPr>
                <w:rFonts w:hint="eastAsia" w:ascii="宋体" w:hAnsi="宋体" w:eastAsia="宋体" w:cs="Calibri"/>
                <w:color w:val="auto"/>
                <w:sz w:val="21"/>
                <w:szCs w:val="21"/>
              </w:rPr>
              <w:t>文件规定的原件，实行远程解密。</w:t>
            </w:r>
            <w:r>
              <w:rPr>
                <w:rFonts w:hint="eastAsia" w:ascii="宋体" w:hAnsi="宋体" w:eastAsia="宋体" w:cs="Calibri"/>
                <w:color w:val="auto"/>
                <w:sz w:val="21"/>
                <w:szCs w:val="21"/>
                <w:lang w:eastAsia="zh-CN"/>
              </w:rPr>
              <w:t>供应商</w:t>
            </w:r>
            <w:r>
              <w:rPr>
                <w:rFonts w:hint="eastAsia" w:ascii="宋体" w:hAnsi="宋体" w:eastAsia="宋体" w:cs="Calibri"/>
                <w:color w:val="auto"/>
                <w:sz w:val="21"/>
                <w:szCs w:val="21"/>
              </w:rPr>
              <w:t>应在</w:t>
            </w:r>
            <w:r>
              <w:rPr>
                <w:rFonts w:hint="eastAsia" w:ascii="宋体" w:hAnsi="宋体" w:eastAsia="宋体" w:cs="Calibri"/>
                <w:color w:val="auto"/>
                <w:sz w:val="21"/>
                <w:szCs w:val="21"/>
                <w:lang w:eastAsia="zh-CN"/>
              </w:rPr>
              <w:t>响应</w:t>
            </w:r>
            <w:r>
              <w:rPr>
                <w:rFonts w:hint="eastAsia" w:ascii="宋体" w:hAnsi="宋体" w:eastAsia="宋体" w:cs="Calibri"/>
                <w:color w:val="auto"/>
                <w:sz w:val="21"/>
                <w:szCs w:val="21"/>
              </w:rPr>
              <w:t>文件递交截止时间前通过</w:t>
            </w:r>
            <w:r>
              <w:rPr>
                <w:rFonts w:hint="eastAsia" w:ascii="宋体" w:hAnsi="宋体" w:eastAsia="宋体" w:cs="Calibri"/>
                <w:color w:val="auto"/>
                <w:sz w:val="21"/>
                <w:szCs w:val="21"/>
                <w:lang w:val="en-US" w:eastAsia="zh-CN"/>
              </w:rPr>
              <w:t>政府采购云平台</w:t>
            </w:r>
            <w:r>
              <w:rPr>
                <w:rFonts w:hint="eastAsia" w:ascii="宋体" w:hAnsi="宋体" w:eastAsia="宋体" w:cs="Calibri"/>
                <w:color w:val="auto"/>
                <w:sz w:val="21"/>
                <w:szCs w:val="21"/>
              </w:rPr>
              <w:t>上传电子</w:t>
            </w:r>
            <w:r>
              <w:rPr>
                <w:rFonts w:hint="eastAsia" w:ascii="宋体" w:hAnsi="宋体" w:eastAsia="宋体" w:cs="Calibri"/>
                <w:color w:val="auto"/>
                <w:sz w:val="21"/>
                <w:szCs w:val="21"/>
                <w:lang w:eastAsia="zh-CN"/>
              </w:rPr>
              <w:t>响应</w:t>
            </w:r>
            <w:r>
              <w:rPr>
                <w:rFonts w:hint="eastAsia" w:ascii="宋体" w:hAnsi="宋体" w:eastAsia="宋体" w:cs="Calibri"/>
                <w:color w:val="auto"/>
                <w:sz w:val="21"/>
                <w:szCs w:val="21"/>
              </w:rPr>
              <w:t>文件。</w:t>
            </w:r>
          </w:p>
          <w:p w14:paraId="445B6A26">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hint="eastAsia" w:ascii="宋体" w:hAnsi="宋体" w:eastAsia="宋体" w:cs="Calibri"/>
                <w:color w:val="auto"/>
                <w:sz w:val="21"/>
                <w:szCs w:val="21"/>
              </w:rPr>
            </w:pPr>
            <w:r>
              <w:rPr>
                <w:rFonts w:hint="eastAsia" w:ascii="宋体" w:hAnsi="宋体" w:eastAsia="宋体" w:cs="Calibri"/>
                <w:color w:val="auto"/>
                <w:sz w:val="21"/>
                <w:szCs w:val="21"/>
                <w:lang w:val="en-US" w:eastAsia="zh-CN"/>
              </w:rPr>
              <w:t>2、</w:t>
            </w:r>
            <w:r>
              <w:rPr>
                <w:rFonts w:hint="eastAsia" w:ascii="宋体" w:hAnsi="宋体" w:eastAsia="宋体" w:cs="Calibri"/>
                <w:color w:val="auto"/>
                <w:sz w:val="21"/>
                <w:szCs w:val="21"/>
              </w:rPr>
              <w:t>本项目采取网上招标、网上投标。各</w:t>
            </w:r>
            <w:r>
              <w:rPr>
                <w:rFonts w:hint="eastAsia" w:ascii="宋体" w:hAnsi="宋体" w:eastAsia="宋体" w:cs="Calibri"/>
                <w:color w:val="auto"/>
                <w:sz w:val="21"/>
                <w:szCs w:val="21"/>
                <w:lang w:val="en-US" w:eastAsia="zh-CN"/>
              </w:rPr>
              <w:t>供应商</w:t>
            </w:r>
            <w:r>
              <w:rPr>
                <w:rFonts w:hint="eastAsia" w:ascii="宋体" w:hAnsi="宋体" w:eastAsia="宋体" w:cs="Calibri"/>
                <w:color w:val="auto"/>
                <w:sz w:val="21"/>
                <w:szCs w:val="21"/>
              </w:rPr>
              <w:t>使用</w:t>
            </w:r>
            <w:r>
              <w:rPr>
                <w:rFonts w:hint="eastAsia" w:ascii="宋体" w:hAnsi="宋体" w:eastAsia="宋体" w:cs="Calibri"/>
                <w:color w:val="auto"/>
                <w:sz w:val="21"/>
                <w:szCs w:val="21"/>
                <w:lang w:val="en-US" w:eastAsia="zh-CN"/>
              </w:rPr>
              <w:t>本单位</w:t>
            </w:r>
            <w:r>
              <w:rPr>
                <w:rFonts w:hint="eastAsia" w:ascii="宋体" w:hAnsi="宋体" w:eastAsia="宋体" w:cs="Calibri"/>
                <w:color w:val="auto"/>
                <w:sz w:val="21"/>
                <w:szCs w:val="21"/>
              </w:rPr>
              <w:t>CA锁制作的</w:t>
            </w:r>
            <w:r>
              <w:rPr>
                <w:rFonts w:hint="eastAsia" w:ascii="宋体" w:hAnsi="宋体" w:eastAsia="宋体" w:cs="Calibri"/>
                <w:color w:val="auto"/>
                <w:sz w:val="21"/>
                <w:szCs w:val="21"/>
                <w:lang w:val="en-US" w:eastAsia="zh-CN"/>
              </w:rPr>
              <w:t>响应</w:t>
            </w:r>
            <w:r>
              <w:rPr>
                <w:rFonts w:hint="eastAsia" w:ascii="宋体" w:hAnsi="宋体" w:eastAsia="宋体" w:cs="Calibri"/>
                <w:color w:val="auto"/>
                <w:sz w:val="21"/>
                <w:szCs w:val="21"/>
              </w:rPr>
              <w:t>文件符合网上</w:t>
            </w:r>
            <w:r>
              <w:rPr>
                <w:rFonts w:hint="eastAsia" w:ascii="宋体" w:hAnsi="宋体" w:eastAsia="宋体" w:cs="Calibri"/>
                <w:color w:val="auto"/>
                <w:sz w:val="21"/>
                <w:szCs w:val="21"/>
                <w:lang w:eastAsia="zh-CN"/>
              </w:rPr>
              <w:t>评标</w:t>
            </w:r>
            <w:r>
              <w:rPr>
                <w:rFonts w:hint="eastAsia" w:ascii="宋体" w:hAnsi="宋体" w:eastAsia="宋体" w:cs="Calibri"/>
                <w:color w:val="auto"/>
                <w:sz w:val="21"/>
                <w:szCs w:val="21"/>
              </w:rPr>
              <w:t>要求才可进入评标阶段，全流程电子招标项目交易平台系统支持投标文件远程解密。逾期上传的电子</w:t>
            </w:r>
            <w:r>
              <w:rPr>
                <w:rFonts w:hint="eastAsia" w:ascii="宋体" w:hAnsi="宋体" w:eastAsia="宋体" w:cs="Calibri"/>
                <w:color w:val="auto"/>
                <w:sz w:val="21"/>
                <w:szCs w:val="21"/>
                <w:lang w:eastAsia="zh-CN"/>
              </w:rPr>
              <w:t>响应</w:t>
            </w:r>
            <w:r>
              <w:rPr>
                <w:rFonts w:hint="eastAsia" w:ascii="宋体" w:hAnsi="宋体" w:eastAsia="宋体" w:cs="Calibri"/>
                <w:color w:val="auto"/>
                <w:sz w:val="21"/>
                <w:szCs w:val="21"/>
              </w:rPr>
              <w:t>文件，电子招标投标交易平台将予以拒收。</w:t>
            </w:r>
          </w:p>
          <w:p w14:paraId="15C14D78">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hint="eastAsia" w:ascii="宋体" w:hAnsi="宋体" w:eastAsia="宋体" w:cs="Calibri"/>
                <w:color w:val="auto"/>
                <w:sz w:val="21"/>
                <w:szCs w:val="21"/>
                <w:lang w:val="zh-CN" w:eastAsia="zh-CN"/>
              </w:rPr>
            </w:pPr>
            <w:r>
              <w:rPr>
                <w:rFonts w:hint="eastAsia" w:ascii="宋体" w:hAnsi="宋体" w:eastAsia="宋体" w:cs="Calibri"/>
                <w:color w:val="auto"/>
                <w:sz w:val="21"/>
                <w:szCs w:val="21"/>
              </w:rPr>
              <w:t>3、</w:t>
            </w:r>
            <w:r>
              <w:rPr>
                <w:rFonts w:hint="eastAsia" w:ascii="宋体" w:hAnsi="宋体" w:eastAsia="宋体" w:cs="Calibri"/>
                <w:color w:val="auto"/>
                <w:sz w:val="21"/>
                <w:szCs w:val="21"/>
                <w:lang w:val="en-US" w:eastAsia="zh-CN"/>
              </w:rPr>
              <w:t>政府采购云</w:t>
            </w:r>
            <w:r>
              <w:rPr>
                <w:rFonts w:hint="eastAsia" w:ascii="宋体" w:hAnsi="宋体" w:eastAsia="宋体" w:cs="Calibri"/>
                <w:color w:val="auto"/>
                <w:sz w:val="21"/>
                <w:szCs w:val="21"/>
                <w:lang w:val="zh-CN" w:eastAsia="zh-CN"/>
              </w:rPr>
              <w:t>平台支持响应文件远程解密，解密方式：响应文件递交截止时间前完成解密工作，投标人持制作该电子响应文件的同一数字证书（CA企业锁）登录，进入“开标远程解密”菜单选择对应的项目的</w:t>
            </w:r>
            <w:r>
              <w:rPr>
                <w:rFonts w:hint="eastAsia" w:ascii="宋体" w:hAnsi="宋体" w:eastAsia="宋体" w:cs="Calibri"/>
                <w:color w:val="auto"/>
                <w:sz w:val="21"/>
                <w:szCs w:val="21"/>
                <w:lang w:val="en-US" w:eastAsia="zh-CN"/>
              </w:rPr>
              <w:t>响应</w:t>
            </w:r>
            <w:r>
              <w:rPr>
                <w:rFonts w:hint="eastAsia" w:ascii="宋体" w:hAnsi="宋体" w:eastAsia="宋体" w:cs="Calibri"/>
                <w:color w:val="auto"/>
                <w:sz w:val="21"/>
                <w:szCs w:val="21"/>
                <w:lang w:val="zh-CN" w:eastAsia="zh-CN"/>
              </w:rPr>
              <w:t>文件进行远程解密。</w:t>
            </w:r>
            <w:r>
              <w:rPr>
                <w:rFonts w:hint="eastAsia" w:ascii="宋体" w:hAnsi="宋体" w:eastAsia="宋体" w:cs="Calibri"/>
                <w:color w:val="auto"/>
                <w:sz w:val="21"/>
                <w:szCs w:val="21"/>
                <w:lang w:val="en-US" w:eastAsia="zh-CN"/>
              </w:rPr>
              <w:t>供应商</w:t>
            </w:r>
            <w:r>
              <w:rPr>
                <w:rFonts w:hint="eastAsia" w:ascii="宋体" w:hAnsi="宋体" w:eastAsia="宋体" w:cs="Calibri"/>
                <w:color w:val="auto"/>
                <w:sz w:val="21"/>
                <w:szCs w:val="21"/>
                <w:lang w:val="zh-CN" w:eastAsia="zh-CN"/>
              </w:rPr>
              <w:t>由于数字证书遗失、损坏、更换、续期等自身原因未能成功解密的，视为逾期未提交</w:t>
            </w:r>
            <w:r>
              <w:rPr>
                <w:rFonts w:hint="eastAsia" w:ascii="宋体" w:hAnsi="宋体" w:eastAsia="宋体" w:cs="Calibri"/>
                <w:color w:val="auto"/>
                <w:sz w:val="21"/>
                <w:szCs w:val="21"/>
                <w:lang w:val="en-US" w:eastAsia="zh-CN"/>
              </w:rPr>
              <w:t>响应</w:t>
            </w:r>
            <w:r>
              <w:rPr>
                <w:rFonts w:hint="eastAsia" w:ascii="宋体" w:hAnsi="宋体" w:eastAsia="宋体" w:cs="Calibri"/>
                <w:color w:val="auto"/>
                <w:sz w:val="21"/>
                <w:szCs w:val="21"/>
                <w:lang w:val="zh-CN" w:eastAsia="zh-CN"/>
              </w:rPr>
              <w:t>文件，其投标无效。</w:t>
            </w:r>
          </w:p>
          <w:p w14:paraId="7CA96A37">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hint="eastAsia" w:ascii="宋体" w:hAnsi="宋体" w:eastAsia="宋体" w:cs="Calibri"/>
                <w:color w:val="auto"/>
                <w:sz w:val="21"/>
                <w:szCs w:val="21"/>
                <w:lang w:val="zh-CN" w:eastAsia="zh-CN"/>
              </w:rPr>
            </w:pPr>
            <w:r>
              <w:rPr>
                <w:rFonts w:hint="eastAsia" w:ascii="宋体" w:hAnsi="宋体" w:eastAsia="宋体" w:cs="Calibri"/>
                <w:color w:val="auto"/>
                <w:sz w:val="21"/>
                <w:szCs w:val="21"/>
                <w:lang w:val="en-US" w:eastAsia="zh-CN"/>
              </w:rPr>
              <w:t>4、</w:t>
            </w:r>
            <w:r>
              <w:rPr>
                <w:rFonts w:hint="eastAsia" w:ascii="宋体" w:hAnsi="宋体" w:eastAsia="宋体" w:cs="Calibri"/>
                <w:color w:val="auto"/>
                <w:sz w:val="21"/>
                <w:szCs w:val="21"/>
                <w:lang w:val="zh-CN" w:eastAsia="zh-CN"/>
              </w:rPr>
              <w:t>供应商对递交响应文件进行解密后，</w:t>
            </w:r>
            <w:r>
              <w:rPr>
                <w:rFonts w:hint="eastAsia" w:ascii="宋体" w:hAnsi="宋体" w:eastAsia="宋体" w:cs="Calibri"/>
                <w:color w:val="auto"/>
                <w:sz w:val="21"/>
                <w:szCs w:val="21"/>
                <w:lang w:val="en-US" w:eastAsia="zh-CN"/>
              </w:rPr>
              <w:t>由</w:t>
            </w:r>
            <w:r>
              <w:rPr>
                <w:rFonts w:hint="default" w:ascii="宋体" w:hAnsi="宋体" w:eastAsia="宋体" w:cs="Calibri"/>
                <w:color w:val="auto"/>
                <w:sz w:val="21"/>
                <w:szCs w:val="21"/>
                <w:lang w:val="en-US" w:eastAsia="zh-CN"/>
              </w:rPr>
              <w:t>磋商小组进行初步评审</w:t>
            </w:r>
            <w:r>
              <w:rPr>
                <w:rFonts w:hint="eastAsia" w:ascii="宋体" w:hAnsi="宋体" w:eastAsia="宋体" w:cs="Calibri"/>
                <w:color w:val="auto"/>
                <w:sz w:val="21"/>
                <w:szCs w:val="21"/>
                <w:lang w:val="en-US" w:eastAsia="zh-CN"/>
              </w:rPr>
              <w:t>，</w:t>
            </w:r>
            <w:r>
              <w:rPr>
                <w:rFonts w:hint="eastAsia" w:ascii="宋体" w:hAnsi="宋体" w:eastAsia="宋体" w:cs="Calibri"/>
                <w:color w:val="auto"/>
                <w:sz w:val="21"/>
                <w:szCs w:val="21"/>
                <w:lang w:val="zh-CN" w:eastAsia="zh-CN"/>
              </w:rPr>
              <w:t>通过资格审查后进行二次报价。</w:t>
            </w:r>
          </w:p>
          <w:p w14:paraId="335F1D08">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注：（1）供应商对第二轮报价有异议的，应当在磋商现场提出，采购人或者采购代理机构应当场给予答复，并制作记录，供应商法定代表人或其授权代表、采购人代表、采购代理机构相关人员签字确认。</w:t>
            </w:r>
          </w:p>
          <w:p w14:paraId="028BC682">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（2）采购单位组织的竞磋按竞争性磋商公告规定的时间和地点进行。供应商（法定代表人</w:t>
            </w:r>
            <w:r>
              <w:rPr>
                <w:rFonts w:hint="eastAsia" w:ascii="宋体" w:hAnsi="宋体" w:eastAsia="宋体" w:cs="宋体"/>
                <w:color w:val="auto"/>
                <w:sz w:val="21"/>
                <w:szCs w:val="21"/>
              </w:rPr>
              <w:t>或其授权委托人）未在规定时间内</w:t>
            </w:r>
            <w:r>
              <w:rPr>
                <w:rFonts w:hint="eastAsia" w:ascii="宋体" w:hAnsi="宋体" w:eastAsia="宋体" w:cs="宋体"/>
                <w:color w:val="auto"/>
                <w:sz w:val="21"/>
                <w:szCs w:val="21"/>
                <w:lang w:val="en-US" w:eastAsia="zh-CN"/>
              </w:rPr>
              <w:t>提交最终报价</w:t>
            </w:r>
            <w:r>
              <w:rPr>
                <w:rFonts w:hint="eastAsia" w:ascii="宋体" w:hAnsi="宋体" w:eastAsia="宋体" w:cs="宋体"/>
                <w:color w:val="auto"/>
                <w:sz w:val="21"/>
                <w:szCs w:val="21"/>
              </w:rPr>
              <w:t>的，视其为自动放弃本次竞磋，逾期</w:t>
            </w:r>
            <w:r>
              <w:rPr>
                <w:rFonts w:hint="eastAsia" w:ascii="宋体" w:hAnsi="宋体" w:cs="宋体"/>
                <w:color w:val="auto"/>
                <w:sz w:val="21"/>
                <w:szCs w:val="21"/>
                <w:lang w:val="en-US" w:eastAsia="zh-CN"/>
              </w:rPr>
              <w:t>提交</w:t>
            </w:r>
            <w:r>
              <w:rPr>
                <w:rFonts w:hint="eastAsia" w:ascii="宋体" w:hAnsi="宋体" w:eastAsia="宋体" w:cs="宋体"/>
                <w:color w:val="auto"/>
                <w:sz w:val="21"/>
                <w:szCs w:val="21"/>
              </w:rPr>
              <w:t>的竞磋响应文件将被拒收。</w:t>
            </w:r>
          </w:p>
          <w:p w14:paraId="7C73DF58">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在竞磋过程中，竞磋的任何一方不得向他人透露与竞磋有关的技术资料或其他信息。</w:t>
            </w:r>
          </w:p>
          <w:p w14:paraId="572AE1C0">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在竞磋期间，为有助于对竞磋响应文件的审查、评价和比较，磋商小组有权要求供应商对其竞磋响应文件中含义不明确、同类问题表述不一致或者有明显文字和计算错误的内容进行澄清。但并非对每个供应商都作澄清要求。</w:t>
            </w:r>
          </w:p>
          <w:p w14:paraId="6F92AC84">
            <w:pPr>
              <w:spacing w:line="240" w:lineRule="auto"/>
              <w:rPr>
                <w:rFonts w:asciiTheme="minorEastAsia" w:hAnsiTheme="minorEastAsia" w:eastAsiaTheme="minorEastAsia"/>
                <w:color w:val="auto"/>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所有供应商在竞磋时作出的所有书面承诺须由供应商法定代表人或其授权委托人签字。</w:t>
            </w:r>
          </w:p>
        </w:tc>
      </w:tr>
      <w:tr w14:paraId="6922DB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 w:hRule="atLeast"/>
        </w:trPr>
        <w:tc>
          <w:tcPr>
            <w:tcW w:w="1008" w:type="dxa"/>
            <w:vAlign w:val="center"/>
          </w:tcPr>
          <w:p w14:paraId="4885E4FE">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6.1.1</w:t>
            </w:r>
          </w:p>
        </w:tc>
        <w:tc>
          <w:tcPr>
            <w:tcW w:w="3103" w:type="dxa"/>
            <w:vAlign w:val="center"/>
          </w:tcPr>
          <w:p w14:paraId="0B62E585">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center"/>
              <w:textAlignment w:val="auto"/>
              <w:rPr>
                <w:rFonts w:asciiTheme="minorEastAsia" w:hAnsiTheme="minorEastAsia" w:eastAsiaTheme="minorEastAsia"/>
                <w:color w:val="auto"/>
                <w:szCs w:val="21"/>
              </w:rPr>
            </w:pPr>
            <w:r>
              <w:rPr>
                <w:rFonts w:hint="eastAsia" w:ascii="宋体" w:hAnsi="宋体" w:eastAsia="宋体" w:cs="Calibri"/>
                <w:color w:val="auto"/>
                <w:sz w:val="21"/>
                <w:szCs w:val="21"/>
              </w:rPr>
              <w:t>磋商小组的组建</w:t>
            </w:r>
          </w:p>
        </w:tc>
        <w:tc>
          <w:tcPr>
            <w:tcW w:w="5636" w:type="dxa"/>
            <w:vAlign w:val="center"/>
          </w:tcPr>
          <w:p w14:paraId="61AA9FF2">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磋商小组成员构成：3人，采购人代表</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经济、技术专业</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w:t>
            </w:r>
          </w:p>
          <w:p w14:paraId="29333891">
            <w:pPr>
              <w:spacing w:line="240" w:lineRule="auto"/>
              <w:rPr>
                <w:rFonts w:asciiTheme="minorEastAsia" w:hAnsiTheme="minorEastAsia" w:eastAsiaTheme="minorEastAsia"/>
                <w:color w:val="auto"/>
                <w:szCs w:val="21"/>
              </w:rPr>
            </w:pPr>
            <w:r>
              <w:rPr>
                <w:rFonts w:hint="eastAsia" w:ascii="宋体" w:hAnsi="宋体" w:eastAsia="宋体" w:cs="宋体"/>
                <w:color w:val="auto"/>
                <w:sz w:val="21"/>
                <w:szCs w:val="21"/>
              </w:rPr>
              <w:t>磋商专家确定方式：</w:t>
            </w:r>
            <w:r>
              <w:rPr>
                <w:rFonts w:hint="eastAsia" w:ascii="宋体" w:hAnsi="宋体" w:cs="宋体"/>
                <w:color w:val="auto"/>
                <w:sz w:val="21"/>
                <w:szCs w:val="21"/>
                <w:lang w:val="en-US" w:eastAsia="zh-CN"/>
              </w:rPr>
              <w:t>政采云系统从</w:t>
            </w:r>
            <w:r>
              <w:rPr>
                <w:rFonts w:hint="eastAsia" w:ascii="宋体" w:hAnsi="宋体" w:eastAsia="宋体" w:cs="宋体"/>
                <w:color w:val="auto"/>
                <w:sz w:val="21"/>
                <w:szCs w:val="21"/>
                <w:lang w:val="en-US" w:eastAsia="zh-CN"/>
              </w:rPr>
              <w:t>评审专家库中随机抽取。</w:t>
            </w:r>
          </w:p>
        </w:tc>
      </w:tr>
      <w:tr w14:paraId="38FA49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1008" w:type="dxa"/>
            <w:vAlign w:val="center"/>
          </w:tcPr>
          <w:p w14:paraId="328785C1">
            <w:pPr>
              <w:spacing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7.1</w:t>
            </w:r>
          </w:p>
        </w:tc>
        <w:tc>
          <w:tcPr>
            <w:tcW w:w="3103" w:type="dxa"/>
            <w:vAlign w:val="center"/>
          </w:tcPr>
          <w:p w14:paraId="1C5DF20A">
            <w:pPr>
              <w:spacing w:line="400" w:lineRule="exact"/>
              <w:jc w:val="center"/>
              <w:rPr>
                <w:rFonts w:ascii="宋体" w:hAnsi="宋体" w:cs="宋体"/>
                <w:color w:val="auto"/>
                <w:szCs w:val="21"/>
              </w:rPr>
            </w:pPr>
            <w:r>
              <w:rPr>
                <w:rFonts w:ascii="宋体" w:hAnsi="宋体" w:cs="宋体"/>
                <w:color w:val="auto"/>
                <w:szCs w:val="21"/>
              </w:rPr>
              <w:t>是否授权评标</w:t>
            </w:r>
          </w:p>
          <w:p w14:paraId="5154931C">
            <w:pPr>
              <w:spacing w:line="400" w:lineRule="exact"/>
              <w:jc w:val="center"/>
              <w:rPr>
                <w:rFonts w:asciiTheme="minorEastAsia" w:hAnsiTheme="minorEastAsia" w:eastAsiaTheme="minorEastAsia"/>
                <w:color w:val="auto"/>
                <w:szCs w:val="21"/>
              </w:rPr>
            </w:pPr>
            <w:r>
              <w:rPr>
                <w:rFonts w:ascii="宋体" w:hAnsi="宋体" w:cs="宋体"/>
                <w:color w:val="auto"/>
                <w:szCs w:val="21"/>
              </w:rPr>
              <w:t>委员会确定</w:t>
            </w:r>
            <w:r>
              <w:rPr>
                <w:rFonts w:hint="eastAsia" w:ascii="宋体" w:hAnsi="宋体" w:cs="宋体"/>
                <w:color w:val="auto"/>
                <w:szCs w:val="21"/>
              </w:rPr>
              <w:t>中标人</w:t>
            </w:r>
          </w:p>
        </w:tc>
        <w:tc>
          <w:tcPr>
            <w:tcW w:w="5636" w:type="dxa"/>
            <w:vAlign w:val="center"/>
          </w:tcPr>
          <w:p w14:paraId="0B299E67">
            <w:pPr>
              <w:spacing w:line="400" w:lineRule="exact"/>
              <w:rPr>
                <w:rFonts w:asciiTheme="minorEastAsia" w:hAnsiTheme="minorEastAsia" w:eastAsiaTheme="minorEastAsia"/>
                <w:color w:val="auto"/>
                <w:szCs w:val="21"/>
              </w:rPr>
            </w:pPr>
            <w:r>
              <w:rPr>
                <w:rFonts w:hint="eastAsia" w:hAnsi="宋体"/>
                <w:color w:val="auto"/>
              </w:rPr>
              <w:t>采购人授权评标委员会</w:t>
            </w:r>
            <w:r>
              <w:rPr>
                <w:rFonts w:hAnsi="宋体"/>
                <w:color w:val="auto"/>
              </w:rPr>
              <w:t>确定排名第一的中标候选人为</w:t>
            </w:r>
            <w:r>
              <w:rPr>
                <w:rFonts w:hint="eastAsia" w:hAnsi="宋体"/>
                <w:color w:val="auto"/>
              </w:rPr>
              <w:t>中标人</w:t>
            </w:r>
            <w:r>
              <w:rPr>
                <w:rFonts w:hAnsi="宋体"/>
                <w:color w:val="auto"/>
              </w:rPr>
              <w:t>。</w:t>
            </w:r>
          </w:p>
        </w:tc>
      </w:tr>
      <w:tr w14:paraId="25130A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1008" w:type="dxa"/>
            <w:vAlign w:val="center"/>
          </w:tcPr>
          <w:p w14:paraId="4D8636BC">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7.2</w:t>
            </w:r>
          </w:p>
        </w:tc>
        <w:tc>
          <w:tcPr>
            <w:tcW w:w="3103" w:type="dxa"/>
            <w:vAlign w:val="center"/>
          </w:tcPr>
          <w:p w14:paraId="3B48D737">
            <w:pPr>
              <w:keepNext w:val="0"/>
              <w:keepLines w:val="0"/>
              <w:pageBreakBefore w:val="0"/>
              <w:widowControl w:val="0"/>
              <w:kinsoku/>
              <w:wordWrap/>
              <w:overflowPunct/>
              <w:topLinePunct w:val="0"/>
              <w:bidi w:val="0"/>
              <w:snapToGrid/>
              <w:spacing w:before="160" w:beforeLines="50" w:after="160" w:afterLines="50" w:line="240" w:lineRule="auto"/>
              <w:jc w:val="center"/>
              <w:textAlignment w:val="auto"/>
              <w:rPr>
                <w:rFonts w:asciiTheme="minorEastAsia" w:hAnsiTheme="minorEastAsia" w:eastAsiaTheme="minorEastAsia"/>
                <w:color w:val="auto"/>
                <w:szCs w:val="21"/>
              </w:rPr>
            </w:pPr>
            <w:r>
              <w:rPr>
                <w:rFonts w:hint="eastAsia" w:ascii="宋体" w:hAnsi="宋体" w:eastAsia="宋体" w:cs="宋体"/>
                <w:color w:val="auto"/>
                <w:sz w:val="21"/>
                <w:szCs w:val="21"/>
                <w:highlight w:val="none"/>
              </w:rPr>
              <w:t>成交结果公告媒介及期限</w:t>
            </w:r>
          </w:p>
        </w:tc>
        <w:tc>
          <w:tcPr>
            <w:tcW w:w="5636" w:type="dxa"/>
            <w:vAlign w:val="center"/>
          </w:tcPr>
          <w:p w14:paraId="2EC64EDF">
            <w:pPr>
              <w:pStyle w:val="18"/>
              <w:jc w:val="left"/>
              <w:rPr>
                <w:rFonts w:hint="eastAsia" w:hAnsi="宋体"/>
                <w:color w:val="auto"/>
                <w:sz w:val="21"/>
                <w:szCs w:val="21"/>
              </w:rPr>
            </w:pPr>
            <w:r>
              <w:rPr>
                <w:rFonts w:hint="eastAsia" w:hAnsi="宋体"/>
                <w:color w:val="auto"/>
                <w:sz w:val="21"/>
                <w:szCs w:val="21"/>
                <w:lang w:val="zh-CN"/>
              </w:rPr>
              <w:t>公示媒介</w:t>
            </w:r>
            <w:r>
              <w:rPr>
                <w:rFonts w:hint="eastAsia" w:hAnsi="宋体"/>
                <w:color w:val="auto"/>
                <w:sz w:val="21"/>
                <w:szCs w:val="21"/>
              </w:rPr>
              <w:t>：</w:t>
            </w:r>
            <w:r>
              <w:rPr>
                <w:rFonts w:hint="eastAsia" w:ascii="宋体" w:hAnsi="宋体" w:cs="宋体"/>
                <w:color w:val="auto"/>
                <w:sz w:val="21"/>
                <w:szCs w:val="21"/>
                <w:lang w:bidi="ar"/>
              </w:rPr>
              <w:t>“政采云”平台（http://www.zcygov.cn），同步推送到吉林省政府采购网（http://www.ccgp-jilin.gov.cn/）中国政府采购网发布</w:t>
            </w:r>
            <w:r>
              <w:rPr>
                <w:rFonts w:hint="eastAsia" w:ascii="宋体" w:hAnsi="宋体" w:cs="宋体"/>
                <w:color w:val="auto"/>
                <w:sz w:val="21"/>
                <w:szCs w:val="21"/>
                <w:lang w:val="zh-CN" w:bidi="ar"/>
              </w:rPr>
              <w:t>。</w:t>
            </w:r>
          </w:p>
          <w:p w14:paraId="3F623099">
            <w:pPr>
              <w:spacing w:line="240" w:lineRule="auto"/>
              <w:rPr>
                <w:rFonts w:cs="宋体" w:asciiTheme="minorEastAsia" w:hAnsiTheme="minorEastAsia" w:eastAsiaTheme="minorEastAsia"/>
                <w:color w:val="auto"/>
                <w:kern w:val="0"/>
                <w:szCs w:val="21"/>
              </w:rPr>
            </w:pPr>
            <w:r>
              <w:rPr>
                <w:rFonts w:hint="eastAsia" w:hAnsi="宋体"/>
                <w:color w:val="auto"/>
                <w:sz w:val="21"/>
                <w:szCs w:val="21"/>
              </w:rPr>
              <w:t>公示期限：1日</w:t>
            </w:r>
          </w:p>
        </w:tc>
      </w:tr>
      <w:tr w14:paraId="0D76A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1008" w:type="dxa"/>
            <w:vAlign w:val="center"/>
          </w:tcPr>
          <w:p w14:paraId="711C9B68">
            <w:pPr>
              <w:snapToGrid w:val="0"/>
              <w:spacing w:line="440" w:lineRule="exact"/>
              <w:jc w:val="center"/>
              <w:rPr>
                <w:color w:val="auto"/>
                <w:szCs w:val="21"/>
              </w:rPr>
            </w:pPr>
            <w:r>
              <w:rPr>
                <w:rStyle w:val="68"/>
                <w:color w:val="auto"/>
                <w:szCs w:val="21"/>
              </w:rPr>
              <w:t>7.4</w:t>
            </w:r>
          </w:p>
        </w:tc>
        <w:tc>
          <w:tcPr>
            <w:tcW w:w="3103" w:type="dxa"/>
            <w:vAlign w:val="center"/>
          </w:tcPr>
          <w:p w14:paraId="1F66984A">
            <w:pPr>
              <w:snapToGrid w:val="0"/>
              <w:spacing w:line="440" w:lineRule="exact"/>
              <w:jc w:val="center"/>
              <w:rPr>
                <w:color w:val="auto"/>
                <w:szCs w:val="21"/>
              </w:rPr>
            </w:pPr>
            <w:r>
              <w:rPr>
                <w:rStyle w:val="68"/>
                <w:color w:val="auto"/>
                <w:szCs w:val="21"/>
              </w:rPr>
              <w:t>履约保证金</w:t>
            </w:r>
          </w:p>
        </w:tc>
        <w:tc>
          <w:tcPr>
            <w:tcW w:w="5636" w:type="dxa"/>
            <w:vAlign w:val="center"/>
          </w:tcPr>
          <w:p w14:paraId="70BAFC55">
            <w:pPr>
              <w:snapToGrid w:val="0"/>
              <w:spacing w:line="440" w:lineRule="exact"/>
              <w:rPr>
                <w:rStyle w:val="68"/>
                <w:color w:val="auto"/>
                <w:szCs w:val="21"/>
              </w:rPr>
            </w:pPr>
            <w:r>
              <w:rPr>
                <w:rStyle w:val="68"/>
                <w:color w:val="auto"/>
                <w:sz w:val="32"/>
                <w:szCs w:val="32"/>
              </w:rPr>
              <w:t>□</w:t>
            </w:r>
            <w:r>
              <w:rPr>
                <w:rStyle w:val="68"/>
                <w:color w:val="auto"/>
                <w:szCs w:val="21"/>
              </w:rPr>
              <w:t>要求，履约保证金的形式：</w:t>
            </w:r>
          </w:p>
          <w:p w14:paraId="4656340C">
            <w:pPr>
              <w:snapToGrid w:val="0"/>
              <w:spacing w:line="440" w:lineRule="exact"/>
              <w:ind w:firstLine="840" w:firstLineChars="400"/>
              <w:rPr>
                <w:rStyle w:val="68"/>
                <w:color w:val="auto"/>
                <w:szCs w:val="21"/>
              </w:rPr>
            </w:pPr>
            <w:r>
              <w:rPr>
                <w:rStyle w:val="68"/>
                <w:color w:val="auto"/>
                <w:szCs w:val="21"/>
              </w:rPr>
              <w:t>履约保证金的金额：10%</w:t>
            </w:r>
          </w:p>
          <w:p w14:paraId="1EA0191E">
            <w:pPr>
              <w:snapToGrid w:val="0"/>
              <w:spacing w:line="440" w:lineRule="exact"/>
              <w:jc w:val="left"/>
              <w:rPr>
                <w:rFonts w:ascii="宋体" w:hAnsi="宋体"/>
                <w:color w:val="auto"/>
                <w:kern w:val="0"/>
                <w:szCs w:val="21"/>
              </w:rPr>
            </w:pPr>
            <w:r>
              <w:rPr>
                <w:rStyle w:val="68"/>
                <w:color w:val="auto"/>
                <w:sz w:val="32"/>
                <w:szCs w:val="32"/>
              </w:rPr>
              <w:t>√</w:t>
            </w:r>
            <w:r>
              <w:rPr>
                <w:rStyle w:val="68"/>
                <w:color w:val="auto"/>
                <w:szCs w:val="21"/>
              </w:rPr>
              <w:t>不要求</w:t>
            </w:r>
          </w:p>
        </w:tc>
      </w:tr>
      <w:tr w14:paraId="0314B5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747" w:type="dxa"/>
            <w:gridSpan w:val="3"/>
            <w:vAlign w:val="center"/>
          </w:tcPr>
          <w:p w14:paraId="33078CF8">
            <w:pPr>
              <w:spacing w:line="440" w:lineRule="exact"/>
              <w:jc w:val="center"/>
              <w:rPr>
                <w:rFonts w:asciiTheme="minorEastAsia" w:hAnsiTheme="minorEastAsia" w:eastAsiaTheme="minorEastAsia"/>
                <w:b/>
                <w:color w:val="auto"/>
                <w:szCs w:val="21"/>
              </w:rPr>
            </w:pPr>
          </w:p>
        </w:tc>
      </w:tr>
      <w:tr w14:paraId="7D830E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932B0AF">
            <w:pPr>
              <w:spacing w:line="44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w:t>
            </w:r>
          </w:p>
        </w:tc>
        <w:tc>
          <w:tcPr>
            <w:tcW w:w="8739" w:type="dxa"/>
            <w:gridSpan w:val="2"/>
            <w:vAlign w:val="center"/>
          </w:tcPr>
          <w:p w14:paraId="7EABAC91">
            <w:pPr>
              <w:spacing w:line="44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需要</w:t>
            </w:r>
            <w:r>
              <w:rPr>
                <w:rFonts w:asciiTheme="minorEastAsia" w:hAnsiTheme="minorEastAsia" w:eastAsiaTheme="minorEastAsia"/>
                <w:b/>
                <w:color w:val="auto"/>
                <w:szCs w:val="21"/>
              </w:rPr>
              <w:t>补充</w:t>
            </w:r>
            <w:r>
              <w:rPr>
                <w:rFonts w:hint="eastAsia" w:asciiTheme="minorEastAsia" w:hAnsiTheme="minorEastAsia" w:eastAsiaTheme="minorEastAsia"/>
                <w:b/>
                <w:color w:val="auto"/>
                <w:szCs w:val="21"/>
              </w:rPr>
              <w:t>的其他</w:t>
            </w:r>
            <w:r>
              <w:rPr>
                <w:rFonts w:asciiTheme="minorEastAsia" w:hAnsiTheme="minorEastAsia" w:eastAsiaTheme="minorEastAsia"/>
                <w:b/>
                <w:color w:val="auto"/>
                <w:szCs w:val="21"/>
              </w:rPr>
              <w:t>内容</w:t>
            </w:r>
          </w:p>
        </w:tc>
      </w:tr>
      <w:tr w14:paraId="0C93EE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687518E">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3103" w:type="dxa"/>
            <w:vAlign w:val="center"/>
          </w:tcPr>
          <w:p w14:paraId="29307BC8">
            <w:pPr>
              <w:autoSpaceDE w:val="0"/>
              <w:autoSpaceDN w:val="0"/>
              <w:adjustRightInd w:val="0"/>
              <w:spacing w:before="156" w:beforeLines="50" w:after="156" w:afterLines="50"/>
              <w:jc w:val="center"/>
              <w:rPr>
                <w:rFonts w:asciiTheme="minorEastAsia" w:hAnsiTheme="minorEastAsia" w:eastAsiaTheme="minorEastAsia"/>
                <w:color w:val="auto"/>
                <w:szCs w:val="21"/>
              </w:rPr>
            </w:pPr>
            <w:r>
              <w:rPr>
                <w:rFonts w:hint="eastAsia" w:ascii="宋体" w:hAnsi="宋体" w:cs="宋体"/>
                <w:color w:val="auto"/>
                <w:spacing w:val="6"/>
                <w:lang w:val="zh-CN"/>
              </w:rPr>
              <w:t>报价轮次</w:t>
            </w:r>
          </w:p>
        </w:tc>
        <w:tc>
          <w:tcPr>
            <w:tcW w:w="5636" w:type="dxa"/>
            <w:vAlign w:val="center"/>
          </w:tcPr>
          <w:p w14:paraId="7C6EE622">
            <w:pPr>
              <w:autoSpaceDE w:val="0"/>
              <w:autoSpaceDN w:val="0"/>
              <w:adjustRightInd w:val="0"/>
              <w:spacing w:before="156" w:beforeLines="50" w:after="156" w:afterLines="50"/>
              <w:jc w:val="left"/>
              <w:rPr>
                <w:rFonts w:asciiTheme="minorEastAsia" w:hAnsiTheme="minorEastAsia" w:eastAsiaTheme="minorEastAsia"/>
                <w:color w:val="auto"/>
                <w:szCs w:val="21"/>
              </w:rPr>
            </w:pPr>
            <w:r>
              <w:rPr>
                <w:rFonts w:hint="eastAsia" w:ascii="宋体" w:hAnsi="宋体" w:cs="宋体"/>
                <w:color w:val="auto"/>
                <w:spacing w:val="6"/>
                <w:lang w:val="zh-CN"/>
              </w:rPr>
              <w:t>本次磋商共2轮报价（含首轮报价）</w:t>
            </w:r>
          </w:p>
        </w:tc>
      </w:tr>
      <w:tr w14:paraId="02C430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302CDAB0">
            <w:pPr>
              <w:spacing w:line="440" w:lineRule="exact"/>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w:t>
            </w:r>
          </w:p>
        </w:tc>
        <w:tc>
          <w:tcPr>
            <w:tcW w:w="3103" w:type="dxa"/>
            <w:vAlign w:val="center"/>
          </w:tcPr>
          <w:p w14:paraId="2CE78100">
            <w:pPr>
              <w:spacing w:line="360" w:lineRule="auto"/>
              <w:jc w:val="left"/>
              <w:rPr>
                <w:rFonts w:hint="eastAsia" w:asciiTheme="minorEastAsia" w:hAnsiTheme="minorEastAsia" w:eastAsiaTheme="minorEastAsia"/>
                <w:color w:val="auto"/>
                <w:szCs w:val="21"/>
              </w:rPr>
            </w:pPr>
            <w:r>
              <w:rPr>
                <w:rFonts w:hint="eastAsia" w:ascii="宋体" w:hAnsi="宋体"/>
                <w:color w:val="auto"/>
                <w:szCs w:val="21"/>
              </w:rPr>
              <w:t>招标代理服务费</w:t>
            </w:r>
          </w:p>
        </w:tc>
        <w:tc>
          <w:tcPr>
            <w:tcW w:w="5636" w:type="dxa"/>
            <w:vAlign w:val="center"/>
          </w:tcPr>
          <w:p w14:paraId="2C2607C7">
            <w:pPr>
              <w:spacing w:line="360" w:lineRule="auto"/>
              <w:rPr>
                <w:rFonts w:hint="eastAsia" w:asciiTheme="minorEastAsia" w:hAnsiTheme="minorEastAsia" w:eastAsiaTheme="minorEastAsia"/>
                <w:color w:val="auto"/>
                <w:szCs w:val="21"/>
              </w:rPr>
            </w:pPr>
            <w:r>
              <w:rPr>
                <w:rFonts w:hint="eastAsia" w:ascii="宋体" w:hAnsi="宋体" w:eastAsia="宋体" w:cs="宋体"/>
                <w:color w:val="auto"/>
                <w:sz w:val="21"/>
                <w:szCs w:val="21"/>
              </w:rPr>
              <w:t>本项目参照计价格[2002]1980号文件、发改办价格[2003]857号文件、发改价格[2011]534号文件、发改价格[2015]299号文件的取费标准</w:t>
            </w:r>
            <w:r>
              <w:rPr>
                <w:rFonts w:hint="eastAsia" w:ascii="宋体" w:hAnsi="宋体" w:eastAsia="宋体" w:cs="宋体"/>
                <w:color w:val="auto"/>
                <w:sz w:val="21"/>
                <w:szCs w:val="21"/>
                <w:lang w:val="en-US" w:eastAsia="zh-CN"/>
              </w:rPr>
              <w:t>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由</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代理机构向</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zh-CN"/>
              </w:rPr>
              <w:t>收取。</w:t>
            </w:r>
          </w:p>
        </w:tc>
      </w:tr>
      <w:tr w14:paraId="138132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FCBBFB6">
            <w:pPr>
              <w:spacing w:line="440" w:lineRule="exact"/>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3</w:t>
            </w:r>
          </w:p>
        </w:tc>
        <w:tc>
          <w:tcPr>
            <w:tcW w:w="3103" w:type="dxa"/>
            <w:vAlign w:val="center"/>
          </w:tcPr>
          <w:p w14:paraId="7F9FF5C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asciiTheme="minorEastAsia" w:hAnsiTheme="minorEastAsia" w:eastAsiaTheme="minorEastAsia"/>
                <w:color w:val="auto"/>
                <w:szCs w:val="21"/>
              </w:rPr>
            </w:pPr>
            <w:r>
              <w:rPr>
                <w:rFonts w:hint="eastAsia" w:ascii="宋体" w:hAnsi="宋体" w:eastAsia="宋体" w:cs="宋体"/>
                <w:color w:val="auto"/>
                <w:sz w:val="21"/>
                <w:szCs w:val="21"/>
                <w:highlight w:val="none"/>
              </w:rPr>
              <w:t>供应商联系方式</w:t>
            </w:r>
          </w:p>
        </w:tc>
        <w:tc>
          <w:tcPr>
            <w:tcW w:w="5636" w:type="dxa"/>
            <w:vAlign w:val="center"/>
          </w:tcPr>
          <w:p w14:paraId="682EFEC5">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default" w:eastAsia="宋体" w:asciiTheme="minorEastAsia" w:hAnsiTheme="minorEastAsia"/>
                <w:color w:val="auto"/>
                <w:szCs w:val="21"/>
                <w:lang w:val="en-US" w:eastAsia="zh-CN"/>
              </w:rPr>
            </w:pPr>
            <w:r>
              <w:rPr>
                <w:rFonts w:hint="eastAsia" w:ascii="宋体" w:hAnsi="宋体" w:eastAsia="宋体" w:cs="宋体"/>
                <w:bCs/>
                <w:color w:val="auto"/>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14:paraId="7BCADB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4DD3502F">
            <w:pPr>
              <w:spacing w:line="44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4</w:t>
            </w:r>
          </w:p>
        </w:tc>
        <w:tc>
          <w:tcPr>
            <w:tcW w:w="3103" w:type="dxa"/>
            <w:vAlign w:val="center"/>
          </w:tcPr>
          <w:p w14:paraId="0B8BDEA3">
            <w:pPr>
              <w:spacing w:line="360" w:lineRule="exact"/>
              <w:jc w:val="center"/>
              <w:rPr>
                <w:rFonts w:hint="eastAsia" w:ascii="宋体" w:hAnsi="宋体" w:eastAsia="宋体" w:cs="宋体"/>
                <w:color w:val="auto"/>
                <w:sz w:val="21"/>
                <w:szCs w:val="21"/>
                <w:highlight w:val="none"/>
              </w:rPr>
            </w:pPr>
            <w:r>
              <w:rPr>
                <w:rFonts w:hint="eastAsia" w:ascii="宋体" w:hAnsi="宋体"/>
                <w:bCs/>
                <w:color w:val="auto"/>
                <w:kern w:val="15"/>
                <w:sz w:val="24"/>
              </w:rPr>
              <w:t>付款方式</w:t>
            </w:r>
          </w:p>
        </w:tc>
        <w:tc>
          <w:tcPr>
            <w:tcW w:w="5636" w:type="dxa"/>
            <w:vAlign w:val="center"/>
          </w:tcPr>
          <w:p w14:paraId="5A22F14C">
            <w:pPr>
              <w:spacing w:line="360" w:lineRule="exact"/>
              <w:rPr>
                <w:rFonts w:hint="eastAsia" w:ascii="宋体" w:hAnsi="宋体" w:eastAsia="宋体" w:cs="宋体"/>
                <w:bCs/>
                <w:color w:val="auto"/>
                <w:sz w:val="21"/>
                <w:szCs w:val="21"/>
                <w:highlight w:val="none"/>
              </w:rPr>
            </w:pPr>
            <w:r>
              <w:rPr>
                <w:rFonts w:hint="eastAsia"/>
                <w:color w:val="auto"/>
                <w:lang w:eastAsia="zh-CN"/>
              </w:rPr>
              <w:t>服务完成后，甲方一次性支付服务价款</w:t>
            </w:r>
            <w:r>
              <w:rPr>
                <w:rFonts w:hint="eastAsia"/>
                <w:color w:val="auto"/>
              </w:rPr>
              <w:t>。</w:t>
            </w:r>
          </w:p>
        </w:tc>
      </w:tr>
      <w:tr w14:paraId="0C135F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F2B0A81">
            <w:pPr>
              <w:spacing w:line="440" w:lineRule="exact"/>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w:t>
            </w:r>
          </w:p>
        </w:tc>
        <w:tc>
          <w:tcPr>
            <w:tcW w:w="3103" w:type="dxa"/>
            <w:vAlign w:val="center"/>
          </w:tcPr>
          <w:p w14:paraId="0A75435F">
            <w:pPr>
              <w:spacing w:line="360" w:lineRule="auto"/>
              <w:jc w:val="center"/>
              <w:rPr>
                <w:rFonts w:hint="eastAsia" w:ascii="宋体" w:hAnsi="宋体"/>
                <w:bCs/>
                <w:color w:val="auto"/>
                <w:kern w:val="15"/>
                <w:sz w:val="24"/>
              </w:rPr>
            </w:pPr>
            <w:r>
              <w:rPr>
                <w:rFonts w:hint="eastAsia" w:ascii="宋体" w:hAnsi="宋体" w:cs="宋体"/>
                <w:color w:val="auto"/>
                <w:szCs w:val="21"/>
              </w:rPr>
              <w:t>中小企业</w:t>
            </w:r>
          </w:p>
        </w:tc>
        <w:tc>
          <w:tcPr>
            <w:tcW w:w="5636" w:type="dxa"/>
            <w:vAlign w:val="center"/>
          </w:tcPr>
          <w:p w14:paraId="6D1753A1">
            <w:pPr>
              <w:spacing w:line="360" w:lineRule="auto"/>
              <w:rPr>
                <w:rFonts w:hint="eastAsia" w:ascii="宋体" w:hAnsi="宋体" w:cs="宋体"/>
                <w:color w:val="auto"/>
                <w:szCs w:val="21"/>
              </w:rPr>
            </w:pPr>
            <w:r>
              <w:rPr>
                <w:rFonts w:hint="eastAsia" w:ascii="宋体" w:hAnsi="宋体" w:cs="宋体"/>
                <w:color w:val="auto"/>
                <w:szCs w:val="21"/>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610B75FA">
            <w:pPr>
              <w:spacing w:line="360" w:lineRule="auto"/>
              <w:rPr>
                <w:rFonts w:hint="eastAsia"/>
                <w:color w:val="auto"/>
              </w:rPr>
            </w:pPr>
            <w:r>
              <w:rPr>
                <w:rFonts w:hint="eastAsia" w:ascii="宋体" w:hAnsi="宋体" w:cs="宋体"/>
                <w:color w:val="auto"/>
                <w:szCs w:val="21"/>
              </w:rPr>
              <w:t>网址：www.ccgp.jilin.gov.cn</w:t>
            </w:r>
          </w:p>
        </w:tc>
      </w:tr>
      <w:tr w14:paraId="1F6DE5E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29468B0">
            <w:pPr>
              <w:spacing w:line="44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6</w:t>
            </w:r>
          </w:p>
        </w:tc>
        <w:tc>
          <w:tcPr>
            <w:tcW w:w="8739" w:type="dxa"/>
            <w:gridSpan w:val="2"/>
            <w:vAlign w:val="center"/>
          </w:tcPr>
          <w:p w14:paraId="725D1AC6">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电子标说明：上传的电子证件及资料均需按要求签字盖章上传，否则按未签章处理。</w:t>
            </w:r>
          </w:p>
          <w:p w14:paraId="7FE97F29">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响应文件电子版方面技术支持：400-8817190或</w:t>
            </w:r>
            <w:r>
              <w:rPr>
                <w:rFonts w:hint="eastAsia" w:ascii="宋体" w:hAnsi="宋体" w:eastAsia="宋体" w:cs="宋体"/>
                <w:color w:val="auto"/>
                <w:sz w:val="21"/>
                <w:szCs w:val="21"/>
              </w:rPr>
              <w:t>95763</w:t>
            </w:r>
          </w:p>
          <w:p w14:paraId="24A8CC70">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供应商在政府采购云平台通过数字证书制作响应文件</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此响应文件需上传至政府采购云平台</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并在开标</w:t>
            </w:r>
            <w:r>
              <w:rPr>
                <w:rFonts w:hint="eastAsia" w:ascii="宋体" w:hAnsi="宋体" w:eastAsia="宋体" w:cs="宋体"/>
                <w:color w:val="auto"/>
                <w:sz w:val="21"/>
                <w:szCs w:val="21"/>
              </w:rPr>
              <w:t>时</w:t>
            </w:r>
            <w:r>
              <w:rPr>
                <w:rFonts w:hint="eastAsia" w:ascii="宋体" w:hAnsi="宋体" w:eastAsia="宋体" w:cs="宋体"/>
                <w:color w:val="auto"/>
                <w:sz w:val="21"/>
                <w:szCs w:val="21"/>
                <w:lang w:val="zh-CN"/>
              </w:rPr>
              <w:t>持编制响应文件的供应商数字证书解密</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还需填写参加开启活动经办人联系方式</w:t>
            </w:r>
            <w:r>
              <w:rPr>
                <w:rFonts w:hint="eastAsia" w:ascii="宋体" w:hAnsi="宋体" w:eastAsia="宋体" w:cs="宋体"/>
                <w:color w:val="auto"/>
                <w:sz w:val="21"/>
                <w:szCs w:val="21"/>
                <w:lang w:val="zh-CN"/>
              </w:rPr>
              <w:t>。</w:t>
            </w:r>
          </w:p>
          <w:p w14:paraId="27FA7347">
            <w:pPr>
              <w:spacing w:line="360" w:lineRule="auto"/>
              <w:rPr>
                <w:rFonts w:hint="eastAsia" w:ascii="宋体" w:hAnsi="宋体" w:cs="宋体"/>
                <w:color w:val="auto"/>
                <w:szCs w:val="21"/>
              </w:rPr>
            </w:pPr>
            <w:r>
              <w:rPr>
                <w:rFonts w:hint="eastAsia" w:ascii="宋体" w:hAnsi="宋体" w:eastAsia="宋体" w:cs="宋体"/>
                <w:color w:val="auto"/>
                <w:sz w:val="21"/>
                <w:szCs w:val="21"/>
                <w:lang w:val="zh-CN"/>
              </w:rPr>
              <w:t>备注：响应文件电子版(U盘)按</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文件规定执行，用数字证书编制的电子版按政府采购云平台要求进行投标操作。</w:t>
            </w:r>
          </w:p>
        </w:tc>
      </w:tr>
      <w:tr w14:paraId="0927E5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AAB9193">
            <w:pPr>
              <w:spacing w:line="44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7</w:t>
            </w:r>
          </w:p>
        </w:tc>
        <w:tc>
          <w:tcPr>
            <w:tcW w:w="8739" w:type="dxa"/>
            <w:gridSpan w:val="2"/>
            <w:vAlign w:val="center"/>
          </w:tcPr>
          <w:p w14:paraId="4EFD214D">
            <w:pPr>
              <w:spacing w:line="360" w:lineRule="auto"/>
              <w:rPr>
                <w:rFonts w:hint="eastAsia" w:ascii="宋体" w:hAnsi="宋体" w:cs="宋体"/>
                <w:color w:val="auto"/>
                <w:szCs w:val="21"/>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内附扫描件均应清晰可辨，任何不可辨识信息导致评标委员会无法进行评审的，由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自行负责。</w:t>
            </w:r>
          </w:p>
        </w:tc>
      </w:tr>
      <w:tr w14:paraId="5CF202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747" w:type="dxa"/>
            <w:gridSpan w:val="3"/>
            <w:vAlign w:val="center"/>
          </w:tcPr>
          <w:p w14:paraId="7CDDBB9E">
            <w:pPr>
              <w:spacing w:line="4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w:t>
            </w:r>
            <w:r>
              <w:rPr>
                <w:rFonts w:hint="eastAsia" w:asciiTheme="minorEastAsia" w:hAnsiTheme="minorEastAsia" w:eastAsiaTheme="minorEastAsia"/>
                <w:color w:val="auto"/>
                <w:szCs w:val="21"/>
                <w:lang w:eastAsia="zh-CN"/>
              </w:rPr>
              <w:t>竞争性磋商</w:t>
            </w:r>
            <w:r>
              <w:rPr>
                <w:rFonts w:hint="eastAsia" w:asciiTheme="minorEastAsia" w:hAnsiTheme="minorEastAsia" w:eastAsiaTheme="minorEastAsia"/>
                <w:color w:val="auto"/>
                <w:szCs w:val="21"/>
              </w:rPr>
              <w:t>公告”与“</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须知前附表”发生不一致时以“</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须知前附表”为准 ※</w:t>
            </w:r>
          </w:p>
        </w:tc>
      </w:tr>
    </w:tbl>
    <w:p w14:paraId="3C0C5EE2">
      <w:pPr>
        <w:spacing w:line="360" w:lineRule="auto"/>
        <w:rPr>
          <w:rFonts w:hint="eastAsia" w:ascii="宋体" w:hAnsi="宋体" w:cs="宋体"/>
          <w:b/>
          <w:color w:val="auto"/>
          <w:szCs w:val="21"/>
        </w:rPr>
      </w:pPr>
      <w:r>
        <w:rPr>
          <w:rFonts w:asciiTheme="minorEastAsia" w:hAnsiTheme="minorEastAsia" w:eastAsiaTheme="minorEastAsia"/>
          <w:color w:val="auto"/>
        </w:rPr>
        <w:br w:type="page"/>
      </w:r>
      <w:r>
        <w:rPr>
          <w:rFonts w:hint="eastAsia" w:ascii="宋体" w:hAnsi="宋体" w:cs="宋体"/>
          <w:b/>
          <w:color w:val="auto"/>
          <w:sz w:val="28"/>
          <w:szCs w:val="28"/>
        </w:rPr>
        <w:t>1．总则</w:t>
      </w:r>
    </w:p>
    <w:p w14:paraId="4A17AB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供应商应仔细阅读本磋商文件的所有内容（包括答疑、补充、澄清以及修改等），按照磋商文件要求以及格式编制响应文件，并保证其真实性，否则一切后果自负。</w:t>
      </w:r>
    </w:p>
    <w:p w14:paraId="14784016">
      <w:pPr>
        <w:spacing w:line="360" w:lineRule="auto"/>
        <w:rPr>
          <w:rFonts w:hint="eastAsia" w:ascii="宋体" w:hAnsi="宋体" w:cs="宋体"/>
          <w:b/>
          <w:color w:val="auto"/>
          <w:szCs w:val="21"/>
        </w:rPr>
      </w:pPr>
      <w:r>
        <w:rPr>
          <w:rFonts w:hint="eastAsia" w:ascii="宋体" w:hAnsi="宋体" w:cs="宋体"/>
          <w:b/>
          <w:color w:val="auto"/>
          <w:szCs w:val="21"/>
        </w:rPr>
        <w:t>1.1 项目概况</w:t>
      </w:r>
    </w:p>
    <w:p w14:paraId="0D42DD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根据《中华人民共和国政府采购法》、《中华人民共和国政府采购法实施条例》、《中华人民共和国招标投标法》、《中华人民共和国招标投标法实施条例》、《财政部关于印发政府采购竞争性磋商采购方式管理暂行办法的通知》等有关法律、法规和规章的规定，本采购项目已具备采购条件，现以竞争性磋商方式对本项目进行采购。</w:t>
      </w:r>
    </w:p>
    <w:p w14:paraId="21D7EF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本采购项目采购人：见供应商须知前附表。</w:t>
      </w:r>
    </w:p>
    <w:p w14:paraId="1FD10B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 本采购项目采购代理机构：见供应商须知前附表。</w:t>
      </w:r>
    </w:p>
    <w:p w14:paraId="302DE1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1.1.4 供应商：系指响应采购要求且符合磋商文件规定的资格条件和参加磋商报价竞争的法人、其他组织或者自然人。</w:t>
      </w:r>
    </w:p>
    <w:p w14:paraId="7154CF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1.1.5 磋商小组：系指根据法律法规规定，由采购人代表和有关专家组成以确定成交人的临时组织。</w:t>
      </w:r>
    </w:p>
    <w:p w14:paraId="69950E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1.1.6 成交人：系指经磋商确定的满足磋商文件实质性响应要求且经评审综合得分最高的，取得与采购人签订合同资格的供应商。</w:t>
      </w:r>
    </w:p>
    <w:p w14:paraId="69B6DB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1.1.7本采购项目名称：见供应商须知前附表。</w:t>
      </w:r>
    </w:p>
    <w:p w14:paraId="671630A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1.1.8本采购项目建设地点：见供应商须知前附表。</w:t>
      </w:r>
    </w:p>
    <w:p w14:paraId="66F00C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1.1.9本采购项目预算：见供应商须知前附表。</w:t>
      </w:r>
    </w:p>
    <w:p w14:paraId="01ACBA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1.1.10本采购项目结构类型：见供应商须知前附表。</w:t>
      </w:r>
    </w:p>
    <w:p w14:paraId="0CDD07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1.1.11本采购项目标段划分：见供应商须知前附表</w:t>
      </w:r>
    </w:p>
    <w:p w14:paraId="07884B90">
      <w:pPr>
        <w:spacing w:line="360" w:lineRule="auto"/>
        <w:rPr>
          <w:rFonts w:hint="eastAsia" w:ascii="宋体" w:hAnsi="宋体" w:cs="宋体"/>
          <w:b/>
          <w:color w:val="auto"/>
          <w:szCs w:val="21"/>
        </w:rPr>
      </w:pPr>
      <w:r>
        <w:rPr>
          <w:rFonts w:hint="eastAsia" w:ascii="宋体" w:hAnsi="宋体" w:cs="宋体"/>
          <w:b/>
          <w:color w:val="auto"/>
          <w:szCs w:val="21"/>
        </w:rPr>
        <w:t>1.2 资金来源和落实情况</w:t>
      </w:r>
    </w:p>
    <w:p w14:paraId="550EAE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 本采购项目的资金来源：见供应商须知前附表。</w:t>
      </w:r>
    </w:p>
    <w:p w14:paraId="4B3047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 本采购项目的出资比例：见供应商须知前附表。</w:t>
      </w:r>
    </w:p>
    <w:p w14:paraId="5789A5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 本采购项目的资金落实情况：见供应商须知前附表。</w:t>
      </w:r>
    </w:p>
    <w:p w14:paraId="2A13AA33">
      <w:pPr>
        <w:spacing w:line="360" w:lineRule="auto"/>
        <w:rPr>
          <w:rFonts w:hint="eastAsia" w:ascii="宋体" w:hAnsi="宋体" w:cs="宋体"/>
          <w:b/>
          <w:color w:val="auto"/>
          <w:szCs w:val="21"/>
        </w:rPr>
      </w:pPr>
      <w:r>
        <w:rPr>
          <w:rFonts w:hint="eastAsia" w:ascii="宋体" w:hAnsi="宋体" w:cs="宋体"/>
          <w:b/>
          <w:color w:val="auto"/>
          <w:szCs w:val="21"/>
        </w:rPr>
        <w:t>1.3 采购范围、合同履行期限和工程质量要求</w:t>
      </w:r>
    </w:p>
    <w:p w14:paraId="78B3E3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1.3.1 本次采购范围：见供应商须知前附表。</w:t>
      </w:r>
    </w:p>
    <w:p w14:paraId="182204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1.3.2 本采购项目的合同履行期限：见供应商须知前附表。</w:t>
      </w:r>
    </w:p>
    <w:p w14:paraId="0BEEFA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1.3.3 本采购项目的工程质量要求：见供应商须知前附表。</w:t>
      </w:r>
    </w:p>
    <w:p w14:paraId="3D4FDAA2">
      <w:pPr>
        <w:spacing w:line="360" w:lineRule="auto"/>
        <w:rPr>
          <w:rFonts w:hint="eastAsia" w:ascii="宋体" w:hAnsi="宋体" w:cs="宋体"/>
          <w:b/>
          <w:color w:val="auto"/>
          <w:szCs w:val="21"/>
        </w:rPr>
      </w:pPr>
      <w:r>
        <w:rPr>
          <w:rFonts w:hint="eastAsia" w:ascii="宋体" w:hAnsi="宋体" w:cs="宋体"/>
          <w:b/>
          <w:color w:val="auto"/>
          <w:szCs w:val="21"/>
        </w:rPr>
        <w:t>1.4 供应商资格要求</w:t>
      </w:r>
    </w:p>
    <w:p w14:paraId="09B206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1.4.1 供应商应具备承担本项目的资质条件、能力和信誉。</w:t>
      </w:r>
    </w:p>
    <w:p w14:paraId="07FD53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（1）资质条件：见供应商须知前附表；</w:t>
      </w:r>
    </w:p>
    <w:p w14:paraId="651DFA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（2）财务要求：见供应商须知前附表；</w:t>
      </w:r>
    </w:p>
    <w:p w14:paraId="4BDF92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（3）信誉要求：见供应商须知前附表；</w:t>
      </w:r>
    </w:p>
    <w:p w14:paraId="6ABCC42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（4）项目经理资格：见供应商须知前附表；</w:t>
      </w:r>
    </w:p>
    <w:p w14:paraId="44BA0F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（5）其他要求：见供应商须知前附表。</w:t>
      </w:r>
    </w:p>
    <w:p w14:paraId="1D7022B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1.4.2供应商须知前附表规定接受联合体磋商的，联合体除应符合本章第 1.4.1项和供应商须知前附表的要求外，还应遵守以下规定：</w:t>
      </w:r>
    </w:p>
    <w:p w14:paraId="52CDC8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（1）联合体各方应按竞争性磋商文件提供的格式签订联合体协议书，明确联合体牵头人和各方权利义务，并承诺就成交项目向采购人承担连带责任；</w:t>
      </w:r>
    </w:p>
    <w:p w14:paraId="005A3F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（2）由同一专业的单位组成的联合体，按照资质等级较低的单位确定资质等级；</w:t>
      </w:r>
    </w:p>
    <w:p w14:paraId="55C491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（3）联合体各方不得再以自己名义单独或参加其他联合体在同一标段中磋商；</w:t>
      </w:r>
    </w:p>
    <w:p w14:paraId="38E68F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D486A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（5）尽管委任了联合体牵头人，但联合体各成员在磋商、签订合同与履行合同过程中，仍负有连带的和各自的法律责任。</w:t>
      </w:r>
    </w:p>
    <w:p w14:paraId="30DFC5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1.4.3供应商（包括联合体各成员）不得与本标段相关单位存在下列关联关系：</w:t>
      </w:r>
    </w:p>
    <w:p w14:paraId="77F81D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（1）为采购人不具有独立法人资格的附属机构（单位）；</w:t>
      </w:r>
    </w:p>
    <w:p w14:paraId="63E71C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（2）与采购人存在利害关系且可能影响磋商公正性；</w:t>
      </w:r>
    </w:p>
    <w:p w14:paraId="01F816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（3）与本标段的其他供应商同为一个单位负责人；</w:t>
      </w:r>
    </w:p>
    <w:p w14:paraId="6CD982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（4）与本标段的其他供应商存在控股、管理关系；</w:t>
      </w:r>
    </w:p>
    <w:p w14:paraId="69326E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（5）为本标段前期准备提供设计或咨询服务的法人或其任何附属机构（单位）；</w:t>
      </w:r>
    </w:p>
    <w:p w14:paraId="0002A5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（6）为本标段的监理人；</w:t>
      </w:r>
    </w:p>
    <w:p w14:paraId="06B0DD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（7）为本标段的代建人；</w:t>
      </w:r>
    </w:p>
    <w:p w14:paraId="752B02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（8）为本标段的磋商代理机构；</w:t>
      </w:r>
    </w:p>
    <w:p w14:paraId="34D552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（9）与本标段的监理人或代建人或磋商代理机构同为一个法定代表人；</w:t>
      </w:r>
    </w:p>
    <w:p w14:paraId="0FCE97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（10）与本标段的监理人或代建人或磋商代理机构存在控股或参股关系；</w:t>
      </w:r>
    </w:p>
    <w:p w14:paraId="29F9F2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（11）法律法规或供应商须知前附表规定的其他情形。</w:t>
      </w:r>
    </w:p>
    <w:p w14:paraId="782F92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1.4.4 供应商（包括联合体各成员）不得存在下列不良状况或不良信用记录：</w:t>
      </w:r>
    </w:p>
    <w:p w14:paraId="19E74F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（1）被省级主管部门取消磋商项目所在地的投标资格且处于有效期内；</w:t>
      </w:r>
    </w:p>
    <w:p w14:paraId="5CC73B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（2）被责令停业，暂扣或吊销执照，或吊销资质证书；</w:t>
      </w:r>
    </w:p>
    <w:p w14:paraId="1B58270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（3）进入清算程序，或被宣告破产，或其他丧失履约能力的情形；</w:t>
      </w:r>
    </w:p>
    <w:p w14:paraId="0CBA6A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（4）供应商必须未被列入“信用中国” 网站（www.creditchina.gov.cn)、中国政府采购网（www.ccgp.gov.cn）等渠道信用记录失信被执行人、重大税收违法案件当事人名单、政府采购严重违法失信行为记录名单（须提供网络截图）；</w:t>
      </w:r>
    </w:p>
    <w:p w14:paraId="4E0F20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（5）法律法规或供应商须知前附表规定的其他情形。</w:t>
      </w:r>
    </w:p>
    <w:p w14:paraId="358A0351">
      <w:pPr>
        <w:spacing w:line="360" w:lineRule="auto"/>
        <w:rPr>
          <w:rFonts w:hint="eastAsia" w:ascii="宋体" w:hAnsi="宋体" w:cs="宋体"/>
          <w:b/>
          <w:color w:val="auto"/>
          <w:szCs w:val="21"/>
        </w:rPr>
      </w:pPr>
      <w:r>
        <w:rPr>
          <w:rFonts w:hint="eastAsia" w:ascii="宋体" w:hAnsi="宋体" w:cs="宋体"/>
          <w:b/>
          <w:color w:val="auto"/>
          <w:szCs w:val="21"/>
        </w:rPr>
        <w:t>1.5 费用承担</w:t>
      </w:r>
    </w:p>
    <w:p w14:paraId="29C570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供应商准备和参加磋商活动发生的费用自理。</w:t>
      </w:r>
    </w:p>
    <w:p w14:paraId="02E4A15A">
      <w:pPr>
        <w:spacing w:line="360" w:lineRule="auto"/>
        <w:rPr>
          <w:rFonts w:hint="eastAsia" w:ascii="宋体" w:hAnsi="宋体" w:cs="宋体"/>
          <w:b/>
          <w:color w:val="auto"/>
          <w:szCs w:val="21"/>
        </w:rPr>
      </w:pPr>
      <w:r>
        <w:rPr>
          <w:rFonts w:hint="eastAsia" w:ascii="宋体" w:hAnsi="宋体" w:cs="宋体"/>
          <w:b/>
          <w:color w:val="auto"/>
          <w:szCs w:val="21"/>
        </w:rPr>
        <w:t>1.6 保密</w:t>
      </w:r>
    </w:p>
    <w:p w14:paraId="5D691F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参与磋商活动的各方应对竞争性磋商文件和响应文件中的商业和技术等秘密保密，违者应对由此造成的后果承担法律责任。</w:t>
      </w:r>
    </w:p>
    <w:p w14:paraId="4F8E1439">
      <w:pPr>
        <w:spacing w:line="360" w:lineRule="auto"/>
        <w:rPr>
          <w:rFonts w:hint="eastAsia" w:ascii="宋体" w:hAnsi="宋体" w:cs="宋体"/>
          <w:b/>
          <w:color w:val="auto"/>
          <w:szCs w:val="21"/>
        </w:rPr>
      </w:pPr>
      <w:r>
        <w:rPr>
          <w:rFonts w:hint="eastAsia" w:ascii="宋体" w:hAnsi="宋体" w:cs="宋体"/>
          <w:b/>
          <w:color w:val="auto"/>
          <w:szCs w:val="21"/>
        </w:rPr>
        <w:t>1.7 语言文字</w:t>
      </w:r>
    </w:p>
    <w:p w14:paraId="43C460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p>
    <w:p w14:paraId="23FF5BF5">
      <w:pPr>
        <w:spacing w:line="360" w:lineRule="auto"/>
        <w:rPr>
          <w:rFonts w:hint="eastAsia" w:ascii="宋体" w:hAnsi="宋体" w:cs="宋体"/>
          <w:b/>
          <w:color w:val="auto"/>
          <w:szCs w:val="21"/>
        </w:rPr>
      </w:pPr>
      <w:r>
        <w:rPr>
          <w:rFonts w:hint="eastAsia" w:ascii="宋体" w:hAnsi="宋体" w:cs="宋体"/>
          <w:b/>
          <w:color w:val="auto"/>
          <w:szCs w:val="21"/>
        </w:rPr>
        <w:t>1.8 计量单位</w:t>
      </w:r>
    </w:p>
    <w:p w14:paraId="162DD9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所有计量均采用中华人民共和国法定计量单位。</w:t>
      </w:r>
    </w:p>
    <w:p w14:paraId="08BE8943">
      <w:pPr>
        <w:spacing w:line="360" w:lineRule="auto"/>
        <w:rPr>
          <w:rFonts w:hint="eastAsia" w:ascii="宋体" w:hAnsi="宋体" w:cs="宋体"/>
          <w:b/>
          <w:color w:val="auto"/>
          <w:szCs w:val="21"/>
        </w:rPr>
      </w:pPr>
      <w:r>
        <w:rPr>
          <w:rFonts w:hint="eastAsia" w:ascii="宋体" w:hAnsi="宋体" w:cs="宋体"/>
          <w:b/>
          <w:color w:val="auto"/>
          <w:szCs w:val="21"/>
        </w:rPr>
        <w:t>1.9 踏勘现场</w:t>
      </w:r>
    </w:p>
    <w:p w14:paraId="6D1D37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1.9.1 供应商须知前附表规定组织踏勘现场的，采购人按供应商须知前附表规定的时间、地点组织供应商踏勘项目现场。</w:t>
      </w:r>
    </w:p>
    <w:p w14:paraId="0F537C7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1.9.2 供应商踏勘现场发生的费用自理。</w:t>
      </w:r>
    </w:p>
    <w:p w14:paraId="46AD03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1.9.3 除采购人的原因外，供应商自行负责在踏勘现场中所发生的人员伤亡和财产损失。</w:t>
      </w:r>
    </w:p>
    <w:p w14:paraId="3FDA9C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1.9.4 采购人在踏勘现场中介绍的工程场地和相关的周边环境情况，仅供供应商在编制响应文件时参考，采购人不对供应商据此作出的判断和决策负责。</w:t>
      </w:r>
    </w:p>
    <w:p w14:paraId="35A56B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25E08304">
      <w:pPr>
        <w:spacing w:line="360" w:lineRule="auto"/>
        <w:rPr>
          <w:rFonts w:hint="eastAsia" w:ascii="宋体" w:hAnsi="宋体" w:cs="宋体"/>
          <w:b/>
          <w:color w:val="auto"/>
          <w:szCs w:val="21"/>
        </w:rPr>
      </w:pPr>
      <w:r>
        <w:rPr>
          <w:rFonts w:hint="eastAsia" w:ascii="宋体" w:hAnsi="宋体" w:cs="宋体"/>
          <w:b/>
          <w:color w:val="auto"/>
          <w:szCs w:val="21"/>
        </w:rPr>
        <w:t>1.10 磋商答疑会</w:t>
      </w:r>
    </w:p>
    <w:p w14:paraId="32791A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1.10.1 供应商须知前附表规定召开磋商答疑会的，采购人按供应商须知前附表规定的时间和地点召开磋商答疑会，澄清供应商提出的问题。</w:t>
      </w:r>
    </w:p>
    <w:p w14:paraId="16D433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1.10.2 供应商应在供应商须知前附表规定的时间前，以书面形式将提出的问题送达采购人，以便采购人澄清。</w:t>
      </w:r>
    </w:p>
    <w:p w14:paraId="2867E3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1.10.3 磋商答疑会后，采购人在供应商须知前附表规定的时间内，对供应商所提问题的澄清，将以书面形式通知所有潜在供应商。该澄清内容为竞争性磋商文件的组成部分。</w:t>
      </w:r>
    </w:p>
    <w:p w14:paraId="671AD89B">
      <w:pPr>
        <w:spacing w:line="360" w:lineRule="auto"/>
        <w:rPr>
          <w:rFonts w:hint="eastAsia" w:ascii="宋体" w:hAnsi="宋体" w:cs="宋体"/>
          <w:b/>
          <w:color w:val="auto"/>
          <w:szCs w:val="21"/>
        </w:rPr>
      </w:pPr>
      <w:r>
        <w:rPr>
          <w:rFonts w:hint="eastAsia" w:ascii="宋体" w:hAnsi="宋体" w:cs="宋体"/>
          <w:b/>
          <w:color w:val="auto"/>
          <w:szCs w:val="21"/>
        </w:rPr>
        <w:t>1.11 分包</w:t>
      </w:r>
    </w:p>
    <w:p w14:paraId="4BC5C4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供应商拟在成交后将成交项目的部分非主体、非关键性工作进行分包的，应符合供应商须知前附表规定的分包内容、分包金额和接受分包的第三人资质要求等限制性条件。</w:t>
      </w:r>
    </w:p>
    <w:p w14:paraId="261565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供应商成交后直至验收止，成交人不得以任何形式和理由转包或者分包，如出现上述情形，采购人向财政部门提出申请并经批准后，可取消其成交资格，并与其解除合同，由此引起的经济损失全部由成交人承担。</w:t>
      </w:r>
    </w:p>
    <w:p w14:paraId="11621D0B">
      <w:pPr>
        <w:spacing w:line="360" w:lineRule="auto"/>
        <w:rPr>
          <w:rFonts w:hint="eastAsia" w:ascii="宋体" w:hAnsi="宋体" w:cs="宋体"/>
          <w:b/>
          <w:color w:val="auto"/>
          <w:szCs w:val="21"/>
        </w:rPr>
      </w:pPr>
      <w:r>
        <w:rPr>
          <w:rFonts w:hint="eastAsia" w:ascii="宋体" w:hAnsi="宋体" w:cs="宋体"/>
          <w:b/>
          <w:color w:val="auto"/>
          <w:szCs w:val="21"/>
        </w:rPr>
        <w:t>1.12 偏离</w:t>
      </w:r>
    </w:p>
    <w:p w14:paraId="13512F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供应商须知前附表允许响应文件偏离竞争性磋商文件某些要求的，偏离应当符合竞争性磋商文件规定的偏离范围和幅度。</w:t>
      </w:r>
    </w:p>
    <w:p w14:paraId="181594E0">
      <w:pPr>
        <w:spacing w:line="360" w:lineRule="auto"/>
        <w:rPr>
          <w:rFonts w:hint="eastAsia" w:ascii="宋体" w:hAnsi="宋体" w:cs="宋体"/>
          <w:b/>
          <w:color w:val="auto"/>
          <w:szCs w:val="21"/>
        </w:rPr>
      </w:pPr>
      <w:bookmarkStart w:id="39" w:name="_Toc228871258"/>
      <w:bookmarkStart w:id="40" w:name="_Toc208999240"/>
      <w:bookmarkStart w:id="41" w:name="_Toc199384355"/>
      <w:bookmarkStart w:id="42" w:name="_Toc259191032"/>
      <w:bookmarkStart w:id="43" w:name="_Toc208974979"/>
      <w:bookmarkStart w:id="44" w:name="_Toc262045193"/>
    </w:p>
    <w:p w14:paraId="35497608">
      <w:pPr>
        <w:spacing w:line="360" w:lineRule="auto"/>
        <w:rPr>
          <w:rFonts w:hint="eastAsia" w:ascii="宋体" w:hAnsi="宋体" w:cs="宋体"/>
          <w:b/>
          <w:color w:val="auto"/>
          <w:szCs w:val="21"/>
        </w:rPr>
      </w:pPr>
      <w:r>
        <w:rPr>
          <w:rFonts w:hint="eastAsia" w:ascii="宋体" w:hAnsi="宋体" w:cs="宋体"/>
          <w:b/>
          <w:color w:val="auto"/>
          <w:sz w:val="28"/>
          <w:szCs w:val="28"/>
        </w:rPr>
        <w:t>2．竞争性磋商文件</w:t>
      </w:r>
      <w:bookmarkEnd w:id="39"/>
      <w:bookmarkEnd w:id="40"/>
      <w:bookmarkEnd w:id="41"/>
      <w:bookmarkEnd w:id="42"/>
      <w:bookmarkEnd w:id="43"/>
      <w:bookmarkEnd w:id="44"/>
    </w:p>
    <w:p w14:paraId="2777ABEF">
      <w:pPr>
        <w:spacing w:line="360" w:lineRule="auto"/>
        <w:rPr>
          <w:rFonts w:hint="eastAsia" w:ascii="宋体" w:hAnsi="宋体" w:cs="宋体"/>
          <w:b/>
          <w:color w:val="auto"/>
          <w:szCs w:val="21"/>
        </w:rPr>
      </w:pPr>
      <w:r>
        <w:rPr>
          <w:rFonts w:hint="eastAsia" w:ascii="宋体" w:hAnsi="宋体" w:cs="宋体"/>
          <w:b/>
          <w:color w:val="auto"/>
          <w:szCs w:val="21"/>
        </w:rPr>
        <w:t>2.1 竞争性磋商文件的组成</w:t>
      </w:r>
    </w:p>
    <w:p w14:paraId="19A777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本竞争性磋商文件包括：</w:t>
      </w:r>
    </w:p>
    <w:p w14:paraId="77E07D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（1）竞争性磋商公告；</w:t>
      </w:r>
    </w:p>
    <w:p w14:paraId="03BBD2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（2）供应商须知；</w:t>
      </w:r>
    </w:p>
    <w:p w14:paraId="0152347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（3）评审办法（综合评分法）；</w:t>
      </w:r>
    </w:p>
    <w:p w14:paraId="0C2BC5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（4）合同格式；</w:t>
      </w:r>
    </w:p>
    <w:p w14:paraId="270BE1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服务需求</w:t>
      </w:r>
      <w:r>
        <w:rPr>
          <w:rFonts w:hint="eastAsia" w:ascii="宋体" w:hAnsi="宋体" w:cs="宋体"/>
          <w:color w:val="auto"/>
          <w:szCs w:val="21"/>
        </w:rPr>
        <w:t>；</w:t>
      </w:r>
    </w:p>
    <w:p w14:paraId="432F7B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（6）竞争性磋商响应文件格式；</w:t>
      </w:r>
    </w:p>
    <w:p w14:paraId="567D11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根据本章第1.10 款、第2.2 款和第2.3 款对竞争性磋商文件所作的澄清、修改，构成竞争性磋商文件的组成部分。</w:t>
      </w:r>
    </w:p>
    <w:p w14:paraId="6B9955F9">
      <w:pPr>
        <w:spacing w:line="360" w:lineRule="auto"/>
        <w:rPr>
          <w:rFonts w:hint="eastAsia" w:ascii="宋体" w:hAnsi="宋体" w:cs="宋体"/>
          <w:b/>
          <w:color w:val="auto"/>
          <w:szCs w:val="21"/>
        </w:rPr>
      </w:pPr>
      <w:r>
        <w:rPr>
          <w:rFonts w:hint="eastAsia" w:ascii="宋体" w:hAnsi="宋体" w:cs="宋体"/>
          <w:b/>
          <w:color w:val="auto"/>
          <w:szCs w:val="21"/>
        </w:rPr>
        <w:t>2.2 竞争性磋商文件的澄清</w:t>
      </w:r>
    </w:p>
    <w:p w14:paraId="37BCED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5676DC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2.2.2 竞争性磋商文件的澄清将在供应商须知前附表规定的时间前以书面形式通知所有潜在供应商。</w:t>
      </w:r>
    </w:p>
    <w:p w14:paraId="51F813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2.2.3 供应商在收到澄清后，应在供应商须知前附表规定的时间内以书面形式通知采购人，确认已收到该澄清。</w:t>
      </w:r>
    </w:p>
    <w:p w14:paraId="05ACA293">
      <w:pPr>
        <w:spacing w:line="360" w:lineRule="auto"/>
        <w:rPr>
          <w:rFonts w:hint="eastAsia" w:ascii="宋体" w:hAnsi="宋体" w:cs="宋体"/>
          <w:b/>
          <w:color w:val="auto"/>
          <w:szCs w:val="21"/>
        </w:rPr>
      </w:pPr>
      <w:r>
        <w:rPr>
          <w:rFonts w:hint="eastAsia" w:ascii="宋体" w:hAnsi="宋体" w:cs="宋体"/>
          <w:b/>
          <w:color w:val="auto"/>
          <w:szCs w:val="21"/>
        </w:rPr>
        <w:t>2.3 竞争性磋商文件的修改</w:t>
      </w:r>
    </w:p>
    <w:p w14:paraId="6A0850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2.3.1 供应商须知前附表规定的时间前，采购人可以修改竞争性磋商文件，并将修改的内容以书面形式通知所有潜在供应商。</w:t>
      </w:r>
    </w:p>
    <w:p w14:paraId="0BEA49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2.3.2 供应商收到修改内容后，应在供应商须知前附表规定的时间内以书面形式通知采购人，确认已收到该修改。</w:t>
      </w:r>
    </w:p>
    <w:p w14:paraId="7F7BE95B">
      <w:pPr>
        <w:spacing w:line="360" w:lineRule="auto"/>
        <w:rPr>
          <w:rFonts w:hint="eastAsia" w:ascii="宋体" w:hAnsi="宋体" w:cs="宋体"/>
          <w:b/>
          <w:color w:val="auto"/>
          <w:szCs w:val="21"/>
        </w:rPr>
      </w:pPr>
      <w:r>
        <w:rPr>
          <w:rFonts w:hint="eastAsia" w:ascii="宋体" w:hAnsi="宋体" w:cs="宋体"/>
          <w:b/>
          <w:color w:val="auto"/>
          <w:szCs w:val="21"/>
        </w:rPr>
        <w:t>2.4延长首次响应文件递交截止时间和第二轮报价时间</w:t>
      </w:r>
    </w:p>
    <w:p w14:paraId="06AAFF1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采购人可以视采购具体情况，延长首次响应文件递交截止时间和第二轮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2C5194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竞争性磋商文件的答疑、澄清或者修改内容较多时，采购人应重新组织竞争性磋商或者延长递交首次响应文件截止时间和第二轮报价时间，采购人延长递交首次响应文件截止时间和第二轮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6D5D463E">
      <w:pPr>
        <w:spacing w:line="360" w:lineRule="auto"/>
        <w:rPr>
          <w:rFonts w:hint="eastAsia" w:ascii="宋体" w:hAnsi="宋体" w:cs="宋体"/>
          <w:b/>
          <w:color w:val="auto"/>
          <w:szCs w:val="21"/>
        </w:rPr>
      </w:pPr>
      <w:bookmarkStart w:id="45" w:name="_Toc208999241"/>
      <w:bookmarkStart w:id="46" w:name="_Toc228871259"/>
      <w:bookmarkStart w:id="47" w:name="_Toc199384356"/>
      <w:bookmarkStart w:id="48" w:name="_Toc262045194"/>
      <w:bookmarkStart w:id="49" w:name="_Toc259191033"/>
      <w:bookmarkStart w:id="50" w:name="_Toc208974980"/>
    </w:p>
    <w:p w14:paraId="6994D3D7">
      <w:pPr>
        <w:spacing w:line="360" w:lineRule="auto"/>
        <w:rPr>
          <w:rFonts w:hint="eastAsia" w:ascii="宋体" w:hAnsi="宋体" w:cs="宋体"/>
          <w:b/>
          <w:color w:val="auto"/>
          <w:szCs w:val="21"/>
        </w:rPr>
      </w:pPr>
      <w:r>
        <w:rPr>
          <w:rFonts w:hint="eastAsia" w:ascii="宋体" w:hAnsi="宋体" w:cs="宋体"/>
          <w:b/>
          <w:color w:val="auto"/>
          <w:sz w:val="28"/>
          <w:szCs w:val="28"/>
        </w:rPr>
        <w:t>3．响应文件</w:t>
      </w:r>
      <w:bookmarkEnd w:id="45"/>
      <w:bookmarkEnd w:id="46"/>
      <w:bookmarkEnd w:id="47"/>
      <w:bookmarkEnd w:id="48"/>
      <w:bookmarkEnd w:id="49"/>
      <w:bookmarkEnd w:id="50"/>
      <w:r>
        <w:rPr>
          <w:rFonts w:hint="eastAsia" w:ascii="宋体" w:hAnsi="宋体" w:cs="宋体"/>
          <w:b/>
          <w:color w:val="auto"/>
          <w:sz w:val="28"/>
          <w:szCs w:val="28"/>
        </w:rPr>
        <w:t>编制</w:t>
      </w:r>
    </w:p>
    <w:p w14:paraId="7B4A8346">
      <w:pPr>
        <w:spacing w:line="360" w:lineRule="auto"/>
        <w:rPr>
          <w:rFonts w:hint="eastAsia" w:ascii="宋体" w:hAnsi="宋体" w:cs="宋体"/>
          <w:b/>
          <w:color w:val="auto"/>
          <w:szCs w:val="21"/>
        </w:rPr>
      </w:pPr>
      <w:r>
        <w:rPr>
          <w:rFonts w:hint="eastAsia" w:ascii="宋体" w:hAnsi="宋体" w:cs="宋体"/>
          <w:b/>
          <w:color w:val="auto"/>
          <w:szCs w:val="21"/>
        </w:rPr>
        <w:t>3.1 响应文件的组成</w:t>
      </w:r>
    </w:p>
    <w:p w14:paraId="5D867F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3.1.1</w:t>
      </w:r>
      <w:r>
        <w:rPr>
          <w:rFonts w:hint="eastAsia" w:ascii="宋体" w:hAnsi="宋体" w:cs="宋体"/>
          <w:color w:val="auto"/>
        </w:rPr>
        <w:t>包括下列内容：</w:t>
      </w:r>
    </w:p>
    <w:p w14:paraId="270B909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（1）磋商函及磋商函附录</w:t>
      </w:r>
      <w:r>
        <w:rPr>
          <w:rFonts w:hint="eastAsia"/>
          <w:color w:val="auto"/>
        </w:rPr>
        <w:t>；</w:t>
      </w:r>
    </w:p>
    <w:p w14:paraId="54ED34D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（2）法定代表人身份证明及授权委托书；</w:t>
      </w:r>
    </w:p>
    <w:p w14:paraId="50BF14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（3）磋商保证金；</w:t>
      </w:r>
    </w:p>
    <w:p w14:paraId="7F13BA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（4）资格审查资料；</w:t>
      </w:r>
    </w:p>
    <w:p w14:paraId="2CC8620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eastAsia="zh-CN"/>
        </w:rPr>
        <w:t>服务方案</w:t>
      </w:r>
      <w:r>
        <w:rPr>
          <w:rFonts w:hint="eastAsia" w:ascii="宋体" w:hAnsi="宋体" w:cs="宋体"/>
          <w:color w:val="auto"/>
          <w:szCs w:val="21"/>
        </w:rPr>
        <w:t>；</w:t>
      </w:r>
    </w:p>
    <w:p w14:paraId="709D56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）承诺书；</w:t>
      </w:r>
    </w:p>
    <w:p w14:paraId="4552A9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）其他材料。</w:t>
      </w:r>
    </w:p>
    <w:p w14:paraId="58749BBA">
      <w:pPr>
        <w:spacing w:line="360" w:lineRule="auto"/>
        <w:rPr>
          <w:rFonts w:hint="eastAsia" w:ascii="宋体" w:hAnsi="宋体" w:cs="宋体"/>
          <w:b/>
          <w:color w:val="auto"/>
          <w:szCs w:val="21"/>
        </w:rPr>
      </w:pPr>
      <w:r>
        <w:rPr>
          <w:rFonts w:hint="eastAsia" w:ascii="宋体" w:hAnsi="宋体" w:cs="宋体"/>
          <w:b/>
          <w:color w:val="auto"/>
          <w:szCs w:val="21"/>
        </w:rPr>
        <w:t>3.2 磋商报价</w:t>
      </w:r>
    </w:p>
    <w:p w14:paraId="14A679B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3.2.1 供应商应按第六章竞争性磋商响应文件格式要求填写相应表格。</w:t>
      </w:r>
    </w:p>
    <w:p w14:paraId="42A51F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3.2.2 供应商应充分了解本项目的总体情况以及影响磋商报价的其他要素。</w:t>
      </w:r>
    </w:p>
    <w:p w14:paraId="05CC050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3.2.3 本项目的报价方式见供应商须知前附表。供应商在磋商截止时间前修改磋商函中的投标总报价，应同时修改竞争性磋商响应文件“已标价工程量清单”中的相应报价。此修改须符合本章第 4.3 款的有关要求。</w:t>
      </w:r>
    </w:p>
    <w:p w14:paraId="58852C15">
      <w:pPr>
        <w:spacing w:line="360" w:lineRule="auto"/>
        <w:rPr>
          <w:rFonts w:hint="eastAsia" w:ascii="宋体" w:hAnsi="宋体" w:cs="宋体"/>
          <w:b/>
          <w:color w:val="auto"/>
          <w:szCs w:val="21"/>
        </w:rPr>
      </w:pPr>
      <w:r>
        <w:rPr>
          <w:rFonts w:hint="eastAsia" w:ascii="宋体" w:hAnsi="宋体" w:cs="宋体"/>
          <w:b/>
          <w:color w:val="auto"/>
          <w:szCs w:val="21"/>
        </w:rPr>
        <w:t>3.3 磋商有效期</w:t>
      </w:r>
    </w:p>
    <w:p w14:paraId="70FCCC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在供应商须知前附表规定的磋商有效期内，供应商不得要求撤销或修改其响应文件。</w:t>
      </w:r>
    </w:p>
    <w:p w14:paraId="635773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投标失效，但供应商有权收回其磋商保证金。</w:t>
      </w:r>
    </w:p>
    <w:p w14:paraId="5CEF298C">
      <w:pPr>
        <w:spacing w:line="360" w:lineRule="auto"/>
        <w:rPr>
          <w:rFonts w:hint="eastAsia" w:ascii="宋体" w:hAnsi="宋体" w:cs="宋体"/>
          <w:b/>
          <w:color w:val="auto"/>
          <w:szCs w:val="21"/>
        </w:rPr>
      </w:pPr>
      <w:r>
        <w:rPr>
          <w:rFonts w:hint="eastAsia" w:ascii="宋体" w:hAnsi="宋体" w:cs="宋体"/>
          <w:b/>
          <w:color w:val="auto"/>
          <w:szCs w:val="21"/>
        </w:rPr>
        <w:t>3.4 磋商保证金</w:t>
      </w:r>
    </w:p>
    <w:p w14:paraId="6A9000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3.4.1 供应商在递交首次响应文件截止时间前，应按供应商须知前附表规定的金额、担保形式和第六章“竞争性磋商响应文件格式”规定的磋商保证金格式递交磋商保证金，并作为其响应文件的组成部分。联合体磋商的，其磋商保证金由牵头人递交，并应符合供应商须知前附表的规定。</w:t>
      </w:r>
    </w:p>
    <w:p w14:paraId="51D6F3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3.4.2供应商不按本章第3.4.1 项要求递交磋商保证金的，其响应文件作废标处理。</w:t>
      </w:r>
    </w:p>
    <w:p w14:paraId="572060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3.4.3成交人的磋商保证金，在成交人按本须知第7.4条规定签订合同后5日内予以退还（不计利息）。</w:t>
      </w:r>
    </w:p>
    <w:p w14:paraId="6F4A84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3.4.4除因处理异议、投诉等原因外，应在成交公示期结束后10日内，向未成交的供应商退还磋商保证金（不计利息）。</w:t>
      </w:r>
    </w:p>
    <w:p w14:paraId="3B6CB3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3.4.5 有下列情形之一的，磋商保证金将不予退还：</w:t>
      </w:r>
    </w:p>
    <w:p w14:paraId="6F1A4C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(1)供应商在规定的磋商有效期内撤销或修改其响应文件；</w:t>
      </w:r>
    </w:p>
    <w:p w14:paraId="7DB86E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(2)成交人在收到成交通知书后，无正当理由拒签合同协议书。</w:t>
      </w:r>
    </w:p>
    <w:p w14:paraId="5FB8AB8A">
      <w:pPr>
        <w:spacing w:line="360" w:lineRule="auto"/>
        <w:rPr>
          <w:rFonts w:hint="eastAsia" w:ascii="宋体" w:hAnsi="宋体" w:cs="宋体"/>
          <w:b/>
          <w:color w:val="auto"/>
          <w:szCs w:val="21"/>
        </w:rPr>
      </w:pPr>
      <w:r>
        <w:rPr>
          <w:rFonts w:hint="eastAsia" w:ascii="宋体" w:hAnsi="宋体" w:cs="宋体"/>
          <w:b/>
          <w:color w:val="auto"/>
          <w:szCs w:val="21"/>
        </w:rPr>
        <w:t>3.5 资格审查资料</w:t>
      </w:r>
    </w:p>
    <w:p w14:paraId="009525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3.5.1 “供应商基本情况表”应附供应商营业执照副本及其年检合格的证明材料、资质证书副本等材料的复印件。</w:t>
      </w:r>
    </w:p>
    <w:p w14:paraId="18352D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3.5.2 “近年财务状况表”应附经会计师事务所或审计机构审计的财务会计报表，包括资产负债表、现金流量表、利润表和财务情况说明书的复印件，具体年份要求见供应商须知前附表。</w:t>
      </w:r>
    </w:p>
    <w:p w14:paraId="61971D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3.5.3 “近年完成的类似项目情况表”应附成交通知书或合同协议书或竣工验收报告复印件，具体年份要求见供应商须知前附表。</w:t>
      </w:r>
    </w:p>
    <w:p w14:paraId="5A377F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3.5.4  供应商须知前附表规定接受联合体投标的，本章第3.5.1 项至第3.5.3项规定的表格和资料应包括联合体各方相关情况。</w:t>
      </w:r>
    </w:p>
    <w:p w14:paraId="2813D601">
      <w:pPr>
        <w:spacing w:line="360" w:lineRule="auto"/>
        <w:rPr>
          <w:rFonts w:hint="eastAsia" w:ascii="宋体" w:hAnsi="宋体" w:cs="宋体"/>
          <w:b/>
          <w:color w:val="auto"/>
          <w:szCs w:val="21"/>
        </w:rPr>
      </w:pPr>
      <w:r>
        <w:rPr>
          <w:rFonts w:hint="eastAsia" w:ascii="宋体" w:hAnsi="宋体" w:cs="宋体"/>
          <w:b/>
          <w:color w:val="auto"/>
          <w:szCs w:val="21"/>
        </w:rPr>
        <w:t>3.6 备选磋商方案</w:t>
      </w:r>
    </w:p>
    <w:p w14:paraId="0A51019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除供应商须知前附表另有规定外，供应商不得递交备选磋商方案。允许供应商递交备选磋商方案的，只有成交人所递交的备选磋商方案方可予以考虑。磋商小组认为成交人的备选磋商方案优于其按照竞争性磋商文件要求编制的磋商方案的，采购人可以接受该备选磋商方案。</w:t>
      </w:r>
    </w:p>
    <w:p w14:paraId="161C0772">
      <w:pPr>
        <w:spacing w:line="360" w:lineRule="auto"/>
        <w:rPr>
          <w:rFonts w:hint="eastAsia" w:ascii="宋体" w:hAnsi="宋体" w:cs="宋体"/>
          <w:b/>
          <w:color w:val="auto"/>
          <w:szCs w:val="21"/>
        </w:rPr>
      </w:pPr>
      <w:r>
        <w:rPr>
          <w:rFonts w:hint="eastAsia" w:ascii="宋体" w:hAnsi="宋体" w:cs="宋体"/>
          <w:b/>
          <w:color w:val="auto"/>
          <w:szCs w:val="21"/>
        </w:rPr>
        <w:t>3.7 响应文件的编制</w:t>
      </w:r>
    </w:p>
    <w:p w14:paraId="282E218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3446E1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3.7.2 响应文件应当对竞争性磋商文件有关工期、磋商有效期、质量要求、技术标准和要求、采购范围等实质性内容作出响应。</w:t>
      </w:r>
    </w:p>
    <w:p w14:paraId="40497F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3.7.3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2CA41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3.7.4 响应文件正本一份，副本份数及其他要求见供应商须知前附表。正本和副本的封面上应清楚地标记“正本”或“副本”的字样。当副本和正本不一致时，以正本为准。</w:t>
      </w:r>
    </w:p>
    <w:p w14:paraId="0E9CB6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3.7.5 响应文件的正本与副本应分别装订成册，并编制目录，具体装订要求见供应商须知前附表规定。</w:t>
      </w:r>
    </w:p>
    <w:p w14:paraId="46BC0B74">
      <w:pPr>
        <w:spacing w:line="360" w:lineRule="auto"/>
        <w:rPr>
          <w:rFonts w:hint="eastAsia" w:ascii="宋体" w:hAnsi="宋体" w:cs="宋体"/>
          <w:b/>
          <w:color w:val="auto"/>
          <w:szCs w:val="21"/>
        </w:rPr>
      </w:pPr>
      <w:bookmarkStart w:id="51" w:name="_Toc228871260"/>
      <w:bookmarkStart w:id="52" w:name="_Toc259191034"/>
      <w:bookmarkStart w:id="53" w:name="_Toc208974981"/>
      <w:bookmarkStart w:id="54" w:name="_Toc262045195"/>
      <w:bookmarkStart w:id="55" w:name="_Toc199384357"/>
      <w:bookmarkStart w:id="56" w:name="_Toc208999242"/>
    </w:p>
    <w:p w14:paraId="3151BF17">
      <w:pPr>
        <w:spacing w:line="360" w:lineRule="auto"/>
        <w:rPr>
          <w:rFonts w:hint="eastAsia" w:ascii="宋体" w:hAnsi="宋体" w:cs="宋体"/>
          <w:b/>
          <w:color w:val="auto"/>
          <w:szCs w:val="21"/>
        </w:rPr>
      </w:pPr>
      <w:r>
        <w:rPr>
          <w:rFonts w:hint="eastAsia" w:ascii="宋体" w:hAnsi="宋体" w:cs="宋体"/>
          <w:b/>
          <w:color w:val="auto"/>
          <w:sz w:val="28"/>
          <w:szCs w:val="28"/>
        </w:rPr>
        <w:t>4．</w:t>
      </w:r>
      <w:bookmarkEnd w:id="51"/>
      <w:bookmarkEnd w:id="52"/>
      <w:bookmarkEnd w:id="53"/>
      <w:bookmarkEnd w:id="54"/>
      <w:bookmarkEnd w:id="55"/>
      <w:bookmarkEnd w:id="56"/>
      <w:r>
        <w:rPr>
          <w:rFonts w:hint="eastAsia" w:ascii="宋体" w:hAnsi="宋体" w:cs="宋体"/>
          <w:b/>
          <w:color w:val="auto"/>
          <w:sz w:val="28"/>
          <w:szCs w:val="28"/>
        </w:rPr>
        <w:t>首次响应文件递交</w:t>
      </w:r>
    </w:p>
    <w:p w14:paraId="0FF970BC">
      <w:pPr>
        <w:spacing w:line="360" w:lineRule="auto"/>
        <w:rPr>
          <w:rFonts w:hint="eastAsia" w:ascii="宋体" w:hAnsi="宋体" w:eastAsia="宋体" w:cs="宋体"/>
          <w:b/>
          <w:color w:val="auto"/>
          <w:szCs w:val="21"/>
          <w:lang w:eastAsia="zh-CN"/>
        </w:rPr>
      </w:pPr>
      <w:r>
        <w:rPr>
          <w:rFonts w:hint="eastAsia" w:ascii="宋体" w:hAnsi="宋体" w:cs="宋体"/>
          <w:b/>
          <w:color w:val="auto"/>
          <w:szCs w:val="21"/>
        </w:rPr>
        <w:t>4.1 响应文件的密封和标记</w:t>
      </w:r>
    </w:p>
    <w:p w14:paraId="2B1C3738">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4.1.1</w:t>
      </w:r>
      <w:r>
        <w:rPr>
          <w:rFonts w:hint="eastAsia" w:ascii="宋体" w:hAnsi="宋体" w:cs="宋体"/>
          <w:color w:val="auto"/>
          <w:szCs w:val="21"/>
        </w:rPr>
        <w:t>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14:paraId="058F6088">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4.1.2</w:t>
      </w:r>
      <w:r>
        <w:rPr>
          <w:rFonts w:hint="eastAsia" w:ascii="宋体" w:hAnsi="宋体" w:cs="宋体"/>
          <w:color w:val="auto"/>
          <w:szCs w:val="21"/>
        </w:rPr>
        <w:t>供应商可对现场工作人员的资格和递交响应文件截止时间进行监督，如有异议，应保留相关证据向政府采购监督管理部门反映。</w:t>
      </w:r>
    </w:p>
    <w:p w14:paraId="5D4A0F90">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4.1.3</w:t>
      </w:r>
      <w:r>
        <w:rPr>
          <w:rFonts w:hint="eastAsia" w:ascii="宋体" w:hAnsi="宋体" w:cs="宋体"/>
          <w:color w:val="auto"/>
          <w:szCs w:val="21"/>
        </w:rPr>
        <w:t>响应文件的递交截止时间：详见供应商须知前附表。</w:t>
      </w:r>
    </w:p>
    <w:p w14:paraId="15123DBE">
      <w:pPr>
        <w:spacing w:line="360" w:lineRule="auto"/>
        <w:rPr>
          <w:rFonts w:hint="eastAsia" w:ascii="宋体" w:hAnsi="宋体" w:cs="宋体"/>
          <w:b/>
          <w:color w:val="auto"/>
          <w:szCs w:val="21"/>
        </w:rPr>
      </w:pPr>
      <w:r>
        <w:rPr>
          <w:rFonts w:hint="eastAsia" w:ascii="宋体" w:hAnsi="宋体" w:cs="宋体"/>
          <w:b/>
          <w:color w:val="auto"/>
          <w:szCs w:val="21"/>
        </w:rPr>
        <w:t>4.2 响应文件的递交</w:t>
      </w:r>
    </w:p>
    <w:p w14:paraId="55BBEA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4.2.1 供应商递交首次响应文件截止时间：见供应商须知前附表。</w:t>
      </w:r>
    </w:p>
    <w:p w14:paraId="7AD18F94">
      <w:pPr>
        <w:tabs>
          <w:tab w:val="left" w:pos="775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4.2.2 供应商递交首次响应文件的地点：见供应商须知前附表。</w:t>
      </w:r>
      <w:r>
        <w:rPr>
          <w:rFonts w:hint="eastAsia" w:ascii="宋体" w:hAnsi="宋体" w:cs="宋体"/>
          <w:color w:val="auto"/>
          <w:szCs w:val="21"/>
        </w:rPr>
        <w:tab/>
      </w:r>
    </w:p>
    <w:p w14:paraId="66B297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4.2.3 除供应商须知前附表另有规定外，供应商所递交的响应文件不予退还。</w:t>
      </w:r>
    </w:p>
    <w:p w14:paraId="237BDD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4.2.4 采购人收到首次响应文件后，向供应商出具签收凭证。</w:t>
      </w:r>
    </w:p>
    <w:p w14:paraId="6F492E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4.2.5 逾期送达的或者未送达指定地点的首次响应文件，采购人不予受理。</w:t>
      </w:r>
    </w:p>
    <w:p w14:paraId="3D8CD45C">
      <w:pPr>
        <w:spacing w:line="360" w:lineRule="auto"/>
        <w:rPr>
          <w:rFonts w:hint="eastAsia" w:ascii="宋体" w:hAnsi="宋体" w:cs="宋体"/>
          <w:b/>
          <w:color w:val="auto"/>
          <w:szCs w:val="21"/>
        </w:rPr>
      </w:pPr>
      <w:r>
        <w:rPr>
          <w:rFonts w:hint="eastAsia" w:ascii="宋体" w:hAnsi="宋体" w:cs="宋体"/>
          <w:b/>
          <w:color w:val="auto"/>
          <w:szCs w:val="21"/>
        </w:rPr>
        <w:t>4.3 响应文件的修改与撤回</w:t>
      </w:r>
    </w:p>
    <w:p w14:paraId="1B10BF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4.3.1 在本章第4.2.1 项规定的递交首次响应文件截止时间前，供应商可以修改或撤回已递交的首次响应文件，但应以书面形式通知采购人。</w:t>
      </w:r>
    </w:p>
    <w:p w14:paraId="41B7D4C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4.3.2 供应商修改或撤回已递交首次响应文件的书面通知应按照本章第3.7.3 项的要求签字。采购人收到书面通知后，向供应商出具签收凭证。</w:t>
      </w:r>
    </w:p>
    <w:p w14:paraId="1C8EBED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4.3.3 修改的内容为响应文件的组成部分。修改的首次响应文件应按照本章第3 条、第4 条规定进行编制、密封、标记和递交，并标明“修改”字样。</w:t>
      </w:r>
    </w:p>
    <w:p w14:paraId="072A9D5D">
      <w:pPr>
        <w:spacing w:line="360" w:lineRule="auto"/>
        <w:rPr>
          <w:rFonts w:hint="eastAsia" w:ascii="宋体" w:hAnsi="宋体" w:cs="宋体"/>
          <w:b/>
          <w:color w:val="auto"/>
          <w:szCs w:val="21"/>
        </w:rPr>
      </w:pPr>
      <w:bookmarkStart w:id="57" w:name="_Toc208974982"/>
      <w:bookmarkStart w:id="58" w:name="_Toc262045196"/>
      <w:bookmarkStart w:id="59" w:name="_Toc208999243"/>
      <w:bookmarkStart w:id="60" w:name="_Toc199384358"/>
      <w:bookmarkStart w:id="61" w:name="_Toc259191035"/>
      <w:bookmarkStart w:id="62" w:name="_Toc228871261"/>
    </w:p>
    <w:p w14:paraId="5D427AB6">
      <w:pPr>
        <w:spacing w:line="360" w:lineRule="auto"/>
        <w:rPr>
          <w:rFonts w:hint="eastAsia" w:ascii="宋体" w:hAnsi="宋体" w:cs="宋体"/>
          <w:b/>
          <w:color w:val="auto"/>
          <w:sz w:val="28"/>
          <w:szCs w:val="28"/>
        </w:rPr>
      </w:pPr>
      <w:r>
        <w:rPr>
          <w:rFonts w:hint="eastAsia" w:ascii="宋体" w:hAnsi="宋体" w:cs="宋体"/>
          <w:b/>
          <w:color w:val="auto"/>
          <w:sz w:val="28"/>
          <w:szCs w:val="28"/>
        </w:rPr>
        <w:t>5．磋商</w:t>
      </w:r>
      <w:bookmarkEnd w:id="57"/>
      <w:bookmarkEnd w:id="58"/>
      <w:bookmarkEnd w:id="59"/>
      <w:bookmarkEnd w:id="60"/>
      <w:bookmarkEnd w:id="61"/>
      <w:bookmarkEnd w:id="62"/>
    </w:p>
    <w:p w14:paraId="3CB3BFB5">
      <w:pPr>
        <w:spacing w:line="360" w:lineRule="auto"/>
        <w:rPr>
          <w:rFonts w:hint="eastAsia" w:ascii="宋体" w:hAnsi="宋体" w:cs="宋体"/>
          <w:b/>
          <w:color w:val="auto"/>
          <w:szCs w:val="21"/>
        </w:rPr>
      </w:pPr>
      <w:r>
        <w:rPr>
          <w:rFonts w:hint="eastAsia" w:ascii="宋体" w:hAnsi="宋体" w:cs="宋体"/>
          <w:b/>
          <w:color w:val="auto"/>
          <w:szCs w:val="21"/>
        </w:rPr>
        <w:t>5.1 磋商时间和地点</w:t>
      </w:r>
    </w:p>
    <w:p w14:paraId="6369C98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采购人在本章第4.2.1项规定的递交首次响应文件截止时间（磋商时间）和供应商须知前附表规定的地点磋商，并要求</w:t>
      </w:r>
      <w:r>
        <w:rPr>
          <w:rFonts w:hint="eastAsia" w:ascii="宋体" w:hAnsi="宋体" w:cs="宋体"/>
          <w:color w:val="auto"/>
        </w:rPr>
        <w:t>法人或授权委托人</w:t>
      </w:r>
      <w:r>
        <w:rPr>
          <w:rFonts w:hint="eastAsia" w:ascii="宋体" w:hAnsi="宋体" w:cs="宋体"/>
          <w:color w:val="auto"/>
          <w:szCs w:val="21"/>
        </w:rPr>
        <w:t>准时参加。</w:t>
      </w:r>
    </w:p>
    <w:p w14:paraId="0A8DB2B8">
      <w:pPr>
        <w:spacing w:line="360" w:lineRule="auto"/>
        <w:rPr>
          <w:rFonts w:hint="eastAsia" w:ascii="宋体" w:hAnsi="宋体" w:cs="宋体"/>
          <w:b/>
          <w:color w:val="auto"/>
          <w:szCs w:val="21"/>
        </w:rPr>
      </w:pPr>
      <w:r>
        <w:rPr>
          <w:rFonts w:hint="eastAsia" w:ascii="宋体" w:hAnsi="宋体" w:cs="宋体"/>
          <w:b/>
          <w:color w:val="auto"/>
          <w:szCs w:val="21"/>
        </w:rPr>
        <w:t>5.2 磋商程序</w:t>
      </w:r>
    </w:p>
    <w:p w14:paraId="40E7FA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由采购人或采购代理机构主持。</w:t>
      </w:r>
    </w:p>
    <w:p w14:paraId="1EDF5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auto"/>
          <w:highlight w:val="none"/>
          <w:lang w:val="zh-CN" w:eastAsia="zh-CN"/>
        </w:rPr>
        <w:t>政采云”平台</w:t>
      </w:r>
      <w:r>
        <w:rPr>
          <w:rFonts w:hint="eastAsia" w:ascii="宋体" w:hAnsi="宋体"/>
          <w:color w:val="auto"/>
          <w:highlight w:val="none"/>
        </w:rPr>
        <w:t>递交响应文件；</w:t>
      </w:r>
    </w:p>
    <w:p w14:paraId="1BED4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14:paraId="163D8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14:paraId="5E7E9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auto"/>
          <w:highlight w:val="none"/>
          <w:lang w:val="zh-CN" w:eastAsia="zh-CN"/>
        </w:rPr>
        <w:t>政采云”平台</w:t>
      </w:r>
      <w:r>
        <w:rPr>
          <w:rFonts w:hint="eastAsia" w:ascii="宋体" w:hAnsi="宋体"/>
          <w:color w:val="auto"/>
          <w:highlight w:val="none"/>
        </w:rPr>
        <w:t>进行二次报价。</w:t>
      </w:r>
    </w:p>
    <w:p w14:paraId="4EF152B3">
      <w:pPr>
        <w:spacing w:line="360" w:lineRule="auto"/>
        <w:rPr>
          <w:rFonts w:hint="eastAsia" w:ascii="宋体" w:hAnsi="宋体" w:cs="宋体"/>
          <w:b/>
          <w:color w:val="auto"/>
          <w:szCs w:val="21"/>
        </w:rPr>
      </w:pPr>
      <w:r>
        <w:rPr>
          <w:rFonts w:hint="eastAsia" w:ascii="宋体" w:hAnsi="宋体" w:cs="宋体"/>
          <w:b/>
          <w:color w:val="auto"/>
          <w:szCs w:val="21"/>
        </w:rPr>
        <w:t>5.3 磋商其他事项</w:t>
      </w:r>
    </w:p>
    <w:p w14:paraId="310DAA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bookmarkStart w:id="63" w:name="_Toc228871262"/>
      <w:bookmarkStart w:id="64" w:name="_Toc208974983"/>
      <w:bookmarkStart w:id="65" w:name="_Toc208999244"/>
      <w:bookmarkStart w:id="66" w:name="_Toc259191036"/>
      <w:bookmarkStart w:id="67" w:name="_Toc262045197"/>
      <w:bookmarkStart w:id="68" w:name="_Toc199384359"/>
      <w:r>
        <w:rPr>
          <w:rFonts w:hint="eastAsia" w:ascii="宋体" w:hAnsi="宋体"/>
          <w:color w:val="auto"/>
          <w:highlight w:val="none"/>
        </w:rPr>
        <w:t>（1）通过初步评审的供应商少于三家的，采购人或者采购代理机构依法重新组织采购，且不承担任何费用和责任。</w:t>
      </w:r>
    </w:p>
    <w:p w14:paraId="0AF16F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color w:val="auto"/>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14:paraId="30C97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（3）第二轮报价（最终报价）。</w:t>
      </w:r>
    </w:p>
    <w:p w14:paraId="36AE3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auto"/>
          <w:highlight w:val="none"/>
          <w:lang w:val="zh-CN" w:eastAsia="zh-CN"/>
        </w:rPr>
        <w:t>政采云”平台发起</w:t>
      </w:r>
      <w:r>
        <w:rPr>
          <w:rFonts w:hint="eastAsia" w:ascii="宋体" w:hAnsi="宋体"/>
          <w:color w:val="auto"/>
          <w:highlight w:val="none"/>
        </w:rPr>
        <w:t>二次报价，</w:t>
      </w:r>
      <w:r>
        <w:rPr>
          <w:rFonts w:hint="eastAsia" w:ascii="宋体" w:hAnsi="宋体" w:eastAsia="宋体" w:cs="宋体"/>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auto"/>
          <w:highlight w:val="none"/>
          <w:lang w:val="zh-CN" w:eastAsia="zh-CN"/>
        </w:rPr>
        <w:t>政采云”平台</w:t>
      </w:r>
      <w:r>
        <w:rPr>
          <w:rFonts w:hint="eastAsia" w:ascii="宋体" w:hAnsi="宋体"/>
          <w:color w:val="auto"/>
          <w:highlight w:val="none"/>
        </w:rPr>
        <w:t>进行二次报价</w:t>
      </w:r>
      <w:r>
        <w:rPr>
          <w:rFonts w:hint="eastAsia" w:ascii="宋体" w:hAnsi="宋体" w:eastAsia="宋体" w:cs="宋体"/>
          <w:color w:val="auto"/>
          <w:sz w:val="21"/>
          <w:szCs w:val="21"/>
          <w:highlight w:val="none"/>
        </w:rPr>
        <w:t>。</w:t>
      </w:r>
    </w:p>
    <w:p w14:paraId="73E149DC">
      <w:pPr>
        <w:spacing w:line="360" w:lineRule="auto"/>
        <w:rPr>
          <w:rFonts w:hint="eastAsia" w:ascii="宋体" w:hAnsi="宋体" w:cs="宋体"/>
          <w:b/>
          <w:color w:val="auto"/>
          <w:sz w:val="28"/>
          <w:szCs w:val="28"/>
        </w:rPr>
      </w:pPr>
      <w:r>
        <w:rPr>
          <w:rFonts w:hint="eastAsia" w:ascii="宋体" w:hAnsi="宋体" w:cs="宋体"/>
          <w:b/>
          <w:color w:val="auto"/>
          <w:sz w:val="28"/>
          <w:szCs w:val="28"/>
        </w:rPr>
        <w:t>6．评审</w:t>
      </w:r>
      <w:bookmarkEnd w:id="63"/>
      <w:bookmarkEnd w:id="64"/>
      <w:bookmarkEnd w:id="65"/>
      <w:bookmarkEnd w:id="66"/>
      <w:bookmarkEnd w:id="67"/>
      <w:bookmarkEnd w:id="68"/>
    </w:p>
    <w:p w14:paraId="5657482C">
      <w:pPr>
        <w:spacing w:line="360" w:lineRule="auto"/>
        <w:rPr>
          <w:rFonts w:hint="eastAsia" w:ascii="宋体" w:hAnsi="宋体" w:cs="宋体"/>
          <w:b/>
          <w:color w:val="auto"/>
          <w:szCs w:val="21"/>
        </w:rPr>
      </w:pPr>
      <w:r>
        <w:rPr>
          <w:rFonts w:hint="eastAsia" w:ascii="宋体" w:hAnsi="宋体" w:cs="宋体"/>
          <w:b/>
          <w:color w:val="auto"/>
          <w:szCs w:val="21"/>
        </w:rPr>
        <w:t>6.1 磋商小组</w:t>
      </w:r>
    </w:p>
    <w:p w14:paraId="6BC718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14:paraId="0B12F63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参加评审专家抽取的有关人员对被抽取的专家的姓名、单位和联系方式等内容负有保密的义务。磋商小组成员的名单在成交结果确定前必须严格保密。</w:t>
      </w:r>
    </w:p>
    <w:p w14:paraId="513812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6.1.2 磋商小组成员不得参加与自己有利害关系的评审活动，与自己有利害关系的应当回避，已经进入的必须更换。</w:t>
      </w:r>
    </w:p>
    <w:p w14:paraId="29DEFA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6.1.3 磋商小组负责对各响应文件进行评审、比较、评定，并按本磋商文件的规定确定成交人。</w:t>
      </w:r>
    </w:p>
    <w:p w14:paraId="4189118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6235C7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6.1.5 磋商小组的职责：</w:t>
      </w:r>
    </w:p>
    <w:p w14:paraId="36622C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（1）审查响应文件是否符合磋商文件要求，进行形式、资格及响应性评审，并作出评价；</w:t>
      </w:r>
    </w:p>
    <w:p w14:paraId="530EF5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（2）要求供应商解释或澄清其响应文件；</w:t>
      </w:r>
    </w:p>
    <w:p w14:paraId="2FDABD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（3）编写评审报告，受采购人委托按照事先确定的办法直接确定成交人；</w:t>
      </w:r>
    </w:p>
    <w:p w14:paraId="471EEF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（4）告知采购人、采购代理机构在评审过程中发现的供应商的违法违规行为。</w:t>
      </w:r>
    </w:p>
    <w:p w14:paraId="149917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6.1.6 磋商小组的义务：</w:t>
      </w:r>
    </w:p>
    <w:p w14:paraId="37F488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（1）遵纪守法，客观、公正、廉洁地履行职责；</w:t>
      </w:r>
    </w:p>
    <w:p w14:paraId="2331FC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（2）提出真实、可靠的评审意见；</w:t>
      </w:r>
    </w:p>
    <w:p w14:paraId="46947C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（3）严格遵守评审纪律，不得向外界泄露评审情况；</w:t>
      </w:r>
    </w:p>
    <w:p w14:paraId="58538B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（4）发现供应商在磋商活动中有不正当竞争或者恶意串通等违规行为，应及时向政府采购监督管理部门报告并加以制止；</w:t>
      </w:r>
    </w:p>
    <w:p w14:paraId="58430E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（5）按照磋商文件的规定进行独立评审，对个人的评审意见承担法律责任；</w:t>
      </w:r>
    </w:p>
    <w:p w14:paraId="50BE08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（6）编写并审定评审报告；</w:t>
      </w:r>
    </w:p>
    <w:p w14:paraId="3A8F6E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（7）配合采购人或者采购代理机构答复供应商提出的质疑；</w:t>
      </w:r>
    </w:p>
    <w:p w14:paraId="385D27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（8）对评审过程和结果，以及采购人、供应商的商业秘密保密；</w:t>
      </w:r>
    </w:p>
    <w:p w14:paraId="669A99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（9）配合财政部门的投诉处理和监督检查工作。</w:t>
      </w:r>
    </w:p>
    <w:p w14:paraId="26D4B3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6.1.7 磋商小组成员有下列情形之一的，应当回避：</w:t>
      </w:r>
    </w:p>
    <w:p w14:paraId="17E6B2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(1)采购人或供应商的主要负责人的近亲属；</w:t>
      </w:r>
    </w:p>
    <w:p w14:paraId="7484E2F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(2)项目主管部门或者行政监督部门的人员；</w:t>
      </w:r>
    </w:p>
    <w:p w14:paraId="2559F8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(3)与供应商有经济利益关系，可能影响对投标公正评审的；</w:t>
      </w:r>
    </w:p>
    <w:p w14:paraId="6255D3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(4)曾因在采购、评审以及其他与采购有关活动中从事违法行为而受过行政处罚或刑事处罚的。</w:t>
      </w:r>
    </w:p>
    <w:p w14:paraId="5AEDEAD8">
      <w:pPr>
        <w:spacing w:line="360" w:lineRule="auto"/>
        <w:rPr>
          <w:rFonts w:hint="eastAsia" w:ascii="宋体" w:hAnsi="宋体" w:cs="宋体"/>
          <w:b/>
          <w:color w:val="auto"/>
          <w:szCs w:val="21"/>
        </w:rPr>
      </w:pPr>
      <w:r>
        <w:rPr>
          <w:rFonts w:hint="eastAsia" w:ascii="宋体" w:hAnsi="宋体" w:cs="宋体"/>
          <w:b/>
          <w:color w:val="auto"/>
          <w:szCs w:val="21"/>
        </w:rPr>
        <w:t>6.2 评审原则</w:t>
      </w:r>
    </w:p>
    <w:p w14:paraId="0EEC90E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评审活动遵循公平、公正、科学和择优的原则。</w:t>
      </w:r>
    </w:p>
    <w:p w14:paraId="316DE86D">
      <w:pPr>
        <w:spacing w:line="360" w:lineRule="auto"/>
        <w:rPr>
          <w:rFonts w:hint="eastAsia" w:ascii="宋体" w:hAnsi="宋体" w:cs="宋体"/>
          <w:b/>
          <w:color w:val="auto"/>
          <w:szCs w:val="21"/>
        </w:rPr>
      </w:pPr>
      <w:r>
        <w:rPr>
          <w:rFonts w:hint="eastAsia" w:ascii="宋体" w:hAnsi="宋体" w:cs="宋体"/>
          <w:b/>
          <w:color w:val="auto"/>
          <w:szCs w:val="21"/>
        </w:rPr>
        <w:t>6.3 评审</w:t>
      </w:r>
    </w:p>
    <w:p w14:paraId="29D2C6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磋商小组按照第三章“评审办法”规定的方法、评审因素、标准和程序对竞争性磋商响应文件进行评审。第三章“评审办法”没有规定的方法、评审因素和标准，不作为评审依据。</w:t>
      </w:r>
    </w:p>
    <w:p w14:paraId="23CAD3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磋商小组推荐成交候选人的人数：详见供应商须知前附表</w:t>
      </w:r>
    </w:p>
    <w:p w14:paraId="34343766">
      <w:pPr>
        <w:spacing w:line="360" w:lineRule="auto"/>
        <w:rPr>
          <w:rFonts w:hint="eastAsia" w:ascii="宋体" w:hAnsi="宋体" w:cs="宋体"/>
          <w:b/>
          <w:color w:val="auto"/>
          <w:szCs w:val="21"/>
        </w:rPr>
      </w:pPr>
    </w:p>
    <w:p w14:paraId="1831B0F2">
      <w:pPr>
        <w:spacing w:line="360" w:lineRule="auto"/>
        <w:rPr>
          <w:rFonts w:hint="eastAsia" w:ascii="宋体" w:hAnsi="宋体" w:cs="宋体"/>
          <w:b/>
          <w:color w:val="auto"/>
          <w:sz w:val="28"/>
          <w:szCs w:val="28"/>
        </w:rPr>
      </w:pPr>
      <w:r>
        <w:rPr>
          <w:rFonts w:hint="eastAsia" w:ascii="宋体" w:hAnsi="宋体" w:cs="宋体"/>
          <w:b/>
          <w:color w:val="auto"/>
          <w:sz w:val="28"/>
          <w:szCs w:val="28"/>
        </w:rPr>
        <w:t>7.成交信息公告</w:t>
      </w:r>
    </w:p>
    <w:p w14:paraId="3C07B02A">
      <w:pPr>
        <w:spacing w:line="360" w:lineRule="auto"/>
        <w:rPr>
          <w:rFonts w:hint="eastAsia" w:ascii="宋体" w:hAnsi="宋体" w:cs="宋体"/>
          <w:b/>
          <w:color w:val="auto"/>
          <w:szCs w:val="21"/>
        </w:rPr>
      </w:pPr>
      <w:r>
        <w:rPr>
          <w:rFonts w:hint="eastAsia" w:ascii="宋体" w:hAnsi="宋体" w:cs="宋体"/>
          <w:b/>
          <w:color w:val="auto"/>
          <w:szCs w:val="21"/>
        </w:rPr>
        <w:t>7.1 确定成交人方式</w:t>
      </w:r>
    </w:p>
    <w:p w14:paraId="4BC5DC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7.1.1采购代理机构应当在评审结束之日起2个工作日内将评审报告送采购人。</w:t>
      </w:r>
    </w:p>
    <w:p w14:paraId="024760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7.1.2采购人应当在收到评审报告之日起5个工作日内，按照评审报告中推荐的成交候选人顺序确定成交人；也可以事先授权磋商小组直接确定成交人。</w:t>
      </w:r>
    </w:p>
    <w:p w14:paraId="5882A7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7.1.3采购人自行组织采购的，应当在评审结束之日起5个工作日内确定成交人。</w:t>
      </w:r>
    </w:p>
    <w:p w14:paraId="4C0DC9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7.1.4除供应商须知前附表规定磋商小组直接确定成交人外，采购人依据磋商小组推荐的成交候选人确定成交人，磋商小组推荐成交候选人的人数见供应商须知前附表。</w:t>
      </w:r>
    </w:p>
    <w:p w14:paraId="0E331E4F">
      <w:pPr>
        <w:spacing w:line="360" w:lineRule="auto"/>
        <w:rPr>
          <w:rFonts w:hint="eastAsia" w:ascii="宋体" w:hAnsi="宋体" w:cs="宋体"/>
          <w:color w:val="auto"/>
          <w:szCs w:val="21"/>
        </w:rPr>
      </w:pPr>
      <w:r>
        <w:rPr>
          <w:rFonts w:hint="eastAsia" w:ascii="宋体" w:hAnsi="宋体" w:cs="宋体"/>
          <w:b/>
          <w:color w:val="auto"/>
          <w:szCs w:val="21"/>
        </w:rPr>
        <w:t>7.2成交结果公告媒介及期限</w:t>
      </w:r>
    </w:p>
    <w:p w14:paraId="06FFB9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公告媒介：见供应商须知前附表</w:t>
      </w:r>
    </w:p>
    <w:p w14:paraId="24541E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公告期限：见供应商须知前附表</w:t>
      </w:r>
    </w:p>
    <w:p w14:paraId="657B192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竞争性磋商文件随成交结果同时公告。但成交结果公告前竞争性磋商文件已公告的，不再重复公告。</w:t>
      </w:r>
    </w:p>
    <w:p w14:paraId="1C93981D">
      <w:pPr>
        <w:spacing w:line="360" w:lineRule="auto"/>
        <w:rPr>
          <w:rFonts w:hint="eastAsia" w:ascii="宋体" w:hAnsi="宋体" w:cs="宋体"/>
          <w:b/>
          <w:color w:val="auto"/>
          <w:szCs w:val="21"/>
        </w:rPr>
      </w:pPr>
      <w:bookmarkStart w:id="69" w:name="_Toc199384360"/>
      <w:bookmarkStart w:id="70" w:name="_Toc259191037"/>
      <w:bookmarkStart w:id="71" w:name="_Toc228871263"/>
      <w:bookmarkStart w:id="72" w:name="_Toc262045198"/>
      <w:bookmarkStart w:id="73" w:name="_Toc208974984"/>
      <w:bookmarkStart w:id="74" w:name="_Toc208999245"/>
      <w:r>
        <w:rPr>
          <w:rFonts w:hint="eastAsia" w:ascii="宋体" w:hAnsi="宋体" w:cs="宋体"/>
          <w:b/>
          <w:color w:val="auto"/>
          <w:szCs w:val="21"/>
        </w:rPr>
        <w:t>7.3成交通知</w:t>
      </w:r>
    </w:p>
    <w:p w14:paraId="030A99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在公示成交结果的同时，采购人或者采购代理机构应当向成交人发出成交通知书，成交通知书对采购人和成交人具有同等法律效力。</w:t>
      </w:r>
    </w:p>
    <w:p w14:paraId="259BD276">
      <w:pPr>
        <w:spacing w:line="360" w:lineRule="auto"/>
        <w:rPr>
          <w:rFonts w:hint="eastAsia" w:ascii="宋体" w:hAnsi="宋体" w:cs="宋体"/>
          <w:b/>
          <w:color w:val="auto"/>
          <w:szCs w:val="21"/>
        </w:rPr>
      </w:pPr>
    </w:p>
    <w:p w14:paraId="46716BD1">
      <w:pPr>
        <w:spacing w:line="360" w:lineRule="auto"/>
        <w:rPr>
          <w:rFonts w:hint="eastAsia" w:ascii="宋体" w:hAnsi="宋体" w:cs="宋体"/>
          <w:b/>
          <w:color w:val="auto"/>
          <w:sz w:val="28"/>
          <w:szCs w:val="28"/>
        </w:rPr>
      </w:pPr>
      <w:r>
        <w:rPr>
          <w:rFonts w:hint="eastAsia" w:ascii="宋体" w:hAnsi="宋体" w:cs="宋体"/>
          <w:b/>
          <w:color w:val="auto"/>
          <w:sz w:val="28"/>
          <w:szCs w:val="28"/>
        </w:rPr>
        <w:t>8．合同授予</w:t>
      </w:r>
      <w:bookmarkEnd w:id="69"/>
      <w:bookmarkEnd w:id="70"/>
      <w:bookmarkEnd w:id="71"/>
      <w:bookmarkEnd w:id="72"/>
      <w:bookmarkEnd w:id="73"/>
      <w:bookmarkEnd w:id="74"/>
    </w:p>
    <w:p w14:paraId="0E522CCF">
      <w:pPr>
        <w:spacing w:line="360" w:lineRule="auto"/>
        <w:rPr>
          <w:rFonts w:hint="eastAsia" w:ascii="宋体" w:hAnsi="宋体" w:cs="宋体"/>
          <w:b/>
          <w:color w:val="auto"/>
          <w:szCs w:val="21"/>
        </w:rPr>
      </w:pPr>
      <w:r>
        <w:rPr>
          <w:rFonts w:hint="eastAsia" w:ascii="宋体" w:hAnsi="宋体" w:cs="宋体"/>
          <w:b/>
          <w:color w:val="auto"/>
          <w:szCs w:val="21"/>
        </w:rPr>
        <w:t>8.1 履约担保</w:t>
      </w:r>
    </w:p>
    <w:p w14:paraId="68DCDD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8.1.1 在签订合同前，成交人应按供应商须知前附表规定的金额、担保形式和竞争性磋商文件第四章“合同格式”规定的履约担保格式向采购人递交履约担保。联合体成交的，其履约担保由牵头人递交，并应符合供应商须知前附表规定的金额、担保形式和竞争性磋商文件第四章“合同格式”规定的履约担保格式要求。</w:t>
      </w:r>
    </w:p>
    <w:p w14:paraId="6EF262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8.1.2 成交人不能按本章第7.3.1 项要求递交履约担保的，视为放弃成交，其磋商保证金不予退还，给采购人造成的损失超过磋商保证金数额的，成交人还应当对超过部分予以赔偿。</w:t>
      </w:r>
    </w:p>
    <w:p w14:paraId="3630B586">
      <w:pPr>
        <w:spacing w:line="360" w:lineRule="auto"/>
        <w:rPr>
          <w:rFonts w:hint="eastAsia" w:ascii="宋体" w:hAnsi="宋体" w:cs="宋体"/>
          <w:b/>
          <w:color w:val="auto"/>
          <w:szCs w:val="21"/>
        </w:rPr>
      </w:pPr>
      <w:r>
        <w:rPr>
          <w:rFonts w:hint="eastAsia" w:ascii="宋体" w:hAnsi="宋体" w:cs="宋体"/>
          <w:b/>
          <w:color w:val="auto"/>
          <w:szCs w:val="21"/>
        </w:rPr>
        <w:t>8.2 签订合同</w:t>
      </w:r>
    </w:p>
    <w:p w14:paraId="53F45A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8.2.1 采购人和成交人应当自成交通知书发出之日起30 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226DBF7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8.2.2 发出成交通知书后，采购人无正当理由拒签合同的，采购人向成交人退还磋商保证金；给成交人造成损失的，还应当赔偿损失。</w:t>
      </w:r>
    </w:p>
    <w:p w14:paraId="6FB83CE5">
      <w:pPr>
        <w:spacing w:line="360" w:lineRule="auto"/>
        <w:rPr>
          <w:rFonts w:hint="eastAsia" w:ascii="宋体" w:hAnsi="宋体" w:cs="宋体"/>
          <w:b/>
          <w:color w:val="auto"/>
          <w:szCs w:val="21"/>
        </w:rPr>
      </w:pPr>
      <w:bookmarkStart w:id="75" w:name="_Toc259191038"/>
      <w:bookmarkStart w:id="76" w:name="_Toc199384361"/>
      <w:bookmarkStart w:id="77" w:name="_Toc262045199"/>
      <w:bookmarkStart w:id="78" w:name="_Toc228871264"/>
      <w:bookmarkStart w:id="79" w:name="_Toc208999246"/>
      <w:bookmarkStart w:id="80" w:name="_Toc208974985"/>
      <w:r>
        <w:rPr>
          <w:rFonts w:hint="eastAsia" w:ascii="宋体" w:hAnsi="宋体" w:cs="宋体"/>
          <w:b/>
          <w:color w:val="auto"/>
          <w:szCs w:val="21"/>
        </w:rPr>
        <w:t>8</w:t>
      </w:r>
      <w:bookmarkEnd w:id="75"/>
      <w:bookmarkEnd w:id="76"/>
      <w:bookmarkEnd w:id="77"/>
      <w:bookmarkEnd w:id="78"/>
      <w:bookmarkEnd w:id="79"/>
      <w:bookmarkEnd w:id="80"/>
      <w:r>
        <w:rPr>
          <w:rFonts w:hint="eastAsia" w:ascii="宋体" w:hAnsi="宋体" w:cs="宋体"/>
          <w:b/>
          <w:color w:val="auto"/>
          <w:szCs w:val="21"/>
        </w:rPr>
        <w:t>.3</w:t>
      </w:r>
      <w:r>
        <w:rPr>
          <w:rFonts w:hint="eastAsia" w:ascii="宋体" w:hAnsi="宋体" w:cs="宋体"/>
          <w:b/>
          <w:bCs/>
          <w:color w:val="auto"/>
          <w:szCs w:val="21"/>
          <w:lang w:val="zh-CN"/>
        </w:rPr>
        <w:t>报价无效及废标</w:t>
      </w:r>
    </w:p>
    <w:p w14:paraId="3DC515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8.3.1出现下列情形之一的，报价无效：</w:t>
      </w:r>
    </w:p>
    <w:p w14:paraId="1A907A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（1）不具备《中华人民共和国政府采购法》第二十二条规定条件；</w:t>
      </w:r>
    </w:p>
    <w:p w14:paraId="5D5537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（2）列入失信被执行人、重大税收违法案件当事人名单、政府采购严重违法失信行为记录名单；</w:t>
      </w:r>
    </w:p>
    <w:p w14:paraId="0DDCF59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（3）响应文件未按磋商文件规定要求格式表格制作、密封、签署、盖章；</w:t>
      </w:r>
    </w:p>
    <w:p w14:paraId="623BA7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（4）不按磋商小组要求澄清、说明或补正的。</w:t>
      </w:r>
    </w:p>
    <w:p w14:paraId="041E0F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（5）未按照磋商文件中报价文件要求的内容填写报价、拒绝报价、报价不确定、有选择性报价和附有条件的报价、报价等于或高于最高限价；</w:t>
      </w:r>
    </w:p>
    <w:p w14:paraId="5D0E67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（6）法定代表人或其授权代表未按时参加第二轮报价会议或参加第二轮报价会议未提供有效证明；</w:t>
      </w:r>
    </w:p>
    <w:p w14:paraId="6E480C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（7）未按规定缴纳磋商保证金；</w:t>
      </w:r>
    </w:p>
    <w:p w14:paraId="1B9C35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（8）相关资格资质证明的原件、复印件未按磋商文件约定提交或提交的原件与复印件不一致；</w:t>
      </w:r>
    </w:p>
    <w:p w14:paraId="7C358A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（9）在形式、资格及响应性评审中，磋商小组认定供应商的响应文件不符合评审办法中规定的任何一项评审标准。</w:t>
      </w:r>
    </w:p>
    <w:p w14:paraId="5A4392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（10）响应文件正副本未区分或者内容严重不一致；</w:t>
      </w:r>
    </w:p>
    <w:p w14:paraId="4DB902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（11）磋商有效期不满足磋商文件要求；</w:t>
      </w:r>
    </w:p>
    <w:p w14:paraId="00FE9C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（12）无供应商法定代表人或其授权代表签字或盖章；</w:t>
      </w:r>
    </w:p>
    <w:p w14:paraId="6583D1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（13）联合体未提交联合体协议书（本项目不适用）；</w:t>
      </w:r>
    </w:p>
    <w:p w14:paraId="43B4F5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（14）响应文件未完全满足磋商文件中实质性要求；</w:t>
      </w:r>
    </w:p>
    <w:p w14:paraId="2A5F8E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（15）低于成本价且无法提供相关证明材料；</w:t>
      </w:r>
    </w:p>
    <w:p w14:paraId="4B2388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（16）磋商小组认定技术方案不符合磋商文件要求；</w:t>
      </w:r>
    </w:p>
    <w:p w14:paraId="5576452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（17）评审期间，没有按磋商小组要求提交经法定代表人或授权代表签字的澄清、说明、补正或改变了响应文件实质性内容；</w:t>
      </w:r>
    </w:p>
    <w:p w14:paraId="4327584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（18）供应商未提交最终报价；</w:t>
      </w:r>
    </w:p>
    <w:p w14:paraId="4586A4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（19）供应商存在弄虚作假的行为；</w:t>
      </w:r>
    </w:p>
    <w:p w14:paraId="2B9356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（20）属于采购人与供应商、供应商与供应商相互串通磋商情形；</w:t>
      </w:r>
    </w:p>
    <w:p w14:paraId="585947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（21）对采购人、采购代理机构、磋商小组及其他工作人员施加影响，有碍公平、公正；</w:t>
      </w:r>
    </w:p>
    <w:p w14:paraId="7D127C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（22）磋商文件规定的其他报价无效情形；</w:t>
      </w:r>
    </w:p>
    <w:p w14:paraId="72EE24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（23）法律、法规、规章规定属于报价无效的其他情形。</w:t>
      </w:r>
    </w:p>
    <w:p w14:paraId="5F3521EA">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8.3.2 有下列情形之一的，应予废标：</w:t>
      </w:r>
    </w:p>
    <w:p w14:paraId="185EC0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（1）到递交首次响应文件截止时间止，供应商少于3个的；</w:t>
      </w:r>
    </w:p>
    <w:p w14:paraId="5593A9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（2）符合条件的供应商或者对磋商文件作实质响应的供应商不足三家的；</w:t>
      </w:r>
    </w:p>
    <w:p w14:paraId="41108C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（3）经磋商小组评审后否决所有响应文件的；</w:t>
      </w:r>
    </w:p>
    <w:p w14:paraId="56E368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（4）出现影响采购公正的违法、违规行为；</w:t>
      </w:r>
    </w:p>
    <w:p w14:paraId="21D367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（5）因重大变故，采购任务取消；</w:t>
      </w:r>
    </w:p>
    <w:p w14:paraId="16E28E6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（6）法律、法规以及磋商文件规定其他情形。</w:t>
      </w:r>
    </w:p>
    <w:p w14:paraId="4E3223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废标必须经磋商小组集体作出决定，经磋商小组全体成员签字确认后生效。废标后，采购人或者采购代理机构应当将废标理由告知所有供应商。</w:t>
      </w:r>
    </w:p>
    <w:p w14:paraId="541E89C6">
      <w:pPr>
        <w:spacing w:line="360" w:lineRule="auto"/>
        <w:rPr>
          <w:rFonts w:hint="eastAsia" w:ascii="宋体" w:hAnsi="宋体" w:cs="宋体"/>
          <w:b/>
          <w:color w:val="auto"/>
          <w:szCs w:val="21"/>
        </w:rPr>
      </w:pPr>
      <w:bookmarkStart w:id="81" w:name="_Toc199384362"/>
      <w:bookmarkStart w:id="82" w:name="_Toc208999247"/>
      <w:bookmarkStart w:id="83" w:name="_Toc228871265"/>
      <w:bookmarkStart w:id="84" w:name="_Toc208974986"/>
      <w:bookmarkStart w:id="85" w:name="_Toc259191039"/>
      <w:bookmarkStart w:id="86" w:name="_Toc262045200"/>
    </w:p>
    <w:p w14:paraId="4FC61D34">
      <w:pPr>
        <w:spacing w:line="360" w:lineRule="auto"/>
        <w:rPr>
          <w:rFonts w:hint="eastAsia" w:ascii="宋体" w:hAnsi="宋体" w:cs="宋体"/>
          <w:b/>
          <w:color w:val="auto"/>
          <w:sz w:val="28"/>
          <w:szCs w:val="28"/>
        </w:rPr>
      </w:pPr>
      <w:r>
        <w:rPr>
          <w:rFonts w:hint="eastAsia" w:ascii="宋体" w:hAnsi="宋体" w:cs="宋体"/>
          <w:b/>
          <w:color w:val="auto"/>
          <w:sz w:val="28"/>
          <w:szCs w:val="28"/>
        </w:rPr>
        <w:t>9．纪律和监督</w:t>
      </w:r>
      <w:bookmarkEnd w:id="81"/>
      <w:bookmarkEnd w:id="82"/>
      <w:bookmarkEnd w:id="83"/>
      <w:bookmarkEnd w:id="84"/>
      <w:bookmarkEnd w:id="85"/>
      <w:bookmarkEnd w:id="86"/>
    </w:p>
    <w:p w14:paraId="54961AFE">
      <w:pPr>
        <w:spacing w:line="360" w:lineRule="auto"/>
        <w:rPr>
          <w:rFonts w:hint="eastAsia" w:ascii="宋体" w:hAnsi="宋体" w:cs="宋体"/>
          <w:b/>
          <w:color w:val="auto"/>
          <w:szCs w:val="21"/>
        </w:rPr>
      </w:pPr>
      <w:r>
        <w:rPr>
          <w:rFonts w:hint="eastAsia" w:ascii="宋体" w:hAnsi="宋体" w:cs="宋体"/>
          <w:b/>
          <w:color w:val="auto"/>
          <w:szCs w:val="21"/>
        </w:rPr>
        <w:t>9.1 对采购人的纪律要求</w:t>
      </w:r>
    </w:p>
    <w:p w14:paraId="52B2BA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采购人不得泄漏采购活动中应当保密的情况和资料，不得与供应商串通损害国家利益、社会公共利益或者他人合法权益。</w:t>
      </w:r>
    </w:p>
    <w:p w14:paraId="68877315">
      <w:pPr>
        <w:spacing w:line="360" w:lineRule="auto"/>
        <w:rPr>
          <w:rFonts w:hint="eastAsia" w:ascii="宋体" w:hAnsi="宋体" w:cs="宋体"/>
          <w:b/>
          <w:color w:val="auto"/>
          <w:szCs w:val="21"/>
        </w:rPr>
      </w:pPr>
      <w:r>
        <w:rPr>
          <w:rFonts w:hint="eastAsia" w:ascii="宋体" w:hAnsi="宋体" w:cs="宋体"/>
          <w:b/>
          <w:color w:val="auto"/>
          <w:szCs w:val="21"/>
        </w:rPr>
        <w:t>9.2 对供应商的纪律要求</w:t>
      </w:r>
    </w:p>
    <w:p w14:paraId="064FB4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供应商不得相互串通磋商或者与采购人串通磋商，不得向采购人或者磋商小组成员行贿谋取成交，不得以他人名义磋商或者以其他方式弄虚作假骗取成交；供应商不得以任何方式干扰、影响评审工作。</w:t>
      </w:r>
    </w:p>
    <w:p w14:paraId="7E71260D">
      <w:pPr>
        <w:spacing w:line="360" w:lineRule="auto"/>
        <w:rPr>
          <w:rFonts w:hint="eastAsia" w:ascii="宋体" w:hAnsi="宋体" w:cs="宋体"/>
          <w:b/>
          <w:color w:val="auto"/>
          <w:szCs w:val="21"/>
        </w:rPr>
      </w:pPr>
      <w:r>
        <w:rPr>
          <w:rFonts w:hint="eastAsia" w:ascii="宋体" w:hAnsi="宋体" w:cs="宋体"/>
          <w:b/>
          <w:color w:val="auto"/>
          <w:szCs w:val="21"/>
        </w:rPr>
        <w:t>9.3 对磋商小组成员的纪律要求</w:t>
      </w:r>
    </w:p>
    <w:p w14:paraId="6C7C732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307F8BFD">
      <w:pPr>
        <w:spacing w:line="360" w:lineRule="auto"/>
        <w:rPr>
          <w:rFonts w:hint="eastAsia" w:ascii="宋体" w:hAnsi="宋体" w:cs="宋体"/>
          <w:b/>
          <w:color w:val="auto"/>
          <w:szCs w:val="21"/>
        </w:rPr>
      </w:pPr>
      <w:r>
        <w:rPr>
          <w:rFonts w:hint="eastAsia" w:ascii="宋体" w:hAnsi="宋体" w:cs="宋体"/>
          <w:b/>
          <w:color w:val="auto"/>
          <w:szCs w:val="21"/>
        </w:rPr>
        <w:t>9.4 对与评审活动有关的工作人员的纪律要求</w:t>
      </w:r>
    </w:p>
    <w:p w14:paraId="431D68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7BE0A4E3">
      <w:pPr>
        <w:spacing w:line="360" w:lineRule="auto"/>
        <w:rPr>
          <w:rFonts w:hint="eastAsia" w:ascii="宋体" w:hAnsi="宋体" w:cs="宋体"/>
          <w:b/>
          <w:color w:val="auto"/>
          <w:szCs w:val="21"/>
        </w:rPr>
      </w:pPr>
      <w:bookmarkStart w:id="87" w:name="_Toc262045201"/>
      <w:bookmarkStart w:id="88" w:name="_Toc208974987"/>
      <w:bookmarkStart w:id="89" w:name="_Toc228871266"/>
      <w:bookmarkStart w:id="90" w:name="_Toc199384363"/>
      <w:bookmarkStart w:id="91" w:name="_Toc208999248"/>
      <w:bookmarkStart w:id="92" w:name="_Toc259191040"/>
      <w:r>
        <w:rPr>
          <w:rFonts w:hint="eastAsia" w:ascii="宋体" w:hAnsi="宋体" w:cs="宋体"/>
          <w:b/>
          <w:color w:val="auto"/>
          <w:szCs w:val="21"/>
        </w:rPr>
        <w:t>9.5</w:t>
      </w:r>
      <w:r>
        <w:rPr>
          <w:rFonts w:hint="eastAsia" w:ascii="宋体" w:hAnsi="宋体" w:cs="宋体"/>
          <w:b/>
          <w:bCs/>
          <w:color w:val="auto"/>
          <w:szCs w:val="21"/>
          <w:lang w:val="zh-CN"/>
        </w:rPr>
        <w:t>质疑与投诉</w:t>
      </w:r>
    </w:p>
    <w:p w14:paraId="6334FB65">
      <w:pPr>
        <w:spacing w:line="360" w:lineRule="auto"/>
        <w:ind w:firstLine="420" w:firstLineChars="200"/>
        <w:rPr>
          <w:rFonts w:hint="eastAsia" w:ascii="宋体" w:hAnsi="宋体" w:cs="宋体"/>
          <w:b/>
          <w:color w:val="auto"/>
          <w:szCs w:val="21"/>
        </w:rPr>
      </w:pPr>
      <w:r>
        <w:rPr>
          <w:rFonts w:hint="eastAsia" w:ascii="宋体" w:hAnsi="宋体" w:cs="宋体"/>
          <w:bCs/>
          <w:color w:val="auto"/>
          <w:szCs w:val="21"/>
        </w:rPr>
        <w:t>9.5.1 质疑</w:t>
      </w:r>
    </w:p>
    <w:p w14:paraId="284063D4">
      <w:pPr>
        <w:spacing w:line="360" w:lineRule="auto"/>
        <w:ind w:firstLine="420" w:firstLineChars="200"/>
        <w:rPr>
          <w:rFonts w:hint="eastAsia" w:ascii="宋体" w:hAnsi="宋体" w:cs="宋体"/>
          <w:color w:val="auto"/>
        </w:rPr>
      </w:pPr>
      <w:r>
        <w:rPr>
          <w:rFonts w:hint="eastAsia" w:ascii="宋体" w:hAnsi="宋体" w:cs="宋体"/>
          <w:color w:val="auto"/>
          <w:szCs w:val="21"/>
        </w:rPr>
        <w:t>按照《中华人民共和国政府采购法》、《政府采购供应商质疑和投诉办法》有关规定，参加本次政府采购活动的供应商认为</w:t>
      </w:r>
      <w:r>
        <w:rPr>
          <w:rFonts w:hint="eastAsia" w:ascii="宋体" w:hAnsi="宋体" w:cs="宋体"/>
          <w:color w:val="auto"/>
        </w:rPr>
        <w:t>采购文件、采购过程、成交或者成交结果使自己的权益受到损害的，可以在知道或者应知其权益受到损害之日起7个工作日内，以书面形式向采购人、采购代理机构提出质疑。</w:t>
      </w:r>
    </w:p>
    <w:p w14:paraId="2D6A2114">
      <w:pPr>
        <w:spacing w:line="360" w:lineRule="auto"/>
        <w:ind w:firstLine="420" w:firstLineChars="200"/>
        <w:rPr>
          <w:rFonts w:hint="eastAsia" w:ascii="宋体" w:hAnsi="宋体" w:cs="宋体"/>
          <w:color w:val="auto"/>
          <w:szCs w:val="21"/>
        </w:rPr>
      </w:pPr>
      <w:r>
        <w:rPr>
          <w:rFonts w:hint="eastAsia" w:ascii="宋体" w:hAnsi="宋体" w:cs="宋体"/>
          <w:color w:val="auto"/>
        </w:rPr>
        <w:t>供应商须在法定质疑期内一次性提出针对同一采购程序环节的质疑。</w:t>
      </w:r>
    </w:p>
    <w:p w14:paraId="755434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9.5.1.1供应商提出质疑应当提交质疑函和必要的证明材料。质疑函应当包括下列内容：</w:t>
      </w:r>
    </w:p>
    <w:p w14:paraId="764D72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（一）供应商的姓名或者名称、地址、邮编、联系人及联系电话；</w:t>
      </w:r>
    </w:p>
    <w:p w14:paraId="39C43C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（二）质疑项目的名称、编号；</w:t>
      </w:r>
    </w:p>
    <w:p w14:paraId="09DB7B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（三）具体、明确的质疑事项和与质疑事项相关的请求；</w:t>
      </w:r>
    </w:p>
    <w:p w14:paraId="7B7D49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（四）事实依据；</w:t>
      </w:r>
    </w:p>
    <w:p w14:paraId="654D1B6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（五）必要的法律依据；</w:t>
      </w:r>
    </w:p>
    <w:p w14:paraId="1F4B4A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（六）提出质疑的日期。</w:t>
      </w:r>
    </w:p>
    <w:p w14:paraId="70ED34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9.5.1.2供应商为自然人的，应当由本人签字；供应商为法人或者其他组织的，应当由法定代表人、主要负责人，或者其授权代表签字或盖章，并加盖公章。否则采购人或者采购代理机构不予受理。</w:t>
      </w:r>
    </w:p>
    <w:p w14:paraId="00F96B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9.5.1.3除书面形式外，其他任何方式的质疑，采购人或者采购代理机构均不予接受和回复。</w:t>
      </w:r>
    </w:p>
    <w:p w14:paraId="6A3DB0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9.5.1.4采购人或者采购代理机构在收到质疑书后七个工作日内作出书面答复，并以书面形式通知质疑人和其他有关当事人，但答复不得涉及商业秘密。</w:t>
      </w:r>
    </w:p>
    <w:p w14:paraId="4541A8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9.5.1.5质疑人对采购人、采购代理机构的答复不满意或者采购人、采购代理机构未在规定的时间内做出答复的，可以在答复期满后十五个工作日内向同级财政部门投诉。</w:t>
      </w:r>
    </w:p>
    <w:p w14:paraId="160372F5">
      <w:pPr>
        <w:spacing w:line="360" w:lineRule="auto"/>
        <w:ind w:firstLine="420" w:firstLineChars="200"/>
        <w:rPr>
          <w:rFonts w:hint="eastAsia" w:ascii="宋体" w:hAnsi="宋体" w:cs="宋体"/>
          <w:b/>
          <w:color w:val="auto"/>
          <w:szCs w:val="21"/>
        </w:rPr>
      </w:pPr>
      <w:r>
        <w:rPr>
          <w:rFonts w:hint="eastAsia" w:ascii="宋体" w:hAnsi="宋体" w:cs="宋体"/>
          <w:bCs/>
          <w:color w:val="auto"/>
          <w:szCs w:val="21"/>
        </w:rPr>
        <w:t>9.5.2投诉</w:t>
      </w:r>
    </w:p>
    <w:p w14:paraId="4AFAC5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4D38B5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9.5.2.1投诉人提起投诉应符合下列条件：</w:t>
      </w:r>
    </w:p>
    <w:p w14:paraId="248C79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（一）提起投诉前已依法进行质疑；</w:t>
      </w:r>
    </w:p>
    <w:p w14:paraId="57C84F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（二）投诉书内容符合《政府采购供应商质疑和投诉办法》的规定；</w:t>
      </w:r>
    </w:p>
    <w:p w14:paraId="06D745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（三）在投诉有效期限内提起投诉；</w:t>
      </w:r>
    </w:p>
    <w:p w14:paraId="1C76A9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（四）同一投诉事项未经财政部门投诉处理；</w:t>
      </w:r>
    </w:p>
    <w:p w14:paraId="7CB06D4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（五）财政部规定的其他条件。</w:t>
      </w:r>
    </w:p>
    <w:p w14:paraId="22C968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9.5.2.2供应商投诉的事项不得超出已质疑事项的范围，但基于质疑答复内容提出的投诉事项除外。</w:t>
      </w:r>
    </w:p>
    <w:p w14:paraId="0FED4A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9.5.2.3投诉人投诉时，应当提交投诉书和必要的证明材料，并按照被投诉采购人、采购代理机构（以下简称被投诉人）和与投诉事项有关的供应商数量提供投诉书的副本。投诉书应当包括下列内容：</w:t>
      </w:r>
    </w:p>
    <w:p w14:paraId="76E3C5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（一）投诉人和被投诉人的姓名或者名称、通讯地址、邮编、联系人及联系电话；</w:t>
      </w:r>
    </w:p>
    <w:p w14:paraId="43AE78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（二）质疑和质疑答复情况说明及相关证明材料；</w:t>
      </w:r>
    </w:p>
    <w:p w14:paraId="759EBF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（三）具体、明确的投诉事项和与投诉事项相关的投诉请求；</w:t>
      </w:r>
    </w:p>
    <w:p w14:paraId="3DD231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（四）事实依据；</w:t>
      </w:r>
    </w:p>
    <w:p w14:paraId="252257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（五）法律依据；</w:t>
      </w:r>
    </w:p>
    <w:p w14:paraId="672317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（六）提起投诉的日期。</w:t>
      </w:r>
    </w:p>
    <w:p w14:paraId="722ED5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9.5.2.4投诉人为自然人的，应当由本人签字；投诉人为法人或者其他组织的，应当由法定代表人、主要负责人，或者其授权代表签字或者盖章，并加盖公章。</w:t>
      </w:r>
    </w:p>
    <w:p w14:paraId="42510A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9.5.2.5投诉人不符合上述规定提起的投诉，财政部门不予受理。</w:t>
      </w:r>
    </w:p>
    <w:p w14:paraId="4283EF66">
      <w:pPr>
        <w:spacing w:line="360" w:lineRule="auto"/>
        <w:rPr>
          <w:rFonts w:hint="eastAsia" w:ascii="宋体" w:hAnsi="宋体" w:cs="宋体"/>
          <w:b/>
          <w:color w:val="auto"/>
          <w:sz w:val="28"/>
          <w:szCs w:val="28"/>
        </w:rPr>
      </w:pPr>
      <w:r>
        <w:rPr>
          <w:rFonts w:hint="eastAsia" w:ascii="宋体" w:hAnsi="宋体" w:cs="宋体"/>
          <w:b/>
          <w:color w:val="auto"/>
          <w:sz w:val="28"/>
          <w:szCs w:val="28"/>
        </w:rPr>
        <w:t>10．需要补充的其他内容</w:t>
      </w:r>
      <w:bookmarkEnd w:id="87"/>
      <w:bookmarkEnd w:id="88"/>
      <w:bookmarkEnd w:id="89"/>
      <w:bookmarkEnd w:id="90"/>
      <w:bookmarkEnd w:id="91"/>
      <w:bookmarkEnd w:id="92"/>
    </w:p>
    <w:p w14:paraId="296234C2">
      <w:pPr>
        <w:spacing w:line="360" w:lineRule="auto"/>
        <w:ind w:firstLine="420" w:firstLineChars="200"/>
        <w:rPr>
          <w:rFonts w:hint="eastAsia" w:ascii="宋体" w:hAnsi="宋体" w:cs="宋体"/>
          <w:color w:val="auto"/>
          <w:szCs w:val="21"/>
        </w:rPr>
      </w:pPr>
      <w:r>
        <w:rPr>
          <w:rFonts w:hint="eastAsia" w:ascii="宋体" w:hAnsi="宋体" w:cs="宋体"/>
          <w:b/>
          <w:bCs/>
          <w:color w:val="auto"/>
          <w:szCs w:val="21"/>
        </w:rPr>
        <w:t>10.1最高限价：</w:t>
      </w:r>
      <w:r>
        <w:rPr>
          <w:rFonts w:hint="eastAsia" w:ascii="宋体" w:hAnsi="宋体" w:cs="宋体"/>
          <w:color w:val="auto"/>
          <w:szCs w:val="21"/>
        </w:rPr>
        <w:t>详见供应商须知前附表。</w:t>
      </w:r>
    </w:p>
    <w:p w14:paraId="2742812B">
      <w:pPr>
        <w:spacing w:line="360" w:lineRule="auto"/>
        <w:ind w:firstLine="420" w:firstLineChars="200"/>
        <w:rPr>
          <w:rFonts w:hint="eastAsia" w:ascii="宋体" w:hAnsi="宋体" w:cs="宋体"/>
          <w:color w:val="auto"/>
          <w:szCs w:val="21"/>
        </w:rPr>
      </w:pPr>
      <w:r>
        <w:rPr>
          <w:rFonts w:hint="eastAsia" w:ascii="宋体" w:hAnsi="宋体" w:cs="宋体"/>
          <w:b/>
          <w:bCs/>
          <w:color w:val="auto"/>
          <w:szCs w:val="21"/>
        </w:rPr>
        <w:t>10.2报价轮次：</w:t>
      </w:r>
      <w:r>
        <w:rPr>
          <w:rFonts w:hint="eastAsia" w:ascii="宋体" w:hAnsi="宋体" w:cs="宋体"/>
          <w:color w:val="auto"/>
          <w:szCs w:val="21"/>
        </w:rPr>
        <w:t>详见供应商须知前附表。</w:t>
      </w:r>
    </w:p>
    <w:p w14:paraId="462554DE">
      <w:pPr>
        <w:spacing w:line="360" w:lineRule="auto"/>
        <w:ind w:firstLine="420" w:firstLineChars="200"/>
        <w:rPr>
          <w:color w:val="auto"/>
        </w:rPr>
      </w:pPr>
      <w:r>
        <w:rPr>
          <w:rFonts w:hint="eastAsia" w:ascii="宋体" w:hAnsi="宋体" w:cs="宋体"/>
          <w:b/>
          <w:bCs/>
          <w:color w:val="auto"/>
          <w:szCs w:val="21"/>
        </w:rPr>
        <w:t>10.3第二轮报价明细：</w:t>
      </w:r>
      <w:r>
        <w:rPr>
          <w:rFonts w:hint="eastAsia" w:ascii="宋体" w:hAnsi="宋体" w:cs="宋体"/>
          <w:color w:val="auto"/>
          <w:szCs w:val="21"/>
        </w:rPr>
        <w:t>详见供应商须知前附表。</w:t>
      </w:r>
    </w:p>
    <w:p w14:paraId="06C047F7">
      <w:pPr>
        <w:spacing w:line="276" w:lineRule="auto"/>
        <w:jc w:val="center"/>
        <w:rPr>
          <w:color w:val="auto"/>
        </w:rPr>
      </w:pPr>
      <w:r>
        <w:rPr>
          <w:color w:val="auto"/>
        </w:rPr>
        <w:br w:type="page"/>
      </w:r>
    </w:p>
    <w:p w14:paraId="577586B8">
      <w:pPr>
        <w:pStyle w:val="3"/>
        <w:rPr>
          <w:color w:val="auto"/>
        </w:rPr>
      </w:pPr>
      <w:bookmarkStart w:id="93" w:name="_Toc246996968"/>
      <w:bookmarkStart w:id="94" w:name="_Toc152045582"/>
      <w:bookmarkStart w:id="95" w:name="_Toc247085740"/>
      <w:bookmarkStart w:id="96" w:name="_Toc296602470"/>
      <w:bookmarkStart w:id="97" w:name="_Toc246996225"/>
      <w:bookmarkStart w:id="98" w:name="_Toc144974549"/>
      <w:bookmarkStart w:id="99" w:name="_Toc179632600"/>
      <w:bookmarkStart w:id="100" w:name="_Toc152042359"/>
      <w:r>
        <w:rPr>
          <w:color w:val="auto"/>
        </w:rPr>
        <w:t>附</w:t>
      </w:r>
      <w:r>
        <w:rPr>
          <w:rFonts w:hint="eastAsia"/>
          <w:color w:val="auto"/>
        </w:rPr>
        <w:t>件</w:t>
      </w:r>
      <w:r>
        <w:rPr>
          <w:color w:val="auto"/>
        </w:rPr>
        <w:t>二：问题澄清通知</w:t>
      </w:r>
      <w:bookmarkEnd w:id="93"/>
      <w:bookmarkEnd w:id="94"/>
      <w:bookmarkEnd w:id="95"/>
      <w:bookmarkEnd w:id="96"/>
      <w:bookmarkEnd w:id="97"/>
      <w:bookmarkEnd w:id="98"/>
      <w:bookmarkEnd w:id="99"/>
      <w:bookmarkEnd w:id="100"/>
    </w:p>
    <w:p w14:paraId="2D0A4182">
      <w:pPr>
        <w:spacing w:line="440" w:lineRule="exact"/>
        <w:jc w:val="center"/>
        <w:rPr>
          <w:color w:val="auto"/>
          <w:szCs w:val="21"/>
        </w:rPr>
      </w:pPr>
    </w:p>
    <w:p w14:paraId="07044E92">
      <w:pPr>
        <w:spacing w:line="440" w:lineRule="exact"/>
        <w:jc w:val="center"/>
        <w:rPr>
          <w:rFonts w:eastAsia="黑体"/>
          <w:color w:val="auto"/>
          <w:sz w:val="28"/>
          <w:szCs w:val="28"/>
        </w:rPr>
      </w:pPr>
      <w:r>
        <w:rPr>
          <w:rFonts w:eastAsia="黑体"/>
          <w:color w:val="auto"/>
          <w:sz w:val="28"/>
          <w:szCs w:val="28"/>
        </w:rPr>
        <w:t>问题澄清通知</w:t>
      </w:r>
    </w:p>
    <w:p w14:paraId="185DCC88">
      <w:pPr>
        <w:spacing w:line="440" w:lineRule="exact"/>
        <w:rPr>
          <w:color w:val="auto"/>
          <w:szCs w:val="21"/>
        </w:rPr>
      </w:pPr>
      <w:r>
        <w:rPr>
          <w:color w:val="auto"/>
          <w:szCs w:val="21"/>
        </w:rPr>
        <w:t>编号：</w:t>
      </w:r>
    </w:p>
    <w:p w14:paraId="3F660047">
      <w:pPr>
        <w:spacing w:line="440" w:lineRule="exact"/>
        <w:rPr>
          <w:color w:val="auto"/>
          <w:szCs w:val="21"/>
        </w:rPr>
      </w:pPr>
    </w:p>
    <w:p w14:paraId="192BF6E6">
      <w:pPr>
        <w:spacing w:line="440" w:lineRule="exact"/>
        <w:rPr>
          <w:color w:val="auto"/>
          <w:szCs w:val="21"/>
        </w:rPr>
      </w:pPr>
      <w:r>
        <w:rPr>
          <w:color w:val="auto"/>
          <w:szCs w:val="21"/>
        </w:rPr>
        <w:t>（投标人名称）：</w:t>
      </w:r>
    </w:p>
    <w:p w14:paraId="6959461A">
      <w:pPr>
        <w:spacing w:line="440" w:lineRule="exact"/>
        <w:rPr>
          <w:color w:val="auto"/>
          <w:szCs w:val="21"/>
        </w:rPr>
      </w:pPr>
    </w:p>
    <w:p w14:paraId="1E9BFC15">
      <w:pPr>
        <w:spacing w:line="440" w:lineRule="exact"/>
        <w:rPr>
          <w:color w:val="auto"/>
          <w:szCs w:val="21"/>
        </w:rPr>
      </w:pPr>
      <w:r>
        <w:rPr>
          <w:color w:val="auto"/>
          <w:szCs w:val="21"/>
        </w:rPr>
        <w:t>　　</w:t>
      </w:r>
      <w:r>
        <w:rPr>
          <w:color w:val="auto"/>
          <w:szCs w:val="21"/>
          <w:u w:val="single"/>
        </w:rPr>
        <w:t>　</w:t>
      </w:r>
      <w:r>
        <w:rPr>
          <w:color w:val="auto"/>
          <w:szCs w:val="21"/>
        </w:rPr>
        <w:t>（项目名称）招标的评标委员会，对你方的投标文件进行了仔细的审查，现需你方对下列问题以书面形式予以澄清：</w:t>
      </w:r>
    </w:p>
    <w:p w14:paraId="759179C8">
      <w:pPr>
        <w:spacing w:line="440" w:lineRule="exact"/>
        <w:rPr>
          <w:color w:val="auto"/>
          <w:szCs w:val="21"/>
        </w:rPr>
      </w:pPr>
      <w:r>
        <w:rPr>
          <w:color w:val="auto"/>
          <w:szCs w:val="21"/>
        </w:rPr>
        <w:t>　　</w:t>
      </w:r>
    </w:p>
    <w:p w14:paraId="17FE39BB">
      <w:pPr>
        <w:spacing w:line="440" w:lineRule="exact"/>
        <w:ind w:firstLine="420"/>
        <w:rPr>
          <w:color w:val="auto"/>
          <w:szCs w:val="21"/>
        </w:rPr>
      </w:pPr>
      <w:r>
        <w:rPr>
          <w:color w:val="auto"/>
          <w:szCs w:val="21"/>
        </w:rPr>
        <w:t>1.</w:t>
      </w:r>
    </w:p>
    <w:p w14:paraId="58FC5AA6">
      <w:pPr>
        <w:spacing w:line="440" w:lineRule="exact"/>
        <w:ind w:firstLine="420"/>
        <w:rPr>
          <w:color w:val="auto"/>
          <w:szCs w:val="21"/>
        </w:rPr>
      </w:pPr>
      <w:r>
        <w:rPr>
          <w:color w:val="auto"/>
          <w:szCs w:val="21"/>
        </w:rPr>
        <w:t>2.</w:t>
      </w:r>
    </w:p>
    <w:p w14:paraId="10CD31EC">
      <w:pPr>
        <w:spacing w:line="440" w:lineRule="exact"/>
        <w:rPr>
          <w:color w:val="auto"/>
          <w:szCs w:val="21"/>
        </w:rPr>
      </w:pPr>
      <w:r>
        <w:rPr>
          <w:color w:val="auto"/>
          <w:szCs w:val="21"/>
        </w:rPr>
        <w:t xml:space="preserve">…...   </w:t>
      </w:r>
    </w:p>
    <w:p w14:paraId="3BA68C49">
      <w:pPr>
        <w:spacing w:line="440" w:lineRule="exact"/>
        <w:rPr>
          <w:color w:val="auto"/>
          <w:szCs w:val="21"/>
        </w:rPr>
      </w:pPr>
      <w:r>
        <w:rPr>
          <w:color w:val="auto"/>
          <w:szCs w:val="21"/>
        </w:rPr>
        <w:t>　　　</w:t>
      </w:r>
    </w:p>
    <w:p w14:paraId="17F0136A">
      <w:pPr>
        <w:spacing w:line="440" w:lineRule="exact"/>
        <w:ind w:firstLine="405"/>
        <w:rPr>
          <w:color w:val="auto"/>
          <w:szCs w:val="21"/>
        </w:rPr>
      </w:pPr>
      <w:r>
        <w:rPr>
          <w:color w:val="auto"/>
          <w:szCs w:val="21"/>
        </w:rPr>
        <w:t>请将上述问题的澄清于年月日时前递交至</w:t>
      </w:r>
    </w:p>
    <w:p w14:paraId="5B66006B">
      <w:pPr>
        <w:spacing w:line="440" w:lineRule="exact"/>
        <w:rPr>
          <w:rFonts w:ascii="宋体" w:hAnsi="宋体"/>
          <w:color w:val="auto"/>
          <w:szCs w:val="21"/>
        </w:rPr>
      </w:pPr>
      <w:r>
        <w:rPr>
          <w:color w:val="auto"/>
          <w:szCs w:val="21"/>
        </w:rPr>
        <w:t>（详细地址）</w:t>
      </w:r>
      <w:r>
        <w:rPr>
          <w:rFonts w:hint="eastAsia"/>
          <w:color w:val="auto"/>
          <w:szCs w:val="21"/>
        </w:rPr>
        <w:t>或</w:t>
      </w:r>
      <w:r>
        <w:rPr>
          <w:rFonts w:hint="eastAsia" w:ascii="宋体" w:hAnsi="宋体"/>
          <w:color w:val="auto"/>
          <w:szCs w:val="21"/>
        </w:rPr>
        <w:t>传真至（传真号码）。采用传真方式的，应在</w:t>
      </w:r>
      <w:r>
        <w:rPr>
          <w:rFonts w:ascii="宋体" w:hAnsi="宋体"/>
          <w:color w:val="auto"/>
          <w:szCs w:val="21"/>
        </w:rPr>
        <w:t>年月日</w:t>
      </w:r>
      <w:r>
        <w:rPr>
          <w:rFonts w:hint="eastAsia" w:ascii="宋体" w:hAnsi="宋体"/>
          <w:color w:val="auto"/>
          <w:szCs w:val="21"/>
        </w:rPr>
        <w:t>时前将原件递交至</w:t>
      </w:r>
    </w:p>
    <w:p w14:paraId="79D85436">
      <w:pPr>
        <w:spacing w:line="440" w:lineRule="exact"/>
        <w:rPr>
          <w:color w:val="auto"/>
          <w:szCs w:val="21"/>
        </w:rPr>
      </w:pPr>
      <w:r>
        <w:rPr>
          <w:color w:val="auto"/>
          <w:szCs w:val="21"/>
        </w:rPr>
        <w:t>（详细地址）。</w:t>
      </w:r>
    </w:p>
    <w:p w14:paraId="08A16C57">
      <w:pPr>
        <w:spacing w:line="440" w:lineRule="exact"/>
        <w:rPr>
          <w:color w:val="auto"/>
          <w:szCs w:val="21"/>
        </w:rPr>
      </w:pPr>
    </w:p>
    <w:p w14:paraId="568381C5">
      <w:pPr>
        <w:spacing w:line="440" w:lineRule="exact"/>
        <w:rPr>
          <w:color w:val="auto"/>
          <w:szCs w:val="21"/>
        </w:rPr>
      </w:pPr>
    </w:p>
    <w:p w14:paraId="56CD2FF4">
      <w:pPr>
        <w:spacing w:line="440" w:lineRule="exact"/>
        <w:jc w:val="right"/>
        <w:rPr>
          <w:color w:val="auto"/>
          <w:szCs w:val="21"/>
        </w:rPr>
      </w:pPr>
      <w:r>
        <w:rPr>
          <w:rFonts w:hint="eastAsia"/>
          <w:color w:val="auto"/>
          <w:szCs w:val="21"/>
        </w:rPr>
        <w:t>招标人或招标代理机构</w:t>
      </w:r>
      <w:r>
        <w:rPr>
          <w:color w:val="auto"/>
          <w:szCs w:val="21"/>
        </w:rPr>
        <w:t>：（签字</w:t>
      </w:r>
      <w:r>
        <w:rPr>
          <w:rFonts w:hint="eastAsia"/>
          <w:color w:val="auto"/>
          <w:szCs w:val="21"/>
        </w:rPr>
        <w:t>或盖章</w:t>
      </w:r>
      <w:r>
        <w:rPr>
          <w:color w:val="auto"/>
          <w:szCs w:val="21"/>
        </w:rPr>
        <w:t>）</w:t>
      </w:r>
    </w:p>
    <w:p w14:paraId="608976DA">
      <w:pPr>
        <w:spacing w:line="440" w:lineRule="exact"/>
        <w:rPr>
          <w:color w:val="auto"/>
          <w:szCs w:val="21"/>
        </w:rPr>
      </w:pPr>
    </w:p>
    <w:p w14:paraId="7363E421">
      <w:pPr>
        <w:spacing w:line="440" w:lineRule="exact"/>
        <w:ind w:firstLine="3045" w:firstLineChars="1450"/>
        <w:rPr>
          <w:color w:val="auto"/>
          <w:szCs w:val="21"/>
        </w:rPr>
      </w:pPr>
      <w:r>
        <w:rPr>
          <w:color w:val="auto"/>
          <w:szCs w:val="21"/>
        </w:rPr>
        <w:t>年月日</w:t>
      </w:r>
    </w:p>
    <w:p w14:paraId="3C8B9B3D">
      <w:pPr>
        <w:spacing w:line="400" w:lineRule="exact"/>
        <w:rPr>
          <w:color w:val="auto"/>
        </w:rPr>
      </w:pPr>
    </w:p>
    <w:p w14:paraId="7DDA75C9">
      <w:pPr>
        <w:spacing w:line="400" w:lineRule="exact"/>
        <w:rPr>
          <w:color w:val="auto"/>
        </w:rPr>
      </w:pPr>
      <w:r>
        <w:rPr>
          <w:color w:val="auto"/>
        </w:rPr>
        <w:br w:type="page"/>
      </w:r>
    </w:p>
    <w:p w14:paraId="12053323">
      <w:pPr>
        <w:pStyle w:val="3"/>
        <w:rPr>
          <w:color w:val="auto"/>
        </w:rPr>
      </w:pPr>
      <w:bookmarkStart w:id="101" w:name="_Toc246996226"/>
      <w:bookmarkStart w:id="102" w:name="_Toc179632601"/>
      <w:bookmarkStart w:id="103" w:name="_Toc152042360"/>
      <w:bookmarkStart w:id="104" w:name="_Toc144974550"/>
      <w:bookmarkStart w:id="105" w:name="_Toc246996969"/>
      <w:bookmarkStart w:id="106" w:name="_Toc296602471"/>
      <w:bookmarkStart w:id="107" w:name="_Toc152045583"/>
      <w:bookmarkStart w:id="108" w:name="_Toc247085741"/>
      <w:r>
        <w:rPr>
          <w:rFonts w:hint="eastAsia"/>
          <w:color w:val="auto"/>
        </w:rPr>
        <w:t>附件三：问题的澄清</w:t>
      </w:r>
      <w:bookmarkEnd w:id="101"/>
      <w:bookmarkEnd w:id="102"/>
      <w:bookmarkEnd w:id="103"/>
      <w:bookmarkEnd w:id="104"/>
      <w:bookmarkEnd w:id="105"/>
      <w:bookmarkEnd w:id="106"/>
      <w:bookmarkEnd w:id="107"/>
      <w:bookmarkEnd w:id="108"/>
    </w:p>
    <w:p w14:paraId="506051B2">
      <w:pPr>
        <w:spacing w:line="400" w:lineRule="exact"/>
        <w:jc w:val="center"/>
        <w:rPr>
          <w:rFonts w:ascii="黑体" w:eastAsia="黑体"/>
          <w:color w:val="auto"/>
          <w:sz w:val="28"/>
          <w:szCs w:val="28"/>
        </w:rPr>
      </w:pPr>
    </w:p>
    <w:p w14:paraId="7129DAE5">
      <w:pPr>
        <w:spacing w:line="400" w:lineRule="exact"/>
        <w:jc w:val="center"/>
        <w:rPr>
          <w:rFonts w:ascii="黑体" w:eastAsia="黑体"/>
          <w:color w:val="auto"/>
          <w:sz w:val="28"/>
          <w:szCs w:val="28"/>
        </w:rPr>
      </w:pPr>
      <w:r>
        <w:rPr>
          <w:rFonts w:hint="eastAsia" w:ascii="黑体" w:eastAsia="黑体"/>
          <w:color w:val="auto"/>
          <w:sz w:val="28"/>
          <w:szCs w:val="28"/>
        </w:rPr>
        <w:t>问题的澄清</w:t>
      </w:r>
    </w:p>
    <w:p w14:paraId="1C6B2708">
      <w:pPr>
        <w:spacing w:line="400" w:lineRule="exact"/>
        <w:ind w:firstLine="3465" w:firstLineChars="1650"/>
        <w:rPr>
          <w:color w:val="auto"/>
        </w:rPr>
      </w:pPr>
      <w:r>
        <w:rPr>
          <w:rFonts w:hint="eastAsia"/>
          <w:color w:val="auto"/>
        </w:rPr>
        <w:t>编号：</w:t>
      </w:r>
    </w:p>
    <w:p w14:paraId="2FAFA424">
      <w:pPr>
        <w:spacing w:line="400" w:lineRule="exact"/>
        <w:rPr>
          <w:color w:val="auto"/>
          <w:szCs w:val="21"/>
        </w:rPr>
      </w:pPr>
    </w:p>
    <w:p w14:paraId="376100EF">
      <w:pPr>
        <w:spacing w:line="440" w:lineRule="exact"/>
        <w:rPr>
          <w:color w:val="auto"/>
          <w:szCs w:val="21"/>
        </w:rPr>
      </w:pPr>
      <w:r>
        <w:rPr>
          <w:color w:val="auto"/>
          <w:szCs w:val="21"/>
          <w:u w:val="single"/>
        </w:rPr>
        <w:t>（</w:t>
      </w:r>
      <w:r>
        <w:rPr>
          <w:color w:val="auto"/>
          <w:szCs w:val="21"/>
        </w:rPr>
        <w:t>项目名称）招标评标委员会：</w:t>
      </w:r>
    </w:p>
    <w:p w14:paraId="63B103BC">
      <w:pPr>
        <w:spacing w:line="440" w:lineRule="exact"/>
        <w:rPr>
          <w:color w:val="auto"/>
          <w:szCs w:val="21"/>
        </w:rPr>
      </w:pPr>
    </w:p>
    <w:p w14:paraId="48319E64">
      <w:pPr>
        <w:spacing w:line="440" w:lineRule="exact"/>
        <w:ind w:firstLine="405"/>
        <w:rPr>
          <w:color w:val="auto"/>
          <w:szCs w:val="21"/>
        </w:rPr>
      </w:pPr>
      <w:r>
        <w:rPr>
          <w:color w:val="auto"/>
          <w:szCs w:val="21"/>
        </w:rPr>
        <w:t>问题澄清通知（编号：）已收悉，现澄清如下：</w:t>
      </w:r>
    </w:p>
    <w:p w14:paraId="4FA36A1B">
      <w:pPr>
        <w:spacing w:line="440" w:lineRule="exact"/>
        <w:rPr>
          <w:color w:val="auto"/>
          <w:szCs w:val="21"/>
        </w:rPr>
      </w:pPr>
      <w:r>
        <w:rPr>
          <w:color w:val="auto"/>
          <w:szCs w:val="21"/>
        </w:rPr>
        <w:t>　     1.</w:t>
      </w:r>
    </w:p>
    <w:p w14:paraId="4D87D9EE">
      <w:pPr>
        <w:spacing w:line="440" w:lineRule="exact"/>
        <w:rPr>
          <w:color w:val="auto"/>
          <w:szCs w:val="21"/>
        </w:rPr>
      </w:pPr>
      <w:r>
        <w:rPr>
          <w:color w:val="auto"/>
          <w:szCs w:val="21"/>
        </w:rPr>
        <w:t>　     2.</w:t>
      </w:r>
    </w:p>
    <w:p w14:paraId="3AFA880F">
      <w:pPr>
        <w:spacing w:line="440" w:lineRule="exact"/>
        <w:rPr>
          <w:color w:val="auto"/>
          <w:szCs w:val="21"/>
        </w:rPr>
      </w:pPr>
      <w:r>
        <w:rPr>
          <w:color w:val="auto"/>
          <w:szCs w:val="21"/>
        </w:rPr>
        <w:t>　</w:t>
      </w:r>
    </w:p>
    <w:p w14:paraId="49F8E424">
      <w:pPr>
        <w:spacing w:line="440" w:lineRule="exact"/>
        <w:rPr>
          <w:color w:val="auto"/>
          <w:szCs w:val="21"/>
        </w:rPr>
      </w:pPr>
      <w:r>
        <w:rPr>
          <w:color w:val="auto"/>
          <w:szCs w:val="21"/>
        </w:rPr>
        <w:t>　…..</w:t>
      </w:r>
    </w:p>
    <w:p w14:paraId="5BA6AA64">
      <w:pPr>
        <w:spacing w:line="440" w:lineRule="exact"/>
        <w:rPr>
          <w:color w:val="auto"/>
          <w:szCs w:val="21"/>
        </w:rPr>
      </w:pPr>
    </w:p>
    <w:p w14:paraId="55396FCB">
      <w:pPr>
        <w:spacing w:line="440" w:lineRule="exact"/>
        <w:rPr>
          <w:color w:val="auto"/>
          <w:szCs w:val="21"/>
        </w:rPr>
      </w:pPr>
      <w:r>
        <w:rPr>
          <w:color w:val="auto"/>
          <w:szCs w:val="21"/>
        </w:rPr>
        <w:t>　</w:t>
      </w:r>
    </w:p>
    <w:p w14:paraId="292E3D76">
      <w:pPr>
        <w:spacing w:line="440" w:lineRule="exact"/>
        <w:rPr>
          <w:color w:val="auto"/>
          <w:szCs w:val="21"/>
        </w:rPr>
      </w:pPr>
    </w:p>
    <w:p w14:paraId="005C0F29">
      <w:pPr>
        <w:spacing w:line="440" w:lineRule="exact"/>
        <w:rPr>
          <w:color w:val="auto"/>
          <w:szCs w:val="21"/>
        </w:rPr>
      </w:pPr>
    </w:p>
    <w:p w14:paraId="430368D6">
      <w:pPr>
        <w:spacing w:line="440" w:lineRule="exact"/>
        <w:rPr>
          <w:color w:val="auto"/>
          <w:szCs w:val="21"/>
        </w:rPr>
      </w:pPr>
    </w:p>
    <w:p w14:paraId="47253E38">
      <w:pPr>
        <w:spacing w:line="440" w:lineRule="exact"/>
        <w:rPr>
          <w:color w:val="auto"/>
          <w:szCs w:val="21"/>
        </w:rPr>
      </w:pPr>
    </w:p>
    <w:p w14:paraId="38E53EF7">
      <w:pPr>
        <w:spacing w:line="440" w:lineRule="exact"/>
        <w:rPr>
          <w:color w:val="auto"/>
          <w:szCs w:val="21"/>
        </w:rPr>
      </w:pPr>
      <w:r>
        <w:rPr>
          <w:color w:val="auto"/>
          <w:szCs w:val="21"/>
        </w:rPr>
        <w:t>　　　　　　　　　　　　　　　投标人：（盖单位章）</w:t>
      </w:r>
    </w:p>
    <w:p w14:paraId="707067B7">
      <w:pPr>
        <w:spacing w:line="440" w:lineRule="exact"/>
        <w:rPr>
          <w:color w:val="auto"/>
          <w:szCs w:val="21"/>
        </w:rPr>
      </w:pPr>
      <w:r>
        <w:rPr>
          <w:color w:val="auto"/>
          <w:szCs w:val="21"/>
        </w:rPr>
        <w:t>　　　　　　　　　　　　　　　</w:t>
      </w:r>
    </w:p>
    <w:p w14:paraId="6CDE15BA">
      <w:pPr>
        <w:spacing w:line="440" w:lineRule="exact"/>
        <w:rPr>
          <w:color w:val="auto"/>
          <w:szCs w:val="21"/>
        </w:rPr>
      </w:pPr>
      <w:r>
        <w:rPr>
          <w:color w:val="auto"/>
          <w:szCs w:val="21"/>
        </w:rPr>
        <w:t>　　　　　　　　　　　　　　　法定代表人或其委托代理人：（签字）</w:t>
      </w:r>
    </w:p>
    <w:p w14:paraId="0FD6FD65">
      <w:pPr>
        <w:spacing w:line="440" w:lineRule="exact"/>
        <w:rPr>
          <w:color w:val="auto"/>
          <w:szCs w:val="21"/>
        </w:rPr>
      </w:pPr>
      <w:r>
        <w:rPr>
          <w:color w:val="auto"/>
          <w:szCs w:val="21"/>
        </w:rPr>
        <w:t>　　　　　　　　　　　　　　　</w:t>
      </w:r>
    </w:p>
    <w:p w14:paraId="04C5D757">
      <w:pPr>
        <w:spacing w:line="440" w:lineRule="exact"/>
        <w:rPr>
          <w:color w:val="auto"/>
          <w:szCs w:val="21"/>
        </w:rPr>
      </w:pPr>
      <w:r>
        <w:rPr>
          <w:color w:val="auto"/>
          <w:szCs w:val="21"/>
        </w:rPr>
        <w:t>　　　　　　　　　　　　　　　年月日</w:t>
      </w:r>
    </w:p>
    <w:p w14:paraId="2884CA7A">
      <w:pPr>
        <w:spacing w:line="400" w:lineRule="exact"/>
        <w:rPr>
          <w:color w:val="auto"/>
        </w:rPr>
      </w:pPr>
    </w:p>
    <w:p w14:paraId="319D3ADA">
      <w:pPr>
        <w:spacing w:line="440" w:lineRule="exact"/>
        <w:rPr>
          <w:rFonts w:asciiTheme="minorEastAsia" w:hAnsiTheme="minorEastAsia" w:eastAsiaTheme="minorEastAsia"/>
          <w:color w:val="auto"/>
          <w:szCs w:val="21"/>
        </w:rPr>
      </w:pPr>
    </w:p>
    <w:p w14:paraId="1D29D8A0">
      <w:pPr>
        <w:spacing w:line="400" w:lineRule="exact"/>
        <w:rPr>
          <w:rFonts w:asciiTheme="minorEastAsia" w:hAnsiTheme="minorEastAsia" w:eastAsiaTheme="minorEastAsia"/>
          <w:color w:val="auto"/>
        </w:rPr>
      </w:pPr>
    </w:p>
    <w:p w14:paraId="50FBCB43">
      <w:pPr>
        <w:pStyle w:val="29"/>
        <w:snapToGrid w:val="0"/>
        <w:spacing w:before="0"/>
        <w:rPr>
          <w:rStyle w:val="68"/>
          <w:rFonts w:ascii="宋体" w:hAnsi="宋体"/>
          <w:color w:val="auto"/>
          <w:sz w:val="48"/>
          <w:szCs w:val="48"/>
        </w:rPr>
      </w:pPr>
      <w:r>
        <w:rPr>
          <w:rFonts w:asciiTheme="minorEastAsia" w:hAnsiTheme="minorEastAsia" w:eastAsiaTheme="minorEastAsia"/>
          <w:color w:val="auto"/>
        </w:rPr>
        <w:br w:type="page"/>
      </w:r>
      <w:bookmarkStart w:id="109" w:name="_Toc246996252"/>
      <w:bookmarkStart w:id="110" w:name="_Toc247085767"/>
      <w:bookmarkStart w:id="111" w:name="_Toc246996995"/>
      <w:bookmarkStart w:id="112" w:name="_Toc144974577"/>
      <w:bookmarkStart w:id="113" w:name="_Toc296602497"/>
      <w:bookmarkStart w:id="114" w:name="_Toc152045609"/>
      <w:bookmarkStart w:id="115" w:name="_Toc152042387"/>
      <w:bookmarkStart w:id="116" w:name="_Toc179632627"/>
      <w:r>
        <w:rPr>
          <w:rStyle w:val="68"/>
          <w:rFonts w:ascii="宋体" w:hAnsi="宋体"/>
          <w:color w:val="auto"/>
          <w:sz w:val="48"/>
          <w:szCs w:val="48"/>
        </w:rPr>
        <w:t>第三章 评标办法（综合评估法）</w:t>
      </w:r>
    </w:p>
    <w:p w14:paraId="7CF537D0">
      <w:pPr>
        <w:spacing w:line="360" w:lineRule="auto"/>
        <w:jc w:val="center"/>
        <w:rPr>
          <w:rFonts w:ascii="宋体" w:hAnsi="宋体"/>
          <w:b/>
          <w:color w:val="auto"/>
          <w:sz w:val="36"/>
          <w:szCs w:val="28"/>
        </w:rPr>
      </w:pPr>
      <w:r>
        <w:rPr>
          <w:rFonts w:hint="eastAsia" w:ascii="宋体" w:hAnsi="宋体"/>
          <w:b/>
          <w:color w:val="auto"/>
          <w:sz w:val="36"/>
          <w:szCs w:val="28"/>
        </w:rPr>
        <w:t>初步评审表</w:t>
      </w:r>
    </w:p>
    <w:tbl>
      <w:tblPr>
        <w:tblStyle w:val="33"/>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19"/>
        <w:gridCol w:w="1900"/>
        <w:gridCol w:w="5959"/>
      </w:tblGrid>
      <w:tr w14:paraId="1F1A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blHeader/>
          <w:jc w:val="center"/>
        </w:trPr>
        <w:tc>
          <w:tcPr>
            <w:tcW w:w="2081" w:type="dxa"/>
            <w:gridSpan w:val="2"/>
            <w:vAlign w:val="center"/>
          </w:tcPr>
          <w:p w14:paraId="2ABEDA63">
            <w:pPr>
              <w:autoSpaceDE w:val="0"/>
              <w:autoSpaceDN w:val="0"/>
              <w:adjustRightInd w:val="0"/>
              <w:spacing w:line="340" w:lineRule="exact"/>
              <w:jc w:val="center"/>
              <w:rPr>
                <w:rFonts w:ascii="宋体" w:hAnsi="宋体" w:cs="宋体"/>
                <w:b/>
                <w:color w:val="auto"/>
                <w:sz w:val="24"/>
                <w:lang w:val="zh-CN"/>
              </w:rPr>
            </w:pPr>
            <w:r>
              <w:rPr>
                <w:rFonts w:hint="eastAsia" w:ascii="宋体" w:hAnsi="宋体" w:cs="宋体"/>
                <w:b/>
                <w:color w:val="auto"/>
                <w:sz w:val="24"/>
                <w:lang w:val="zh-CN"/>
              </w:rPr>
              <w:t>条款号</w:t>
            </w:r>
          </w:p>
        </w:tc>
        <w:tc>
          <w:tcPr>
            <w:tcW w:w="1900" w:type="dxa"/>
            <w:vAlign w:val="center"/>
          </w:tcPr>
          <w:p w14:paraId="04057CB5">
            <w:pPr>
              <w:autoSpaceDE w:val="0"/>
              <w:autoSpaceDN w:val="0"/>
              <w:adjustRightInd w:val="0"/>
              <w:spacing w:line="340" w:lineRule="exact"/>
              <w:jc w:val="center"/>
              <w:rPr>
                <w:rFonts w:ascii="宋体" w:hAnsi="宋体" w:cs="宋体"/>
                <w:b/>
                <w:color w:val="auto"/>
                <w:sz w:val="24"/>
                <w:lang w:val="zh-CN"/>
              </w:rPr>
            </w:pPr>
            <w:r>
              <w:rPr>
                <w:rFonts w:hint="eastAsia" w:ascii="宋体" w:hAnsi="宋体" w:cs="宋体"/>
                <w:b/>
                <w:color w:val="auto"/>
                <w:sz w:val="24"/>
                <w:lang w:val="zh-CN"/>
              </w:rPr>
              <w:t>评审因素</w:t>
            </w:r>
          </w:p>
        </w:tc>
        <w:tc>
          <w:tcPr>
            <w:tcW w:w="5959" w:type="dxa"/>
            <w:vAlign w:val="center"/>
          </w:tcPr>
          <w:p w14:paraId="36DC207B">
            <w:pPr>
              <w:autoSpaceDE w:val="0"/>
              <w:autoSpaceDN w:val="0"/>
              <w:adjustRightInd w:val="0"/>
              <w:spacing w:line="340" w:lineRule="exact"/>
              <w:jc w:val="center"/>
              <w:rPr>
                <w:rFonts w:ascii="宋体" w:hAnsi="宋体" w:cs="宋体"/>
                <w:b/>
                <w:color w:val="auto"/>
                <w:sz w:val="24"/>
                <w:lang w:val="zh-CN"/>
              </w:rPr>
            </w:pPr>
            <w:r>
              <w:rPr>
                <w:rFonts w:hint="eastAsia" w:ascii="宋体" w:hAnsi="宋体" w:cs="宋体"/>
                <w:b/>
                <w:color w:val="auto"/>
                <w:sz w:val="24"/>
                <w:lang w:val="zh-CN"/>
              </w:rPr>
              <w:t>评审标准</w:t>
            </w:r>
          </w:p>
        </w:tc>
      </w:tr>
      <w:tr w14:paraId="6535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62" w:type="dxa"/>
            <w:vMerge w:val="restart"/>
            <w:vAlign w:val="center"/>
          </w:tcPr>
          <w:p w14:paraId="05F1CA00">
            <w:pPr>
              <w:autoSpaceDE w:val="0"/>
              <w:autoSpaceDN w:val="0"/>
              <w:adjustRightInd w:val="0"/>
              <w:spacing w:line="340" w:lineRule="exact"/>
              <w:jc w:val="left"/>
              <w:rPr>
                <w:rFonts w:ascii="宋体" w:hAnsi="宋体" w:cs="宋体"/>
                <w:bCs/>
                <w:color w:val="auto"/>
                <w:sz w:val="24"/>
                <w:lang w:val="zh-CN"/>
              </w:rPr>
            </w:pPr>
            <w:r>
              <w:rPr>
                <w:rFonts w:hint="eastAsia" w:ascii="宋体" w:hAnsi="宋体" w:cs="宋体"/>
                <w:bCs/>
                <w:color w:val="auto"/>
                <w:sz w:val="24"/>
                <w:lang w:val="zh-CN"/>
              </w:rPr>
              <w:t>1.1.1</w:t>
            </w:r>
          </w:p>
        </w:tc>
        <w:tc>
          <w:tcPr>
            <w:tcW w:w="1219" w:type="dxa"/>
            <w:vMerge w:val="restart"/>
            <w:vAlign w:val="center"/>
          </w:tcPr>
          <w:p w14:paraId="102A374D">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形式评审标准</w:t>
            </w:r>
          </w:p>
        </w:tc>
        <w:tc>
          <w:tcPr>
            <w:tcW w:w="1900" w:type="dxa"/>
            <w:vAlign w:val="center"/>
          </w:tcPr>
          <w:p w14:paraId="63D74398">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供应商名称</w:t>
            </w:r>
          </w:p>
        </w:tc>
        <w:tc>
          <w:tcPr>
            <w:tcW w:w="5959" w:type="dxa"/>
            <w:vAlign w:val="center"/>
          </w:tcPr>
          <w:p w14:paraId="6590D4D9">
            <w:pPr>
              <w:autoSpaceDE w:val="0"/>
              <w:autoSpaceDN w:val="0"/>
              <w:adjustRightInd w:val="0"/>
              <w:spacing w:line="340" w:lineRule="exact"/>
              <w:rPr>
                <w:rFonts w:ascii="宋体" w:hAnsi="宋体" w:cs="宋体"/>
                <w:bCs/>
                <w:color w:val="auto"/>
                <w:sz w:val="22"/>
                <w:szCs w:val="22"/>
                <w:lang w:val="zh-CN"/>
              </w:rPr>
            </w:pPr>
            <w:r>
              <w:rPr>
                <w:rFonts w:hint="eastAsia" w:ascii="宋体" w:hAnsi="宋体" w:cs="宋体"/>
                <w:bCs/>
                <w:color w:val="auto"/>
                <w:sz w:val="22"/>
                <w:szCs w:val="22"/>
                <w:lang w:val="zh-CN"/>
              </w:rPr>
              <w:t>与营业执照副本一致。</w:t>
            </w:r>
          </w:p>
        </w:tc>
      </w:tr>
      <w:tr w14:paraId="4983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62" w:type="dxa"/>
            <w:vMerge w:val="continue"/>
            <w:vAlign w:val="center"/>
          </w:tcPr>
          <w:p w14:paraId="1E2F7835">
            <w:pPr>
              <w:autoSpaceDE w:val="0"/>
              <w:autoSpaceDN w:val="0"/>
              <w:adjustRightInd w:val="0"/>
              <w:spacing w:line="340" w:lineRule="exact"/>
              <w:jc w:val="left"/>
              <w:rPr>
                <w:rFonts w:ascii="宋体" w:hAnsi="宋体" w:cs="宋体"/>
                <w:bCs/>
                <w:color w:val="auto"/>
                <w:sz w:val="24"/>
                <w:lang w:val="zh-CN"/>
              </w:rPr>
            </w:pPr>
          </w:p>
        </w:tc>
        <w:tc>
          <w:tcPr>
            <w:tcW w:w="1219" w:type="dxa"/>
            <w:vMerge w:val="continue"/>
            <w:vAlign w:val="center"/>
          </w:tcPr>
          <w:p w14:paraId="66427587">
            <w:pPr>
              <w:autoSpaceDE w:val="0"/>
              <w:autoSpaceDN w:val="0"/>
              <w:adjustRightInd w:val="0"/>
              <w:spacing w:line="340" w:lineRule="exact"/>
              <w:jc w:val="center"/>
              <w:rPr>
                <w:rFonts w:ascii="宋体" w:hAnsi="宋体" w:cs="宋体"/>
                <w:bCs/>
                <w:color w:val="auto"/>
                <w:sz w:val="22"/>
                <w:szCs w:val="22"/>
                <w:lang w:val="zh-CN"/>
              </w:rPr>
            </w:pPr>
          </w:p>
        </w:tc>
        <w:tc>
          <w:tcPr>
            <w:tcW w:w="1900" w:type="dxa"/>
            <w:vAlign w:val="center"/>
          </w:tcPr>
          <w:p w14:paraId="1FB3A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磋商响应文件签 </w:t>
            </w:r>
          </w:p>
          <w:p w14:paraId="6E060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auto"/>
                <w:sz w:val="22"/>
                <w:szCs w:val="22"/>
                <w:lang w:val="zh-CN"/>
              </w:rPr>
            </w:pPr>
            <w:r>
              <w:rPr>
                <w:rFonts w:hint="eastAsia" w:ascii="宋体" w:hAnsi="宋体" w:eastAsia="宋体" w:cs="宋体"/>
                <w:color w:val="auto"/>
                <w:sz w:val="21"/>
                <w:szCs w:val="21"/>
                <w:highlight w:val="none"/>
                <w:lang w:val="en-US" w:eastAsia="zh-CN"/>
              </w:rPr>
              <w:t>字盖章</w:t>
            </w:r>
          </w:p>
        </w:tc>
        <w:tc>
          <w:tcPr>
            <w:tcW w:w="5959" w:type="dxa"/>
            <w:vAlign w:val="center"/>
          </w:tcPr>
          <w:p w14:paraId="54274E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Cs/>
                <w:color w:val="auto"/>
                <w:sz w:val="22"/>
                <w:szCs w:val="22"/>
                <w:lang w:val="zh-CN"/>
              </w:rPr>
            </w:pPr>
            <w:r>
              <w:rPr>
                <w:rFonts w:hint="eastAsia" w:ascii="宋体" w:hAnsi="宋体" w:eastAsia="宋体" w:cs="宋体"/>
                <w:color w:val="auto"/>
                <w:sz w:val="21"/>
                <w:szCs w:val="21"/>
                <w:highlight w:val="none"/>
                <w:lang w:val="en-US" w:eastAsia="zh-CN"/>
              </w:rPr>
              <w:t xml:space="preserve">磋商响应文件的签字或盖章是否符合竞争性磋商文件规定 </w:t>
            </w:r>
          </w:p>
        </w:tc>
      </w:tr>
      <w:tr w14:paraId="6751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62" w:type="dxa"/>
            <w:vMerge w:val="continue"/>
            <w:vAlign w:val="center"/>
          </w:tcPr>
          <w:p w14:paraId="323FBCB5">
            <w:pPr>
              <w:autoSpaceDE w:val="0"/>
              <w:autoSpaceDN w:val="0"/>
              <w:adjustRightInd w:val="0"/>
              <w:spacing w:line="340" w:lineRule="exact"/>
              <w:jc w:val="center"/>
              <w:rPr>
                <w:rFonts w:ascii="宋体" w:hAnsi="宋体" w:cs="宋体"/>
                <w:bCs/>
                <w:color w:val="auto"/>
                <w:sz w:val="24"/>
                <w:lang w:val="zh-CN"/>
              </w:rPr>
            </w:pPr>
          </w:p>
        </w:tc>
        <w:tc>
          <w:tcPr>
            <w:tcW w:w="1219" w:type="dxa"/>
            <w:vMerge w:val="continue"/>
            <w:vAlign w:val="center"/>
          </w:tcPr>
          <w:p w14:paraId="3ABC5EEA">
            <w:pPr>
              <w:autoSpaceDE w:val="0"/>
              <w:autoSpaceDN w:val="0"/>
              <w:adjustRightInd w:val="0"/>
              <w:spacing w:line="340" w:lineRule="exact"/>
              <w:jc w:val="center"/>
              <w:rPr>
                <w:rFonts w:ascii="宋体" w:hAnsi="宋体" w:cs="宋体"/>
                <w:bCs/>
                <w:color w:val="auto"/>
                <w:sz w:val="22"/>
                <w:szCs w:val="22"/>
                <w:lang w:val="zh-CN"/>
              </w:rPr>
            </w:pPr>
          </w:p>
        </w:tc>
        <w:tc>
          <w:tcPr>
            <w:tcW w:w="1900" w:type="dxa"/>
            <w:vAlign w:val="center"/>
          </w:tcPr>
          <w:p w14:paraId="2A22F9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auto"/>
                <w:sz w:val="22"/>
                <w:szCs w:val="22"/>
                <w:lang w:val="zh-CN"/>
              </w:rPr>
            </w:pPr>
            <w:r>
              <w:rPr>
                <w:rFonts w:hint="eastAsia" w:ascii="宋体" w:hAnsi="宋体" w:eastAsia="宋体" w:cs="宋体"/>
                <w:color w:val="auto"/>
                <w:sz w:val="21"/>
                <w:szCs w:val="21"/>
                <w:highlight w:val="none"/>
                <w:lang w:val="en-US" w:eastAsia="zh-CN"/>
              </w:rPr>
              <w:t xml:space="preserve">磋商响应文件格式 </w:t>
            </w:r>
          </w:p>
        </w:tc>
        <w:tc>
          <w:tcPr>
            <w:tcW w:w="5959" w:type="dxa"/>
            <w:vAlign w:val="center"/>
          </w:tcPr>
          <w:p w14:paraId="19CD9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color w:val="auto"/>
                <w:sz w:val="22"/>
                <w:szCs w:val="22"/>
                <w:lang w:val="zh-CN"/>
              </w:rPr>
            </w:pPr>
            <w:r>
              <w:rPr>
                <w:rFonts w:hint="eastAsia" w:ascii="宋体" w:hAnsi="宋体" w:eastAsia="宋体" w:cs="宋体"/>
                <w:color w:val="auto"/>
                <w:sz w:val="21"/>
                <w:szCs w:val="21"/>
                <w:highlight w:val="none"/>
                <w:lang w:val="en-US" w:eastAsia="zh-CN"/>
              </w:rPr>
              <w:t xml:space="preserve">响应文件是否按照竞争性磋商文件规定的格式编制 </w:t>
            </w:r>
          </w:p>
        </w:tc>
      </w:tr>
      <w:tr w14:paraId="4801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62" w:type="dxa"/>
            <w:vMerge w:val="restart"/>
            <w:vAlign w:val="center"/>
          </w:tcPr>
          <w:p w14:paraId="32F1D3C9">
            <w:pPr>
              <w:autoSpaceDE w:val="0"/>
              <w:autoSpaceDN w:val="0"/>
              <w:adjustRightInd w:val="0"/>
              <w:spacing w:line="340" w:lineRule="exact"/>
              <w:jc w:val="left"/>
              <w:rPr>
                <w:rFonts w:ascii="宋体" w:hAnsi="宋体" w:cs="宋体"/>
                <w:bCs/>
                <w:color w:val="auto"/>
                <w:sz w:val="24"/>
                <w:lang w:val="zh-CN"/>
              </w:rPr>
            </w:pPr>
            <w:r>
              <w:rPr>
                <w:rFonts w:hint="eastAsia" w:ascii="宋体" w:hAnsi="宋体" w:cs="宋体"/>
                <w:bCs/>
                <w:color w:val="auto"/>
                <w:sz w:val="24"/>
                <w:lang w:val="zh-CN"/>
              </w:rPr>
              <w:t>1.1.2</w:t>
            </w:r>
          </w:p>
        </w:tc>
        <w:tc>
          <w:tcPr>
            <w:tcW w:w="1219" w:type="dxa"/>
            <w:vMerge w:val="restart"/>
            <w:vAlign w:val="center"/>
          </w:tcPr>
          <w:p w14:paraId="5F365834">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资格评审</w:t>
            </w:r>
          </w:p>
          <w:p w14:paraId="3FE28607">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标准</w:t>
            </w:r>
          </w:p>
        </w:tc>
        <w:tc>
          <w:tcPr>
            <w:tcW w:w="1900" w:type="dxa"/>
            <w:tcBorders>
              <w:bottom w:val="single" w:color="auto" w:sz="4" w:space="0"/>
            </w:tcBorders>
            <w:vAlign w:val="center"/>
          </w:tcPr>
          <w:p w14:paraId="194A6FF3">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营业执照</w:t>
            </w:r>
          </w:p>
        </w:tc>
        <w:tc>
          <w:tcPr>
            <w:tcW w:w="5959" w:type="dxa"/>
            <w:tcBorders>
              <w:bottom w:val="single" w:color="auto" w:sz="4" w:space="0"/>
            </w:tcBorders>
            <w:vAlign w:val="center"/>
          </w:tcPr>
          <w:p w14:paraId="2A5FA97C">
            <w:pPr>
              <w:autoSpaceDE w:val="0"/>
              <w:autoSpaceDN w:val="0"/>
              <w:adjustRightInd w:val="0"/>
              <w:spacing w:line="340" w:lineRule="exact"/>
              <w:rPr>
                <w:rFonts w:ascii="宋体" w:hAnsi="宋体" w:cs="宋体"/>
                <w:bCs/>
                <w:color w:val="auto"/>
                <w:sz w:val="22"/>
                <w:szCs w:val="22"/>
                <w:lang w:val="zh-CN"/>
              </w:rPr>
            </w:pPr>
            <w:r>
              <w:rPr>
                <w:rFonts w:hint="eastAsia" w:ascii="宋体" w:hAnsi="宋体" w:cs="宋体"/>
                <w:bCs/>
                <w:color w:val="auto"/>
                <w:sz w:val="22"/>
                <w:szCs w:val="22"/>
                <w:lang w:val="zh-CN"/>
              </w:rPr>
              <w:t>具备有效的营业执照</w:t>
            </w:r>
            <w:r>
              <w:rPr>
                <w:rFonts w:hint="eastAsia" w:ascii="宋体" w:hAnsi="宋体"/>
                <w:color w:val="auto"/>
                <w:kern w:val="0"/>
                <w:sz w:val="22"/>
                <w:szCs w:val="22"/>
              </w:rPr>
              <w:t>，</w:t>
            </w:r>
            <w:r>
              <w:rPr>
                <w:rFonts w:hint="eastAsia" w:ascii="宋体" w:hAnsi="宋体" w:cs="宋体"/>
                <w:bCs/>
                <w:color w:val="auto"/>
                <w:sz w:val="22"/>
                <w:szCs w:val="22"/>
                <w:lang w:val="zh-CN"/>
              </w:rPr>
              <w:t>所经营范围符合本项目采购内容</w:t>
            </w:r>
            <w:r>
              <w:rPr>
                <w:rFonts w:hint="eastAsia" w:ascii="宋体" w:hAnsi="宋体"/>
                <w:color w:val="auto"/>
                <w:kern w:val="0"/>
                <w:sz w:val="22"/>
                <w:szCs w:val="22"/>
              </w:rPr>
              <w:t>。</w:t>
            </w:r>
          </w:p>
        </w:tc>
      </w:tr>
      <w:tr w14:paraId="7A1C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62" w:type="dxa"/>
            <w:vMerge w:val="continue"/>
            <w:vAlign w:val="center"/>
          </w:tcPr>
          <w:p w14:paraId="6281EDF2">
            <w:pPr>
              <w:autoSpaceDE w:val="0"/>
              <w:autoSpaceDN w:val="0"/>
              <w:adjustRightInd w:val="0"/>
              <w:spacing w:line="340" w:lineRule="exact"/>
              <w:jc w:val="left"/>
              <w:rPr>
                <w:rFonts w:hint="eastAsia" w:ascii="宋体" w:hAnsi="宋体" w:cs="宋体"/>
                <w:bCs/>
                <w:color w:val="auto"/>
                <w:sz w:val="24"/>
                <w:lang w:val="zh-CN"/>
              </w:rPr>
            </w:pPr>
          </w:p>
        </w:tc>
        <w:tc>
          <w:tcPr>
            <w:tcW w:w="1219" w:type="dxa"/>
            <w:vMerge w:val="continue"/>
            <w:vAlign w:val="center"/>
          </w:tcPr>
          <w:p w14:paraId="649EDE0C">
            <w:pPr>
              <w:autoSpaceDE w:val="0"/>
              <w:autoSpaceDN w:val="0"/>
              <w:adjustRightInd w:val="0"/>
              <w:spacing w:line="340" w:lineRule="exact"/>
              <w:jc w:val="center"/>
              <w:rPr>
                <w:rFonts w:hint="eastAsia" w:ascii="宋体" w:hAnsi="宋体" w:cs="宋体"/>
                <w:bCs/>
                <w:color w:val="auto"/>
                <w:sz w:val="22"/>
                <w:szCs w:val="22"/>
                <w:lang w:val="zh-CN"/>
              </w:rPr>
            </w:pPr>
          </w:p>
        </w:tc>
        <w:tc>
          <w:tcPr>
            <w:tcW w:w="1900" w:type="dxa"/>
            <w:tcBorders>
              <w:bottom w:val="single" w:color="auto" w:sz="4" w:space="0"/>
            </w:tcBorders>
            <w:vAlign w:val="center"/>
          </w:tcPr>
          <w:p w14:paraId="7E594492">
            <w:pPr>
              <w:autoSpaceDE w:val="0"/>
              <w:autoSpaceDN w:val="0"/>
              <w:adjustRightInd w:val="0"/>
              <w:spacing w:line="340" w:lineRule="exact"/>
              <w:jc w:val="center"/>
              <w:rPr>
                <w:rFonts w:hint="eastAsia" w:ascii="宋体" w:hAnsi="宋体" w:cs="宋体"/>
                <w:bCs/>
                <w:color w:val="auto"/>
                <w:sz w:val="22"/>
                <w:szCs w:val="22"/>
                <w:lang w:val="zh-CN"/>
              </w:rPr>
            </w:pPr>
            <w:r>
              <w:rPr>
                <w:rFonts w:hint="eastAsia" w:ascii="宋体" w:hAnsi="宋体" w:cs="宋体"/>
                <w:bCs/>
                <w:color w:val="auto"/>
                <w:sz w:val="22"/>
                <w:szCs w:val="22"/>
                <w:lang w:val="zh-CN"/>
              </w:rPr>
              <w:t>保险许可证</w:t>
            </w:r>
          </w:p>
        </w:tc>
        <w:tc>
          <w:tcPr>
            <w:tcW w:w="5959" w:type="dxa"/>
            <w:tcBorders>
              <w:bottom w:val="single" w:color="auto" w:sz="4" w:space="0"/>
            </w:tcBorders>
            <w:vAlign w:val="center"/>
          </w:tcPr>
          <w:p w14:paraId="33B5B6A5">
            <w:pPr>
              <w:autoSpaceDE w:val="0"/>
              <w:autoSpaceDN w:val="0"/>
              <w:adjustRightInd w:val="0"/>
              <w:spacing w:line="340" w:lineRule="exact"/>
              <w:rPr>
                <w:rFonts w:hint="eastAsia" w:ascii="宋体" w:hAnsi="宋体" w:cs="宋体"/>
                <w:bCs/>
                <w:color w:val="auto"/>
                <w:sz w:val="22"/>
                <w:szCs w:val="22"/>
                <w:lang w:val="zh-CN"/>
              </w:rPr>
            </w:pPr>
            <w:r>
              <w:rPr>
                <w:rFonts w:hint="eastAsia" w:ascii="宋体" w:hAnsi="宋体" w:cs="宋体"/>
                <w:bCs/>
                <w:color w:val="auto"/>
                <w:sz w:val="22"/>
                <w:szCs w:val="22"/>
                <w:lang w:val="zh-CN"/>
              </w:rPr>
              <w:t>具备保险监督管理机构颁发的《保险许可证》，响应文件内附复印件并加盖供应商单位公章。</w:t>
            </w:r>
          </w:p>
        </w:tc>
      </w:tr>
      <w:tr w14:paraId="23A9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62" w:type="dxa"/>
            <w:vMerge w:val="continue"/>
            <w:vAlign w:val="center"/>
          </w:tcPr>
          <w:p w14:paraId="7B3F4895">
            <w:pPr>
              <w:autoSpaceDE w:val="0"/>
              <w:autoSpaceDN w:val="0"/>
              <w:adjustRightInd w:val="0"/>
              <w:spacing w:line="340" w:lineRule="exact"/>
              <w:jc w:val="left"/>
              <w:rPr>
                <w:rFonts w:ascii="宋体" w:hAnsi="宋体" w:cs="宋体"/>
                <w:bCs/>
                <w:color w:val="auto"/>
                <w:sz w:val="24"/>
                <w:lang w:val="zh-CN"/>
              </w:rPr>
            </w:pPr>
          </w:p>
        </w:tc>
        <w:tc>
          <w:tcPr>
            <w:tcW w:w="1219" w:type="dxa"/>
            <w:vMerge w:val="continue"/>
            <w:vAlign w:val="center"/>
          </w:tcPr>
          <w:p w14:paraId="3547FB27">
            <w:pPr>
              <w:autoSpaceDE w:val="0"/>
              <w:autoSpaceDN w:val="0"/>
              <w:adjustRightInd w:val="0"/>
              <w:spacing w:line="340" w:lineRule="exact"/>
              <w:jc w:val="center"/>
              <w:rPr>
                <w:rFonts w:ascii="宋体" w:hAnsi="宋体" w:cs="宋体"/>
                <w:bCs/>
                <w:color w:val="auto"/>
                <w:sz w:val="22"/>
                <w:szCs w:val="22"/>
                <w:lang w:val="zh-CN"/>
              </w:rPr>
            </w:pPr>
          </w:p>
        </w:tc>
        <w:tc>
          <w:tcPr>
            <w:tcW w:w="1900" w:type="dxa"/>
            <w:tcBorders>
              <w:bottom w:val="single" w:color="auto" w:sz="4" w:space="0"/>
            </w:tcBorders>
          </w:tcPr>
          <w:p w14:paraId="6014C6F0">
            <w:pPr>
              <w:spacing w:line="258" w:lineRule="auto"/>
              <w:rPr>
                <w:rFonts w:ascii="Arial"/>
                <w:color w:val="auto"/>
              </w:rPr>
            </w:pPr>
          </w:p>
          <w:p w14:paraId="273042E8">
            <w:pPr>
              <w:spacing w:line="259" w:lineRule="auto"/>
              <w:rPr>
                <w:rFonts w:ascii="Arial"/>
                <w:color w:val="auto"/>
              </w:rPr>
            </w:pPr>
          </w:p>
          <w:p w14:paraId="5CB68542">
            <w:pPr>
              <w:spacing w:line="259" w:lineRule="auto"/>
              <w:rPr>
                <w:rFonts w:ascii="Arial"/>
                <w:color w:val="auto"/>
              </w:rPr>
            </w:pPr>
          </w:p>
          <w:p w14:paraId="722B4B93">
            <w:pPr>
              <w:spacing w:line="259" w:lineRule="auto"/>
              <w:rPr>
                <w:rFonts w:ascii="Arial"/>
                <w:color w:val="auto"/>
              </w:rPr>
            </w:pPr>
          </w:p>
          <w:p w14:paraId="0CE6A2BD">
            <w:pPr>
              <w:spacing w:line="259" w:lineRule="auto"/>
              <w:rPr>
                <w:rFonts w:ascii="Arial"/>
                <w:color w:val="auto"/>
              </w:rPr>
            </w:pPr>
          </w:p>
          <w:p w14:paraId="7E1B867D">
            <w:pPr>
              <w:pStyle w:val="71"/>
              <w:spacing w:before="69" w:line="221" w:lineRule="auto"/>
              <w:ind w:left="653"/>
              <w:rPr>
                <w:bCs/>
                <w:color w:val="auto"/>
                <w:sz w:val="22"/>
                <w:szCs w:val="22"/>
                <w:lang w:val="zh-CN"/>
              </w:rPr>
            </w:pPr>
            <w:r>
              <w:rPr>
                <w:color w:val="auto"/>
                <w:spacing w:val="-2"/>
              </w:rPr>
              <w:t>其他要求</w:t>
            </w:r>
          </w:p>
        </w:tc>
        <w:tc>
          <w:tcPr>
            <w:tcW w:w="5959" w:type="dxa"/>
            <w:tcBorders>
              <w:bottom w:val="single" w:color="auto" w:sz="4" w:space="0"/>
            </w:tcBorders>
          </w:tcPr>
          <w:p w14:paraId="6FBF8440">
            <w:pPr>
              <w:pStyle w:val="71"/>
              <w:spacing w:before="202" w:line="269" w:lineRule="auto"/>
              <w:ind w:left="112" w:right="91" w:firstLine="4"/>
              <w:rPr>
                <w:color w:val="auto"/>
                <w:lang w:eastAsia="zh-CN"/>
              </w:rPr>
            </w:pPr>
            <w:r>
              <w:rPr>
                <w:color w:val="auto"/>
                <w:spacing w:val="-6"/>
                <w:lang w:eastAsia="zh-CN"/>
              </w:rPr>
              <w:t>（1）投标人有近六个月内（任意一个月）</w:t>
            </w:r>
            <w:r>
              <w:rPr>
                <w:color w:val="auto"/>
                <w:spacing w:val="-30"/>
                <w:lang w:eastAsia="zh-CN"/>
              </w:rPr>
              <w:t xml:space="preserve"> </w:t>
            </w:r>
            <w:r>
              <w:rPr>
                <w:color w:val="auto"/>
                <w:spacing w:val="-6"/>
                <w:lang w:eastAsia="zh-CN"/>
              </w:rPr>
              <w:t>依法缴</w:t>
            </w:r>
            <w:r>
              <w:rPr>
                <w:color w:val="auto"/>
                <w:spacing w:val="2"/>
                <w:lang w:eastAsia="zh-CN"/>
              </w:rPr>
              <w:t>纳税收</w:t>
            </w:r>
            <w:r>
              <w:rPr>
                <w:rFonts w:hint="eastAsia"/>
                <w:color w:val="auto"/>
                <w:spacing w:val="2"/>
                <w:lang w:eastAsia="zh-CN"/>
              </w:rPr>
              <w:t>和社会保障资金</w:t>
            </w:r>
            <w:r>
              <w:rPr>
                <w:color w:val="auto"/>
                <w:spacing w:val="2"/>
                <w:lang w:eastAsia="zh-CN"/>
              </w:rPr>
              <w:t>的相关证明材料的加盖公章的扫描件</w:t>
            </w:r>
            <w:r>
              <w:rPr>
                <w:color w:val="auto"/>
                <w:spacing w:val="16"/>
                <w:lang w:eastAsia="zh-CN"/>
              </w:rPr>
              <w:t>，</w:t>
            </w:r>
            <w:r>
              <w:rPr>
                <w:color w:val="auto"/>
                <w:spacing w:val="1"/>
                <w:lang w:eastAsia="zh-CN"/>
              </w:rPr>
              <w:t>依法免税的投标人须提供相应文件</w:t>
            </w:r>
            <w:r>
              <w:rPr>
                <w:color w:val="auto"/>
                <w:spacing w:val="2"/>
                <w:lang w:eastAsia="zh-CN"/>
              </w:rPr>
              <w:t>加盖公章的扫描件证明其依</w:t>
            </w:r>
            <w:r>
              <w:rPr>
                <w:color w:val="auto"/>
                <w:spacing w:val="-8"/>
                <w:lang w:eastAsia="zh-CN"/>
              </w:rPr>
              <w:t>法免税。</w:t>
            </w:r>
          </w:p>
          <w:p w14:paraId="20B201D3">
            <w:pPr>
              <w:pStyle w:val="71"/>
              <w:spacing w:before="64" w:line="276" w:lineRule="auto"/>
              <w:ind w:left="111" w:right="92" w:firstLine="5"/>
              <w:rPr>
                <w:bCs/>
                <w:color w:val="auto"/>
                <w:sz w:val="22"/>
                <w:szCs w:val="22"/>
                <w:lang w:val="zh-CN" w:eastAsia="zh-CN"/>
              </w:rPr>
            </w:pPr>
            <w:r>
              <w:rPr>
                <w:color w:val="auto"/>
                <w:spacing w:val="-3"/>
                <w:lang w:eastAsia="zh-CN"/>
              </w:rPr>
              <w:t>（2）具有投资参股关系的关联企业，或具有直接</w:t>
            </w:r>
            <w:r>
              <w:rPr>
                <w:color w:val="auto"/>
                <w:spacing w:val="2"/>
                <w:lang w:eastAsia="zh-CN"/>
              </w:rPr>
              <w:t>管理和被管理关系的母子公司，或同一母公司的子公司，或法定代表人为同一人的两个及两个以上法人不得同时对同一标段投标，否则均按废标处理。与招标人存在利害关系可能影响投标公正</w:t>
            </w:r>
            <w:r>
              <w:rPr>
                <w:color w:val="auto"/>
                <w:spacing w:val="11"/>
                <w:lang w:eastAsia="zh-CN"/>
              </w:rPr>
              <w:t xml:space="preserve"> </w:t>
            </w:r>
            <w:r>
              <w:rPr>
                <w:color w:val="auto"/>
                <w:spacing w:val="1"/>
                <w:lang w:eastAsia="zh-CN"/>
              </w:rPr>
              <w:t>性的法人、其他组织或者个人，不得参加投标。</w:t>
            </w:r>
            <w:r>
              <w:rPr>
                <w:color w:val="auto"/>
                <w:spacing w:val="2"/>
                <w:lang w:eastAsia="zh-CN"/>
              </w:rPr>
              <w:t xml:space="preserve"> 单位负责人为同一人或者存在控股、管理关系的</w:t>
            </w:r>
            <w:r>
              <w:rPr>
                <w:color w:val="auto"/>
                <w:spacing w:val="11"/>
                <w:lang w:eastAsia="zh-CN"/>
              </w:rPr>
              <w:t xml:space="preserve"> </w:t>
            </w:r>
            <w:r>
              <w:rPr>
                <w:color w:val="auto"/>
                <w:spacing w:val="2"/>
                <w:lang w:eastAsia="zh-CN"/>
              </w:rPr>
              <w:t>不同单位，不得参加同一标段投标或者未划分标段的同一项目投标。</w:t>
            </w:r>
            <w:r>
              <w:rPr>
                <w:rFonts w:hint="eastAsia" w:ascii="宋体" w:hAnsi="宋体" w:cs="宋体-18030"/>
                <w:b/>
                <w:bCs/>
                <w:color w:val="auto"/>
                <w:kern w:val="0"/>
                <w:sz w:val="21"/>
                <w:szCs w:val="21"/>
              </w:rPr>
              <w:t>响应文件</w:t>
            </w:r>
            <w:r>
              <w:rPr>
                <w:rFonts w:hint="eastAsia" w:ascii="宋体" w:hAnsi="宋体" w:cs="宋体"/>
                <w:b/>
                <w:bCs/>
                <w:color w:val="auto"/>
                <w:sz w:val="21"/>
                <w:szCs w:val="21"/>
              </w:rPr>
              <w:t>内提供加盖</w:t>
            </w:r>
            <w:r>
              <w:rPr>
                <w:rFonts w:hint="eastAsia" w:ascii="宋体" w:hAnsi="宋体" w:cs="宋体"/>
                <w:b/>
                <w:color w:val="auto"/>
                <w:sz w:val="21"/>
                <w:szCs w:val="21"/>
              </w:rPr>
              <w:t>供应商</w:t>
            </w:r>
            <w:r>
              <w:rPr>
                <w:rFonts w:hint="eastAsia" w:ascii="宋体" w:hAnsi="宋体" w:cs="宋体"/>
                <w:b/>
                <w:bCs/>
                <w:color w:val="auto"/>
                <w:sz w:val="21"/>
                <w:szCs w:val="21"/>
              </w:rPr>
              <w:t>公章的承诺书</w:t>
            </w:r>
          </w:p>
        </w:tc>
      </w:tr>
      <w:tr w14:paraId="25A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862" w:type="dxa"/>
            <w:vMerge w:val="continue"/>
            <w:vAlign w:val="center"/>
          </w:tcPr>
          <w:p w14:paraId="46FD4C5C">
            <w:pPr>
              <w:autoSpaceDE w:val="0"/>
              <w:autoSpaceDN w:val="0"/>
              <w:adjustRightInd w:val="0"/>
              <w:spacing w:line="340" w:lineRule="exact"/>
              <w:jc w:val="center"/>
              <w:rPr>
                <w:rFonts w:ascii="宋体" w:hAnsi="宋体" w:cs="宋体"/>
                <w:bCs/>
                <w:color w:val="auto"/>
                <w:sz w:val="24"/>
                <w:lang w:val="zh-CN"/>
              </w:rPr>
            </w:pPr>
          </w:p>
        </w:tc>
        <w:tc>
          <w:tcPr>
            <w:tcW w:w="1219" w:type="dxa"/>
            <w:vMerge w:val="continue"/>
            <w:vAlign w:val="center"/>
          </w:tcPr>
          <w:p w14:paraId="21C274CE">
            <w:pPr>
              <w:autoSpaceDE w:val="0"/>
              <w:autoSpaceDN w:val="0"/>
              <w:adjustRightInd w:val="0"/>
              <w:spacing w:line="340" w:lineRule="exact"/>
              <w:jc w:val="center"/>
              <w:rPr>
                <w:rFonts w:ascii="宋体" w:hAnsi="宋体" w:cs="宋体"/>
                <w:bCs/>
                <w:color w:val="auto"/>
                <w:sz w:val="22"/>
                <w:szCs w:val="22"/>
                <w:lang w:val="zh-CN"/>
              </w:rPr>
            </w:pPr>
          </w:p>
        </w:tc>
        <w:tc>
          <w:tcPr>
            <w:tcW w:w="1900" w:type="dxa"/>
            <w:tcBorders>
              <w:bottom w:val="single" w:color="auto" w:sz="4" w:space="0"/>
            </w:tcBorders>
            <w:vAlign w:val="center"/>
          </w:tcPr>
          <w:p w14:paraId="1B134920">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rPr>
              <w:t>财务状况</w:t>
            </w:r>
          </w:p>
        </w:tc>
        <w:tc>
          <w:tcPr>
            <w:tcW w:w="5959" w:type="dxa"/>
            <w:tcBorders>
              <w:bottom w:val="single" w:color="auto" w:sz="4" w:space="0"/>
            </w:tcBorders>
            <w:vAlign w:val="center"/>
          </w:tcPr>
          <w:p w14:paraId="202921D7">
            <w:pPr>
              <w:autoSpaceDE w:val="0"/>
              <w:autoSpaceDN w:val="0"/>
              <w:adjustRightInd w:val="0"/>
              <w:spacing w:line="340" w:lineRule="exact"/>
              <w:rPr>
                <w:rFonts w:ascii="宋体" w:hAnsi="宋体" w:cs="宋体"/>
                <w:bCs/>
                <w:color w:val="auto"/>
                <w:sz w:val="22"/>
                <w:szCs w:val="22"/>
                <w:lang w:val="zh-CN"/>
              </w:rPr>
            </w:pPr>
            <w:r>
              <w:rPr>
                <w:rFonts w:hint="eastAsia" w:cs="宋体" w:asciiTheme="minorEastAsia" w:hAnsiTheme="minorEastAsia" w:eastAsiaTheme="minorEastAsia"/>
                <w:color w:val="auto"/>
                <w:kern w:val="0"/>
                <w:szCs w:val="21"/>
              </w:rPr>
              <w:t>202</w:t>
            </w:r>
            <w:r>
              <w:rPr>
                <w:rFonts w:hint="eastAsia" w:cs="宋体" w:asciiTheme="minorEastAsia" w:hAnsiTheme="minorEastAsia" w:eastAsiaTheme="minorEastAsia"/>
                <w:color w:val="auto"/>
                <w:kern w:val="0"/>
                <w:szCs w:val="21"/>
                <w:lang w:val="en-US" w:eastAsia="zh-CN"/>
              </w:rPr>
              <w:t>4</w:t>
            </w:r>
            <w:r>
              <w:rPr>
                <w:rFonts w:hint="eastAsia" w:cs="宋体" w:asciiTheme="minorEastAsia" w:hAnsiTheme="minorEastAsia" w:eastAsiaTheme="minorEastAsia"/>
                <w:color w:val="auto"/>
                <w:kern w:val="0"/>
                <w:szCs w:val="21"/>
              </w:rPr>
              <w:t>年度财务审计报告或财务报表（含资产负债表、现金流量表、利润表）（若供应商为202</w:t>
            </w:r>
            <w:r>
              <w:rPr>
                <w:rFonts w:hint="eastAsia" w:cs="宋体" w:asciiTheme="minorEastAsia" w:hAnsiTheme="minorEastAsia" w:eastAsiaTheme="minorEastAsia"/>
                <w:color w:val="auto"/>
                <w:kern w:val="0"/>
                <w:szCs w:val="21"/>
                <w:lang w:val="en-US" w:eastAsia="zh-CN"/>
              </w:rPr>
              <w:t>5</w:t>
            </w:r>
            <w:r>
              <w:rPr>
                <w:rFonts w:hint="eastAsia" w:cs="宋体" w:asciiTheme="minorEastAsia" w:hAnsiTheme="minorEastAsia" w:eastAsiaTheme="minorEastAsia"/>
                <w:color w:val="auto"/>
                <w:kern w:val="0"/>
                <w:szCs w:val="21"/>
              </w:rPr>
              <w:t>年以后注册成立公司的，须提供银行资信证明）</w:t>
            </w:r>
            <w:r>
              <w:rPr>
                <w:rFonts w:hint="eastAsia" w:ascii="宋体" w:hAnsi="宋体" w:cs="宋体"/>
                <w:bCs/>
                <w:color w:val="auto"/>
                <w:sz w:val="22"/>
                <w:szCs w:val="22"/>
                <w:lang w:val="zh-CN"/>
              </w:rPr>
              <w:t>，响应文件内附复印件并加盖供应商单位公章。</w:t>
            </w:r>
          </w:p>
        </w:tc>
      </w:tr>
      <w:tr w14:paraId="760F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62" w:type="dxa"/>
            <w:vMerge w:val="continue"/>
            <w:vAlign w:val="center"/>
          </w:tcPr>
          <w:p w14:paraId="5890B8C6">
            <w:pPr>
              <w:autoSpaceDE w:val="0"/>
              <w:autoSpaceDN w:val="0"/>
              <w:adjustRightInd w:val="0"/>
              <w:spacing w:line="340" w:lineRule="exact"/>
              <w:jc w:val="center"/>
              <w:rPr>
                <w:rFonts w:ascii="宋体" w:hAnsi="宋体" w:cs="宋体"/>
                <w:bCs/>
                <w:color w:val="auto"/>
                <w:sz w:val="24"/>
                <w:lang w:val="zh-CN"/>
              </w:rPr>
            </w:pPr>
          </w:p>
        </w:tc>
        <w:tc>
          <w:tcPr>
            <w:tcW w:w="1219" w:type="dxa"/>
            <w:vMerge w:val="continue"/>
            <w:vAlign w:val="center"/>
          </w:tcPr>
          <w:p w14:paraId="63ACDCCF">
            <w:pPr>
              <w:autoSpaceDE w:val="0"/>
              <w:autoSpaceDN w:val="0"/>
              <w:adjustRightInd w:val="0"/>
              <w:spacing w:line="340" w:lineRule="exact"/>
              <w:jc w:val="center"/>
              <w:rPr>
                <w:rFonts w:ascii="宋体" w:hAnsi="宋体" w:cs="宋体"/>
                <w:bCs/>
                <w:color w:val="auto"/>
                <w:sz w:val="22"/>
                <w:szCs w:val="22"/>
                <w:lang w:val="zh-CN"/>
              </w:rPr>
            </w:pPr>
          </w:p>
        </w:tc>
        <w:tc>
          <w:tcPr>
            <w:tcW w:w="1900" w:type="dxa"/>
            <w:tcBorders>
              <w:bottom w:val="single" w:color="auto" w:sz="4" w:space="0"/>
            </w:tcBorders>
            <w:vAlign w:val="center"/>
          </w:tcPr>
          <w:p w14:paraId="2C71A2C2">
            <w:pPr>
              <w:widowControl w:val="0"/>
              <w:snapToGrid w:val="0"/>
              <w:jc w:val="center"/>
              <w:rPr>
                <w:rFonts w:ascii="宋体" w:hAnsi="宋体" w:cs="宋体"/>
                <w:bCs/>
                <w:color w:val="auto"/>
                <w:sz w:val="21"/>
                <w:szCs w:val="21"/>
                <w:lang w:val="zh-CN"/>
              </w:rPr>
            </w:pPr>
            <w:r>
              <w:rPr>
                <w:rFonts w:hint="eastAsia" w:ascii="宋体" w:hAnsi="宋体" w:cs="宋体"/>
                <w:color w:val="auto"/>
                <w:sz w:val="21"/>
                <w:szCs w:val="21"/>
              </w:rPr>
              <w:t>信誉要求</w:t>
            </w:r>
          </w:p>
        </w:tc>
        <w:tc>
          <w:tcPr>
            <w:tcW w:w="5959" w:type="dxa"/>
            <w:tcBorders>
              <w:bottom w:val="single" w:color="auto" w:sz="4" w:space="0"/>
            </w:tcBorders>
            <w:vAlign w:val="center"/>
          </w:tcPr>
          <w:p w14:paraId="03EBB2B3">
            <w:pPr>
              <w:pStyle w:val="18"/>
              <w:jc w:val="left"/>
              <w:rPr>
                <w:rFonts w:hAnsi="宋体"/>
                <w:color w:val="auto"/>
                <w:sz w:val="21"/>
                <w:szCs w:val="21"/>
                <w:lang w:val="zh-CN"/>
              </w:rPr>
            </w:pPr>
            <w:r>
              <w:rPr>
                <w:rFonts w:hint="eastAsia" w:hAnsi="宋体"/>
                <w:color w:val="auto"/>
                <w:sz w:val="21"/>
                <w:szCs w:val="21"/>
                <w:lang w:val="zh-CN"/>
              </w:rPr>
              <w:t>（</w:t>
            </w:r>
            <w:r>
              <w:rPr>
                <w:rFonts w:hint="eastAsia" w:hAnsi="宋体"/>
                <w:color w:val="auto"/>
                <w:sz w:val="21"/>
                <w:szCs w:val="21"/>
              </w:rPr>
              <w:t>1）</w:t>
            </w:r>
            <w:r>
              <w:rPr>
                <w:rFonts w:hint="eastAsia" w:hAnsi="宋体"/>
                <w:color w:val="auto"/>
                <w:sz w:val="21"/>
                <w:szCs w:val="21"/>
                <w:lang w:val="zh-CN"/>
              </w:rPr>
              <w:t>供应商参加本次采购活动前三年内，在经营活动中没有不良经营行为、重大安全事故及质量问题、因供应商违约或不恰当履约引起的合同争议纠纷及仲裁和诉讼等重大违法记录（加盖单位公章的承诺书）；</w:t>
            </w:r>
          </w:p>
          <w:p w14:paraId="0A973786">
            <w:pPr>
              <w:pStyle w:val="18"/>
              <w:jc w:val="left"/>
              <w:rPr>
                <w:rFonts w:hAnsi="宋体"/>
                <w:color w:val="auto"/>
                <w:sz w:val="21"/>
                <w:szCs w:val="21"/>
                <w:lang w:val="zh-CN"/>
              </w:rPr>
            </w:pPr>
            <w:r>
              <w:rPr>
                <w:rFonts w:hint="eastAsia" w:hAnsi="宋体"/>
                <w:color w:val="auto"/>
                <w:sz w:val="21"/>
                <w:szCs w:val="21"/>
                <w:lang w:val="zh-CN"/>
              </w:rPr>
              <w:t>（</w:t>
            </w:r>
            <w:r>
              <w:rPr>
                <w:rFonts w:hint="eastAsia" w:hAnsi="宋体"/>
                <w:color w:val="auto"/>
                <w:sz w:val="21"/>
                <w:szCs w:val="21"/>
              </w:rPr>
              <w:t>2</w:t>
            </w:r>
            <w:r>
              <w:rPr>
                <w:rFonts w:hint="eastAsia" w:hAnsi="宋体"/>
                <w:color w:val="auto"/>
                <w:sz w:val="21"/>
                <w:szCs w:val="21"/>
                <w:lang w:val="zh-CN"/>
              </w:rPr>
              <w:t>）未被工商行政管理机关在全国企业信用信息公示系统（http://www.gsxt.gov.cn/）中列入严重违法失信企业名单（须提供网络截图）；</w:t>
            </w:r>
          </w:p>
          <w:p w14:paraId="350B1386">
            <w:pPr>
              <w:pStyle w:val="18"/>
              <w:jc w:val="left"/>
              <w:rPr>
                <w:rFonts w:hAnsi="宋体"/>
                <w:color w:val="auto"/>
                <w:sz w:val="21"/>
                <w:szCs w:val="21"/>
                <w:lang w:val="zh-CN"/>
              </w:rPr>
            </w:pPr>
            <w:r>
              <w:rPr>
                <w:rFonts w:hint="eastAsia" w:hAnsi="宋体"/>
                <w:color w:val="auto"/>
                <w:sz w:val="21"/>
                <w:szCs w:val="21"/>
                <w:lang w:val="zh-CN"/>
              </w:rPr>
              <w:t>（</w:t>
            </w:r>
            <w:r>
              <w:rPr>
                <w:rFonts w:hint="eastAsia" w:hAnsi="宋体"/>
                <w:color w:val="auto"/>
                <w:sz w:val="21"/>
                <w:szCs w:val="21"/>
              </w:rPr>
              <w:t>3</w:t>
            </w:r>
            <w:r>
              <w:rPr>
                <w:rFonts w:hint="eastAsia" w:hAnsi="宋体"/>
                <w:color w:val="auto"/>
                <w:sz w:val="21"/>
                <w:szCs w:val="21"/>
                <w:lang w:val="zh-CN"/>
              </w:rPr>
              <w:t>）必须未被列入“信用中国” 网站（www.creditchina.gov.cn）、中国政府采购网（www.ccgp.gov.cn）等渠道信用记录失信被执行人、重大税收违法案件当事人名单、政府采购严重违法失信行为记录名单（须提供网络截图）；</w:t>
            </w:r>
          </w:p>
          <w:p w14:paraId="38788AEF">
            <w:pPr>
              <w:widowControl w:val="0"/>
              <w:rPr>
                <w:rFonts w:ascii="宋体" w:hAnsi="宋体" w:cs="宋体"/>
                <w:bCs/>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4</w:t>
            </w:r>
            <w:r>
              <w:rPr>
                <w:rFonts w:hint="eastAsia" w:ascii="宋体" w:hAnsi="宋体" w:cs="宋体"/>
                <w:color w:val="auto"/>
                <w:sz w:val="21"/>
                <w:szCs w:val="21"/>
                <w:lang w:val="zh-CN"/>
              </w:rPr>
              <w:t>）拒绝列入政府取消投标资格记录期间的企业或个人参加本次投标（加盖单位公章的承诺书）。</w:t>
            </w:r>
          </w:p>
        </w:tc>
      </w:tr>
      <w:tr w14:paraId="201C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62" w:type="dxa"/>
            <w:vMerge w:val="restart"/>
            <w:vAlign w:val="center"/>
          </w:tcPr>
          <w:p w14:paraId="6094067E">
            <w:pPr>
              <w:autoSpaceDE w:val="0"/>
              <w:autoSpaceDN w:val="0"/>
              <w:adjustRightInd w:val="0"/>
              <w:spacing w:line="340" w:lineRule="exact"/>
              <w:rPr>
                <w:rFonts w:ascii="宋体" w:hAnsi="宋体" w:cs="宋体"/>
                <w:bCs/>
                <w:color w:val="auto"/>
                <w:sz w:val="24"/>
              </w:rPr>
            </w:pPr>
            <w:r>
              <w:rPr>
                <w:rFonts w:hint="eastAsia" w:ascii="宋体" w:hAnsi="宋体" w:cs="宋体"/>
                <w:bCs/>
                <w:color w:val="auto"/>
                <w:sz w:val="24"/>
              </w:rPr>
              <w:t>1.1.3</w:t>
            </w:r>
          </w:p>
        </w:tc>
        <w:tc>
          <w:tcPr>
            <w:tcW w:w="1219" w:type="dxa"/>
            <w:vMerge w:val="restart"/>
            <w:vAlign w:val="center"/>
          </w:tcPr>
          <w:p w14:paraId="3041E5B6">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响应性评审标准</w:t>
            </w:r>
          </w:p>
        </w:tc>
        <w:tc>
          <w:tcPr>
            <w:tcW w:w="1900" w:type="dxa"/>
            <w:vAlign w:val="center"/>
          </w:tcPr>
          <w:p w14:paraId="17DA1C51">
            <w:pPr>
              <w:widowControl w:val="0"/>
              <w:snapToGrid w:val="0"/>
              <w:jc w:val="center"/>
              <w:rPr>
                <w:rFonts w:hint="default" w:ascii="宋体" w:hAnsi="宋体" w:eastAsia="宋体" w:cs="宋体"/>
                <w:bCs/>
                <w:color w:val="auto"/>
                <w:sz w:val="22"/>
                <w:szCs w:val="22"/>
                <w:lang w:val="en-US" w:eastAsia="zh-CN"/>
              </w:rPr>
            </w:pPr>
            <w:r>
              <w:rPr>
                <w:rFonts w:hint="eastAsia" w:ascii="宋体" w:hAnsi="宋体" w:cs="宋体"/>
                <w:color w:val="auto"/>
                <w:lang w:eastAsia="zh-CN"/>
              </w:rPr>
              <w:t>最高投标限价</w:t>
            </w:r>
          </w:p>
        </w:tc>
        <w:tc>
          <w:tcPr>
            <w:tcW w:w="5959" w:type="dxa"/>
            <w:vAlign w:val="center"/>
          </w:tcPr>
          <w:p w14:paraId="03E84F77">
            <w:pPr>
              <w:widowControl w:val="0"/>
              <w:snapToGrid w:val="0"/>
              <w:rPr>
                <w:rFonts w:ascii="宋体" w:hAnsi="宋体" w:cs="宋体"/>
                <w:bCs/>
                <w:color w:val="auto"/>
                <w:sz w:val="22"/>
                <w:szCs w:val="22"/>
                <w:lang w:val="zh-CN"/>
              </w:rPr>
            </w:pPr>
            <w:r>
              <w:rPr>
                <w:rFonts w:hint="eastAsia" w:cs="宋体" w:asciiTheme="minorEastAsia" w:hAnsiTheme="minorEastAsia" w:eastAsiaTheme="minorEastAsia"/>
                <w:color w:val="auto"/>
                <w:lang w:val="en-US" w:eastAsia="zh-CN"/>
              </w:rPr>
              <w:t>39.1104万元</w:t>
            </w:r>
          </w:p>
        </w:tc>
      </w:tr>
      <w:tr w14:paraId="4D6F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62" w:type="dxa"/>
            <w:vMerge w:val="continue"/>
          </w:tcPr>
          <w:p w14:paraId="722A6DE2">
            <w:pPr>
              <w:autoSpaceDE w:val="0"/>
              <w:autoSpaceDN w:val="0"/>
              <w:adjustRightInd w:val="0"/>
              <w:spacing w:line="340" w:lineRule="exact"/>
              <w:jc w:val="left"/>
              <w:rPr>
                <w:rFonts w:ascii="宋体" w:hAnsi="宋体" w:cs="宋体"/>
                <w:bCs/>
                <w:color w:val="auto"/>
                <w:sz w:val="24"/>
                <w:lang w:val="zh-CN"/>
              </w:rPr>
            </w:pPr>
          </w:p>
        </w:tc>
        <w:tc>
          <w:tcPr>
            <w:tcW w:w="1219" w:type="dxa"/>
            <w:vMerge w:val="continue"/>
          </w:tcPr>
          <w:p w14:paraId="1FAC82E6">
            <w:pPr>
              <w:autoSpaceDE w:val="0"/>
              <w:autoSpaceDN w:val="0"/>
              <w:adjustRightInd w:val="0"/>
              <w:spacing w:line="340" w:lineRule="exact"/>
              <w:jc w:val="left"/>
              <w:rPr>
                <w:rFonts w:ascii="宋体" w:hAnsi="宋体" w:cs="宋体"/>
                <w:bCs/>
                <w:color w:val="auto"/>
                <w:sz w:val="22"/>
                <w:szCs w:val="22"/>
                <w:lang w:val="zh-CN"/>
              </w:rPr>
            </w:pPr>
          </w:p>
        </w:tc>
        <w:tc>
          <w:tcPr>
            <w:tcW w:w="1900" w:type="dxa"/>
            <w:vAlign w:val="center"/>
          </w:tcPr>
          <w:p w14:paraId="37517C67">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服务期限</w:t>
            </w:r>
          </w:p>
        </w:tc>
        <w:tc>
          <w:tcPr>
            <w:tcW w:w="5959" w:type="dxa"/>
            <w:vAlign w:val="center"/>
          </w:tcPr>
          <w:p w14:paraId="2ECE0541">
            <w:pPr>
              <w:spacing w:before="100" w:beforeAutospacing="1" w:afterAutospacing="1" w:line="340" w:lineRule="exact"/>
              <w:jc w:val="left"/>
              <w:rPr>
                <w:rFonts w:ascii="宋体" w:hAnsi="宋体" w:cs="宋体"/>
                <w:color w:val="auto"/>
                <w:sz w:val="22"/>
                <w:szCs w:val="22"/>
              </w:rPr>
            </w:pPr>
            <w:r>
              <w:rPr>
                <w:rFonts w:hint="eastAsia" w:cs="宋体" w:asciiTheme="minorEastAsia" w:hAnsiTheme="minorEastAsia" w:eastAsiaTheme="minorEastAsia"/>
                <w:color w:val="auto"/>
                <w:lang w:eastAsia="zh-CN"/>
              </w:rPr>
              <w:t>保费在签订协议后30日内完成支付</w:t>
            </w:r>
            <w:r>
              <w:rPr>
                <w:rFonts w:hint="eastAsia" w:ascii="宋体" w:hAnsi="宋体" w:cs="宋体"/>
                <w:color w:val="auto"/>
                <w:kern w:val="0"/>
                <w:sz w:val="22"/>
                <w:szCs w:val="22"/>
                <w:lang w:val="zh-CN"/>
              </w:rPr>
              <w:t>。</w:t>
            </w:r>
          </w:p>
        </w:tc>
      </w:tr>
      <w:tr w14:paraId="7AA8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62" w:type="dxa"/>
            <w:vMerge w:val="continue"/>
          </w:tcPr>
          <w:p w14:paraId="6B4C696D">
            <w:pPr>
              <w:autoSpaceDE w:val="0"/>
              <w:autoSpaceDN w:val="0"/>
              <w:adjustRightInd w:val="0"/>
              <w:spacing w:line="340" w:lineRule="exact"/>
              <w:jc w:val="left"/>
              <w:rPr>
                <w:rFonts w:ascii="宋体" w:hAnsi="宋体" w:cs="宋体"/>
                <w:bCs/>
                <w:color w:val="auto"/>
                <w:sz w:val="24"/>
                <w:lang w:val="zh-CN"/>
              </w:rPr>
            </w:pPr>
          </w:p>
        </w:tc>
        <w:tc>
          <w:tcPr>
            <w:tcW w:w="1219" w:type="dxa"/>
            <w:vMerge w:val="continue"/>
          </w:tcPr>
          <w:p w14:paraId="207B0FD6">
            <w:pPr>
              <w:autoSpaceDE w:val="0"/>
              <w:autoSpaceDN w:val="0"/>
              <w:adjustRightInd w:val="0"/>
              <w:spacing w:line="340" w:lineRule="exact"/>
              <w:jc w:val="left"/>
              <w:rPr>
                <w:rFonts w:ascii="宋体" w:hAnsi="宋体" w:cs="宋体"/>
                <w:bCs/>
                <w:color w:val="auto"/>
                <w:sz w:val="22"/>
                <w:szCs w:val="22"/>
                <w:lang w:val="zh-CN"/>
              </w:rPr>
            </w:pPr>
          </w:p>
        </w:tc>
        <w:tc>
          <w:tcPr>
            <w:tcW w:w="1900" w:type="dxa"/>
            <w:vAlign w:val="center"/>
          </w:tcPr>
          <w:p w14:paraId="10C78D02">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磋商有效期</w:t>
            </w:r>
          </w:p>
        </w:tc>
        <w:tc>
          <w:tcPr>
            <w:tcW w:w="5959" w:type="dxa"/>
            <w:vAlign w:val="center"/>
          </w:tcPr>
          <w:p w14:paraId="0E062926">
            <w:pPr>
              <w:autoSpaceDE w:val="0"/>
              <w:autoSpaceDN w:val="0"/>
              <w:adjustRightInd w:val="0"/>
              <w:spacing w:line="340" w:lineRule="exact"/>
              <w:rPr>
                <w:rFonts w:ascii="宋体" w:hAnsi="宋体" w:cs="宋体"/>
                <w:bCs/>
                <w:color w:val="auto"/>
                <w:sz w:val="22"/>
                <w:szCs w:val="22"/>
                <w:lang w:val="zh-CN"/>
              </w:rPr>
            </w:pPr>
            <w:r>
              <w:rPr>
                <w:rFonts w:hint="eastAsia" w:ascii="宋体" w:hAnsi="宋体" w:cs="宋体"/>
                <w:color w:val="auto"/>
                <w:sz w:val="22"/>
                <w:szCs w:val="22"/>
              </w:rPr>
              <w:t>90</w:t>
            </w:r>
            <w:r>
              <w:rPr>
                <w:rFonts w:hint="eastAsia" w:ascii="宋体" w:hAnsi="宋体" w:cs="宋体"/>
                <w:color w:val="auto"/>
                <w:sz w:val="22"/>
                <w:szCs w:val="22"/>
                <w:lang w:val="zh-CN"/>
              </w:rPr>
              <w:t>日历天。</w:t>
            </w:r>
          </w:p>
        </w:tc>
      </w:tr>
      <w:tr w14:paraId="2120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62" w:type="dxa"/>
            <w:vMerge w:val="continue"/>
          </w:tcPr>
          <w:p w14:paraId="5E595E94">
            <w:pPr>
              <w:autoSpaceDE w:val="0"/>
              <w:autoSpaceDN w:val="0"/>
              <w:adjustRightInd w:val="0"/>
              <w:spacing w:line="340" w:lineRule="exact"/>
              <w:jc w:val="left"/>
              <w:rPr>
                <w:rFonts w:ascii="宋体" w:hAnsi="宋体" w:cs="宋体"/>
                <w:bCs/>
                <w:color w:val="auto"/>
                <w:sz w:val="24"/>
                <w:lang w:val="zh-CN"/>
              </w:rPr>
            </w:pPr>
          </w:p>
        </w:tc>
        <w:tc>
          <w:tcPr>
            <w:tcW w:w="1219" w:type="dxa"/>
            <w:vMerge w:val="continue"/>
          </w:tcPr>
          <w:p w14:paraId="15C06864">
            <w:pPr>
              <w:autoSpaceDE w:val="0"/>
              <w:autoSpaceDN w:val="0"/>
              <w:adjustRightInd w:val="0"/>
              <w:spacing w:line="340" w:lineRule="exact"/>
              <w:jc w:val="left"/>
              <w:rPr>
                <w:rFonts w:ascii="宋体" w:hAnsi="宋体" w:cs="宋体"/>
                <w:bCs/>
                <w:color w:val="auto"/>
                <w:sz w:val="22"/>
                <w:szCs w:val="22"/>
                <w:lang w:val="zh-CN"/>
              </w:rPr>
            </w:pPr>
          </w:p>
        </w:tc>
        <w:tc>
          <w:tcPr>
            <w:tcW w:w="1900" w:type="dxa"/>
            <w:vAlign w:val="center"/>
          </w:tcPr>
          <w:p w14:paraId="48554810">
            <w:pPr>
              <w:autoSpaceDE w:val="0"/>
              <w:autoSpaceDN w:val="0"/>
              <w:adjustRightInd w:val="0"/>
              <w:spacing w:line="340" w:lineRule="exact"/>
              <w:jc w:val="center"/>
              <w:rPr>
                <w:rFonts w:ascii="宋体" w:hAnsi="宋体" w:cs="宋体"/>
                <w:bCs/>
                <w:color w:val="auto"/>
                <w:sz w:val="22"/>
                <w:szCs w:val="22"/>
                <w:lang w:val="zh-CN"/>
              </w:rPr>
            </w:pPr>
            <w:r>
              <w:rPr>
                <w:rFonts w:hint="eastAsia" w:ascii="宋体" w:hAnsi="宋体" w:cs="宋体"/>
                <w:bCs/>
                <w:color w:val="auto"/>
                <w:sz w:val="22"/>
                <w:szCs w:val="22"/>
                <w:lang w:val="zh-CN"/>
              </w:rPr>
              <w:t>磋商保证金</w:t>
            </w:r>
          </w:p>
        </w:tc>
        <w:tc>
          <w:tcPr>
            <w:tcW w:w="5959" w:type="dxa"/>
            <w:vAlign w:val="center"/>
          </w:tcPr>
          <w:p w14:paraId="20A42D94">
            <w:pPr>
              <w:autoSpaceDE w:val="0"/>
              <w:autoSpaceDN w:val="0"/>
              <w:adjustRightInd w:val="0"/>
              <w:spacing w:line="340" w:lineRule="exact"/>
              <w:rPr>
                <w:rFonts w:ascii="宋体" w:hAnsi="宋体" w:cs="宋体"/>
                <w:bCs/>
                <w:color w:val="auto"/>
                <w:sz w:val="22"/>
                <w:szCs w:val="22"/>
                <w:lang w:val="zh-CN"/>
              </w:rPr>
            </w:pPr>
            <w:r>
              <w:rPr>
                <w:rFonts w:hint="eastAsia" w:ascii="宋体" w:hAnsi="宋体" w:cs="宋体"/>
                <w:color w:val="auto"/>
                <w:sz w:val="22"/>
                <w:szCs w:val="22"/>
                <w:lang w:val="zh-CN"/>
              </w:rPr>
              <w:t>符合“供应商须知前附表”规定。</w:t>
            </w:r>
          </w:p>
        </w:tc>
      </w:tr>
    </w:tbl>
    <w:p w14:paraId="079F812E">
      <w:pPr>
        <w:spacing w:line="360" w:lineRule="auto"/>
        <w:jc w:val="left"/>
        <w:rPr>
          <w:rFonts w:ascii="宋体" w:hAnsi="宋体" w:cs="宋体"/>
          <w:b/>
          <w:bCs/>
          <w:color w:val="auto"/>
          <w:sz w:val="18"/>
          <w:lang w:val="zh-CN"/>
        </w:rPr>
      </w:pPr>
      <w:r>
        <w:rPr>
          <w:rFonts w:hint="eastAsia" w:ascii="宋体" w:hAnsi="宋体" w:cs="宋体"/>
          <w:b/>
          <w:bCs/>
          <w:color w:val="auto"/>
          <w:sz w:val="18"/>
          <w:lang w:val="zh-CN"/>
        </w:rPr>
        <w:t>注： 1、“√”为合格，“╳”为不合格。</w:t>
      </w:r>
    </w:p>
    <w:p w14:paraId="5E0319A0">
      <w:pPr>
        <w:spacing w:line="360" w:lineRule="auto"/>
        <w:ind w:firstLine="450" w:firstLineChars="250"/>
        <w:jc w:val="left"/>
        <w:rPr>
          <w:rFonts w:ascii="宋体" w:hAnsi="宋体" w:cs="宋体"/>
          <w:b/>
          <w:bCs/>
          <w:color w:val="auto"/>
          <w:sz w:val="18"/>
          <w:lang w:val="zh-CN"/>
        </w:rPr>
      </w:pPr>
      <w:r>
        <w:rPr>
          <w:rFonts w:hint="eastAsia" w:ascii="宋体" w:hAnsi="宋体" w:cs="宋体"/>
          <w:b/>
          <w:bCs/>
          <w:color w:val="auto"/>
          <w:sz w:val="18"/>
          <w:lang w:val="zh-CN"/>
        </w:rPr>
        <w:t>2、评标委员会依据初步评审表规定的标准对响应文件进行初步评审。有一项不符合评审标准的，作废标处理。</w:t>
      </w:r>
    </w:p>
    <w:p w14:paraId="115C1E03">
      <w:pPr>
        <w:spacing w:line="360" w:lineRule="auto"/>
        <w:ind w:firstLine="360" w:firstLineChars="200"/>
        <w:jc w:val="left"/>
        <w:rPr>
          <w:rFonts w:ascii="宋体" w:hAnsi="宋体"/>
          <w:b/>
          <w:color w:val="auto"/>
          <w:sz w:val="18"/>
        </w:rPr>
        <w:sectPr>
          <w:headerReference r:id="rId5" w:type="first"/>
          <w:footerReference r:id="rId7" w:type="first"/>
          <w:headerReference r:id="rId4" w:type="default"/>
          <w:footerReference r:id="rId6" w:type="default"/>
          <w:pgSz w:w="11906" w:h="16838"/>
          <w:pgMar w:top="1440" w:right="1080" w:bottom="1440" w:left="1080" w:header="851" w:footer="992" w:gutter="0"/>
          <w:cols w:space="720" w:num="1"/>
          <w:titlePg/>
          <w:docGrid w:type="linesAndChars" w:linePitch="312" w:charSpace="0"/>
        </w:sectPr>
      </w:pPr>
    </w:p>
    <w:p w14:paraId="7A154B42">
      <w:pPr>
        <w:jc w:val="center"/>
        <w:rPr>
          <w:rFonts w:ascii="宋体" w:hAnsi="宋体"/>
          <w:color w:val="auto"/>
          <w:szCs w:val="21"/>
        </w:rPr>
      </w:pPr>
      <w:r>
        <w:rPr>
          <w:rFonts w:hint="eastAsia" w:ascii="宋体" w:hAnsi="宋体"/>
          <w:b/>
          <w:color w:val="auto"/>
          <w:sz w:val="32"/>
          <w:szCs w:val="32"/>
        </w:rPr>
        <w:t>详细评审表</w:t>
      </w:r>
    </w:p>
    <w:p w14:paraId="4F369A83">
      <w:pPr>
        <w:rPr>
          <w:rFonts w:ascii="宋体" w:hAnsi="宋体"/>
          <w:color w:val="auto"/>
          <w:szCs w:val="21"/>
        </w:rPr>
      </w:pPr>
    </w:p>
    <w:tbl>
      <w:tblPr>
        <w:tblStyle w:val="33"/>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28"/>
        <w:gridCol w:w="7087"/>
      </w:tblGrid>
      <w:tr w14:paraId="144F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98" w:type="dxa"/>
            <w:gridSpan w:val="2"/>
            <w:vAlign w:val="center"/>
          </w:tcPr>
          <w:p w14:paraId="0C379D46">
            <w:pPr>
              <w:widowControl/>
              <w:spacing w:line="240" w:lineRule="exact"/>
              <w:jc w:val="center"/>
              <w:rPr>
                <w:rFonts w:ascii="宋体" w:hAnsi="宋体" w:cs="宋体"/>
                <w:b/>
                <w:color w:val="auto"/>
                <w:kern w:val="0"/>
                <w:szCs w:val="21"/>
              </w:rPr>
            </w:pPr>
            <w:r>
              <w:rPr>
                <w:rFonts w:hint="eastAsia" w:ascii="宋体" w:hAnsi="宋体" w:cs="宋体"/>
                <w:b/>
                <w:color w:val="auto"/>
                <w:kern w:val="0"/>
                <w:szCs w:val="21"/>
              </w:rPr>
              <w:t>评审项目</w:t>
            </w:r>
          </w:p>
        </w:tc>
        <w:tc>
          <w:tcPr>
            <w:tcW w:w="7087" w:type="dxa"/>
            <w:vAlign w:val="center"/>
          </w:tcPr>
          <w:p w14:paraId="797E8136">
            <w:pPr>
              <w:spacing w:line="240" w:lineRule="exact"/>
              <w:jc w:val="center"/>
              <w:rPr>
                <w:rFonts w:ascii="宋体" w:hAnsi="宋体" w:cs="宋体"/>
                <w:b/>
                <w:color w:val="auto"/>
                <w:kern w:val="0"/>
                <w:szCs w:val="21"/>
              </w:rPr>
            </w:pPr>
            <w:r>
              <w:rPr>
                <w:rFonts w:hint="eastAsia" w:ascii="宋体" w:hAnsi="宋体" w:cs="宋体"/>
                <w:b/>
                <w:color w:val="auto"/>
                <w:kern w:val="0"/>
                <w:szCs w:val="21"/>
              </w:rPr>
              <w:t>评审内容</w:t>
            </w:r>
          </w:p>
        </w:tc>
      </w:tr>
      <w:tr w14:paraId="785E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870" w:type="dxa"/>
            <w:vMerge w:val="restart"/>
            <w:vAlign w:val="center"/>
          </w:tcPr>
          <w:p w14:paraId="7C130E42">
            <w:pPr>
              <w:widowControl/>
              <w:jc w:val="center"/>
              <w:rPr>
                <w:rFonts w:ascii="宋体" w:hAnsi="宋体" w:cs="宋体"/>
                <w:color w:val="auto"/>
                <w:kern w:val="0"/>
                <w:szCs w:val="21"/>
              </w:rPr>
            </w:pPr>
            <w:r>
              <w:rPr>
                <w:rFonts w:hint="eastAsia" w:ascii="宋体" w:hAnsi="宋体" w:cs="宋体"/>
                <w:color w:val="auto"/>
                <w:kern w:val="0"/>
                <w:szCs w:val="21"/>
              </w:rPr>
              <w:t>商务部分</w:t>
            </w:r>
          </w:p>
          <w:p w14:paraId="790AA1D2">
            <w:pPr>
              <w:widowControl/>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50</w:t>
            </w:r>
            <w:r>
              <w:rPr>
                <w:rFonts w:hint="eastAsia" w:ascii="宋体" w:hAnsi="宋体" w:cs="宋体"/>
                <w:color w:val="auto"/>
                <w:kern w:val="0"/>
                <w:szCs w:val="21"/>
              </w:rPr>
              <w:t>分）</w:t>
            </w:r>
          </w:p>
          <w:p w14:paraId="4ADB2A00">
            <w:pPr>
              <w:widowControl/>
              <w:jc w:val="center"/>
              <w:rPr>
                <w:rFonts w:ascii="宋体" w:hAnsi="宋体" w:cs="宋体"/>
                <w:color w:val="auto"/>
                <w:kern w:val="0"/>
                <w:szCs w:val="21"/>
              </w:rPr>
            </w:pPr>
          </w:p>
        </w:tc>
        <w:tc>
          <w:tcPr>
            <w:tcW w:w="1428" w:type="dxa"/>
            <w:vAlign w:val="center"/>
          </w:tcPr>
          <w:p w14:paraId="699EACA1">
            <w:pPr>
              <w:spacing w:line="320" w:lineRule="exact"/>
              <w:jc w:val="center"/>
              <w:rPr>
                <w:rFonts w:hint="eastAsia" w:ascii="宋体" w:hAnsi="宋体"/>
                <w:color w:val="auto"/>
                <w:szCs w:val="21"/>
              </w:rPr>
            </w:pPr>
            <w:r>
              <w:rPr>
                <w:rFonts w:hint="eastAsia" w:ascii="宋体" w:hAnsi="宋体"/>
                <w:color w:val="auto"/>
                <w:szCs w:val="21"/>
              </w:rPr>
              <w:t>最终报价</w:t>
            </w:r>
          </w:p>
          <w:p w14:paraId="4D30A9F6">
            <w:pPr>
              <w:spacing w:line="320" w:lineRule="exact"/>
              <w:jc w:val="center"/>
              <w:rPr>
                <w:rFonts w:ascii="宋体" w:hAnsi="宋体"/>
                <w:color w:val="auto"/>
                <w:kern w:val="0"/>
                <w:szCs w:val="21"/>
              </w:rPr>
            </w:pPr>
            <w:r>
              <w:rPr>
                <w:rFonts w:hint="eastAsia" w:ascii="宋体" w:hAnsi="宋体" w:cs="宋体"/>
                <w:color w:val="auto"/>
                <w:szCs w:val="21"/>
              </w:rPr>
              <w:t>（</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7087" w:type="dxa"/>
            <w:vAlign w:val="center"/>
          </w:tcPr>
          <w:p w14:paraId="1514254C">
            <w:pPr>
              <w:pStyle w:val="18"/>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磋商小组应当要求所有形式、资格、响应性评审合格的供应商在规定时间内提交第二轮磋商报价（最终报价），第二轮磋商报价（最终报价）是供应商响应文件的有效组成部分。</w:t>
            </w:r>
          </w:p>
          <w:p w14:paraId="4DF2FD5E">
            <w:pPr>
              <w:pStyle w:val="18"/>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磋商实行二轮报价法，第二轮报价为最终报价。供应商的首轮报价不得超过最高限价。参加磋商的供应商第二轮磋商报价不得高于其首轮报价，第二轮磋商报价（最终报价）不得高于其第二轮报价，否则磋商小组有权据此确定其为无效报价，提交第二轮磋商报价（最终报价）的供应商不得少于法定家数。</w:t>
            </w:r>
          </w:p>
          <w:p w14:paraId="3128B59B">
            <w:pPr>
              <w:pStyle w:val="18"/>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综合评分法中价格分统一采用低价优先法计算，即满足磋商文件要求且磋商价格最低的第二轮磋商报价（最终报价）为评标基准价，其价格分为满分。其他供应商的价格分统一按照下列公式计算：</w:t>
            </w:r>
          </w:p>
          <w:p w14:paraId="51E444C8">
            <w:pPr>
              <w:pStyle w:val="18"/>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评标基准价=进入报价评审二次报价（最终报价）的所有供应商磋商总报价中的最低值。</w:t>
            </w:r>
          </w:p>
          <w:p w14:paraId="0CDBF647">
            <w:pPr>
              <w:pStyle w:val="18"/>
              <w:rPr>
                <w:rFonts w:hint="eastAsia" w:ascii="宋体" w:hAnsi="宋体" w:eastAsia="宋体" w:cs="微软雅黑"/>
                <w:color w:val="auto"/>
                <w:kern w:val="2"/>
                <w:sz w:val="21"/>
                <w:szCs w:val="21"/>
                <w:lang w:val="en-US" w:eastAsia="zh-CN" w:bidi="ar-SA"/>
              </w:rPr>
            </w:pPr>
            <w:r>
              <w:rPr>
                <w:rFonts w:hint="eastAsia" w:ascii="宋体" w:hAnsi="宋体" w:eastAsia="宋体" w:cs="微软雅黑"/>
                <w:color w:val="auto"/>
                <w:kern w:val="2"/>
                <w:sz w:val="21"/>
                <w:szCs w:val="21"/>
                <w:lang w:val="en-US" w:eastAsia="zh-CN" w:bidi="ar-SA"/>
              </w:rPr>
              <w:t>磋商报价得分值 =（评审基准价÷磋商报价）×</w:t>
            </w:r>
            <w:r>
              <w:rPr>
                <w:rFonts w:hint="eastAsia" w:ascii="宋体" w:hAnsi="宋体" w:cs="微软雅黑"/>
                <w:color w:val="auto"/>
                <w:kern w:val="2"/>
                <w:sz w:val="21"/>
                <w:szCs w:val="21"/>
                <w:lang w:val="en-US" w:eastAsia="zh-CN" w:bidi="ar-SA"/>
              </w:rPr>
              <w:t>30</w:t>
            </w:r>
            <w:r>
              <w:rPr>
                <w:rFonts w:hint="eastAsia" w:ascii="宋体" w:hAnsi="宋体" w:eastAsia="宋体" w:cs="微软雅黑"/>
                <w:color w:val="auto"/>
                <w:kern w:val="2"/>
                <w:sz w:val="21"/>
                <w:szCs w:val="21"/>
                <w:lang w:val="en-US" w:eastAsia="zh-CN" w:bidi="ar-SA"/>
              </w:rPr>
              <w:t>%×100</w:t>
            </w:r>
          </w:p>
          <w:p w14:paraId="7DA060BE">
            <w:pPr>
              <w:rPr>
                <w:color w:val="auto"/>
              </w:rPr>
            </w:pPr>
            <w:r>
              <w:rPr>
                <w:rFonts w:hint="eastAsia"/>
                <w:color w:val="auto"/>
              </w:rPr>
              <w:t>本项目的扣除比例为：小型企业扣除</w:t>
            </w:r>
            <w:r>
              <w:rPr>
                <w:rFonts w:hint="eastAsia"/>
                <w:color w:val="auto"/>
                <w:lang w:val="en-US" w:eastAsia="zh-CN"/>
              </w:rPr>
              <w:t>10</w:t>
            </w:r>
            <w:r>
              <w:rPr>
                <w:rFonts w:hint="eastAsia"/>
                <w:color w:val="auto"/>
              </w:rPr>
              <w:t>%，微型企业扣除</w:t>
            </w:r>
            <w:r>
              <w:rPr>
                <w:rFonts w:hint="eastAsia"/>
                <w:color w:val="auto"/>
                <w:lang w:val="en-US" w:eastAsia="zh-CN"/>
              </w:rPr>
              <w:t>10</w:t>
            </w:r>
            <w:r>
              <w:rPr>
                <w:rFonts w:hint="eastAsia"/>
                <w:color w:val="auto"/>
              </w:rPr>
              <w:t>%。（</w:t>
            </w:r>
            <w:r>
              <w:rPr>
                <w:rFonts w:hint="eastAsia"/>
                <w:color w:val="auto"/>
                <w:lang w:eastAsia="zh-CN"/>
              </w:rPr>
              <w:t>供应商</w:t>
            </w:r>
            <w:r>
              <w:rPr>
                <w:rFonts w:hint="eastAsia"/>
                <w:color w:val="auto"/>
              </w:rPr>
              <w:t>需提供中小型、微型企业声明函）。</w:t>
            </w:r>
          </w:p>
        </w:tc>
      </w:tr>
      <w:tr w14:paraId="0233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70" w:type="dxa"/>
            <w:vMerge w:val="continue"/>
            <w:vAlign w:val="center"/>
          </w:tcPr>
          <w:p w14:paraId="4B4E8F08">
            <w:pPr>
              <w:widowControl/>
              <w:jc w:val="center"/>
              <w:rPr>
                <w:rFonts w:ascii="宋体" w:hAnsi="宋体" w:cs="宋体"/>
                <w:color w:val="auto"/>
                <w:kern w:val="0"/>
                <w:szCs w:val="21"/>
              </w:rPr>
            </w:pPr>
          </w:p>
        </w:tc>
        <w:tc>
          <w:tcPr>
            <w:tcW w:w="1428" w:type="dxa"/>
            <w:vAlign w:val="center"/>
          </w:tcPr>
          <w:p w14:paraId="1AA7E669">
            <w:pPr>
              <w:widowControl/>
              <w:jc w:val="center"/>
              <w:rPr>
                <w:rFonts w:ascii="宋体" w:hAnsi="宋体"/>
                <w:color w:val="auto"/>
                <w:kern w:val="0"/>
                <w:szCs w:val="21"/>
              </w:rPr>
            </w:pPr>
            <w:r>
              <w:rPr>
                <w:rFonts w:hint="eastAsia" w:ascii="宋体" w:hAnsi="宋体"/>
                <w:color w:val="auto"/>
                <w:kern w:val="0"/>
                <w:szCs w:val="21"/>
              </w:rPr>
              <w:t>同类或类似业绩（</w:t>
            </w:r>
            <w:r>
              <w:rPr>
                <w:rFonts w:hint="eastAsia" w:ascii="宋体" w:hAnsi="宋体"/>
                <w:color w:val="auto"/>
                <w:kern w:val="0"/>
                <w:szCs w:val="21"/>
                <w:lang w:val="en-US" w:eastAsia="zh-CN"/>
              </w:rPr>
              <w:t>20</w:t>
            </w:r>
            <w:r>
              <w:rPr>
                <w:rFonts w:hint="eastAsia" w:ascii="宋体" w:hAnsi="宋体"/>
                <w:color w:val="auto"/>
                <w:kern w:val="0"/>
                <w:szCs w:val="21"/>
              </w:rPr>
              <w:t>分）</w:t>
            </w:r>
          </w:p>
        </w:tc>
        <w:tc>
          <w:tcPr>
            <w:tcW w:w="7087" w:type="dxa"/>
            <w:vAlign w:val="center"/>
          </w:tcPr>
          <w:p w14:paraId="61D682B0">
            <w:pPr>
              <w:rPr>
                <w:rFonts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近年</w:t>
            </w:r>
            <w:r>
              <w:rPr>
                <w:rFonts w:hint="eastAsia" w:ascii="宋体" w:hAnsi="宋体"/>
                <w:color w:val="auto"/>
                <w:szCs w:val="20"/>
              </w:rPr>
              <w:t>（</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月1日</w:t>
            </w:r>
            <w:r>
              <w:rPr>
                <w:rFonts w:hint="eastAsia" w:ascii="宋体" w:hAnsi="宋体" w:cs="宋体"/>
                <w:color w:val="auto"/>
                <w:szCs w:val="21"/>
              </w:rPr>
              <w:t>至投标截止时间</w:t>
            </w:r>
            <w:r>
              <w:rPr>
                <w:rFonts w:hint="eastAsia" w:ascii="宋体" w:hAnsi="宋体"/>
                <w:color w:val="auto"/>
                <w:szCs w:val="20"/>
              </w:rPr>
              <w:t>）完成过同类或类似项目业绩</w:t>
            </w:r>
            <w:r>
              <w:rPr>
                <w:rFonts w:hint="eastAsia" w:ascii="宋体" w:hAnsi="宋体"/>
                <w:color w:val="auto"/>
                <w:szCs w:val="21"/>
              </w:rPr>
              <w:t>，</w:t>
            </w:r>
            <w:r>
              <w:rPr>
                <w:rFonts w:hint="eastAsia" w:ascii="宋体" w:hAnsi="宋体"/>
                <w:color w:val="auto"/>
                <w:szCs w:val="21"/>
                <w:lang w:eastAsia="zh-CN"/>
              </w:rPr>
              <w:t>每提供</w:t>
            </w:r>
            <w:r>
              <w:rPr>
                <w:rFonts w:hint="eastAsia" w:ascii="宋体" w:hAnsi="宋体"/>
                <w:color w:val="auto"/>
                <w:szCs w:val="21"/>
              </w:rPr>
              <w:t>一项得5分，满分</w:t>
            </w:r>
            <w:r>
              <w:rPr>
                <w:rFonts w:hint="eastAsia" w:ascii="宋体" w:hAnsi="宋体"/>
                <w:color w:val="auto"/>
                <w:szCs w:val="21"/>
                <w:lang w:val="en-US" w:eastAsia="zh-CN"/>
              </w:rPr>
              <w:t>20</w:t>
            </w:r>
            <w:r>
              <w:rPr>
                <w:rFonts w:hint="eastAsia" w:ascii="宋体" w:hAnsi="宋体"/>
                <w:color w:val="auto"/>
                <w:szCs w:val="21"/>
              </w:rPr>
              <w:t>分。</w:t>
            </w:r>
            <w:r>
              <w:rPr>
                <w:rFonts w:hint="eastAsia" w:ascii="宋体" w:hAnsi="宋体" w:cs="宋体"/>
                <w:b/>
                <w:color w:val="auto"/>
                <w:szCs w:val="21"/>
                <w:lang w:val="zh-CN"/>
              </w:rPr>
              <w:t>提供中标通知书或合同原件，标书内附复印件。</w:t>
            </w:r>
          </w:p>
        </w:tc>
      </w:tr>
      <w:tr w14:paraId="72A8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70" w:type="dxa"/>
            <w:vMerge w:val="restart"/>
            <w:vAlign w:val="center"/>
          </w:tcPr>
          <w:p w14:paraId="36ACC7F4">
            <w:pPr>
              <w:widowControl/>
              <w:jc w:val="center"/>
              <w:rPr>
                <w:rFonts w:ascii="宋体" w:hAnsi="宋体" w:cs="宋体"/>
                <w:color w:val="auto"/>
                <w:kern w:val="0"/>
                <w:szCs w:val="21"/>
              </w:rPr>
            </w:pPr>
            <w:r>
              <w:rPr>
                <w:rFonts w:hint="eastAsia" w:ascii="宋体" w:hAnsi="宋体" w:cs="宋体"/>
                <w:color w:val="auto"/>
                <w:kern w:val="0"/>
                <w:szCs w:val="21"/>
              </w:rPr>
              <w:t>技术部分</w:t>
            </w:r>
          </w:p>
          <w:p w14:paraId="4321950D">
            <w:pPr>
              <w:widowControl/>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0分）</w:t>
            </w:r>
          </w:p>
        </w:tc>
        <w:tc>
          <w:tcPr>
            <w:tcW w:w="1428" w:type="dxa"/>
            <w:vAlign w:val="center"/>
          </w:tcPr>
          <w:p w14:paraId="2A95C429">
            <w:pPr>
              <w:spacing w:line="276" w:lineRule="auto"/>
              <w:jc w:val="center"/>
              <w:rPr>
                <w:rFonts w:hint="eastAsia" w:ascii="宋体" w:hAnsi="宋体"/>
                <w:color w:val="auto"/>
                <w:szCs w:val="21"/>
              </w:rPr>
            </w:pPr>
            <w:r>
              <w:rPr>
                <w:rFonts w:hint="eastAsia" w:ascii="宋体" w:hAnsi="宋体"/>
                <w:color w:val="auto"/>
                <w:szCs w:val="21"/>
              </w:rPr>
              <w:t>服务方案</w:t>
            </w:r>
          </w:p>
          <w:p w14:paraId="0604D6EA">
            <w:pPr>
              <w:spacing w:line="276" w:lineRule="auto"/>
              <w:jc w:val="center"/>
              <w:rPr>
                <w:rFonts w:ascii="宋体" w:hAnsi="宋体"/>
                <w:color w:val="auto"/>
                <w:kern w:val="0"/>
                <w:szCs w:val="21"/>
              </w:rPr>
            </w:pP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分）</w:t>
            </w:r>
          </w:p>
        </w:tc>
        <w:tc>
          <w:tcPr>
            <w:tcW w:w="7087" w:type="dxa"/>
            <w:vAlign w:val="center"/>
          </w:tcPr>
          <w:p w14:paraId="5D8036D2">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根据供应商针对本项目所提供的</w:t>
            </w:r>
            <w:r>
              <w:rPr>
                <w:rFonts w:hint="eastAsia" w:ascii="宋体" w:hAnsi="宋体" w:cs="宋体"/>
                <w:color w:val="auto"/>
                <w:sz w:val="21"/>
                <w:szCs w:val="21"/>
                <w:highlight w:val="none"/>
                <w:lang w:eastAsia="zh-CN"/>
              </w:rPr>
              <w:t>服务方案</w:t>
            </w:r>
            <w:r>
              <w:rPr>
                <w:rFonts w:hint="eastAsia" w:ascii="宋体" w:hAnsi="宋体" w:cs="宋体"/>
                <w:color w:val="auto"/>
                <w:sz w:val="21"/>
                <w:szCs w:val="21"/>
                <w:highlight w:val="none"/>
              </w:rPr>
              <w:t>进行综合评审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包含但不限于以下几个方面：</w:t>
            </w:r>
          </w:p>
          <w:p w14:paraId="5BB2649F">
            <w:pPr>
              <w:numPr>
                <w:ilvl w:val="0"/>
                <w:numId w:val="1"/>
              </w:num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服务方式</w:t>
            </w:r>
            <w:r>
              <w:rPr>
                <w:rFonts w:hint="eastAsia" w:ascii="宋体" w:hAnsi="宋体" w:cs="宋体"/>
                <w:color w:val="auto"/>
                <w:sz w:val="21"/>
                <w:szCs w:val="21"/>
                <w:highlight w:val="none"/>
              </w:rPr>
              <w:t>；</w:t>
            </w:r>
          </w:p>
          <w:p w14:paraId="4974D8C7">
            <w:pPr>
              <w:numPr>
                <w:ilvl w:val="0"/>
                <w:numId w:val="1"/>
              </w:num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服务措施；</w:t>
            </w:r>
          </w:p>
          <w:p w14:paraId="4411415C">
            <w:pPr>
              <w:keepNext/>
              <w:overflowPunct w:val="0"/>
              <w:spacing w:line="276" w:lineRule="auto"/>
              <w:rPr>
                <w:rFonts w:ascii="宋体" w:hAnsi="宋体" w:cs="微软雅黑"/>
                <w:color w:val="auto"/>
                <w:szCs w:val="21"/>
              </w:rPr>
            </w:pPr>
            <w:r>
              <w:rPr>
                <w:rFonts w:hint="eastAsia" w:ascii="宋体" w:hAnsi="宋体" w:cs="宋体"/>
                <w:color w:val="auto"/>
                <w:sz w:val="21"/>
                <w:szCs w:val="21"/>
                <w:highlight w:val="none"/>
              </w:rPr>
              <w:t>以上</w:t>
            </w:r>
            <w:r>
              <w:rPr>
                <w:rFonts w:hint="eastAsia" w:ascii="宋体" w:hAnsi="宋体" w:cs="宋体"/>
                <w:color w:val="auto"/>
                <w:sz w:val="21"/>
                <w:szCs w:val="21"/>
                <w:highlight w:val="none"/>
                <w:lang w:eastAsia="zh-CN"/>
              </w:rPr>
              <w:t>两</w:t>
            </w:r>
            <w:r>
              <w:rPr>
                <w:rFonts w:hint="eastAsia" w:ascii="宋体" w:hAnsi="宋体" w:cs="宋体"/>
                <w:color w:val="auto"/>
                <w:sz w:val="21"/>
                <w:szCs w:val="21"/>
                <w:highlight w:val="none"/>
              </w:rPr>
              <w:t>项内容每提供一小项内容适用于项目且无缺失的方案得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有一项不合理扣</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rPr>
              <w:t>，满分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分，未提供的得0分。（缺失是指：不符合实际，存在偏离内容、内容前后不一致、文不对题、前后逻辑错误、内容缺失有瑕疵、无具体流程细节描述之处）</w:t>
            </w:r>
          </w:p>
        </w:tc>
      </w:tr>
      <w:tr w14:paraId="3E56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70" w:type="dxa"/>
            <w:vMerge w:val="continue"/>
            <w:vAlign w:val="center"/>
          </w:tcPr>
          <w:p w14:paraId="50D307BC">
            <w:pPr>
              <w:widowControl/>
              <w:jc w:val="center"/>
              <w:rPr>
                <w:rFonts w:ascii="宋体" w:hAnsi="宋体" w:cs="宋体"/>
                <w:color w:val="auto"/>
                <w:kern w:val="0"/>
                <w:szCs w:val="21"/>
              </w:rPr>
            </w:pPr>
          </w:p>
        </w:tc>
        <w:tc>
          <w:tcPr>
            <w:tcW w:w="1428" w:type="dxa"/>
            <w:vAlign w:val="center"/>
          </w:tcPr>
          <w:p w14:paraId="15BC0975">
            <w:pPr>
              <w:spacing w:line="276" w:lineRule="auto"/>
              <w:jc w:val="center"/>
              <w:rPr>
                <w:rFonts w:hint="eastAsia" w:ascii="宋体" w:hAnsi="宋体" w:eastAsia="宋体"/>
                <w:color w:val="auto"/>
                <w:szCs w:val="21"/>
                <w:lang w:eastAsia="zh-CN"/>
              </w:rPr>
            </w:pPr>
            <w:r>
              <w:rPr>
                <w:rFonts w:hint="eastAsia" w:ascii="宋体" w:hAnsi="宋体"/>
                <w:color w:val="auto"/>
                <w:szCs w:val="21"/>
              </w:rPr>
              <w:t>服务</w:t>
            </w:r>
            <w:r>
              <w:rPr>
                <w:rFonts w:hint="eastAsia" w:ascii="宋体" w:hAnsi="宋体"/>
                <w:color w:val="auto"/>
                <w:szCs w:val="21"/>
                <w:lang w:eastAsia="zh-CN"/>
              </w:rPr>
              <w:t>程序管理</w:t>
            </w:r>
          </w:p>
          <w:p w14:paraId="21088238">
            <w:pPr>
              <w:spacing w:line="276" w:lineRule="auto"/>
              <w:jc w:val="center"/>
              <w:rPr>
                <w:color w:val="auto"/>
                <w:kern w:val="0"/>
              </w:rPr>
            </w:pP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分）</w:t>
            </w:r>
          </w:p>
        </w:tc>
        <w:tc>
          <w:tcPr>
            <w:tcW w:w="7087" w:type="dxa"/>
            <w:vAlign w:val="center"/>
          </w:tcPr>
          <w:p w14:paraId="08E3BDD8">
            <w:pPr>
              <w:keepNext/>
              <w:overflowPunct w:val="0"/>
              <w:spacing w:line="276" w:lineRule="auto"/>
              <w:rPr>
                <w:rFonts w:hint="eastAsia" w:cs="微软雅黑"/>
                <w:color w:val="auto"/>
                <w:lang w:eastAsia="zh-CN"/>
              </w:rPr>
            </w:pPr>
            <w:r>
              <w:rPr>
                <w:rFonts w:hint="eastAsia" w:cs="微软雅黑"/>
                <w:color w:val="auto"/>
                <w:lang w:eastAsia="zh-CN"/>
              </w:rPr>
              <w:t>针对本项目制定服务程序管理措施，横向比较各供应商的阐述：</w:t>
            </w:r>
          </w:p>
          <w:p w14:paraId="6121C982">
            <w:pPr>
              <w:keepNext/>
              <w:overflowPunct w:val="0"/>
              <w:spacing w:line="276" w:lineRule="auto"/>
              <w:rPr>
                <w:rFonts w:hint="eastAsia" w:cs="微软雅黑"/>
                <w:color w:val="auto"/>
                <w:lang w:eastAsia="zh-CN"/>
              </w:rPr>
            </w:pPr>
            <w:r>
              <w:rPr>
                <w:rFonts w:hint="eastAsia" w:cs="微软雅黑"/>
                <w:color w:val="auto"/>
                <w:lang w:eastAsia="zh-CN"/>
              </w:rPr>
              <w:t>服务程序内容详细、完善、合理得10分；</w:t>
            </w:r>
          </w:p>
          <w:p w14:paraId="050943BE">
            <w:pPr>
              <w:keepNext/>
              <w:overflowPunct w:val="0"/>
              <w:spacing w:line="276" w:lineRule="auto"/>
              <w:rPr>
                <w:rFonts w:hint="eastAsia" w:cs="微软雅黑"/>
                <w:color w:val="auto"/>
                <w:lang w:eastAsia="zh-CN"/>
              </w:rPr>
            </w:pPr>
            <w:r>
              <w:rPr>
                <w:rFonts w:hint="eastAsia" w:cs="微软雅黑"/>
                <w:color w:val="auto"/>
                <w:lang w:eastAsia="zh-CN"/>
              </w:rPr>
              <w:t>服务程序内容架构完整，合理性一般得8分；</w:t>
            </w:r>
          </w:p>
          <w:p w14:paraId="4198B627">
            <w:pPr>
              <w:keepNext/>
              <w:overflowPunct w:val="0"/>
              <w:spacing w:line="276" w:lineRule="auto"/>
              <w:rPr>
                <w:rFonts w:hint="eastAsia" w:cs="微软雅黑"/>
                <w:color w:val="auto"/>
                <w:lang w:eastAsia="zh-CN"/>
              </w:rPr>
            </w:pPr>
            <w:r>
              <w:rPr>
                <w:rFonts w:hint="eastAsia" w:cs="微软雅黑"/>
                <w:color w:val="auto"/>
                <w:lang w:eastAsia="zh-CN"/>
              </w:rPr>
              <w:t>服务程序缺乏完整、合理性不足得6分；</w:t>
            </w:r>
          </w:p>
          <w:p w14:paraId="2348D064">
            <w:pPr>
              <w:keepNext/>
              <w:overflowPunct w:val="0"/>
              <w:spacing w:line="276" w:lineRule="auto"/>
              <w:rPr>
                <w:rFonts w:hint="eastAsia" w:cs="微软雅黑"/>
                <w:color w:val="auto"/>
                <w:lang w:eastAsia="zh-CN"/>
              </w:rPr>
            </w:pPr>
            <w:r>
              <w:rPr>
                <w:rFonts w:hint="eastAsia" w:cs="微软雅黑"/>
                <w:color w:val="auto"/>
                <w:lang w:eastAsia="zh-CN"/>
              </w:rPr>
              <w:t>服务程序与本项目不匹配得4分；</w:t>
            </w:r>
          </w:p>
          <w:p w14:paraId="45CCF50B">
            <w:pPr>
              <w:keepNext/>
              <w:overflowPunct w:val="0"/>
              <w:spacing w:line="276" w:lineRule="auto"/>
              <w:rPr>
                <w:rFonts w:cs="微软雅黑"/>
                <w:color w:val="auto"/>
                <w:lang w:eastAsia="zh-CN"/>
              </w:rPr>
            </w:pPr>
            <w:r>
              <w:rPr>
                <w:rFonts w:hint="eastAsia" w:cs="微软雅黑"/>
                <w:color w:val="auto"/>
                <w:lang w:eastAsia="zh-CN"/>
              </w:rPr>
              <w:t>不提供不得分。</w:t>
            </w:r>
          </w:p>
        </w:tc>
      </w:tr>
      <w:tr w14:paraId="6A88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70" w:type="dxa"/>
            <w:vMerge w:val="continue"/>
            <w:vAlign w:val="center"/>
          </w:tcPr>
          <w:p w14:paraId="67D0DB92">
            <w:pPr>
              <w:widowControl/>
              <w:jc w:val="center"/>
              <w:rPr>
                <w:rFonts w:ascii="宋体" w:hAnsi="宋体" w:cs="宋体"/>
                <w:color w:val="auto"/>
                <w:kern w:val="0"/>
                <w:szCs w:val="21"/>
              </w:rPr>
            </w:pPr>
          </w:p>
        </w:tc>
        <w:tc>
          <w:tcPr>
            <w:tcW w:w="1428" w:type="dxa"/>
            <w:vAlign w:val="center"/>
          </w:tcPr>
          <w:p w14:paraId="6392FC1B">
            <w:pPr>
              <w:keepNext w:val="0"/>
              <w:keepLines w:val="0"/>
              <w:pageBreakBefore w:val="0"/>
              <w:widowControl w:val="0"/>
              <w:kinsoku/>
              <w:wordWrap/>
              <w:overflowPunct/>
              <w:topLinePunct w:val="0"/>
              <w:autoSpaceDE/>
              <w:autoSpaceDN/>
              <w:bidi w:val="0"/>
              <w:adjustRightInd/>
              <w:snapToGrid/>
              <w:spacing w:afterAutospacing="0" w:line="240" w:lineRule="exact"/>
              <w:jc w:val="center"/>
              <w:textAlignment w:val="auto"/>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服务进度及质量控制方案</w:t>
            </w:r>
          </w:p>
          <w:p w14:paraId="47F7430B">
            <w:pPr>
              <w:keepNext w:val="0"/>
              <w:keepLines w:val="0"/>
              <w:pageBreakBefore w:val="0"/>
              <w:widowControl w:val="0"/>
              <w:kinsoku/>
              <w:wordWrap/>
              <w:overflowPunct/>
              <w:topLinePunct w:val="0"/>
              <w:autoSpaceDE/>
              <w:autoSpaceDN/>
              <w:bidi w:val="0"/>
              <w:adjustRightInd/>
              <w:snapToGrid/>
              <w:spacing w:afterAutospacing="0" w:line="240" w:lineRule="exact"/>
              <w:jc w:val="center"/>
              <w:textAlignment w:val="auto"/>
              <w:rPr>
                <w:color w:val="auto"/>
                <w:spacing w:val="-12"/>
              </w:rPr>
            </w:pPr>
            <w:r>
              <w:rPr>
                <w:rFonts w:hint="eastAsia" w:ascii="宋体" w:hAnsi="宋体" w:eastAsia="宋体" w:cs="宋体"/>
                <w:b w:val="0"/>
                <w:bCs w:val="0"/>
                <w:color w:val="auto"/>
                <w:spacing w:val="-6"/>
                <w:sz w:val="21"/>
                <w:szCs w:val="21"/>
                <w:lang w:val="en-US" w:eastAsia="zh-CN"/>
              </w:rPr>
              <w:t>（10分）</w:t>
            </w:r>
          </w:p>
        </w:tc>
        <w:tc>
          <w:tcPr>
            <w:tcW w:w="7087" w:type="dxa"/>
            <w:vAlign w:val="center"/>
          </w:tcPr>
          <w:p w14:paraId="1A14416C">
            <w:pPr>
              <w:keepNext/>
              <w:overflowPunct w:val="0"/>
              <w:spacing w:line="276" w:lineRule="auto"/>
              <w:rPr>
                <w:rFonts w:hint="eastAsia" w:ascii="Times New Roman" w:hAnsi="Times New Roman" w:eastAsia="宋体" w:cs="微软雅黑"/>
                <w:color w:val="auto"/>
                <w:lang w:val="zh-CN" w:eastAsia="zh-CN"/>
              </w:rPr>
            </w:pPr>
            <w:r>
              <w:rPr>
                <w:rFonts w:hint="eastAsia" w:ascii="Times New Roman" w:hAnsi="Times New Roman" w:eastAsia="宋体" w:cs="微软雅黑"/>
                <w:color w:val="auto"/>
                <w:lang w:val="zh-CN" w:eastAsia="zh-CN"/>
              </w:rPr>
              <w:t>针对本项目提供服务进度控制方案及质量控制方案，横向比较各供应商的阐述。</w:t>
            </w:r>
          </w:p>
          <w:p w14:paraId="07B6077B">
            <w:pPr>
              <w:keepNext/>
              <w:overflowPunct w:val="0"/>
              <w:spacing w:line="276" w:lineRule="auto"/>
              <w:rPr>
                <w:rFonts w:hint="eastAsia" w:ascii="Times New Roman" w:hAnsi="Times New Roman" w:eastAsia="宋体" w:cs="微软雅黑"/>
                <w:color w:val="auto"/>
                <w:lang w:val="zh-CN" w:eastAsia="zh-CN"/>
              </w:rPr>
            </w:pPr>
            <w:r>
              <w:rPr>
                <w:rFonts w:hint="eastAsia" w:ascii="Times New Roman" w:hAnsi="Times New Roman" w:eastAsia="宋体" w:cs="微软雅黑"/>
                <w:color w:val="auto"/>
                <w:lang w:val="en-US" w:eastAsia="zh-CN"/>
              </w:rPr>
              <w:t>服务</w:t>
            </w:r>
            <w:r>
              <w:rPr>
                <w:rFonts w:hint="eastAsia" w:ascii="Times New Roman" w:hAnsi="Times New Roman" w:eastAsia="宋体" w:cs="微软雅黑"/>
                <w:color w:val="auto"/>
                <w:lang w:val="zh-CN" w:eastAsia="zh-CN"/>
              </w:rPr>
              <w:t>进度</w:t>
            </w:r>
            <w:r>
              <w:rPr>
                <w:rFonts w:hint="eastAsia" w:ascii="Times New Roman" w:hAnsi="Times New Roman" w:eastAsia="宋体" w:cs="微软雅黑"/>
                <w:color w:val="auto"/>
                <w:lang w:val="en-US" w:eastAsia="zh-CN"/>
              </w:rPr>
              <w:t>及质量</w:t>
            </w:r>
            <w:r>
              <w:rPr>
                <w:rFonts w:hint="eastAsia" w:ascii="Times New Roman" w:hAnsi="Times New Roman" w:eastAsia="宋体" w:cs="微软雅黑"/>
                <w:color w:val="auto"/>
                <w:lang w:val="zh-CN" w:eastAsia="zh-CN"/>
              </w:rPr>
              <w:t>保证措施科学、合理、能有效的提高工作进度得</w:t>
            </w:r>
            <w:r>
              <w:rPr>
                <w:rFonts w:hint="eastAsia" w:ascii="Times New Roman" w:hAnsi="Times New Roman" w:eastAsia="宋体" w:cs="微软雅黑"/>
                <w:color w:val="auto"/>
                <w:lang w:val="en-US" w:eastAsia="zh-CN"/>
              </w:rPr>
              <w:t>10</w:t>
            </w:r>
            <w:r>
              <w:rPr>
                <w:rFonts w:hint="eastAsia" w:ascii="Times New Roman" w:hAnsi="Times New Roman" w:eastAsia="宋体" w:cs="微软雅黑"/>
                <w:color w:val="auto"/>
                <w:lang w:val="zh-CN" w:eastAsia="zh-CN"/>
              </w:rPr>
              <w:t>分；</w:t>
            </w:r>
          </w:p>
          <w:p w14:paraId="5ECB5B23">
            <w:pPr>
              <w:keepNext/>
              <w:overflowPunct w:val="0"/>
              <w:spacing w:line="276" w:lineRule="auto"/>
              <w:rPr>
                <w:rFonts w:hint="eastAsia" w:ascii="Times New Roman" w:hAnsi="Times New Roman" w:eastAsia="宋体" w:cs="微软雅黑"/>
                <w:color w:val="auto"/>
                <w:lang w:val="zh-CN" w:eastAsia="zh-CN"/>
              </w:rPr>
            </w:pPr>
            <w:r>
              <w:rPr>
                <w:rFonts w:hint="eastAsia" w:ascii="Times New Roman" w:hAnsi="Times New Roman" w:eastAsia="宋体" w:cs="微软雅黑"/>
                <w:color w:val="auto"/>
                <w:lang w:val="en-US" w:eastAsia="zh-CN"/>
              </w:rPr>
              <w:t>服务</w:t>
            </w:r>
            <w:r>
              <w:rPr>
                <w:rFonts w:hint="eastAsia" w:ascii="Times New Roman" w:hAnsi="Times New Roman" w:eastAsia="宋体" w:cs="微软雅黑"/>
                <w:color w:val="auto"/>
                <w:lang w:val="zh-CN" w:eastAsia="zh-CN"/>
              </w:rPr>
              <w:t>进度</w:t>
            </w:r>
            <w:r>
              <w:rPr>
                <w:rFonts w:hint="eastAsia" w:ascii="Times New Roman" w:hAnsi="Times New Roman" w:eastAsia="宋体" w:cs="微软雅黑"/>
                <w:color w:val="auto"/>
                <w:lang w:val="en-US" w:eastAsia="zh-CN"/>
              </w:rPr>
              <w:t>及质量</w:t>
            </w:r>
            <w:r>
              <w:rPr>
                <w:rFonts w:hint="eastAsia" w:ascii="Times New Roman" w:hAnsi="Times New Roman" w:eastAsia="宋体" w:cs="微软雅黑"/>
                <w:color w:val="auto"/>
                <w:lang w:val="zh-CN" w:eastAsia="zh-CN"/>
              </w:rPr>
              <w:t>保证措施内容基础架构</w:t>
            </w:r>
            <w:r>
              <w:rPr>
                <w:rFonts w:hint="eastAsia" w:ascii="Times New Roman" w:hAnsi="Times New Roman" w:eastAsia="宋体" w:cs="微软雅黑"/>
                <w:color w:val="auto"/>
                <w:lang w:val="en-US" w:eastAsia="zh-CN"/>
              </w:rPr>
              <w:t>较</w:t>
            </w:r>
            <w:r>
              <w:rPr>
                <w:rFonts w:hint="eastAsia" w:ascii="Times New Roman" w:hAnsi="Times New Roman" w:eastAsia="宋体" w:cs="微软雅黑"/>
                <w:color w:val="auto"/>
                <w:lang w:val="zh-CN" w:eastAsia="zh-CN"/>
              </w:rPr>
              <w:t>完整，详细度不足得</w:t>
            </w:r>
            <w:r>
              <w:rPr>
                <w:rFonts w:hint="eastAsia" w:ascii="Times New Roman" w:hAnsi="Times New Roman" w:eastAsia="宋体" w:cs="微软雅黑"/>
                <w:color w:val="auto"/>
                <w:lang w:val="en-US" w:eastAsia="zh-CN"/>
              </w:rPr>
              <w:t>8</w:t>
            </w:r>
            <w:r>
              <w:rPr>
                <w:rFonts w:hint="eastAsia" w:ascii="Times New Roman" w:hAnsi="Times New Roman" w:eastAsia="宋体" w:cs="微软雅黑"/>
                <w:color w:val="auto"/>
                <w:lang w:val="zh-CN" w:eastAsia="zh-CN"/>
              </w:rPr>
              <w:t>分；</w:t>
            </w:r>
          </w:p>
          <w:p w14:paraId="5A0F3D24">
            <w:pPr>
              <w:keepNext/>
              <w:overflowPunct w:val="0"/>
              <w:spacing w:line="276" w:lineRule="auto"/>
              <w:rPr>
                <w:rFonts w:hint="eastAsia" w:ascii="Times New Roman" w:hAnsi="Times New Roman" w:eastAsia="宋体" w:cs="微软雅黑"/>
                <w:color w:val="auto"/>
                <w:lang w:val="zh-CN" w:eastAsia="zh-CN"/>
              </w:rPr>
            </w:pPr>
            <w:r>
              <w:rPr>
                <w:rFonts w:hint="eastAsia" w:ascii="Times New Roman" w:hAnsi="Times New Roman" w:eastAsia="宋体" w:cs="微软雅黑"/>
                <w:color w:val="auto"/>
                <w:lang w:val="en-US" w:eastAsia="zh-CN"/>
              </w:rPr>
              <w:t>服务</w:t>
            </w:r>
            <w:r>
              <w:rPr>
                <w:rFonts w:hint="eastAsia" w:ascii="Times New Roman" w:hAnsi="Times New Roman" w:eastAsia="宋体" w:cs="微软雅黑"/>
                <w:color w:val="auto"/>
                <w:lang w:val="zh-CN" w:eastAsia="zh-CN"/>
              </w:rPr>
              <w:t>进度</w:t>
            </w:r>
            <w:r>
              <w:rPr>
                <w:rFonts w:hint="eastAsia" w:ascii="Times New Roman" w:hAnsi="Times New Roman" w:eastAsia="宋体" w:cs="微软雅黑"/>
                <w:color w:val="auto"/>
                <w:lang w:val="en-US" w:eastAsia="zh-CN"/>
              </w:rPr>
              <w:t>及质量</w:t>
            </w:r>
            <w:r>
              <w:rPr>
                <w:rFonts w:hint="eastAsia" w:ascii="Times New Roman" w:hAnsi="Times New Roman" w:eastAsia="宋体" w:cs="微软雅黑"/>
                <w:color w:val="auto"/>
                <w:lang w:val="zh-CN" w:eastAsia="zh-CN"/>
              </w:rPr>
              <w:t>保证</w:t>
            </w:r>
            <w:r>
              <w:rPr>
                <w:rFonts w:hint="eastAsia" w:ascii="Times New Roman" w:hAnsi="Times New Roman" w:eastAsia="宋体" w:cs="微软雅黑"/>
                <w:color w:val="auto"/>
                <w:lang w:val="en-US" w:eastAsia="zh-CN"/>
              </w:rPr>
              <w:t>措施</w:t>
            </w:r>
            <w:r>
              <w:rPr>
                <w:rFonts w:hint="eastAsia" w:ascii="Times New Roman" w:hAnsi="Times New Roman" w:eastAsia="宋体" w:cs="微软雅黑"/>
                <w:color w:val="auto"/>
                <w:lang w:val="zh-CN" w:eastAsia="zh-CN"/>
              </w:rPr>
              <w:t>缺乏合理性得</w:t>
            </w:r>
            <w:r>
              <w:rPr>
                <w:rFonts w:hint="eastAsia" w:ascii="Times New Roman" w:hAnsi="Times New Roman" w:eastAsia="宋体" w:cs="微软雅黑"/>
                <w:color w:val="auto"/>
                <w:lang w:val="en-US" w:eastAsia="zh-CN"/>
              </w:rPr>
              <w:t>6</w:t>
            </w:r>
            <w:r>
              <w:rPr>
                <w:rFonts w:hint="eastAsia" w:ascii="Times New Roman" w:hAnsi="Times New Roman" w:eastAsia="宋体" w:cs="微软雅黑"/>
                <w:color w:val="auto"/>
                <w:lang w:val="zh-CN" w:eastAsia="zh-CN"/>
              </w:rPr>
              <w:t>分；</w:t>
            </w:r>
          </w:p>
          <w:p w14:paraId="1220F88A">
            <w:pPr>
              <w:keepNext/>
              <w:overflowPunct w:val="0"/>
              <w:spacing w:line="276" w:lineRule="auto"/>
              <w:rPr>
                <w:rFonts w:hint="eastAsia" w:ascii="Times New Roman" w:hAnsi="Times New Roman" w:eastAsia="宋体" w:cs="微软雅黑"/>
                <w:color w:val="auto"/>
                <w:lang w:val="en-US" w:eastAsia="zh-CN"/>
              </w:rPr>
            </w:pPr>
            <w:r>
              <w:rPr>
                <w:rFonts w:hint="eastAsia" w:ascii="Times New Roman" w:hAnsi="Times New Roman" w:eastAsia="宋体" w:cs="微软雅黑"/>
                <w:color w:val="auto"/>
                <w:lang w:val="en-US" w:eastAsia="zh-CN"/>
              </w:rPr>
              <w:t>服务</w:t>
            </w:r>
            <w:r>
              <w:rPr>
                <w:rFonts w:hint="eastAsia" w:ascii="Times New Roman" w:hAnsi="Times New Roman" w:eastAsia="宋体" w:cs="微软雅黑"/>
                <w:color w:val="auto"/>
                <w:lang w:val="zh-CN" w:eastAsia="zh-CN"/>
              </w:rPr>
              <w:t>进度</w:t>
            </w:r>
            <w:r>
              <w:rPr>
                <w:rFonts w:hint="eastAsia" w:ascii="Times New Roman" w:hAnsi="Times New Roman" w:eastAsia="宋体" w:cs="微软雅黑"/>
                <w:color w:val="auto"/>
                <w:lang w:val="en-US" w:eastAsia="zh-CN"/>
              </w:rPr>
              <w:t>及质量</w:t>
            </w:r>
            <w:r>
              <w:rPr>
                <w:rFonts w:hint="eastAsia" w:ascii="Times New Roman" w:hAnsi="Times New Roman" w:eastAsia="宋体" w:cs="微软雅黑"/>
                <w:color w:val="auto"/>
                <w:lang w:val="zh-CN" w:eastAsia="zh-CN"/>
              </w:rPr>
              <w:t>保证</w:t>
            </w:r>
            <w:r>
              <w:rPr>
                <w:rFonts w:hint="eastAsia" w:ascii="Times New Roman" w:hAnsi="Times New Roman" w:eastAsia="宋体" w:cs="微软雅黑"/>
                <w:color w:val="auto"/>
                <w:lang w:val="en-US" w:eastAsia="zh-CN"/>
              </w:rPr>
              <w:t>措施与本项目不匹配得4分；</w:t>
            </w:r>
          </w:p>
          <w:p w14:paraId="4858237A">
            <w:pPr>
              <w:keepNext/>
              <w:overflowPunct w:val="0"/>
              <w:spacing w:line="276" w:lineRule="auto"/>
              <w:rPr>
                <w:color w:val="auto"/>
                <w:spacing w:val="-7"/>
                <w:lang w:eastAsia="zh-CN"/>
              </w:rPr>
            </w:pPr>
            <w:r>
              <w:rPr>
                <w:rFonts w:hint="eastAsia" w:ascii="Times New Roman" w:hAnsi="Times New Roman" w:eastAsia="宋体" w:cs="微软雅黑"/>
                <w:color w:val="auto"/>
                <w:lang w:val="en-US" w:eastAsia="zh-CN"/>
              </w:rPr>
              <w:t>不提供</w:t>
            </w:r>
            <w:r>
              <w:rPr>
                <w:rFonts w:hint="eastAsia" w:ascii="Times New Roman" w:hAnsi="Times New Roman" w:eastAsia="宋体" w:cs="微软雅黑"/>
                <w:color w:val="auto"/>
                <w:lang w:val="zh-CN" w:eastAsia="zh-CN"/>
              </w:rPr>
              <w:t>不得分。</w:t>
            </w:r>
          </w:p>
        </w:tc>
      </w:tr>
      <w:tr w14:paraId="369B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70" w:type="dxa"/>
            <w:vMerge w:val="continue"/>
            <w:vAlign w:val="center"/>
          </w:tcPr>
          <w:p w14:paraId="4FA25286">
            <w:pPr>
              <w:widowControl/>
              <w:jc w:val="center"/>
              <w:rPr>
                <w:rFonts w:ascii="宋体" w:hAnsi="宋体" w:cs="宋体"/>
                <w:color w:val="auto"/>
                <w:kern w:val="0"/>
                <w:szCs w:val="21"/>
              </w:rPr>
            </w:pPr>
          </w:p>
        </w:tc>
        <w:tc>
          <w:tcPr>
            <w:tcW w:w="1428" w:type="dxa"/>
            <w:vAlign w:val="center"/>
          </w:tcPr>
          <w:p w14:paraId="7AC19242">
            <w:pPr>
              <w:spacing w:line="276" w:lineRule="auto"/>
              <w:jc w:val="center"/>
              <w:rPr>
                <w:rFonts w:hint="eastAsia" w:ascii="宋体" w:hAnsi="宋体" w:eastAsia="宋体"/>
                <w:color w:val="auto"/>
                <w:szCs w:val="21"/>
                <w:lang w:eastAsia="zh-CN"/>
              </w:rPr>
            </w:pPr>
            <w:r>
              <w:rPr>
                <w:rFonts w:hint="eastAsia" w:ascii="宋体" w:hAnsi="宋体"/>
                <w:color w:val="auto"/>
                <w:szCs w:val="21"/>
                <w:lang w:eastAsia="zh-CN"/>
              </w:rPr>
              <w:t>保险理赔方案</w:t>
            </w:r>
          </w:p>
          <w:p w14:paraId="075C7B35">
            <w:pPr>
              <w:spacing w:line="276" w:lineRule="auto"/>
              <w:jc w:val="center"/>
              <w:rPr>
                <w:color w:val="auto"/>
                <w:spacing w:val="-12"/>
              </w:rPr>
            </w:pP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分）</w:t>
            </w:r>
          </w:p>
        </w:tc>
        <w:tc>
          <w:tcPr>
            <w:tcW w:w="7087" w:type="dxa"/>
            <w:vAlign w:val="center"/>
          </w:tcPr>
          <w:p w14:paraId="56C19801">
            <w:pPr>
              <w:spacing w:before="45" w:line="240" w:lineRule="auto"/>
              <w:ind w:right="27"/>
              <w:jc w:val="both"/>
              <w:rPr>
                <w:rFonts w:ascii="宋体" w:hAnsi="宋体" w:eastAsia="宋体" w:cs="宋体"/>
                <w:color w:val="auto"/>
                <w:sz w:val="21"/>
                <w:szCs w:val="21"/>
              </w:rPr>
            </w:pPr>
            <w:r>
              <w:rPr>
                <w:rFonts w:ascii="宋体" w:hAnsi="宋体" w:eastAsia="宋体" w:cs="宋体"/>
                <w:color w:val="auto"/>
                <w:spacing w:val="5"/>
                <w:sz w:val="21"/>
                <w:szCs w:val="21"/>
              </w:rPr>
              <w:t>针对本项目</w:t>
            </w:r>
            <w:r>
              <w:rPr>
                <w:rFonts w:hint="eastAsia" w:ascii="宋体" w:hAnsi="宋体" w:eastAsia="宋体" w:cs="宋体"/>
                <w:color w:val="auto"/>
                <w:spacing w:val="5"/>
                <w:sz w:val="21"/>
                <w:szCs w:val="21"/>
                <w:lang w:eastAsia="zh-CN"/>
              </w:rPr>
              <w:t>提出</w:t>
            </w:r>
            <w:r>
              <w:rPr>
                <w:rFonts w:hint="eastAsia" w:ascii="宋体" w:hAnsi="宋体" w:cs="宋体"/>
                <w:color w:val="auto"/>
                <w:spacing w:val="5"/>
                <w:sz w:val="21"/>
                <w:szCs w:val="21"/>
                <w:lang w:eastAsia="zh-CN"/>
              </w:rPr>
              <w:t>理赔方案</w:t>
            </w:r>
            <w:r>
              <w:rPr>
                <w:rFonts w:ascii="宋体" w:hAnsi="宋体" w:eastAsia="宋体" w:cs="宋体"/>
                <w:color w:val="auto"/>
                <w:spacing w:val="5"/>
                <w:sz w:val="21"/>
                <w:szCs w:val="21"/>
              </w:rPr>
              <w:t>：方案细致完整、</w:t>
            </w:r>
            <w:r>
              <w:rPr>
                <w:rFonts w:ascii="宋体" w:hAnsi="宋体" w:eastAsia="宋体" w:cs="宋体"/>
                <w:color w:val="auto"/>
                <w:spacing w:val="11"/>
                <w:sz w:val="21"/>
                <w:szCs w:val="21"/>
              </w:rPr>
              <w:t xml:space="preserve"> </w:t>
            </w:r>
            <w:r>
              <w:rPr>
                <w:rFonts w:ascii="宋体" w:hAnsi="宋体" w:eastAsia="宋体" w:cs="宋体"/>
                <w:color w:val="auto"/>
                <w:spacing w:val="9"/>
                <w:sz w:val="21"/>
                <w:szCs w:val="21"/>
              </w:rPr>
              <w:t>描述条理清晰，内容齐全，有较高的针对性；包括：</w:t>
            </w:r>
          </w:p>
          <w:p w14:paraId="7C60D639">
            <w:pPr>
              <w:spacing w:before="64" w:line="240" w:lineRule="auto"/>
              <w:jc w:val="both"/>
              <w:rPr>
                <w:rFonts w:ascii="宋体" w:hAnsi="宋体" w:eastAsia="宋体" w:cs="宋体"/>
                <w:b w:val="0"/>
                <w:bCs w:val="0"/>
                <w:color w:val="auto"/>
                <w:sz w:val="21"/>
                <w:szCs w:val="21"/>
              </w:rPr>
            </w:pPr>
            <w:r>
              <w:rPr>
                <w:rFonts w:hint="eastAsia" w:ascii="宋体" w:hAnsi="宋体" w:eastAsia="宋体" w:cs="宋体"/>
                <w:b w:val="0"/>
                <w:bCs w:val="0"/>
                <w:color w:val="auto"/>
                <w:spacing w:val="5"/>
                <w:sz w:val="21"/>
                <w:szCs w:val="21"/>
                <w:lang w:val="en-US" w:eastAsia="zh-CN"/>
              </w:rPr>
              <w:t>1</w:t>
            </w:r>
            <w:r>
              <w:rPr>
                <w:rFonts w:ascii="宋体" w:hAnsi="宋体" w:eastAsia="宋体" w:cs="宋体"/>
                <w:b w:val="0"/>
                <w:bCs w:val="0"/>
                <w:color w:val="auto"/>
                <w:spacing w:val="5"/>
                <w:sz w:val="21"/>
                <w:szCs w:val="21"/>
              </w:rPr>
              <w:t xml:space="preserve">. </w:t>
            </w:r>
            <w:r>
              <w:rPr>
                <w:rFonts w:hint="eastAsia" w:ascii="宋体" w:hAnsi="宋体" w:cs="宋体"/>
                <w:b w:val="0"/>
                <w:bCs w:val="0"/>
                <w:color w:val="auto"/>
                <w:spacing w:val="5"/>
                <w:sz w:val="21"/>
                <w:szCs w:val="21"/>
                <w:lang w:eastAsia="zh-CN"/>
              </w:rPr>
              <w:t>理赔措施</w:t>
            </w:r>
            <w:r>
              <w:rPr>
                <w:rFonts w:ascii="宋体" w:hAnsi="宋体" w:eastAsia="宋体" w:cs="宋体"/>
                <w:b w:val="0"/>
                <w:bCs w:val="0"/>
                <w:color w:val="auto"/>
                <w:spacing w:val="5"/>
                <w:sz w:val="21"/>
                <w:szCs w:val="21"/>
              </w:rPr>
              <w:t>；</w:t>
            </w:r>
          </w:p>
          <w:p w14:paraId="0CE441BA">
            <w:pPr>
              <w:spacing w:before="67" w:line="240" w:lineRule="auto"/>
              <w:jc w:val="both"/>
              <w:rPr>
                <w:rFonts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lang w:val="en-US" w:eastAsia="zh-CN"/>
              </w:rPr>
              <w:t>2</w:t>
            </w:r>
            <w:r>
              <w:rPr>
                <w:rFonts w:ascii="宋体" w:hAnsi="宋体" w:eastAsia="宋体" w:cs="宋体"/>
                <w:b w:val="0"/>
                <w:bCs w:val="0"/>
                <w:color w:val="auto"/>
                <w:spacing w:val="6"/>
                <w:sz w:val="21"/>
                <w:szCs w:val="21"/>
              </w:rPr>
              <w:t xml:space="preserve">. </w:t>
            </w:r>
            <w:r>
              <w:rPr>
                <w:rFonts w:hint="eastAsia" w:ascii="宋体" w:hAnsi="宋体" w:cs="宋体"/>
                <w:b w:val="0"/>
                <w:bCs w:val="0"/>
                <w:color w:val="auto"/>
                <w:spacing w:val="6"/>
                <w:sz w:val="21"/>
                <w:szCs w:val="21"/>
                <w:lang w:eastAsia="zh-CN"/>
              </w:rPr>
              <w:t>理赔时效</w:t>
            </w:r>
            <w:r>
              <w:rPr>
                <w:rFonts w:ascii="宋体" w:hAnsi="宋体" w:eastAsia="宋体" w:cs="宋体"/>
                <w:b w:val="0"/>
                <w:bCs w:val="0"/>
                <w:color w:val="auto"/>
                <w:spacing w:val="6"/>
                <w:sz w:val="21"/>
                <w:szCs w:val="21"/>
              </w:rPr>
              <w:t>；</w:t>
            </w:r>
          </w:p>
          <w:p w14:paraId="0BE5CEC9">
            <w:pPr>
              <w:widowControl/>
              <w:spacing w:line="276" w:lineRule="auto"/>
              <w:rPr>
                <w:color w:val="auto"/>
                <w:spacing w:val="-7"/>
                <w:lang w:eastAsia="zh-CN"/>
              </w:rPr>
            </w:pPr>
            <w:r>
              <w:rPr>
                <w:rFonts w:hint="eastAsia" w:ascii="宋体" w:hAnsi="宋体" w:cs="宋体"/>
                <w:color w:val="auto"/>
                <w:sz w:val="21"/>
                <w:szCs w:val="21"/>
                <w:highlight w:val="none"/>
              </w:rPr>
              <w:t>以上</w:t>
            </w:r>
            <w:r>
              <w:rPr>
                <w:rFonts w:hint="eastAsia" w:ascii="宋体" w:hAnsi="宋体" w:cs="宋体"/>
                <w:color w:val="auto"/>
                <w:sz w:val="21"/>
                <w:szCs w:val="21"/>
                <w:highlight w:val="none"/>
                <w:lang w:eastAsia="zh-CN"/>
              </w:rPr>
              <w:t>两</w:t>
            </w:r>
            <w:r>
              <w:rPr>
                <w:rFonts w:hint="eastAsia" w:ascii="宋体" w:hAnsi="宋体" w:cs="宋体"/>
                <w:color w:val="auto"/>
                <w:sz w:val="21"/>
                <w:szCs w:val="21"/>
                <w:highlight w:val="none"/>
              </w:rPr>
              <w:t>项内容每提供一小项内容适用于项目且无缺失的方案得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有一项不合理扣</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rPr>
              <w:t>，满分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分，未提供的得0分。（缺失是指：不符合实际，存在偏离内容、内容前后不一致、文不对题、前后逻辑错误、内容缺失有瑕疵、无具体流程细节描述之处）</w:t>
            </w:r>
          </w:p>
        </w:tc>
      </w:tr>
      <w:tr w14:paraId="7182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70" w:type="dxa"/>
            <w:vMerge w:val="restart"/>
            <w:vAlign w:val="center"/>
          </w:tcPr>
          <w:p w14:paraId="37985D1C">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其他部分</w:t>
            </w:r>
          </w:p>
        </w:tc>
        <w:tc>
          <w:tcPr>
            <w:tcW w:w="1428" w:type="dxa"/>
            <w:vAlign w:val="center"/>
          </w:tcPr>
          <w:p w14:paraId="3A4318BB">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Times New Roman"/>
                <w:b/>
                <w:bCs/>
                <w:color w:val="auto"/>
                <w:spacing w:val="-6"/>
                <w:sz w:val="21"/>
                <w:szCs w:val="21"/>
                <w:highlight w:val="none"/>
                <w:lang w:val="zh-CN"/>
              </w:rPr>
            </w:pPr>
            <w:r>
              <w:rPr>
                <w:rFonts w:hint="eastAsia" w:ascii="宋体" w:hAnsi="宋体" w:eastAsia="宋体" w:cs="Times New Roman"/>
                <w:b/>
                <w:bCs/>
                <w:color w:val="auto"/>
                <w:spacing w:val="-6"/>
                <w:sz w:val="21"/>
                <w:szCs w:val="21"/>
                <w:highlight w:val="none"/>
                <w:lang w:val="en-US" w:eastAsia="zh-CN"/>
              </w:rPr>
              <w:t>优惠条件</w:t>
            </w:r>
          </w:p>
          <w:p w14:paraId="73F3F39A">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color w:val="auto"/>
                <w:szCs w:val="21"/>
              </w:rPr>
            </w:pPr>
            <w:r>
              <w:rPr>
                <w:rFonts w:hint="eastAsia" w:ascii="宋体" w:hAnsi="宋体" w:eastAsia="宋体" w:cs="Times New Roman"/>
                <w:b/>
                <w:bCs/>
                <w:color w:val="auto"/>
                <w:spacing w:val="-6"/>
                <w:sz w:val="21"/>
                <w:szCs w:val="21"/>
                <w:highlight w:val="none"/>
                <w:lang w:val="zh-CN"/>
              </w:rPr>
              <w:t>（</w:t>
            </w:r>
            <w:r>
              <w:rPr>
                <w:rFonts w:hint="eastAsia" w:ascii="宋体" w:hAnsi="宋体" w:eastAsia="宋体" w:cs="Times New Roman"/>
                <w:b/>
                <w:bCs/>
                <w:color w:val="auto"/>
                <w:spacing w:val="-6"/>
                <w:sz w:val="21"/>
                <w:szCs w:val="21"/>
                <w:highlight w:val="none"/>
                <w:lang w:val="en-US" w:eastAsia="zh-CN"/>
              </w:rPr>
              <w:t>5</w:t>
            </w:r>
            <w:r>
              <w:rPr>
                <w:rFonts w:hint="eastAsia" w:ascii="宋体" w:hAnsi="宋体" w:eastAsia="宋体" w:cs="Times New Roman"/>
                <w:b/>
                <w:bCs/>
                <w:color w:val="auto"/>
                <w:spacing w:val="-6"/>
                <w:sz w:val="21"/>
                <w:szCs w:val="21"/>
                <w:highlight w:val="none"/>
                <w:lang w:val="zh-CN"/>
              </w:rPr>
              <w:t>分）</w:t>
            </w:r>
          </w:p>
        </w:tc>
        <w:tc>
          <w:tcPr>
            <w:tcW w:w="7087" w:type="dxa"/>
            <w:vAlign w:val="center"/>
          </w:tcPr>
          <w:p w14:paraId="62851614">
            <w:pPr>
              <w:keepNext w:val="0"/>
              <w:keepLines w:val="0"/>
              <w:pageBreakBefore w:val="0"/>
              <w:widowControl w:val="0"/>
              <w:kinsoku/>
              <w:wordWrap/>
              <w:overflowPunct/>
              <w:topLinePunct w:val="0"/>
              <w:autoSpaceDE/>
              <w:autoSpaceDN/>
              <w:bidi w:val="0"/>
              <w:adjustRightInd/>
              <w:snapToGrid/>
              <w:spacing w:afterAutospacing="0" w:line="240" w:lineRule="exact"/>
              <w:jc w:val="both"/>
              <w:textAlignment w:val="auto"/>
              <w:rPr>
                <w:rFonts w:hint="eastAsia" w:ascii="宋体" w:hAnsi="宋体" w:cs="宋体"/>
                <w:color w:val="auto"/>
                <w:sz w:val="21"/>
                <w:szCs w:val="21"/>
                <w:highlight w:val="none"/>
              </w:rPr>
            </w:pPr>
            <w:r>
              <w:rPr>
                <w:rFonts w:hint="eastAsia" w:ascii="宋体" w:hAnsi="宋体" w:eastAsia="宋体" w:cs="宋体"/>
                <w:color w:val="auto"/>
                <w:spacing w:val="-6"/>
                <w:sz w:val="21"/>
                <w:szCs w:val="21"/>
                <w:lang w:val="en-US" w:eastAsia="zh-CN"/>
              </w:rPr>
              <w:t>根据供应商</w:t>
            </w:r>
            <w:r>
              <w:rPr>
                <w:rFonts w:hint="eastAsia" w:ascii="宋体" w:hAnsi="宋体" w:eastAsia="宋体" w:cs="宋体"/>
                <w:color w:val="auto"/>
                <w:spacing w:val="-6"/>
                <w:sz w:val="21"/>
                <w:szCs w:val="21"/>
              </w:rPr>
              <w:t>在</w:t>
            </w:r>
            <w:r>
              <w:rPr>
                <w:rFonts w:hint="eastAsia" w:ascii="宋体" w:hAnsi="宋体" w:eastAsia="宋体" w:cs="宋体"/>
                <w:color w:val="auto"/>
                <w:spacing w:val="-6"/>
                <w:sz w:val="21"/>
                <w:szCs w:val="21"/>
                <w:lang w:val="en-US" w:eastAsia="zh-CN"/>
              </w:rPr>
              <w:t>响应</w:t>
            </w:r>
            <w:r>
              <w:rPr>
                <w:rFonts w:hint="eastAsia" w:ascii="宋体" w:hAnsi="宋体" w:eastAsia="宋体" w:cs="宋体"/>
                <w:color w:val="auto"/>
                <w:spacing w:val="-6"/>
                <w:sz w:val="21"/>
                <w:szCs w:val="21"/>
              </w:rPr>
              <w:t>文件中</w:t>
            </w:r>
            <w:r>
              <w:rPr>
                <w:rFonts w:hint="eastAsia" w:ascii="宋体" w:hAnsi="宋体" w:eastAsia="宋体" w:cs="宋体"/>
                <w:color w:val="auto"/>
                <w:spacing w:val="-6"/>
                <w:sz w:val="21"/>
                <w:szCs w:val="21"/>
                <w:lang w:val="en-US" w:eastAsia="zh-CN"/>
              </w:rPr>
              <w:t>提供</w:t>
            </w:r>
            <w:r>
              <w:rPr>
                <w:rFonts w:hint="eastAsia" w:ascii="宋体" w:hAnsi="宋体" w:eastAsia="宋体" w:cs="宋体"/>
                <w:color w:val="auto"/>
                <w:spacing w:val="-6"/>
                <w:sz w:val="21"/>
                <w:szCs w:val="21"/>
              </w:rPr>
              <w:t>的优惠条件</w:t>
            </w:r>
            <w:r>
              <w:rPr>
                <w:rFonts w:hint="eastAsia" w:ascii="宋体" w:hAnsi="宋体" w:eastAsia="宋体" w:cs="宋体"/>
                <w:color w:val="auto"/>
                <w:spacing w:val="-6"/>
                <w:sz w:val="21"/>
                <w:szCs w:val="21"/>
                <w:lang w:val="en-US" w:eastAsia="zh-CN"/>
              </w:rPr>
              <w:t>比较：每提供一条实质性优惠条件得1分，满分5分。</w:t>
            </w:r>
            <w:r>
              <w:rPr>
                <w:rFonts w:hint="eastAsia" w:ascii="宋体" w:hAnsi="宋体" w:eastAsia="宋体" w:cs="宋体"/>
                <w:color w:val="auto"/>
                <w:spacing w:val="-6"/>
                <w:szCs w:val="21"/>
                <w:highlight w:val="none"/>
                <w:lang w:val="en-US" w:eastAsia="zh-CN"/>
              </w:rPr>
              <w:t>不提供</w:t>
            </w:r>
            <w:r>
              <w:rPr>
                <w:rFonts w:hint="eastAsia" w:ascii="宋体" w:hAnsi="宋体" w:eastAsia="宋体" w:cs="宋体"/>
                <w:color w:val="auto"/>
                <w:spacing w:val="-6"/>
                <w:szCs w:val="21"/>
                <w:highlight w:val="none"/>
                <w:lang w:val="zh-CN"/>
              </w:rPr>
              <w:t>不得分。</w:t>
            </w:r>
          </w:p>
        </w:tc>
      </w:tr>
      <w:tr w14:paraId="0690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70" w:type="dxa"/>
            <w:vMerge w:val="continue"/>
            <w:vAlign w:val="center"/>
          </w:tcPr>
          <w:p w14:paraId="33BD0A0D">
            <w:pPr>
              <w:widowControl/>
              <w:jc w:val="center"/>
              <w:rPr>
                <w:rFonts w:hint="eastAsia" w:ascii="宋体" w:hAnsi="宋体" w:cs="宋体"/>
                <w:color w:val="auto"/>
                <w:kern w:val="0"/>
                <w:szCs w:val="21"/>
                <w:lang w:eastAsia="zh-CN"/>
              </w:rPr>
            </w:pPr>
          </w:p>
        </w:tc>
        <w:tc>
          <w:tcPr>
            <w:tcW w:w="1428" w:type="dxa"/>
            <w:vAlign w:val="center"/>
          </w:tcPr>
          <w:p w14:paraId="1928A98D">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Times New Roman"/>
                <w:b/>
                <w:bCs/>
                <w:color w:val="auto"/>
                <w:spacing w:val="-6"/>
                <w:sz w:val="21"/>
                <w:szCs w:val="21"/>
                <w:highlight w:val="none"/>
                <w:lang w:val="zh-CN"/>
              </w:rPr>
            </w:pPr>
            <w:r>
              <w:rPr>
                <w:rFonts w:hint="eastAsia" w:ascii="宋体" w:hAnsi="宋体" w:eastAsia="宋体" w:cs="Times New Roman"/>
                <w:b/>
                <w:bCs/>
                <w:color w:val="auto"/>
                <w:spacing w:val="-6"/>
                <w:sz w:val="21"/>
                <w:szCs w:val="21"/>
                <w:highlight w:val="none"/>
                <w:lang w:val="en-US" w:eastAsia="zh-CN"/>
              </w:rPr>
              <w:t xml:space="preserve">服务承诺   </w:t>
            </w:r>
            <w:r>
              <w:rPr>
                <w:rFonts w:hint="eastAsia" w:ascii="宋体" w:hAnsi="宋体" w:eastAsia="宋体" w:cs="Times New Roman"/>
                <w:b/>
                <w:bCs/>
                <w:color w:val="auto"/>
                <w:spacing w:val="-6"/>
                <w:sz w:val="21"/>
                <w:szCs w:val="21"/>
                <w:highlight w:val="none"/>
                <w:lang w:val="zh-CN"/>
              </w:rPr>
              <w:t>（</w:t>
            </w:r>
            <w:r>
              <w:rPr>
                <w:rFonts w:hint="eastAsia" w:ascii="宋体" w:hAnsi="宋体" w:eastAsia="宋体" w:cs="Times New Roman"/>
                <w:b/>
                <w:bCs/>
                <w:color w:val="auto"/>
                <w:spacing w:val="-6"/>
                <w:sz w:val="21"/>
                <w:szCs w:val="21"/>
                <w:highlight w:val="none"/>
                <w:lang w:val="en-US" w:eastAsia="zh-CN"/>
              </w:rPr>
              <w:t>5</w:t>
            </w:r>
            <w:r>
              <w:rPr>
                <w:rFonts w:hint="eastAsia" w:ascii="宋体" w:hAnsi="宋体" w:eastAsia="宋体" w:cs="Times New Roman"/>
                <w:b/>
                <w:bCs/>
                <w:color w:val="auto"/>
                <w:spacing w:val="-6"/>
                <w:sz w:val="21"/>
                <w:szCs w:val="21"/>
                <w:highlight w:val="none"/>
                <w:lang w:val="zh-CN"/>
              </w:rPr>
              <w:t>分）</w:t>
            </w:r>
          </w:p>
        </w:tc>
        <w:tc>
          <w:tcPr>
            <w:tcW w:w="7087" w:type="dxa"/>
            <w:vAlign w:val="center"/>
          </w:tcPr>
          <w:p w14:paraId="656C3F3E">
            <w:pPr>
              <w:keepNext w:val="0"/>
              <w:keepLines w:val="0"/>
              <w:pageBreakBefore w:val="0"/>
              <w:widowControl w:val="0"/>
              <w:kinsoku/>
              <w:wordWrap/>
              <w:overflowPunct/>
              <w:topLinePunct w:val="0"/>
              <w:autoSpaceDE/>
              <w:autoSpaceDN/>
              <w:bidi w:val="0"/>
              <w:adjustRightInd/>
              <w:snapToGrid/>
              <w:spacing w:afterAutospacing="0" w:line="240" w:lineRule="exact"/>
              <w:jc w:val="both"/>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 w:val="21"/>
                <w:szCs w:val="21"/>
                <w:lang w:val="en-US" w:eastAsia="zh-CN"/>
              </w:rPr>
              <w:t>根据供应商</w:t>
            </w:r>
            <w:r>
              <w:rPr>
                <w:rFonts w:hint="eastAsia" w:ascii="宋体" w:hAnsi="宋体" w:eastAsia="宋体" w:cs="宋体"/>
                <w:color w:val="auto"/>
                <w:spacing w:val="-6"/>
                <w:sz w:val="21"/>
                <w:szCs w:val="21"/>
              </w:rPr>
              <w:t>在</w:t>
            </w:r>
            <w:r>
              <w:rPr>
                <w:rFonts w:hint="eastAsia" w:ascii="宋体" w:hAnsi="宋体" w:eastAsia="宋体" w:cs="宋体"/>
                <w:color w:val="auto"/>
                <w:spacing w:val="-6"/>
                <w:sz w:val="21"/>
                <w:szCs w:val="21"/>
                <w:lang w:val="en-US" w:eastAsia="zh-CN"/>
              </w:rPr>
              <w:t>响应</w:t>
            </w:r>
            <w:r>
              <w:rPr>
                <w:rFonts w:hint="eastAsia" w:ascii="宋体" w:hAnsi="宋体" w:eastAsia="宋体" w:cs="宋体"/>
                <w:color w:val="auto"/>
                <w:spacing w:val="-6"/>
                <w:sz w:val="21"/>
                <w:szCs w:val="21"/>
              </w:rPr>
              <w:t>文件中</w:t>
            </w:r>
            <w:r>
              <w:rPr>
                <w:rFonts w:hint="eastAsia" w:ascii="宋体" w:hAnsi="宋体" w:eastAsia="宋体" w:cs="宋体"/>
                <w:color w:val="auto"/>
                <w:spacing w:val="-6"/>
                <w:sz w:val="21"/>
                <w:szCs w:val="21"/>
                <w:lang w:val="en-US" w:eastAsia="zh-CN"/>
              </w:rPr>
              <w:t>提供</w:t>
            </w:r>
            <w:r>
              <w:rPr>
                <w:rFonts w:hint="eastAsia" w:ascii="宋体" w:hAnsi="宋体" w:eastAsia="宋体" w:cs="宋体"/>
                <w:color w:val="auto"/>
                <w:spacing w:val="-6"/>
                <w:sz w:val="21"/>
                <w:szCs w:val="21"/>
              </w:rPr>
              <w:t>的</w:t>
            </w:r>
            <w:r>
              <w:rPr>
                <w:rFonts w:hint="eastAsia" w:ascii="宋体" w:hAnsi="宋体" w:eastAsia="宋体" w:cs="宋体"/>
                <w:color w:val="auto"/>
                <w:spacing w:val="-6"/>
                <w:sz w:val="21"/>
                <w:szCs w:val="21"/>
                <w:lang w:eastAsia="zh-CN"/>
              </w:rPr>
              <w:t>服务承诺</w:t>
            </w:r>
            <w:r>
              <w:rPr>
                <w:rFonts w:hint="eastAsia" w:ascii="宋体" w:hAnsi="宋体" w:eastAsia="宋体" w:cs="宋体"/>
                <w:color w:val="auto"/>
                <w:spacing w:val="-6"/>
                <w:sz w:val="21"/>
                <w:szCs w:val="21"/>
                <w:lang w:val="en-US" w:eastAsia="zh-CN"/>
              </w:rPr>
              <w:t>比较：每提供一条实质性服务承诺得1分，满分5分。</w:t>
            </w:r>
            <w:r>
              <w:rPr>
                <w:rFonts w:hint="eastAsia" w:ascii="宋体" w:hAnsi="宋体" w:eastAsia="宋体" w:cs="宋体"/>
                <w:color w:val="auto"/>
                <w:spacing w:val="-6"/>
                <w:szCs w:val="21"/>
                <w:highlight w:val="none"/>
                <w:lang w:val="en-US" w:eastAsia="zh-CN"/>
              </w:rPr>
              <w:t>不提供</w:t>
            </w:r>
            <w:r>
              <w:rPr>
                <w:rFonts w:hint="eastAsia" w:ascii="宋体" w:hAnsi="宋体" w:eastAsia="宋体" w:cs="宋体"/>
                <w:color w:val="auto"/>
                <w:spacing w:val="-6"/>
                <w:szCs w:val="21"/>
                <w:highlight w:val="none"/>
                <w:lang w:val="zh-CN"/>
              </w:rPr>
              <w:t>不得分。</w:t>
            </w:r>
          </w:p>
        </w:tc>
      </w:tr>
    </w:tbl>
    <w:p w14:paraId="4E9FDE36">
      <w:pPr>
        <w:autoSpaceDE w:val="0"/>
        <w:autoSpaceDN w:val="0"/>
        <w:adjustRightInd w:val="0"/>
        <w:snapToGrid w:val="0"/>
        <w:spacing w:line="440" w:lineRule="exact"/>
        <w:ind w:firstLine="643" w:firstLineChars="200"/>
        <w:jc w:val="center"/>
        <w:rPr>
          <w:rFonts w:asciiTheme="minorEastAsia" w:hAnsiTheme="minorEastAsia" w:eastAsiaTheme="minorEastAsia"/>
          <w:b/>
          <w:color w:val="auto"/>
          <w:kern w:val="0"/>
          <w:sz w:val="32"/>
          <w:szCs w:val="32"/>
        </w:rPr>
      </w:pPr>
    </w:p>
    <w:bookmarkEnd w:id="109"/>
    <w:bookmarkEnd w:id="110"/>
    <w:bookmarkEnd w:id="111"/>
    <w:bookmarkEnd w:id="112"/>
    <w:bookmarkEnd w:id="113"/>
    <w:bookmarkEnd w:id="114"/>
    <w:bookmarkEnd w:id="115"/>
    <w:bookmarkEnd w:id="116"/>
    <w:p w14:paraId="2B0A2F1A">
      <w:pPr>
        <w:spacing w:line="400" w:lineRule="exact"/>
        <w:rPr>
          <w:rFonts w:hint="eastAsia" w:ascii="宋体" w:hAnsi="宋体"/>
          <w:b/>
          <w:color w:val="auto"/>
          <w:sz w:val="24"/>
          <w:szCs w:val="24"/>
        </w:rPr>
      </w:pPr>
      <w:r>
        <w:rPr>
          <w:rFonts w:hint="eastAsia" w:ascii="宋体" w:hAnsi="宋体"/>
          <w:b/>
          <w:color w:val="auto"/>
          <w:sz w:val="24"/>
          <w:szCs w:val="24"/>
        </w:rPr>
        <w:t>1.评审方法</w:t>
      </w:r>
    </w:p>
    <w:p w14:paraId="2C22A4AB">
      <w:pPr>
        <w:spacing w:line="400" w:lineRule="exact"/>
        <w:ind w:firstLine="420" w:firstLineChars="200"/>
        <w:rPr>
          <w:rFonts w:hint="eastAsia" w:ascii="宋体" w:hAnsi="宋体"/>
          <w:b/>
          <w:color w:val="auto"/>
          <w:sz w:val="24"/>
          <w:szCs w:val="24"/>
        </w:rPr>
      </w:pPr>
      <w:r>
        <w:rPr>
          <w:rFonts w:hint="eastAsia" w:ascii="宋体" w:hAnsi="宋体"/>
          <w:color w:val="auto"/>
        </w:rPr>
        <w:t>本次评审采用综合评分法。</w:t>
      </w:r>
      <w:r>
        <w:rPr>
          <w:rFonts w:hint="eastAsia" w:ascii="宋体" w:hAnsi="宋体"/>
          <w:color w:val="auto"/>
          <w:lang w:eastAsia="zh-CN"/>
        </w:rPr>
        <w:t>磋商</w:t>
      </w:r>
      <w:r>
        <w:rPr>
          <w:rFonts w:hint="eastAsia" w:ascii="宋体" w:hAnsi="宋体"/>
          <w:color w:val="auto"/>
        </w:rPr>
        <w:t>小组对满足竞争性</w:t>
      </w:r>
      <w:r>
        <w:rPr>
          <w:rFonts w:hint="eastAsia" w:ascii="宋体" w:hAnsi="宋体"/>
          <w:color w:val="auto"/>
          <w:lang w:eastAsia="zh-CN"/>
        </w:rPr>
        <w:t>磋商</w:t>
      </w:r>
      <w:r>
        <w:rPr>
          <w:rFonts w:hint="eastAsia" w:ascii="宋体" w:hAnsi="宋体"/>
          <w:color w:val="auto"/>
        </w:rPr>
        <w:t>文件实质性要求的响应文件，按照本章第2.2款规定的评分标准进行打分，并按得分由高到低顺序推荐成交候选人，或根据采购人授权直接确定成交人，但</w:t>
      </w:r>
      <w:r>
        <w:rPr>
          <w:rFonts w:hint="eastAsia" w:ascii="宋体" w:hAnsi="宋体"/>
          <w:color w:val="auto"/>
          <w:lang w:eastAsia="zh-CN"/>
        </w:rPr>
        <w:t>磋商</w:t>
      </w:r>
      <w:r>
        <w:rPr>
          <w:rFonts w:hint="eastAsia" w:ascii="宋体" w:hAnsi="宋体"/>
          <w:color w:val="auto"/>
        </w:rPr>
        <w:t>报价低于其成本的除外。综合评分相等时，以</w:t>
      </w:r>
      <w:r>
        <w:rPr>
          <w:rFonts w:hint="eastAsia" w:ascii="宋体" w:hAnsi="宋体"/>
          <w:color w:val="auto"/>
          <w:lang w:eastAsia="zh-CN"/>
        </w:rPr>
        <w:t>磋商第二轮</w:t>
      </w:r>
      <w:r>
        <w:rPr>
          <w:rFonts w:hint="eastAsia" w:ascii="宋体" w:hAnsi="宋体"/>
          <w:color w:val="auto"/>
        </w:rPr>
        <w:t>报价（最终报价）低的优先；</w:t>
      </w:r>
      <w:r>
        <w:rPr>
          <w:rFonts w:hint="eastAsia" w:ascii="宋体" w:hAnsi="宋体"/>
          <w:color w:val="auto"/>
          <w:lang w:eastAsia="zh-CN"/>
        </w:rPr>
        <w:t>磋商第二轮</w:t>
      </w:r>
      <w:r>
        <w:rPr>
          <w:rFonts w:hint="eastAsia" w:ascii="宋体" w:hAnsi="宋体"/>
          <w:color w:val="auto"/>
        </w:rPr>
        <w:t>报价（最终报价）也相等的，以技术部分得分高的优先；如果技术部分得分也相等，由采购人确定。</w:t>
      </w:r>
    </w:p>
    <w:p w14:paraId="1CBCC2E8">
      <w:pPr>
        <w:spacing w:line="400" w:lineRule="exact"/>
        <w:rPr>
          <w:rFonts w:hint="eastAsia" w:ascii="宋体" w:hAnsi="宋体"/>
          <w:b/>
          <w:color w:val="auto"/>
          <w:sz w:val="24"/>
          <w:szCs w:val="24"/>
        </w:rPr>
      </w:pPr>
      <w:r>
        <w:rPr>
          <w:rFonts w:hint="eastAsia" w:ascii="宋体" w:hAnsi="宋体"/>
          <w:b/>
          <w:color w:val="auto"/>
          <w:sz w:val="24"/>
          <w:szCs w:val="24"/>
        </w:rPr>
        <w:t>2. 评审标准</w:t>
      </w:r>
    </w:p>
    <w:p w14:paraId="4875F25B">
      <w:pPr>
        <w:spacing w:line="400" w:lineRule="exact"/>
        <w:rPr>
          <w:rFonts w:hint="eastAsia" w:ascii="宋体" w:hAnsi="宋体"/>
          <w:b/>
          <w:color w:val="auto"/>
          <w:sz w:val="24"/>
          <w:szCs w:val="24"/>
        </w:rPr>
      </w:pPr>
      <w:r>
        <w:rPr>
          <w:rFonts w:hint="eastAsia" w:ascii="宋体" w:hAnsi="宋体"/>
          <w:b/>
          <w:color w:val="auto"/>
          <w:sz w:val="24"/>
          <w:szCs w:val="24"/>
        </w:rPr>
        <w:t>2.1 初步评审标准</w:t>
      </w:r>
    </w:p>
    <w:p w14:paraId="097051AE">
      <w:pPr>
        <w:spacing w:line="400" w:lineRule="exact"/>
        <w:ind w:firstLine="420" w:firstLineChars="200"/>
        <w:rPr>
          <w:rFonts w:ascii="宋体" w:hAnsi="宋体"/>
          <w:color w:val="auto"/>
        </w:rPr>
      </w:pPr>
      <w:r>
        <w:rPr>
          <w:rFonts w:ascii="宋体" w:hAnsi="宋体"/>
          <w:color w:val="auto"/>
        </w:rPr>
        <w:t xml:space="preserve">2.1.1 </w:t>
      </w:r>
      <w:r>
        <w:rPr>
          <w:rFonts w:hint="eastAsia" w:ascii="宋体" w:hAnsi="宋体"/>
          <w:color w:val="auto"/>
        </w:rPr>
        <w:t>形式、资格及响应性评审表：见评审办法前附表。</w:t>
      </w:r>
    </w:p>
    <w:p w14:paraId="20511B08">
      <w:pPr>
        <w:spacing w:line="400" w:lineRule="exact"/>
        <w:rPr>
          <w:rFonts w:hint="eastAsia" w:ascii="宋体" w:hAnsi="宋体"/>
          <w:b/>
          <w:color w:val="auto"/>
          <w:sz w:val="24"/>
          <w:szCs w:val="24"/>
        </w:rPr>
      </w:pPr>
      <w:bookmarkStart w:id="117" w:name="_Toc152045603"/>
      <w:bookmarkStart w:id="118" w:name="_Toc144974570"/>
      <w:bookmarkStart w:id="119" w:name="_Toc179632621"/>
      <w:bookmarkStart w:id="120" w:name="_Toc152042380"/>
      <w:r>
        <w:rPr>
          <w:rFonts w:hint="eastAsia" w:ascii="宋体" w:hAnsi="宋体"/>
          <w:b/>
          <w:color w:val="auto"/>
          <w:sz w:val="24"/>
          <w:szCs w:val="24"/>
        </w:rPr>
        <w:t>2.2 分值构成与评分标准</w:t>
      </w:r>
      <w:bookmarkEnd w:id="117"/>
      <w:bookmarkEnd w:id="118"/>
      <w:bookmarkEnd w:id="119"/>
      <w:bookmarkEnd w:id="120"/>
    </w:p>
    <w:p w14:paraId="37CCE12B">
      <w:pPr>
        <w:spacing w:line="400" w:lineRule="exact"/>
        <w:ind w:firstLine="420" w:firstLineChars="200"/>
        <w:rPr>
          <w:rFonts w:hint="eastAsia" w:ascii="宋体" w:hAnsi="宋体"/>
          <w:color w:val="auto"/>
        </w:rPr>
      </w:pPr>
      <w:r>
        <w:rPr>
          <w:rFonts w:hint="eastAsia" w:ascii="宋体" w:hAnsi="宋体"/>
          <w:color w:val="auto"/>
        </w:rPr>
        <w:t>2.2.1 详细评审分值构成</w:t>
      </w:r>
    </w:p>
    <w:p w14:paraId="43FF24CD">
      <w:pPr>
        <w:spacing w:line="400" w:lineRule="exact"/>
        <w:ind w:firstLine="420" w:firstLineChars="200"/>
        <w:rPr>
          <w:rFonts w:hint="eastAsia" w:ascii="宋体" w:hAnsi="宋体"/>
          <w:color w:val="auto"/>
        </w:rPr>
      </w:pPr>
      <w:r>
        <w:rPr>
          <w:rFonts w:hint="eastAsia" w:ascii="宋体" w:hAnsi="宋体"/>
          <w:color w:val="auto"/>
        </w:rPr>
        <w:t>（1）技术部分：见评审办法前附表；</w:t>
      </w:r>
    </w:p>
    <w:p w14:paraId="156A1435">
      <w:pPr>
        <w:spacing w:line="400" w:lineRule="exact"/>
        <w:ind w:firstLine="420" w:firstLineChars="200"/>
        <w:rPr>
          <w:rFonts w:hint="eastAsia" w:ascii="宋体" w:hAnsi="宋体"/>
          <w:color w:val="auto"/>
        </w:rPr>
      </w:pPr>
      <w:r>
        <w:rPr>
          <w:rFonts w:hint="eastAsia" w:ascii="宋体" w:hAnsi="宋体"/>
          <w:color w:val="auto"/>
        </w:rPr>
        <w:t>（2）商务部分：见评审办法前附表；</w:t>
      </w:r>
    </w:p>
    <w:p w14:paraId="6E0F589D">
      <w:pPr>
        <w:spacing w:line="400" w:lineRule="exact"/>
        <w:ind w:firstLine="420" w:firstLineChars="200"/>
        <w:rPr>
          <w:rFonts w:hint="eastAsia" w:ascii="宋体" w:hAnsi="宋体"/>
          <w:color w:val="auto"/>
        </w:rPr>
      </w:pPr>
      <w:r>
        <w:rPr>
          <w:rFonts w:hint="eastAsia" w:ascii="宋体" w:hAnsi="宋体"/>
          <w:color w:val="auto"/>
        </w:rPr>
        <w:t>（3）</w:t>
      </w:r>
      <w:r>
        <w:rPr>
          <w:rFonts w:hint="eastAsia" w:ascii="宋体" w:hAnsi="宋体"/>
          <w:color w:val="auto"/>
          <w:lang w:eastAsia="zh-CN"/>
        </w:rPr>
        <w:t>磋商</w:t>
      </w:r>
      <w:r>
        <w:rPr>
          <w:rFonts w:hint="eastAsia" w:ascii="宋体" w:hAnsi="宋体"/>
          <w:color w:val="auto"/>
        </w:rPr>
        <w:t>报价：见评审办法前附表；</w:t>
      </w:r>
    </w:p>
    <w:p w14:paraId="5E6B0B0C">
      <w:pPr>
        <w:spacing w:line="400" w:lineRule="exact"/>
        <w:ind w:firstLine="420" w:firstLineChars="200"/>
        <w:rPr>
          <w:rFonts w:hint="eastAsia" w:ascii="宋体" w:hAnsi="宋体"/>
          <w:color w:val="auto"/>
        </w:rPr>
      </w:pPr>
      <w:r>
        <w:rPr>
          <w:rFonts w:hint="eastAsia" w:ascii="宋体" w:hAnsi="宋体"/>
          <w:color w:val="auto"/>
        </w:rPr>
        <w:t>2.2.2  评审基准价计算</w:t>
      </w:r>
    </w:p>
    <w:p w14:paraId="450775CC">
      <w:pPr>
        <w:spacing w:line="400" w:lineRule="exact"/>
        <w:ind w:firstLine="420" w:firstLineChars="200"/>
        <w:rPr>
          <w:rFonts w:hint="eastAsia" w:ascii="宋体" w:hAnsi="宋体"/>
          <w:color w:val="auto"/>
        </w:rPr>
      </w:pPr>
      <w:r>
        <w:rPr>
          <w:rFonts w:hint="eastAsia" w:ascii="宋体" w:hAnsi="宋体"/>
          <w:color w:val="auto"/>
        </w:rPr>
        <w:t>评审基准价计算方法：见评审办法前附表。</w:t>
      </w:r>
    </w:p>
    <w:p w14:paraId="3A97483B">
      <w:pPr>
        <w:spacing w:line="400" w:lineRule="exact"/>
        <w:ind w:firstLine="420" w:firstLineChars="200"/>
        <w:rPr>
          <w:rFonts w:hint="eastAsia" w:ascii="宋体" w:hAnsi="宋体"/>
          <w:color w:val="auto"/>
        </w:rPr>
      </w:pPr>
      <w:r>
        <w:rPr>
          <w:rFonts w:hint="eastAsia" w:ascii="宋体" w:hAnsi="宋体"/>
          <w:color w:val="auto"/>
        </w:rPr>
        <w:t xml:space="preserve">2.2.3  </w:t>
      </w:r>
      <w:r>
        <w:rPr>
          <w:rFonts w:hint="eastAsia" w:ascii="宋体" w:hAnsi="宋体"/>
          <w:color w:val="auto"/>
          <w:lang w:eastAsia="zh-CN"/>
        </w:rPr>
        <w:t>磋商</w:t>
      </w:r>
      <w:r>
        <w:rPr>
          <w:rFonts w:hint="eastAsia" w:ascii="宋体" w:hAnsi="宋体"/>
          <w:color w:val="auto"/>
        </w:rPr>
        <w:t>报价得分的计算</w:t>
      </w:r>
    </w:p>
    <w:p w14:paraId="5372FD32">
      <w:pPr>
        <w:spacing w:line="400" w:lineRule="exact"/>
        <w:ind w:firstLine="420" w:firstLineChars="200"/>
        <w:rPr>
          <w:rFonts w:hint="eastAsia" w:ascii="宋体" w:hAnsi="宋体"/>
          <w:color w:val="auto"/>
        </w:rPr>
      </w:pPr>
      <w:r>
        <w:rPr>
          <w:rFonts w:hint="eastAsia" w:ascii="宋体" w:hAnsi="宋体"/>
          <w:color w:val="auto"/>
          <w:lang w:eastAsia="zh-CN"/>
        </w:rPr>
        <w:t>磋商</w:t>
      </w:r>
      <w:r>
        <w:rPr>
          <w:rFonts w:hint="eastAsia" w:ascii="宋体" w:hAnsi="宋体"/>
          <w:color w:val="auto"/>
        </w:rPr>
        <w:t>报价得分的计算公式：见评审办法前附表。</w:t>
      </w:r>
    </w:p>
    <w:p w14:paraId="1BAA8353">
      <w:pPr>
        <w:spacing w:line="400" w:lineRule="exact"/>
        <w:ind w:firstLine="420" w:firstLineChars="200"/>
        <w:rPr>
          <w:rFonts w:hint="eastAsia" w:ascii="宋体" w:hAnsi="宋体"/>
          <w:color w:val="auto"/>
        </w:rPr>
      </w:pPr>
      <w:r>
        <w:rPr>
          <w:rFonts w:hint="eastAsia" w:ascii="宋体" w:hAnsi="宋体"/>
          <w:color w:val="auto"/>
        </w:rPr>
        <w:t>2.2.4  评分标准</w:t>
      </w:r>
    </w:p>
    <w:p w14:paraId="4D9073A0">
      <w:pPr>
        <w:spacing w:line="400" w:lineRule="exact"/>
        <w:ind w:firstLine="420" w:firstLineChars="200"/>
        <w:rPr>
          <w:rFonts w:hint="eastAsia" w:ascii="宋体" w:hAnsi="宋体"/>
          <w:color w:val="auto"/>
        </w:rPr>
      </w:pPr>
      <w:r>
        <w:rPr>
          <w:rFonts w:hint="eastAsia" w:ascii="宋体" w:hAnsi="宋体"/>
          <w:color w:val="auto"/>
        </w:rPr>
        <w:t>（1）技术部分评审评分标准：见评审办法前附表；</w:t>
      </w:r>
    </w:p>
    <w:p w14:paraId="7D965E02">
      <w:pPr>
        <w:spacing w:line="400" w:lineRule="exact"/>
        <w:ind w:firstLine="420" w:firstLineChars="200"/>
        <w:rPr>
          <w:rFonts w:hint="eastAsia" w:ascii="宋体" w:hAnsi="宋体"/>
          <w:color w:val="auto"/>
        </w:rPr>
      </w:pPr>
      <w:r>
        <w:rPr>
          <w:rFonts w:hint="eastAsia" w:ascii="宋体" w:hAnsi="宋体"/>
          <w:color w:val="auto"/>
        </w:rPr>
        <w:t>（2）商务部分评审评分标准：见评审办法前附表；</w:t>
      </w:r>
    </w:p>
    <w:p w14:paraId="16AB143C">
      <w:pPr>
        <w:spacing w:line="400" w:lineRule="exact"/>
        <w:ind w:firstLine="420" w:firstLineChars="200"/>
        <w:rPr>
          <w:rFonts w:hint="eastAsia" w:ascii="宋体" w:hAnsi="宋体"/>
          <w:color w:val="auto"/>
        </w:rPr>
      </w:pPr>
      <w:r>
        <w:rPr>
          <w:rFonts w:hint="eastAsia" w:ascii="宋体" w:hAnsi="宋体"/>
          <w:color w:val="auto"/>
        </w:rPr>
        <w:t>（3）</w:t>
      </w:r>
      <w:r>
        <w:rPr>
          <w:rFonts w:hint="eastAsia" w:ascii="宋体" w:hAnsi="宋体"/>
          <w:color w:val="auto"/>
          <w:lang w:eastAsia="zh-CN"/>
        </w:rPr>
        <w:t>磋商</w:t>
      </w:r>
      <w:r>
        <w:rPr>
          <w:rFonts w:hint="eastAsia" w:ascii="宋体" w:hAnsi="宋体"/>
          <w:color w:val="auto"/>
        </w:rPr>
        <w:t>报价评分标准：见评审办法前附表；</w:t>
      </w:r>
    </w:p>
    <w:p w14:paraId="51F3F570">
      <w:pPr>
        <w:spacing w:line="400" w:lineRule="exact"/>
        <w:rPr>
          <w:rFonts w:hint="eastAsia" w:ascii="宋体" w:hAnsi="宋体"/>
          <w:b/>
          <w:color w:val="auto"/>
          <w:sz w:val="24"/>
          <w:szCs w:val="24"/>
        </w:rPr>
      </w:pPr>
      <w:r>
        <w:rPr>
          <w:rFonts w:hint="eastAsia" w:ascii="宋体" w:hAnsi="宋体"/>
          <w:b/>
          <w:color w:val="auto"/>
          <w:sz w:val="24"/>
          <w:szCs w:val="24"/>
        </w:rPr>
        <w:t>3. 评审程序</w:t>
      </w:r>
    </w:p>
    <w:p w14:paraId="3682961F">
      <w:pPr>
        <w:spacing w:line="400" w:lineRule="exact"/>
        <w:rPr>
          <w:rFonts w:hint="eastAsia" w:ascii="宋体" w:hAnsi="宋体"/>
          <w:b/>
          <w:color w:val="auto"/>
          <w:sz w:val="24"/>
          <w:szCs w:val="24"/>
        </w:rPr>
      </w:pPr>
      <w:r>
        <w:rPr>
          <w:rFonts w:hint="eastAsia" w:ascii="宋体" w:hAnsi="宋体"/>
          <w:b/>
          <w:color w:val="auto"/>
          <w:sz w:val="24"/>
          <w:szCs w:val="24"/>
        </w:rPr>
        <w:t>3.1 初步评审</w:t>
      </w:r>
    </w:p>
    <w:p w14:paraId="231D9EEB">
      <w:pPr>
        <w:spacing w:line="400" w:lineRule="exact"/>
        <w:ind w:firstLine="420" w:firstLineChars="200"/>
        <w:rPr>
          <w:rFonts w:ascii="宋体" w:hAnsi="宋体"/>
          <w:color w:val="auto"/>
        </w:rPr>
      </w:pPr>
      <w:r>
        <w:rPr>
          <w:rFonts w:ascii="宋体" w:hAnsi="宋体"/>
          <w:color w:val="auto"/>
        </w:rPr>
        <w:t xml:space="preserve">3.1.1 </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可以要求</w:t>
      </w:r>
      <w:r>
        <w:rPr>
          <w:rFonts w:hint="eastAsia" w:ascii="宋体" w:hAnsi="宋体"/>
          <w:color w:val="auto"/>
        </w:rPr>
        <w:t>供应商</w:t>
      </w:r>
      <w:r>
        <w:rPr>
          <w:rFonts w:ascii="宋体" w:hAnsi="宋体"/>
          <w:color w:val="auto"/>
        </w:rPr>
        <w:t>提交第二章“</w:t>
      </w:r>
      <w:r>
        <w:rPr>
          <w:rFonts w:hint="eastAsia" w:ascii="宋体" w:hAnsi="宋体"/>
          <w:color w:val="auto"/>
        </w:rPr>
        <w:t>供应商</w:t>
      </w:r>
      <w:r>
        <w:rPr>
          <w:rFonts w:ascii="宋体" w:hAnsi="宋体"/>
          <w:color w:val="auto"/>
        </w:rPr>
        <w:t>须知”规定的有关证明和证件的原件，以便核验。</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依据本章第 2.1 款规定的标准对响应文件进行初步评审。有一项不符合评审标准的，</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应当否决其投标。</w:t>
      </w:r>
    </w:p>
    <w:p w14:paraId="21B97653">
      <w:pPr>
        <w:spacing w:line="400" w:lineRule="exact"/>
        <w:ind w:left="-2" w:leftChars="-1" w:firstLine="420" w:firstLineChars="200"/>
        <w:rPr>
          <w:rFonts w:ascii="宋体" w:hAnsi="宋体"/>
          <w:color w:val="auto"/>
        </w:rPr>
      </w:pPr>
      <w:r>
        <w:rPr>
          <w:rFonts w:ascii="宋体" w:hAnsi="宋体"/>
          <w:color w:val="auto"/>
        </w:rPr>
        <w:t xml:space="preserve">3.1.2 </w:t>
      </w:r>
      <w:r>
        <w:rPr>
          <w:rFonts w:hint="eastAsia" w:ascii="宋体" w:hAnsi="宋体"/>
          <w:color w:val="auto"/>
        </w:rPr>
        <w:t>供应商</w:t>
      </w:r>
      <w:r>
        <w:rPr>
          <w:rFonts w:ascii="宋体" w:hAnsi="宋体"/>
          <w:color w:val="auto"/>
        </w:rPr>
        <w:t>有以下情形之一的，</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应当否决其投标：</w:t>
      </w:r>
    </w:p>
    <w:p w14:paraId="0D05333E">
      <w:pPr>
        <w:spacing w:line="400" w:lineRule="exact"/>
        <w:ind w:left="-2" w:leftChars="-1" w:firstLine="420" w:firstLineChars="200"/>
        <w:rPr>
          <w:rFonts w:ascii="宋体" w:hAnsi="宋体"/>
          <w:color w:val="auto"/>
        </w:rPr>
      </w:pPr>
      <w:r>
        <w:rPr>
          <w:rFonts w:ascii="宋体" w:hAnsi="宋体"/>
          <w:color w:val="auto"/>
        </w:rPr>
        <w:t>（1）响应文件没有对</w:t>
      </w:r>
      <w:r>
        <w:rPr>
          <w:rFonts w:hint="eastAsia" w:ascii="宋体" w:hAnsi="宋体"/>
          <w:color w:val="auto"/>
        </w:rPr>
        <w:t>采购文件</w:t>
      </w:r>
      <w:r>
        <w:rPr>
          <w:rFonts w:ascii="宋体" w:hAnsi="宋体"/>
          <w:color w:val="auto"/>
        </w:rPr>
        <w:t>的实质性要求和条件作出响应，或者对竞争性</w:t>
      </w:r>
      <w:r>
        <w:rPr>
          <w:rFonts w:hint="eastAsia" w:ascii="宋体" w:hAnsi="宋体"/>
          <w:color w:val="auto"/>
          <w:lang w:eastAsia="zh-CN"/>
        </w:rPr>
        <w:t>磋商</w:t>
      </w:r>
      <w:r>
        <w:rPr>
          <w:rFonts w:ascii="宋体" w:hAnsi="宋体"/>
          <w:color w:val="auto"/>
        </w:rPr>
        <w:t>文件的偏差超出竞争性</w:t>
      </w:r>
      <w:r>
        <w:rPr>
          <w:rFonts w:hint="eastAsia" w:ascii="宋体" w:hAnsi="宋体"/>
          <w:color w:val="auto"/>
          <w:lang w:eastAsia="zh-CN"/>
        </w:rPr>
        <w:t>磋商</w:t>
      </w:r>
      <w:r>
        <w:rPr>
          <w:rFonts w:ascii="宋体" w:hAnsi="宋体"/>
          <w:color w:val="auto"/>
        </w:rPr>
        <w:t>文件规定的偏差范围或最高项数；</w:t>
      </w:r>
    </w:p>
    <w:p w14:paraId="0140C719">
      <w:pPr>
        <w:spacing w:line="400" w:lineRule="exact"/>
        <w:ind w:left="-2" w:leftChars="-1" w:firstLine="420" w:firstLineChars="200"/>
        <w:rPr>
          <w:rFonts w:ascii="宋体" w:hAnsi="宋体"/>
          <w:color w:val="auto"/>
        </w:rPr>
      </w:pPr>
      <w:r>
        <w:rPr>
          <w:rFonts w:ascii="宋体" w:hAnsi="宋体"/>
          <w:color w:val="auto"/>
        </w:rPr>
        <w:t>（2）有串通投标、弄虚作假、行贿等违法行为。</w:t>
      </w:r>
    </w:p>
    <w:p w14:paraId="6AB49FF9">
      <w:pPr>
        <w:spacing w:line="400" w:lineRule="exact"/>
        <w:ind w:left="-2" w:leftChars="-1" w:firstLine="420" w:firstLineChars="200"/>
        <w:rPr>
          <w:rFonts w:ascii="宋体" w:hAnsi="宋体"/>
          <w:color w:val="auto"/>
        </w:rPr>
      </w:pPr>
      <w:r>
        <w:rPr>
          <w:rFonts w:ascii="宋体" w:hAnsi="宋体"/>
          <w:color w:val="auto"/>
        </w:rPr>
        <w:t xml:space="preserve">3.1.3 </w:t>
      </w:r>
      <w:r>
        <w:rPr>
          <w:rFonts w:hint="eastAsia" w:ascii="宋体" w:hAnsi="宋体"/>
          <w:color w:val="auto"/>
          <w:lang w:eastAsia="zh-CN"/>
        </w:rPr>
        <w:t>磋商</w:t>
      </w:r>
      <w:r>
        <w:rPr>
          <w:rFonts w:ascii="宋体" w:hAnsi="宋体"/>
          <w:color w:val="auto"/>
        </w:rPr>
        <w:t>报价有算术错误及其他错误的，</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按以下原则要求</w:t>
      </w:r>
      <w:r>
        <w:rPr>
          <w:rFonts w:hint="eastAsia" w:ascii="宋体" w:hAnsi="宋体"/>
          <w:color w:val="auto"/>
        </w:rPr>
        <w:t>供应商</w:t>
      </w:r>
      <w:r>
        <w:rPr>
          <w:rFonts w:ascii="宋体" w:hAnsi="宋体"/>
          <w:color w:val="auto"/>
        </w:rPr>
        <w:t>对</w:t>
      </w:r>
      <w:r>
        <w:rPr>
          <w:rFonts w:hint="eastAsia" w:ascii="宋体" w:hAnsi="宋体"/>
          <w:color w:val="auto"/>
          <w:lang w:eastAsia="zh-CN"/>
        </w:rPr>
        <w:t>磋商</w:t>
      </w:r>
      <w:r>
        <w:rPr>
          <w:rFonts w:ascii="宋体" w:hAnsi="宋体"/>
          <w:color w:val="auto"/>
        </w:rPr>
        <w:t>报价进行修正，并要求</w:t>
      </w:r>
      <w:r>
        <w:rPr>
          <w:rFonts w:hint="eastAsia" w:ascii="宋体" w:hAnsi="宋体"/>
          <w:color w:val="auto"/>
        </w:rPr>
        <w:t>供应商</w:t>
      </w:r>
      <w:r>
        <w:rPr>
          <w:rFonts w:ascii="宋体" w:hAnsi="宋体"/>
          <w:color w:val="auto"/>
        </w:rPr>
        <w:t>书面澄清确认。</w:t>
      </w:r>
      <w:r>
        <w:rPr>
          <w:rFonts w:hint="eastAsia" w:ascii="宋体" w:hAnsi="宋体"/>
          <w:color w:val="auto"/>
        </w:rPr>
        <w:t>供应商</w:t>
      </w:r>
      <w:r>
        <w:rPr>
          <w:rFonts w:ascii="宋体" w:hAnsi="宋体"/>
          <w:color w:val="auto"/>
        </w:rPr>
        <w:t>拒不澄清确认的，</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应当否决其投标：</w:t>
      </w:r>
    </w:p>
    <w:p w14:paraId="48038C68">
      <w:pPr>
        <w:spacing w:line="400" w:lineRule="exact"/>
        <w:ind w:left="-2" w:leftChars="-1" w:firstLine="420" w:firstLineChars="200"/>
        <w:rPr>
          <w:rFonts w:ascii="宋体" w:hAnsi="宋体"/>
          <w:color w:val="auto"/>
        </w:rPr>
      </w:pPr>
      <w:r>
        <w:rPr>
          <w:rFonts w:ascii="宋体" w:hAnsi="宋体"/>
          <w:color w:val="auto"/>
        </w:rPr>
        <w:t>（1）响应文件中的大写金额与小写金额不一致的，以大写金额为准；</w:t>
      </w:r>
    </w:p>
    <w:p w14:paraId="65D6A7D4">
      <w:pPr>
        <w:spacing w:line="400" w:lineRule="exact"/>
        <w:ind w:left="-2" w:leftChars="-1" w:firstLine="420" w:firstLineChars="200"/>
        <w:rPr>
          <w:rFonts w:ascii="宋体" w:hAnsi="宋体"/>
          <w:color w:val="auto"/>
        </w:rPr>
      </w:pPr>
      <w:r>
        <w:rPr>
          <w:rFonts w:ascii="宋体" w:hAnsi="宋体"/>
          <w:color w:val="auto"/>
        </w:rPr>
        <w:t>（2）总价金额与单价金额不一致的，以单价金额为准，但单价金额小数点有明显错误的除外。</w:t>
      </w:r>
    </w:p>
    <w:p w14:paraId="4C04A4F2">
      <w:pPr>
        <w:spacing w:line="400" w:lineRule="exact"/>
        <w:ind w:left="-2" w:leftChars="-1" w:firstLine="420" w:firstLineChars="200"/>
        <w:rPr>
          <w:rFonts w:ascii="宋体" w:hAnsi="宋体"/>
          <w:color w:val="auto"/>
        </w:rPr>
      </w:pPr>
      <w:r>
        <w:rPr>
          <w:rFonts w:hint="eastAsia" w:ascii="宋体" w:hAnsi="宋体"/>
          <w:color w:val="auto"/>
        </w:rPr>
        <w:t>3.1.4 初步评审后，</w:t>
      </w:r>
      <w:r>
        <w:rPr>
          <w:rFonts w:hint="eastAsia" w:ascii="宋体" w:hAnsi="宋体"/>
          <w:color w:val="auto"/>
          <w:lang w:eastAsia="zh-CN"/>
        </w:rPr>
        <w:t>磋商</w:t>
      </w:r>
      <w:r>
        <w:rPr>
          <w:rFonts w:hint="eastAsia" w:ascii="宋体" w:hAnsi="宋体"/>
          <w:color w:val="auto"/>
        </w:rPr>
        <w:t>小组应当要求所有实质性响应的供应商在规定时间内提交最后报价。</w:t>
      </w:r>
    </w:p>
    <w:p w14:paraId="28C9B000">
      <w:pPr>
        <w:spacing w:line="400" w:lineRule="exact"/>
        <w:rPr>
          <w:rFonts w:hint="eastAsia" w:ascii="宋体" w:hAnsi="宋体"/>
          <w:b/>
          <w:color w:val="auto"/>
          <w:sz w:val="24"/>
          <w:szCs w:val="24"/>
        </w:rPr>
      </w:pPr>
      <w:r>
        <w:rPr>
          <w:rFonts w:hint="eastAsia" w:ascii="宋体" w:hAnsi="宋体"/>
          <w:b/>
          <w:color w:val="auto"/>
          <w:sz w:val="24"/>
          <w:szCs w:val="24"/>
        </w:rPr>
        <w:t>3.2 详细评审</w:t>
      </w:r>
    </w:p>
    <w:p w14:paraId="03F18539">
      <w:pPr>
        <w:spacing w:line="400" w:lineRule="exact"/>
        <w:ind w:firstLine="420" w:firstLineChars="200"/>
        <w:rPr>
          <w:rFonts w:hint="eastAsia" w:ascii="宋体" w:hAnsi="宋体"/>
          <w:color w:val="auto"/>
        </w:rPr>
      </w:pPr>
      <w:r>
        <w:rPr>
          <w:rFonts w:hint="eastAsia" w:ascii="宋体" w:hAnsi="宋体"/>
          <w:color w:val="auto"/>
        </w:rPr>
        <w:t>3.2.1 最后报价结束后，竞争性</w:t>
      </w:r>
      <w:r>
        <w:rPr>
          <w:rFonts w:hint="eastAsia" w:ascii="宋体" w:hAnsi="宋体"/>
          <w:color w:val="auto"/>
          <w:lang w:eastAsia="zh-CN"/>
        </w:rPr>
        <w:t>磋商</w:t>
      </w:r>
      <w:r>
        <w:rPr>
          <w:rFonts w:hint="eastAsia" w:ascii="宋体" w:hAnsi="宋体"/>
          <w:color w:val="auto"/>
        </w:rPr>
        <w:t>小组按本章第 2.2 款规定的量化因素和分值进行打分，并计算出综合评估得分。</w:t>
      </w:r>
    </w:p>
    <w:p w14:paraId="4AB7C245">
      <w:pPr>
        <w:spacing w:line="400" w:lineRule="exact"/>
        <w:ind w:firstLine="420" w:firstLineChars="200"/>
        <w:rPr>
          <w:rFonts w:hint="eastAsia" w:ascii="宋体" w:hAnsi="宋体"/>
          <w:color w:val="auto"/>
        </w:rPr>
      </w:pPr>
      <w:r>
        <w:rPr>
          <w:rFonts w:hint="eastAsia" w:ascii="宋体" w:hAnsi="宋体"/>
          <w:color w:val="auto"/>
        </w:rPr>
        <w:t>（1）按本章第 2.2.4（1）目规定的评审因素和分值对技术部分计算出得分A；</w:t>
      </w:r>
    </w:p>
    <w:p w14:paraId="04E19205">
      <w:pPr>
        <w:spacing w:line="400" w:lineRule="exact"/>
        <w:ind w:firstLine="420" w:firstLineChars="200"/>
        <w:rPr>
          <w:rFonts w:hint="eastAsia" w:ascii="宋体" w:hAnsi="宋体"/>
          <w:color w:val="auto"/>
        </w:rPr>
      </w:pPr>
      <w:r>
        <w:rPr>
          <w:rFonts w:hint="eastAsia" w:ascii="宋体" w:hAnsi="宋体"/>
          <w:color w:val="auto"/>
        </w:rPr>
        <w:t>（2）按本章第 2.2.4（2）目规定的评审因素和分值对商务部分计算出得分B；</w:t>
      </w:r>
    </w:p>
    <w:p w14:paraId="323CC38D">
      <w:pPr>
        <w:spacing w:line="400" w:lineRule="exact"/>
        <w:ind w:firstLine="420" w:firstLineChars="200"/>
        <w:rPr>
          <w:rFonts w:hint="eastAsia" w:ascii="宋体" w:hAnsi="宋体"/>
          <w:color w:val="auto"/>
        </w:rPr>
      </w:pPr>
      <w:r>
        <w:rPr>
          <w:rFonts w:hint="eastAsia" w:ascii="宋体" w:hAnsi="宋体"/>
          <w:color w:val="auto"/>
        </w:rPr>
        <w:t>（3）按本章第 2.2.4（3）目规定的评审因素和分值对</w:t>
      </w:r>
      <w:r>
        <w:rPr>
          <w:rFonts w:hint="eastAsia" w:ascii="宋体" w:hAnsi="宋体"/>
          <w:color w:val="auto"/>
          <w:lang w:eastAsia="zh-CN"/>
        </w:rPr>
        <w:t>磋商第二轮</w:t>
      </w:r>
      <w:r>
        <w:rPr>
          <w:rFonts w:hint="eastAsia" w:ascii="宋体" w:hAnsi="宋体"/>
          <w:color w:val="auto"/>
        </w:rPr>
        <w:t>报价（最终报价）计算出得分C；</w:t>
      </w:r>
    </w:p>
    <w:p w14:paraId="09805D1F">
      <w:pPr>
        <w:spacing w:line="400" w:lineRule="exact"/>
        <w:ind w:firstLine="420" w:firstLineChars="200"/>
        <w:rPr>
          <w:rFonts w:hint="eastAsia" w:ascii="宋体" w:hAnsi="宋体"/>
          <w:color w:val="auto"/>
        </w:rPr>
      </w:pPr>
      <w:r>
        <w:rPr>
          <w:rFonts w:hint="eastAsia" w:ascii="宋体" w:hAnsi="宋体"/>
          <w:color w:val="auto"/>
        </w:rPr>
        <w:t>3.2.2 评分分值计算保留小数点后两位，小数点后第三位“四舍五入”。</w:t>
      </w:r>
    </w:p>
    <w:p w14:paraId="49828686">
      <w:pPr>
        <w:spacing w:line="400" w:lineRule="exact"/>
        <w:ind w:firstLine="420" w:firstLineChars="200"/>
        <w:rPr>
          <w:rFonts w:hint="eastAsia" w:ascii="宋体" w:hAnsi="宋体"/>
          <w:color w:val="auto"/>
        </w:rPr>
      </w:pPr>
      <w:r>
        <w:rPr>
          <w:rFonts w:hint="eastAsia" w:ascii="宋体" w:hAnsi="宋体"/>
          <w:color w:val="auto"/>
        </w:rPr>
        <w:t>3.2.3 供应商得分=A+B+C</w:t>
      </w:r>
    </w:p>
    <w:p w14:paraId="2B5EFE7D">
      <w:pPr>
        <w:spacing w:line="400" w:lineRule="exact"/>
        <w:ind w:firstLine="420" w:firstLineChars="200"/>
        <w:rPr>
          <w:rFonts w:hint="eastAsia" w:ascii="宋体" w:hAnsi="宋体"/>
          <w:color w:val="auto"/>
        </w:rPr>
      </w:pPr>
      <w:r>
        <w:rPr>
          <w:rFonts w:hint="eastAsia" w:ascii="宋体" w:hAnsi="宋体"/>
          <w:color w:val="auto"/>
        </w:rPr>
        <w:t>3.2.4 竞争性</w:t>
      </w:r>
      <w:r>
        <w:rPr>
          <w:rFonts w:hint="eastAsia" w:ascii="宋体" w:hAnsi="宋体"/>
          <w:color w:val="auto"/>
          <w:lang w:eastAsia="zh-CN"/>
        </w:rPr>
        <w:t>磋商</w:t>
      </w:r>
      <w:r>
        <w:rPr>
          <w:rFonts w:hint="eastAsia" w:ascii="宋体" w:hAnsi="宋体"/>
          <w:color w:val="auto"/>
        </w:rPr>
        <w:t>小组发现供应商的报价明显低于其他</w:t>
      </w:r>
      <w:r>
        <w:rPr>
          <w:rFonts w:hint="eastAsia" w:ascii="宋体" w:hAnsi="宋体"/>
          <w:color w:val="auto"/>
          <w:lang w:eastAsia="zh-CN"/>
        </w:rPr>
        <w:t>磋商第二轮</w:t>
      </w:r>
      <w:r>
        <w:rPr>
          <w:rFonts w:hint="eastAsia" w:ascii="宋体" w:hAnsi="宋体"/>
          <w:color w:val="auto"/>
        </w:rPr>
        <w:t>报价（最终报价），使得其</w:t>
      </w:r>
      <w:r>
        <w:rPr>
          <w:rFonts w:hint="eastAsia" w:ascii="宋体" w:hAnsi="宋体"/>
          <w:color w:val="auto"/>
          <w:lang w:eastAsia="zh-CN"/>
        </w:rPr>
        <w:t>磋商第二轮</w:t>
      </w:r>
      <w:r>
        <w:rPr>
          <w:rFonts w:hint="eastAsia" w:ascii="宋体" w:hAnsi="宋体"/>
          <w:color w:val="auto"/>
        </w:rPr>
        <w:t>报价（最终报价）可能低于其个别成本的，应当要求该供应商作出书面说明并提供相应的证明材料。供应商不能合理说明或者不能提供相应证明材料的，竞争性</w:t>
      </w:r>
      <w:r>
        <w:rPr>
          <w:rFonts w:hint="eastAsia" w:ascii="宋体" w:hAnsi="宋体"/>
          <w:color w:val="auto"/>
          <w:lang w:eastAsia="zh-CN"/>
        </w:rPr>
        <w:t>磋商</w:t>
      </w:r>
      <w:r>
        <w:rPr>
          <w:rFonts w:hint="eastAsia" w:ascii="宋体" w:hAnsi="宋体"/>
          <w:color w:val="auto"/>
        </w:rPr>
        <w:t>小组应当认定该供应商以低于成本报价竞标，并否决其投标。</w:t>
      </w:r>
    </w:p>
    <w:p w14:paraId="7C92CE64">
      <w:pPr>
        <w:spacing w:line="400" w:lineRule="exact"/>
        <w:rPr>
          <w:rFonts w:ascii="宋体" w:hAnsi="宋体"/>
          <w:b/>
          <w:color w:val="auto"/>
          <w:sz w:val="24"/>
        </w:rPr>
      </w:pPr>
      <w:r>
        <w:rPr>
          <w:rFonts w:ascii="宋体" w:hAnsi="宋体"/>
          <w:b/>
          <w:color w:val="auto"/>
          <w:sz w:val="24"/>
        </w:rPr>
        <w:t>3.3 响应文件的澄清</w:t>
      </w:r>
    </w:p>
    <w:p w14:paraId="285519FB">
      <w:pPr>
        <w:spacing w:line="400" w:lineRule="exact"/>
        <w:ind w:left="-2" w:leftChars="-1" w:firstLine="420" w:firstLineChars="200"/>
        <w:rPr>
          <w:rFonts w:ascii="宋体" w:hAnsi="宋体"/>
          <w:color w:val="auto"/>
        </w:rPr>
      </w:pPr>
      <w:r>
        <w:rPr>
          <w:rFonts w:ascii="宋体" w:hAnsi="宋体"/>
          <w:color w:val="auto"/>
        </w:rPr>
        <w:t>3.3.1 在评标过程中，</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可以书面形式要求</w:t>
      </w:r>
      <w:r>
        <w:rPr>
          <w:rFonts w:hint="eastAsia" w:ascii="宋体" w:hAnsi="宋体"/>
          <w:color w:val="auto"/>
        </w:rPr>
        <w:t>供应商</w:t>
      </w:r>
      <w:r>
        <w:rPr>
          <w:rFonts w:ascii="宋体" w:hAnsi="宋体"/>
          <w:color w:val="auto"/>
        </w:rPr>
        <w:t>对响应文件中含义不明确、对同类问题表述不一致或者有明显文字和计算错误的内容作必要的澄清、说明或补正。澄清、说明或补正应以书面方式进行。</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不接受</w:t>
      </w:r>
      <w:r>
        <w:rPr>
          <w:rFonts w:hint="eastAsia" w:ascii="宋体" w:hAnsi="宋体"/>
          <w:color w:val="auto"/>
        </w:rPr>
        <w:t>供应商</w:t>
      </w:r>
      <w:r>
        <w:rPr>
          <w:rFonts w:ascii="宋体" w:hAnsi="宋体"/>
          <w:color w:val="auto"/>
        </w:rPr>
        <w:t>主动提出的澄清、说明或补正。</w:t>
      </w:r>
    </w:p>
    <w:p w14:paraId="565D369D">
      <w:pPr>
        <w:spacing w:line="400" w:lineRule="exact"/>
        <w:ind w:left="-2" w:leftChars="-1" w:firstLine="420" w:firstLineChars="200"/>
        <w:rPr>
          <w:rFonts w:ascii="宋体" w:hAnsi="宋体"/>
          <w:color w:val="auto"/>
        </w:rPr>
      </w:pPr>
      <w:r>
        <w:rPr>
          <w:rFonts w:ascii="宋体" w:hAnsi="宋体"/>
          <w:color w:val="auto"/>
        </w:rPr>
        <w:t>3.3.2 澄清、说明或补正不得超出响应文件的范围且不得改变响应文件的实质性内容，并构成响应文件的组成部分。</w:t>
      </w:r>
    </w:p>
    <w:p w14:paraId="76B3D827">
      <w:pPr>
        <w:spacing w:line="400" w:lineRule="exact"/>
        <w:ind w:left="-2" w:leftChars="-1" w:firstLine="420" w:firstLineChars="200"/>
        <w:rPr>
          <w:rFonts w:ascii="宋体" w:hAnsi="宋体"/>
          <w:color w:val="auto"/>
        </w:rPr>
      </w:pPr>
      <w:r>
        <w:rPr>
          <w:rFonts w:ascii="宋体" w:hAnsi="宋体"/>
          <w:color w:val="auto"/>
        </w:rPr>
        <w:t xml:space="preserve">3.3.3 </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对</w:t>
      </w:r>
      <w:r>
        <w:rPr>
          <w:rFonts w:hint="eastAsia" w:ascii="宋体" w:hAnsi="宋体"/>
          <w:color w:val="auto"/>
        </w:rPr>
        <w:t>供应商</w:t>
      </w:r>
      <w:r>
        <w:rPr>
          <w:rFonts w:ascii="宋体" w:hAnsi="宋体"/>
          <w:color w:val="auto"/>
        </w:rPr>
        <w:t>提交的澄清、说明或补正有疑问的，可以要求</w:t>
      </w:r>
      <w:r>
        <w:rPr>
          <w:rFonts w:hint="eastAsia" w:ascii="宋体" w:hAnsi="宋体"/>
          <w:color w:val="auto"/>
        </w:rPr>
        <w:t>供应商</w:t>
      </w:r>
      <w:r>
        <w:rPr>
          <w:rFonts w:ascii="宋体" w:hAnsi="宋体"/>
          <w:color w:val="auto"/>
        </w:rPr>
        <w:t>进一步澄清、说明或补正，直至满足</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的要求。</w:t>
      </w:r>
    </w:p>
    <w:p w14:paraId="058A5E92">
      <w:pPr>
        <w:spacing w:line="400" w:lineRule="exact"/>
        <w:rPr>
          <w:rFonts w:ascii="宋体" w:hAnsi="宋体"/>
          <w:b/>
          <w:color w:val="auto"/>
          <w:sz w:val="24"/>
        </w:rPr>
      </w:pPr>
      <w:r>
        <w:rPr>
          <w:rFonts w:ascii="宋体" w:hAnsi="宋体"/>
          <w:b/>
          <w:color w:val="auto"/>
          <w:sz w:val="24"/>
        </w:rPr>
        <w:t>3.4 评标结果</w:t>
      </w:r>
    </w:p>
    <w:p w14:paraId="4DE1B2ED">
      <w:pPr>
        <w:spacing w:line="400" w:lineRule="exact"/>
        <w:ind w:left="-2" w:leftChars="-1" w:firstLine="420" w:firstLineChars="200"/>
        <w:rPr>
          <w:rFonts w:ascii="宋体" w:hAnsi="宋体"/>
          <w:color w:val="auto"/>
        </w:rPr>
      </w:pPr>
      <w:r>
        <w:rPr>
          <w:rFonts w:ascii="宋体" w:hAnsi="宋体"/>
          <w:color w:val="auto"/>
        </w:rPr>
        <w:t>3.4.1 除第二章“</w:t>
      </w:r>
      <w:r>
        <w:rPr>
          <w:rFonts w:hint="eastAsia" w:ascii="宋体" w:hAnsi="宋体"/>
          <w:color w:val="auto"/>
        </w:rPr>
        <w:t>供应商</w:t>
      </w:r>
      <w:r>
        <w:rPr>
          <w:rFonts w:ascii="宋体" w:hAnsi="宋体"/>
          <w:color w:val="auto"/>
        </w:rPr>
        <w:t>须知”前附表授权直接确定</w:t>
      </w:r>
      <w:r>
        <w:rPr>
          <w:rFonts w:hint="eastAsia" w:ascii="宋体" w:hAnsi="宋体"/>
          <w:color w:val="auto"/>
        </w:rPr>
        <w:t>成交</w:t>
      </w:r>
      <w:r>
        <w:rPr>
          <w:rFonts w:ascii="宋体" w:hAnsi="宋体"/>
          <w:color w:val="auto"/>
        </w:rPr>
        <w:t>人外，</w:t>
      </w:r>
      <w:r>
        <w:rPr>
          <w:rFonts w:hint="eastAsia" w:ascii="宋体" w:hAnsi="宋体"/>
          <w:color w:val="auto"/>
        </w:rPr>
        <w:t>竞争性</w:t>
      </w:r>
      <w:r>
        <w:rPr>
          <w:rFonts w:hint="eastAsia" w:ascii="宋体" w:hAnsi="宋体"/>
          <w:color w:val="auto"/>
          <w:lang w:eastAsia="zh-CN"/>
        </w:rPr>
        <w:t>磋商</w:t>
      </w:r>
      <w:r>
        <w:rPr>
          <w:rFonts w:hint="eastAsia" w:ascii="宋体" w:hAnsi="宋体"/>
          <w:color w:val="auto"/>
        </w:rPr>
        <w:t>小组</w:t>
      </w:r>
      <w:r>
        <w:rPr>
          <w:rFonts w:ascii="宋体" w:hAnsi="宋体"/>
          <w:color w:val="auto"/>
        </w:rPr>
        <w:t>按照得分由高到低的顺序推荐成交候选人，并标明排序。</w:t>
      </w:r>
    </w:p>
    <w:p w14:paraId="3559E2E4">
      <w:pPr>
        <w:spacing w:line="400" w:lineRule="exact"/>
        <w:ind w:left="-2" w:leftChars="-1" w:firstLine="420" w:firstLineChars="200"/>
        <w:rPr>
          <w:rFonts w:hint="eastAsia" w:ascii="宋体" w:hAnsi="宋体"/>
          <w:color w:val="auto"/>
        </w:rPr>
      </w:pPr>
      <w:r>
        <w:rPr>
          <w:rFonts w:hint="eastAsia" w:ascii="宋体" w:hAnsi="宋体"/>
          <w:color w:val="auto"/>
        </w:rPr>
        <w:t>3.4.2 评审完成后，</w:t>
      </w:r>
      <w:r>
        <w:rPr>
          <w:rFonts w:hint="eastAsia" w:ascii="宋体" w:hAnsi="宋体"/>
          <w:color w:val="auto"/>
          <w:lang w:eastAsia="zh-CN"/>
        </w:rPr>
        <w:t>磋商</w:t>
      </w:r>
      <w:r>
        <w:rPr>
          <w:rFonts w:hint="eastAsia" w:ascii="宋体" w:hAnsi="宋体"/>
          <w:color w:val="auto"/>
        </w:rPr>
        <w:t>小组向采购人提出评审报告，评审报告由</w:t>
      </w:r>
      <w:r>
        <w:rPr>
          <w:rFonts w:hint="eastAsia" w:ascii="宋体" w:hAnsi="宋体"/>
          <w:color w:val="auto"/>
          <w:lang w:eastAsia="zh-CN"/>
        </w:rPr>
        <w:t>磋商</w:t>
      </w:r>
      <w:r>
        <w:rPr>
          <w:rFonts w:hint="eastAsia" w:ascii="宋体" w:hAnsi="宋体"/>
          <w:color w:val="auto"/>
        </w:rPr>
        <w:t>小组全体成员签字确认。</w:t>
      </w:r>
    </w:p>
    <w:p w14:paraId="06D59551">
      <w:pPr>
        <w:pStyle w:val="2"/>
        <w:jc w:val="both"/>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3.4.3 竞争性磋商小组完成评审后，应当向采购人提交书面评审报告和成交候选人名单。</w:t>
      </w:r>
    </w:p>
    <w:p w14:paraId="3AA02ACB">
      <w:pPr>
        <w:rPr>
          <w:rFonts w:asciiTheme="minorEastAsia" w:hAnsiTheme="minorEastAsia" w:eastAsiaTheme="minorEastAsia"/>
          <w:color w:val="auto"/>
        </w:rPr>
      </w:pPr>
    </w:p>
    <w:p w14:paraId="46C24911">
      <w:pPr>
        <w:widowControl/>
        <w:autoSpaceDE w:val="0"/>
        <w:autoSpaceDN w:val="0"/>
        <w:adjustRightInd w:val="0"/>
        <w:jc w:val="right"/>
        <w:rPr>
          <w:rFonts w:hint="eastAsia"/>
          <w:color w:val="auto"/>
          <w:sz w:val="11"/>
          <w:szCs w:val="11"/>
        </w:rPr>
      </w:pPr>
      <w:r>
        <w:rPr>
          <w:rFonts w:hint="eastAsia" w:ascii="宋体" w:hAnsi="宋体"/>
          <w:b/>
          <w:bCs/>
          <w:color w:val="auto"/>
          <w:sz w:val="44"/>
          <w:szCs w:val="44"/>
        </w:rPr>
        <w:br w:type="page"/>
      </w:r>
    </w:p>
    <w:p w14:paraId="7ECCDFAD">
      <w:pPr>
        <w:numPr>
          <w:ilvl w:val="0"/>
          <w:numId w:val="0"/>
        </w:numPr>
        <w:spacing w:line="360" w:lineRule="auto"/>
        <w:ind w:leftChars="0"/>
        <w:rPr>
          <w:rFonts w:ascii="宋体" w:hAnsi="宋体"/>
          <w:b/>
          <w:color w:val="auto"/>
          <w:sz w:val="21"/>
          <w:szCs w:val="21"/>
        </w:rPr>
      </w:pPr>
      <w:r>
        <w:rPr>
          <w:rFonts w:hint="eastAsia" w:ascii="宋体" w:hAnsi="宋体"/>
          <w:b/>
          <w:color w:val="auto"/>
          <w:sz w:val="21"/>
          <w:szCs w:val="21"/>
        </w:rPr>
        <w:t>附件：</w:t>
      </w:r>
    </w:p>
    <w:p w14:paraId="3F40DEDB">
      <w:pPr>
        <w:pStyle w:val="3"/>
        <w:keepNext w:val="0"/>
        <w:keepLines w:val="0"/>
        <w:widowControl/>
        <w:shd w:val="clear" w:color="auto" w:fill="FFFFFF"/>
        <w:adjustRightInd w:val="0"/>
        <w:snapToGrid w:val="0"/>
        <w:spacing w:before="0" w:after="0" w:line="360" w:lineRule="auto"/>
        <w:jc w:val="center"/>
        <w:rPr>
          <w:rFonts w:ascii="宋体" w:hAnsi="宋体" w:eastAsia="宋体" w:cs="宋体"/>
          <w:color w:val="auto"/>
          <w:spacing w:val="7"/>
          <w:sz w:val="21"/>
          <w:szCs w:val="21"/>
        </w:rPr>
      </w:pPr>
      <w:bookmarkStart w:id="121" w:name="_Toc7681"/>
      <w:bookmarkStart w:id="122" w:name="_Toc63327628"/>
      <w:bookmarkStart w:id="123" w:name="_Toc79395985"/>
      <w:r>
        <w:rPr>
          <w:rStyle w:val="36"/>
          <w:rFonts w:hint="eastAsia" w:ascii="宋体" w:hAnsi="宋体" w:eastAsia="宋体" w:cs="宋体"/>
          <w:b w:val="0"/>
          <w:bCs w:val="0"/>
          <w:color w:val="auto"/>
          <w:spacing w:val="7"/>
          <w:sz w:val="21"/>
          <w:szCs w:val="21"/>
          <w:shd w:val="clear" w:color="auto" w:fill="FFFFFF"/>
        </w:rPr>
        <w:t>关于印发《政府采购促进中小企业发展管理办法》的通知</w:t>
      </w:r>
      <w:bookmarkEnd w:id="121"/>
      <w:bookmarkEnd w:id="122"/>
      <w:bookmarkEnd w:id="123"/>
    </w:p>
    <w:p w14:paraId="245C84AA">
      <w:pPr>
        <w:pStyle w:val="28"/>
        <w:shd w:val="clear" w:color="auto" w:fill="FFFFFF"/>
        <w:adjustRightInd w:val="0"/>
        <w:snapToGrid w:val="0"/>
        <w:spacing w:before="0" w:beforeAutospacing="0" w:after="0" w:afterAutospacing="0" w:line="360" w:lineRule="auto"/>
        <w:jc w:val="center"/>
        <w:rPr>
          <w:rStyle w:val="36"/>
          <w:rFonts w:ascii="宋体" w:hAnsi="宋体" w:eastAsia="宋体" w:cs="宋体"/>
          <w:color w:val="auto"/>
          <w:spacing w:val="7"/>
          <w:sz w:val="21"/>
          <w:szCs w:val="21"/>
          <w:shd w:val="clear" w:color="auto" w:fill="FFFFFF"/>
        </w:rPr>
      </w:pPr>
      <w:r>
        <w:rPr>
          <w:rStyle w:val="36"/>
          <w:rFonts w:hint="eastAsia" w:ascii="宋体" w:hAnsi="宋体" w:eastAsia="宋体" w:cs="宋体"/>
          <w:color w:val="auto"/>
          <w:spacing w:val="7"/>
          <w:sz w:val="21"/>
          <w:szCs w:val="21"/>
          <w:shd w:val="clear" w:color="auto" w:fill="FFFFFF"/>
        </w:rPr>
        <w:t>财库[2020]46号</w:t>
      </w:r>
    </w:p>
    <w:p w14:paraId="360337EC">
      <w:pPr>
        <w:pStyle w:val="28"/>
        <w:shd w:val="clear" w:color="auto" w:fill="FFFFFF"/>
        <w:adjustRightInd w:val="0"/>
        <w:snapToGrid w:val="0"/>
        <w:spacing w:before="0" w:beforeAutospacing="0" w:after="0" w:afterAutospacing="0" w:line="276" w:lineRule="auto"/>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2AB5D2D0">
      <w:pPr>
        <w:pStyle w:val="28"/>
        <w:shd w:val="clear" w:color="auto" w:fill="FFFFFF"/>
        <w:adjustRightInd w:val="0"/>
        <w:snapToGrid w:val="0"/>
        <w:spacing w:before="0" w:beforeAutospacing="0" w:after="0" w:afterAutospacing="0" w:line="276" w:lineRule="auto"/>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6CC6AC1">
      <w:pPr>
        <w:pStyle w:val="28"/>
        <w:shd w:val="clear" w:color="auto" w:fill="FFFFFF"/>
        <w:adjustRightInd w:val="0"/>
        <w:snapToGrid w:val="0"/>
        <w:spacing w:before="0" w:beforeAutospacing="0" w:after="0" w:afterAutospacing="0" w:line="276" w:lineRule="auto"/>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shd w:val="clear" w:color="auto" w:fill="FFFFFF"/>
        </w:rPr>
        <w:t>附件：政府采购促进中小企业发展管理办法</w:t>
      </w:r>
    </w:p>
    <w:p w14:paraId="033D8C8E">
      <w:pPr>
        <w:pStyle w:val="28"/>
        <w:shd w:val="clear" w:color="auto" w:fill="FFFFFF"/>
        <w:adjustRightInd w:val="0"/>
        <w:snapToGrid w:val="0"/>
        <w:spacing w:before="0" w:beforeAutospacing="0" w:after="0" w:afterAutospacing="0" w:line="360" w:lineRule="auto"/>
        <w:jc w:val="right"/>
        <w:rPr>
          <w:rFonts w:ascii="宋体" w:hAnsi="宋体" w:eastAsia="宋体" w:cs="宋体"/>
          <w:color w:val="auto"/>
          <w:spacing w:val="7"/>
          <w:sz w:val="21"/>
          <w:szCs w:val="21"/>
        </w:rPr>
      </w:pPr>
      <w:r>
        <w:rPr>
          <w:rFonts w:hint="eastAsia" w:ascii="宋体" w:hAnsi="宋体" w:eastAsia="宋体" w:cs="宋体"/>
          <w:color w:val="auto"/>
          <w:spacing w:val="7"/>
          <w:sz w:val="21"/>
          <w:szCs w:val="21"/>
          <w:shd w:val="clear" w:color="auto" w:fill="FFFFFF"/>
        </w:rPr>
        <w:t> 财  政  部</w:t>
      </w:r>
    </w:p>
    <w:p w14:paraId="2460A0CC">
      <w:pPr>
        <w:pStyle w:val="28"/>
        <w:shd w:val="clear" w:color="auto" w:fill="FFFFFF"/>
        <w:adjustRightInd w:val="0"/>
        <w:snapToGrid w:val="0"/>
        <w:spacing w:before="0" w:beforeAutospacing="0" w:after="0" w:afterAutospacing="0" w:line="360" w:lineRule="auto"/>
        <w:jc w:val="right"/>
        <w:rPr>
          <w:rFonts w:ascii="宋体" w:hAnsi="宋体" w:eastAsia="宋体" w:cs="宋体"/>
          <w:color w:val="auto"/>
          <w:spacing w:val="7"/>
          <w:sz w:val="21"/>
          <w:szCs w:val="21"/>
        </w:rPr>
      </w:pPr>
      <w:r>
        <w:rPr>
          <w:rFonts w:hint="eastAsia" w:ascii="宋体" w:hAnsi="宋体" w:eastAsia="宋体" w:cs="宋体"/>
          <w:color w:val="auto"/>
          <w:spacing w:val="7"/>
          <w:sz w:val="21"/>
          <w:szCs w:val="21"/>
          <w:shd w:val="clear" w:color="auto" w:fill="FFFFFF"/>
        </w:rPr>
        <w:t>工业和信息化部</w:t>
      </w:r>
    </w:p>
    <w:p w14:paraId="02DDA7F9">
      <w:pPr>
        <w:pStyle w:val="28"/>
        <w:shd w:val="clear" w:color="auto" w:fill="FFFFFF"/>
        <w:adjustRightInd w:val="0"/>
        <w:snapToGrid w:val="0"/>
        <w:spacing w:before="0" w:beforeAutospacing="0" w:after="0" w:afterAutospacing="0" w:line="360" w:lineRule="auto"/>
        <w:jc w:val="right"/>
        <w:rPr>
          <w:rFonts w:ascii="宋体" w:hAnsi="宋体" w:eastAsia="宋体" w:cs="宋体"/>
          <w:color w:val="auto"/>
          <w:spacing w:val="7"/>
          <w:sz w:val="21"/>
          <w:szCs w:val="21"/>
        </w:rPr>
      </w:pPr>
      <w:r>
        <w:rPr>
          <w:rFonts w:hint="eastAsia" w:ascii="宋体" w:hAnsi="宋体" w:eastAsia="宋体" w:cs="宋体"/>
          <w:color w:val="auto"/>
          <w:spacing w:val="7"/>
          <w:sz w:val="21"/>
          <w:szCs w:val="21"/>
          <w:shd w:val="clear" w:color="auto" w:fill="FFFFFF"/>
        </w:rPr>
        <w:t>2020年12月18日</w:t>
      </w:r>
    </w:p>
    <w:p w14:paraId="2FDB8E8B">
      <w:pPr>
        <w:pStyle w:val="3"/>
        <w:keepNext w:val="0"/>
        <w:keepLines w:val="0"/>
        <w:widowControl/>
        <w:shd w:val="clear" w:color="auto" w:fill="FFFFFF"/>
        <w:adjustRightInd w:val="0"/>
        <w:snapToGrid w:val="0"/>
        <w:spacing w:before="0" w:after="0" w:line="360" w:lineRule="auto"/>
        <w:jc w:val="center"/>
        <w:rPr>
          <w:rStyle w:val="36"/>
          <w:rFonts w:ascii="宋体" w:hAnsi="宋体" w:eastAsia="宋体" w:cs="宋体"/>
          <w:b w:val="0"/>
          <w:bCs w:val="0"/>
          <w:color w:val="auto"/>
          <w:spacing w:val="7"/>
          <w:sz w:val="21"/>
          <w:szCs w:val="21"/>
          <w:shd w:val="clear" w:color="auto" w:fill="FFFFFF"/>
        </w:rPr>
      </w:pPr>
      <w:bookmarkStart w:id="124" w:name="_Toc13471"/>
      <w:bookmarkStart w:id="125" w:name="_Toc79395986"/>
      <w:bookmarkStart w:id="126" w:name="_Toc63327629"/>
      <w:r>
        <w:rPr>
          <w:rStyle w:val="36"/>
          <w:rFonts w:hint="eastAsia" w:ascii="宋体" w:hAnsi="宋体" w:eastAsia="宋体" w:cs="宋体"/>
          <w:b w:val="0"/>
          <w:bCs w:val="0"/>
          <w:color w:val="auto"/>
          <w:spacing w:val="7"/>
          <w:sz w:val="21"/>
          <w:szCs w:val="21"/>
          <w:shd w:val="clear" w:color="auto" w:fill="FFFFFF"/>
        </w:rPr>
        <w:t>政府采购促进中小企业发展管理办法</w:t>
      </w:r>
      <w:bookmarkEnd w:id="124"/>
      <w:bookmarkEnd w:id="125"/>
      <w:bookmarkEnd w:id="126"/>
    </w:p>
    <w:p w14:paraId="7971CFB5">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第一条　</w:t>
      </w:r>
      <w:r>
        <w:rPr>
          <w:rFonts w:hint="eastAsia" w:ascii="宋体" w:hAnsi="宋体" w:eastAsia="宋体"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41BBE38E">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第二条　</w:t>
      </w:r>
      <w:r>
        <w:rPr>
          <w:rFonts w:hint="eastAsia" w:ascii="宋体" w:hAnsi="宋体" w:eastAsia="宋体"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92B8E5">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符合中小企业划分标准的个体工商户，在政府采购活动中视同中小企业。</w:t>
      </w:r>
    </w:p>
    <w:p w14:paraId="4100DBC4">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第三条　</w:t>
      </w:r>
      <w:r>
        <w:rPr>
          <w:rFonts w:hint="eastAsia" w:ascii="宋体" w:hAnsi="宋体" w:eastAsia="宋体"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0E1B6B3E">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第四条　</w:t>
      </w:r>
      <w:r>
        <w:rPr>
          <w:rFonts w:hint="eastAsia" w:ascii="宋体" w:hAnsi="宋体" w:eastAsia="宋体" w:cs="宋体"/>
          <w:color w:val="auto"/>
          <w:spacing w:val="7"/>
          <w:sz w:val="21"/>
          <w:szCs w:val="21"/>
        </w:rPr>
        <w:t>在政府采购活动中，供应商提供的货物、工程或者服务符合下列情形的，享受本办法规定的中小企业扶持政策：</w:t>
      </w:r>
    </w:p>
    <w:p w14:paraId="21EBBDF7">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（一）在货物采购项目中，货物由中小企业制造，即货物由中小企业生产且使用该中小企业商号或者注册商标；</w:t>
      </w:r>
    </w:p>
    <w:p w14:paraId="0ABD97CE">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（二）在工程采购项目中，工程由中小企业承建，即工程施工单位为中小企业；</w:t>
      </w:r>
    </w:p>
    <w:p w14:paraId="3B41DFDC">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（三）在服务采购项目中，服务由中小企业承接，即提供服务的人员为中小企业依照《中华人民共和国劳动合同法》订立劳动合同的从业人员。</w:t>
      </w:r>
    </w:p>
    <w:p w14:paraId="566223B8">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在货物采购项目中，供应商提供的货物既有中小企业制造货物，也有大型企业制造货物的，不享受本办法规定的中小企业扶持政策。</w:t>
      </w:r>
    </w:p>
    <w:p w14:paraId="56065663">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以联合体形式参加政府采购活动，联合体各方均为中小企业的，联合体视同中小企业。其中，联合体各方均为小微企业的，联合体视同小微企业。</w:t>
      </w:r>
    </w:p>
    <w:p w14:paraId="56CC5069">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第五条　</w:t>
      </w:r>
      <w:r>
        <w:rPr>
          <w:rFonts w:hint="eastAsia" w:ascii="宋体" w:hAnsi="宋体" w:eastAsia="宋体"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B87D07">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第六条</w:t>
      </w:r>
      <w:r>
        <w:rPr>
          <w:rFonts w:hint="eastAsia" w:ascii="宋体" w:hAnsi="宋体" w:eastAsia="宋体"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31252E1">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符合下列情形之一的，可不专门面向中小企业预留采购份额：</w:t>
      </w:r>
    </w:p>
    <w:p w14:paraId="03954039">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（一）法律法规和国家有关政策明确规定优先或者应当面向事业单位、社会组织等非企业主体采购的；</w:t>
      </w:r>
    </w:p>
    <w:p w14:paraId="513CE64C">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（二）因确需使用不可替代的专利、专有技术，基础设施限制，或者提供特定公共服务等原因，只能从中小企业之外的供应商处采购的；</w:t>
      </w:r>
    </w:p>
    <w:p w14:paraId="4DB53594">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（三）按照本办法规定预留采购份额无法确保充分供应、充分竞争，或者存在可能影响政府采购目标实现的情形；</w:t>
      </w:r>
    </w:p>
    <w:p w14:paraId="0E4199B9">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（四）框架协议采购项目；</w:t>
      </w:r>
    </w:p>
    <w:p w14:paraId="7456C50B">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（五）省级以上人民政府财政部门规定的其他情形。</w:t>
      </w:r>
    </w:p>
    <w:p w14:paraId="321D166A">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除上述情形外，其他均为适宜由中小企业提供的情形。</w:t>
      </w:r>
    </w:p>
    <w:p w14:paraId="12DC4079">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第七条　</w:t>
      </w:r>
      <w:r>
        <w:rPr>
          <w:rFonts w:hint="eastAsia" w:ascii="宋体" w:hAnsi="宋体" w:eastAsia="宋体" w:cs="宋体"/>
          <w:color w:val="auto"/>
          <w:spacing w:val="7"/>
          <w:sz w:val="21"/>
          <w:szCs w:val="21"/>
        </w:rPr>
        <w:t>采购限额标准以上，200万元以下的货物和服务采购项目、400万元以下的工程采购项目，适宜由中小企业提供的，采购人应当专门面向中小企业采购。</w:t>
      </w:r>
    </w:p>
    <w:p w14:paraId="2FD8BF21">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第八条</w:t>
      </w:r>
      <w:r>
        <w:rPr>
          <w:rFonts w:hint="eastAsia" w:ascii="宋体" w:hAnsi="宋体" w:eastAsia="宋体"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5B38CB8">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（一）将采购项目整体或者设置采购包专门面向中小企业采购；</w:t>
      </w:r>
    </w:p>
    <w:p w14:paraId="7BF33FE0">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（二）要求供应商以联合体形式参加采购活动，且联合体中中小企业承担的部分达到一定比例；</w:t>
      </w:r>
    </w:p>
    <w:p w14:paraId="57619E19">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（三）要求获得采购合同的供应商将采购项目中的一定比例分包给一家或者多家中小企业。</w:t>
      </w:r>
    </w:p>
    <w:p w14:paraId="330CC9CC">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组成联合体或者接受分包合同的中小企业与联合体内其他企业、分包企业之间不得存在直接控股、管理关系。</w:t>
      </w:r>
    </w:p>
    <w:p w14:paraId="61FEE4B0">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第九条　</w:t>
      </w:r>
      <w:r>
        <w:rPr>
          <w:rFonts w:hint="eastAsia" w:ascii="宋体" w:hAnsi="宋体" w:eastAsia="宋体"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B3D0C7C">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DBC4035">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37D9AB">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第十条　</w:t>
      </w:r>
      <w:r>
        <w:rPr>
          <w:rFonts w:hint="eastAsia" w:ascii="宋体" w:hAnsi="宋体" w:eastAsia="宋体"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6428B3F">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第十一条　</w:t>
      </w:r>
      <w:r>
        <w:rPr>
          <w:rFonts w:hint="eastAsia" w:ascii="宋体" w:hAnsi="宋体" w:eastAsia="宋体"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146A8CB2">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pacing w:val="7"/>
          <w:sz w:val="21"/>
          <w:szCs w:val="21"/>
        </w:rPr>
      </w:pPr>
      <w:r>
        <w:rPr>
          <w:rStyle w:val="36"/>
          <w:rFonts w:hint="eastAsia" w:ascii="宋体" w:hAnsi="宋体" w:eastAsia="宋体" w:cs="宋体"/>
          <w:color w:val="auto"/>
          <w:spacing w:val="7"/>
          <w:sz w:val="21"/>
          <w:szCs w:val="21"/>
        </w:rPr>
        <w:t>第十二条　</w:t>
      </w:r>
      <w:r>
        <w:rPr>
          <w:rFonts w:hint="eastAsia" w:ascii="宋体" w:hAnsi="宋体" w:eastAsia="宋体" w:cs="宋体"/>
          <w:color w:val="auto"/>
          <w:spacing w:val="7"/>
          <w:sz w:val="21"/>
          <w:szCs w:val="21"/>
        </w:rPr>
        <w:t>采购项目涉及中小企业采购的，采购文件应当明确以下内容：</w:t>
      </w:r>
    </w:p>
    <w:p w14:paraId="37276446">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pacing w:val="7"/>
          <w:sz w:val="21"/>
          <w:szCs w:val="21"/>
        </w:rPr>
      </w:pPr>
      <w:r>
        <w:rPr>
          <w:rFonts w:hint="eastAsia" w:ascii="宋体" w:hAnsi="宋体" w:eastAsia="宋体" w:cs="宋体"/>
          <w:color w:val="auto"/>
          <w:spacing w:val="7"/>
          <w:sz w:val="21"/>
          <w:szCs w:val="21"/>
        </w:rPr>
        <w:t>（一）预留份额的采购项目或者采购包，明确该项目或相关采购包专门面向中小企业采购，以及相关标的及预算金额；</w:t>
      </w:r>
    </w:p>
    <w:p w14:paraId="4F9B2EE3">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（二）要求以联合体形式参加或者合同分包的，明确联合协议或者分包意向协议中中小企业合同金额应当达到的比例，并作为供应商资格条件；</w:t>
      </w:r>
    </w:p>
    <w:p w14:paraId="57AD34BE">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（三）非预留份额的采购项目或者采购包，明确有关价格扣除比例或者价格分加分比例；</w:t>
      </w:r>
    </w:p>
    <w:p w14:paraId="2E597288">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（四）规定依据本办法规定享受扶持政策获得政府采购合同的，小微企业不得将合同分包给大中型企业，中型企业不得将合同分包给大型企业；</w:t>
      </w:r>
    </w:p>
    <w:p w14:paraId="471D00CA">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（五）采购人认为具备相关条件的，明确对中小企业在资金支付期限、预付款比例等方面的优惠措施；</w:t>
      </w:r>
    </w:p>
    <w:p w14:paraId="14A614A5">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（六）明确采购标的对应的中小企业划分标准所属行业；</w:t>
      </w:r>
    </w:p>
    <w:p w14:paraId="12A4C4E6">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（七）法律法规和省级以上人民政府财政部门规定的其他事项。</w:t>
      </w:r>
    </w:p>
    <w:p w14:paraId="3235C1AC">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第十三条　</w:t>
      </w:r>
      <w:r>
        <w:rPr>
          <w:rFonts w:hint="eastAsia" w:ascii="宋体" w:hAnsi="宋体" w:eastAsia="宋体" w:cs="宋体"/>
          <w:color w:val="auto"/>
          <w:spacing w:val="7"/>
          <w:sz w:val="21"/>
          <w:szCs w:val="21"/>
        </w:rPr>
        <w:t>中标、成交供应商享受本办法规定的中小企业扶持政策的，采购人、采购代理机构应当随中标、成交结果公开中标、成交供应商的《中小企业声明函》。</w:t>
      </w:r>
    </w:p>
    <w:p w14:paraId="2C1539E7">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适用招标投标法的政府采购工程建设项目，应当在公示中标候选人时公开中标候选人的《中小企业声明函》。</w:t>
      </w:r>
    </w:p>
    <w:p w14:paraId="09A2C677">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第十四条</w:t>
      </w:r>
      <w:r>
        <w:rPr>
          <w:rFonts w:hint="eastAsia" w:ascii="宋体" w:hAnsi="宋体" w:eastAsia="宋体"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46D8B2">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第十五条　</w:t>
      </w:r>
      <w:r>
        <w:rPr>
          <w:rFonts w:hint="eastAsia" w:ascii="宋体" w:hAnsi="宋体" w:eastAsia="宋体"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663835BD">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第十六条　</w:t>
      </w:r>
      <w:r>
        <w:rPr>
          <w:rFonts w:hint="eastAsia" w:ascii="宋体" w:hAnsi="宋体" w:eastAsia="宋体"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68960BA0">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中小企业主管部门应当在收到财政部门或者有关招标投标行政监督部门关于协助开展中小企业认定函后10个工作日内做出书面答复。</w:t>
      </w:r>
    </w:p>
    <w:p w14:paraId="48D75DE3">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第十七条　</w:t>
      </w:r>
      <w:r>
        <w:rPr>
          <w:rFonts w:hint="eastAsia" w:ascii="宋体" w:hAnsi="宋体" w:eastAsia="宋体"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042A5A57">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第十八条　</w:t>
      </w:r>
      <w:r>
        <w:rPr>
          <w:rFonts w:hint="eastAsia" w:ascii="宋体" w:hAnsi="宋体" w:eastAsia="宋体"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2FA631A">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第十九条</w:t>
      </w:r>
      <w:r>
        <w:rPr>
          <w:rFonts w:hint="eastAsia" w:ascii="宋体" w:hAnsi="宋体" w:eastAsia="宋体"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554272D">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第二十条</w:t>
      </w:r>
      <w:r>
        <w:rPr>
          <w:rFonts w:hint="eastAsia" w:ascii="宋体" w:hAnsi="宋体" w:eastAsia="宋体" w:cs="宋体"/>
          <w:color w:val="auto"/>
          <w:spacing w:val="7"/>
          <w:sz w:val="21"/>
          <w:szCs w:val="21"/>
        </w:rPr>
        <w:t>　供应商按照本办法规定提供声明函内容不实的，属于提供虚假材料谋取中标、成交，依照《中华人民共和国政府采购法》等国家有关规定追究相应责任。</w:t>
      </w:r>
    </w:p>
    <w:p w14:paraId="2B34F006">
      <w:pPr>
        <w:pStyle w:val="28"/>
        <w:adjustRightInd w:val="0"/>
        <w:snapToGrid w:val="0"/>
        <w:spacing w:before="0" w:beforeAutospacing="0" w:after="0" w:afterAutospacing="0" w:line="340" w:lineRule="exact"/>
        <w:ind w:firstLine="448"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适用招标投标法的政府采购工程建设项目，</w:t>
      </w:r>
      <w:r>
        <w:rPr>
          <w:rFonts w:hint="eastAsia" w:ascii="宋体" w:hAnsi="宋体" w:eastAsia="宋体" w:cs="宋体"/>
          <w:color w:val="auto"/>
          <w:spacing w:val="7"/>
          <w:sz w:val="21"/>
          <w:szCs w:val="21"/>
          <w:lang w:eastAsia="zh-CN"/>
        </w:rPr>
        <w:t>供应商</w:t>
      </w:r>
      <w:r>
        <w:rPr>
          <w:rFonts w:hint="eastAsia" w:ascii="宋体" w:hAnsi="宋体" w:eastAsia="宋体" w:cs="宋体"/>
          <w:color w:val="auto"/>
          <w:spacing w:val="7"/>
          <w:sz w:val="21"/>
          <w:szCs w:val="21"/>
        </w:rPr>
        <w:t>按照本办法规定提供声明函内容不实的，属于弄虚作假骗取中标，依照《中华人民共和国招标投标法》等国家有关规定追究相应责任。</w:t>
      </w:r>
    </w:p>
    <w:p w14:paraId="3AA64C18">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第二十一条　</w:t>
      </w:r>
      <w:r>
        <w:rPr>
          <w:rFonts w:hint="eastAsia" w:ascii="宋体" w:hAnsi="宋体" w:eastAsia="宋体"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9ACD26">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第二十二条</w:t>
      </w:r>
      <w:r>
        <w:rPr>
          <w:rFonts w:hint="eastAsia" w:ascii="宋体" w:hAnsi="宋体" w:eastAsia="宋体" w:cs="宋体"/>
          <w:color w:val="auto"/>
          <w:spacing w:val="7"/>
          <w:sz w:val="21"/>
          <w:szCs w:val="21"/>
        </w:rPr>
        <w:t>　对外援助项目、国家相关资格或者资质管理制度另有规定的项目，不适用本办法。</w:t>
      </w:r>
    </w:p>
    <w:p w14:paraId="0C834BCC">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第二十三条　</w:t>
      </w:r>
      <w:r>
        <w:rPr>
          <w:rFonts w:hint="eastAsia" w:ascii="宋体" w:hAnsi="宋体" w:eastAsia="宋体" w:cs="宋体"/>
          <w:color w:val="auto"/>
          <w:spacing w:val="7"/>
          <w:sz w:val="21"/>
          <w:szCs w:val="21"/>
        </w:rPr>
        <w:t>关于视同中小企业的其他主体的政府采购扶持政策，由财政部会同有关部门另行规定。</w:t>
      </w:r>
    </w:p>
    <w:p w14:paraId="68BB8A3C">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pPr>
      <w:r>
        <w:rPr>
          <w:rStyle w:val="36"/>
          <w:rFonts w:hint="eastAsia" w:ascii="宋体" w:hAnsi="宋体" w:eastAsia="宋体" w:cs="宋体"/>
          <w:color w:val="auto"/>
          <w:spacing w:val="7"/>
          <w:sz w:val="21"/>
          <w:szCs w:val="21"/>
        </w:rPr>
        <w:t>第二十四条</w:t>
      </w:r>
      <w:r>
        <w:rPr>
          <w:rFonts w:hint="eastAsia" w:ascii="宋体" w:hAnsi="宋体" w:eastAsia="宋体" w:cs="宋体"/>
          <w:color w:val="auto"/>
          <w:spacing w:val="7"/>
          <w:sz w:val="21"/>
          <w:szCs w:val="21"/>
        </w:rPr>
        <w:t>　省级财政部门可以会同中小企业主管部门根据本办法的规定制定具体实施办法。</w:t>
      </w:r>
    </w:p>
    <w:p w14:paraId="728B9E19">
      <w:pPr>
        <w:pStyle w:val="28"/>
        <w:adjustRightInd w:val="0"/>
        <w:snapToGrid w:val="0"/>
        <w:spacing w:before="0" w:beforeAutospacing="0" w:after="0" w:afterAutospacing="0" w:line="340" w:lineRule="exact"/>
        <w:ind w:firstLine="450" w:firstLineChars="200"/>
        <w:jc w:val="both"/>
        <w:rPr>
          <w:rFonts w:ascii="宋体" w:hAnsi="宋体" w:eastAsia="宋体" w:cs="宋体"/>
          <w:color w:val="auto"/>
          <w:sz w:val="21"/>
          <w:szCs w:val="21"/>
        </w:rPr>
        <w:sectPr>
          <w:footerReference r:id="rId8" w:type="default"/>
          <w:pgSz w:w="11910" w:h="16840"/>
          <w:pgMar w:top="1160" w:right="711" w:bottom="840" w:left="1080" w:header="567" w:footer="454" w:gutter="0"/>
          <w:pgBorders>
            <w:top w:val="none" w:sz="0" w:space="0"/>
            <w:left w:val="none" w:sz="0" w:space="0"/>
            <w:bottom w:val="none" w:sz="0" w:space="0"/>
            <w:right w:val="none" w:sz="0" w:space="0"/>
          </w:pgBorders>
          <w:pgNumType w:fmt="decimal"/>
          <w:cols w:space="720" w:num="1"/>
        </w:sectPr>
      </w:pPr>
      <w:r>
        <w:rPr>
          <w:rStyle w:val="36"/>
          <w:rFonts w:hint="eastAsia" w:ascii="宋体" w:hAnsi="宋体" w:eastAsia="宋体" w:cs="宋体"/>
          <w:color w:val="auto"/>
          <w:spacing w:val="7"/>
          <w:sz w:val="21"/>
          <w:szCs w:val="21"/>
        </w:rPr>
        <w:t>第二十五条</w:t>
      </w:r>
      <w:r>
        <w:rPr>
          <w:rFonts w:hint="eastAsia" w:ascii="宋体" w:hAnsi="宋体" w:eastAsia="宋体" w:cs="宋体"/>
          <w:color w:val="auto"/>
          <w:spacing w:val="7"/>
          <w:sz w:val="21"/>
          <w:szCs w:val="21"/>
        </w:rPr>
        <w:t>　本办法自2021年1月1日起施行。《财政部工业和信息化部关于印发〈政府采购促进中小企业发展暂行办法〉的通知》（财库﹝2011﹞181号）同时废止。</w:t>
      </w:r>
    </w:p>
    <w:p w14:paraId="5AB0520D">
      <w:pPr>
        <w:widowControl/>
        <w:jc w:val="left"/>
        <w:rPr>
          <w:rFonts w:ascii="宋体" w:hAnsi="宋体" w:eastAsia="宋体"/>
          <w:b/>
          <w:color w:val="auto"/>
          <w:sz w:val="21"/>
          <w:szCs w:val="21"/>
        </w:rPr>
      </w:pPr>
      <w:bookmarkStart w:id="127" w:name="_bookmark1"/>
      <w:bookmarkEnd w:id="127"/>
    </w:p>
    <w:p w14:paraId="122AF275">
      <w:pPr>
        <w:spacing w:line="360" w:lineRule="auto"/>
        <w:jc w:val="center"/>
        <w:rPr>
          <w:rFonts w:ascii="宋体" w:hAnsi="宋体" w:eastAsia="宋体"/>
          <w:b/>
          <w:color w:val="auto"/>
          <w:sz w:val="21"/>
          <w:szCs w:val="21"/>
        </w:rPr>
      </w:pPr>
      <w:r>
        <w:rPr>
          <w:rFonts w:hint="eastAsia" w:ascii="宋体" w:hAnsi="宋体" w:eastAsia="宋体"/>
          <w:b/>
          <w:color w:val="auto"/>
          <w:sz w:val="21"/>
          <w:szCs w:val="21"/>
        </w:rPr>
        <w:t>中小企业划型标准规定</w:t>
      </w:r>
    </w:p>
    <w:p w14:paraId="54157A5E">
      <w:pPr>
        <w:spacing w:line="312"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一、根据《中华人民共和国中小企业促进法》和《国务院关于进一步促进中小企业发展的若干意见》(国发〔2009〕36号)，制定本规定。</w:t>
      </w:r>
    </w:p>
    <w:p w14:paraId="5DD636C4">
      <w:pPr>
        <w:spacing w:line="312" w:lineRule="auto"/>
        <w:rPr>
          <w:rFonts w:ascii="宋体" w:hAnsi="宋体" w:eastAsia="宋体"/>
          <w:color w:val="auto"/>
          <w:sz w:val="21"/>
          <w:szCs w:val="21"/>
        </w:rPr>
      </w:pPr>
      <w:r>
        <w:rPr>
          <w:rFonts w:hint="eastAsia" w:ascii="宋体" w:hAnsi="宋体" w:eastAsia="宋体"/>
          <w:color w:val="auto"/>
          <w:sz w:val="21"/>
          <w:szCs w:val="21"/>
        </w:rPr>
        <w:t>　　二、中小企业划分为中型、小型、微型三种类型，具体标准根据企业从业人员、营业收入、资产总额等指标，结合行业特点制定。</w:t>
      </w:r>
    </w:p>
    <w:p w14:paraId="352C808C">
      <w:pPr>
        <w:spacing w:line="312" w:lineRule="auto"/>
        <w:rPr>
          <w:rFonts w:ascii="宋体" w:hAnsi="宋体" w:eastAsia="宋体"/>
          <w:color w:val="auto"/>
          <w:sz w:val="21"/>
          <w:szCs w:val="21"/>
        </w:rPr>
      </w:pPr>
      <w:r>
        <w:rPr>
          <w:rFonts w:hint="eastAsia" w:ascii="宋体" w:hAnsi="宋体" w:eastAsia="宋体"/>
          <w:color w:val="auto"/>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20F05C">
      <w:pPr>
        <w:spacing w:line="312" w:lineRule="auto"/>
        <w:rPr>
          <w:rFonts w:ascii="宋体" w:hAnsi="宋体" w:eastAsia="宋体"/>
          <w:color w:val="auto"/>
          <w:sz w:val="21"/>
          <w:szCs w:val="21"/>
        </w:rPr>
      </w:pPr>
      <w:r>
        <w:rPr>
          <w:rFonts w:hint="eastAsia" w:ascii="宋体" w:hAnsi="宋体" w:eastAsia="宋体"/>
          <w:color w:val="auto"/>
          <w:sz w:val="21"/>
          <w:szCs w:val="21"/>
        </w:rPr>
        <w:t>　　四、各行业划型标准为：</w:t>
      </w:r>
    </w:p>
    <w:p w14:paraId="253D77DF">
      <w:pPr>
        <w:spacing w:line="312" w:lineRule="auto"/>
        <w:rPr>
          <w:rFonts w:ascii="宋体" w:hAnsi="宋体" w:eastAsia="宋体"/>
          <w:color w:val="auto"/>
          <w:sz w:val="21"/>
          <w:szCs w:val="21"/>
        </w:rPr>
      </w:pPr>
      <w:r>
        <w:rPr>
          <w:rFonts w:hint="eastAsia" w:ascii="宋体" w:hAnsi="宋体" w:eastAsia="宋体"/>
          <w:color w:val="auto"/>
          <w:sz w:val="21"/>
          <w:szCs w:val="21"/>
        </w:rPr>
        <w:t>　　（一）农、林、牧、渔业。营业收入20000万元以下的为中小微型企业。其中，营业收入500万元及以上的为中型企业，营业收入50万元及以上的为小型企业，营业收入50万元以下的为微型企业。</w:t>
      </w:r>
    </w:p>
    <w:p w14:paraId="1CAFE940">
      <w:pPr>
        <w:spacing w:line="312" w:lineRule="auto"/>
        <w:rPr>
          <w:rFonts w:ascii="宋体" w:hAnsi="宋体" w:eastAsia="宋体"/>
          <w:color w:val="auto"/>
          <w:sz w:val="21"/>
          <w:szCs w:val="21"/>
        </w:rPr>
      </w:pPr>
      <w:r>
        <w:rPr>
          <w:rFonts w:hint="eastAsia" w:ascii="宋体" w:hAnsi="宋体" w:eastAsia="宋体"/>
          <w:color w:val="auto"/>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7F0771">
      <w:pPr>
        <w:spacing w:line="312" w:lineRule="auto"/>
        <w:rPr>
          <w:rFonts w:ascii="宋体" w:hAnsi="宋体" w:eastAsia="宋体"/>
          <w:color w:val="auto"/>
          <w:sz w:val="21"/>
          <w:szCs w:val="21"/>
        </w:rPr>
      </w:pPr>
      <w:r>
        <w:rPr>
          <w:rFonts w:hint="eastAsia" w:ascii="宋体" w:hAnsi="宋体" w:eastAsia="宋体"/>
          <w:color w:val="auto"/>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5CB475">
      <w:pPr>
        <w:spacing w:line="312" w:lineRule="auto"/>
        <w:rPr>
          <w:rFonts w:ascii="宋体" w:hAnsi="宋体" w:eastAsia="宋体"/>
          <w:color w:val="auto"/>
          <w:sz w:val="21"/>
          <w:szCs w:val="21"/>
        </w:rPr>
      </w:pPr>
      <w:r>
        <w:rPr>
          <w:rFonts w:hint="eastAsia" w:ascii="宋体" w:hAnsi="宋体" w:eastAsia="宋体"/>
          <w:color w:val="auto"/>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F28262">
      <w:pPr>
        <w:spacing w:line="312" w:lineRule="auto"/>
        <w:rPr>
          <w:rFonts w:ascii="宋体" w:hAnsi="宋体" w:eastAsia="宋体"/>
          <w:color w:val="auto"/>
          <w:sz w:val="21"/>
          <w:szCs w:val="21"/>
        </w:rPr>
      </w:pPr>
      <w:r>
        <w:rPr>
          <w:rFonts w:hint="eastAsia" w:ascii="宋体" w:hAnsi="宋体" w:eastAsia="宋体"/>
          <w:color w:val="auto"/>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6AD791">
      <w:pPr>
        <w:spacing w:line="312" w:lineRule="auto"/>
        <w:rPr>
          <w:rFonts w:ascii="宋体" w:hAnsi="宋体" w:eastAsia="宋体"/>
          <w:color w:val="auto"/>
          <w:sz w:val="21"/>
          <w:szCs w:val="21"/>
        </w:rPr>
      </w:pPr>
      <w:r>
        <w:rPr>
          <w:rFonts w:hint="eastAsia" w:ascii="宋体" w:hAnsi="宋体" w:eastAsia="宋体"/>
          <w:color w:val="auto"/>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63D914">
      <w:pPr>
        <w:spacing w:line="312" w:lineRule="auto"/>
        <w:rPr>
          <w:rFonts w:ascii="宋体" w:hAnsi="宋体" w:eastAsia="宋体"/>
          <w:color w:val="auto"/>
          <w:sz w:val="21"/>
          <w:szCs w:val="21"/>
        </w:rPr>
      </w:pPr>
      <w:r>
        <w:rPr>
          <w:rFonts w:hint="eastAsia" w:ascii="宋体" w:hAnsi="宋体" w:eastAsia="宋体"/>
          <w:color w:val="auto"/>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A8E901">
      <w:pPr>
        <w:spacing w:line="312" w:lineRule="auto"/>
        <w:rPr>
          <w:rFonts w:ascii="宋体" w:hAnsi="宋体" w:eastAsia="宋体"/>
          <w:color w:val="auto"/>
          <w:sz w:val="21"/>
          <w:szCs w:val="21"/>
        </w:rPr>
      </w:pPr>
      <w:r>
        <w:rPr>
          <w:rFonts w:hint="eastAsia" w:ascii="宋体" w:hAnsi="宋体" w:eastAsia="宋体"/>
          <w:color w:val="auto"/>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BF12DF">
      <w:pPr>
        <w:spacing w:line="312" w:lineRule="auto"/>
        <w:rPr>
          <w:rFonts w:ascii="宋体" w:hAnsi="宋体" w:eastAsia="宋体"/>
          <w:color w:val="auto"/>
          <w:sz w:val="21"/>
          <w:szCs w:val="21"/>
        </w:rPr>
      </w:pPr>
      <w:r>
        <w:rPr>
          <w:rFonts w:hint="eastAsia" w:ascii="宋体" w:hAnsi="宋体" w:eastAsia="宋体"/>
          <w:color w:val="auto"/>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702F17">
      <w:pPr>
        <w:spacing w:line="312" w:lineRule="auto"/>
        <w:rPr>
          <w:rFonts w:ascii="宋体" w:hAnsi="宋体" w:eastAsia="宋体"/>
          <w:color w:val="auto"/>
          <w:sz w:val="21"/>
          <w:szCs w:val="21"/>
        </w:rPr>
      </w:pPr>
      <w:r>
        <w:rPr>
          <w:rFonts w:hint="eastAsia" w:ascii="宋体" w:hAnsi="宋体" w:eastAsia="宋体"/>
          <w:color w:val="auto"/>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3ED803">
      <w:pPr>
        <w:spacing w:line="312" w:lineRule="auto"/>
        <w:rPr>
          <w:rFonts w:ascii="宋体" w:hAnsi="宋体" w:eastAsia="宋体"/>
          <w:color w:val="auto"/>
          <w:sz w:val="21"/>
          <w:szCs w:val="21"/>
        </w:rPr>
      </w:pPr>
      <w:r>
        <w:rPr>
          <w:rFonts w:hint="eastAsia" w:ascii="宋体" w:hAnsi="宋体" w:eastAsia="宋体"/>
          <w:color w:val="auto"/>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9D4867">
      <w:pPr>
        <w:spacing w:line="312" w:lineRule="auto"/>
        <w:rPr>
          <w:rFonts w:ascii="宋体" w:hAnsi="宋体" w:eastAsia="宋体"/>
          <w:color w:val="auto"/>
          <w:sz w:val="21"/>
          <w:szCs w:val="21"/>
        </w:rPr>
      </w:pPr>
      <w:r>
        <w:rPr>
          <w:rFonts w:hint="eastAsia" w:ascii="宋体" w:hAnsi="宋体" w:eastAsia="宋体"/>
          <w:color w:val="auto"/>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332FAF">
      <w:pPr>
        <w:spacing w:line="312" w:lineRule="auto"/>
        <w:rPr>
          <w:rFonts w:ascii="宋体" w:hAnsi="宋体" w:eastAsia="宋体"/>
          <w:color w:val="auto"/>
          <w:sz w:val="21"/>
          <w:szCs w:val="21"/>
        </w:rPr>
      </w:pPr>
      <w:r>
        <w:rPr>
          <w:rFonts w:hint="eastAsia" w:ascii="宋体" w:hAnsi="宋体" w:eastAsia="宋体"/>
          <w:color w:val="auto"/>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932EC5">
      <w:pPr>
        <w:spacing w:line="312" w:lineRule="auto"/>
        <w:rPr>
          <w:rFonts w:ascii="宋体" w:hAnsi="宋体" w:eastAsia="宋体"/>
          <w:color w:val="auto"/>
          <w:sz w:val="21"/>
          <w:szCs w:val="21"/>
        </w:rPr>
      </w:pPr>
      <w:r>
        <w:rPr>
          <w:rFonts w:hint="eastAsia" w:ascii="宋体" w:hAnsi="宋体" w:eastAsia="宋体"/>
          <w:color w:val="auto"/>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980BE9">
      <w:pPr>
        <w:spacing w:line="312" w:lineRule="auto"/>
        <w:rPr>
          <w:rFonts w:ascii="宋体" w:hAnsi="宋体" w:eastAsia="宋体"/>
          <w:color w:val="auto"/>
          <w:sz w:val="21"/>
          <w:szCs w:val="21"/>
        </w:rPr>
      </w:pPr>
      <w:r>
        <w:rPr>
          <w:rFonts w:hint="eastAsia" w:ascii="宋体" w:hAnsi="宋体" w:eastAsia="宋体"/>
          <w:color w:val="auto"/>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95C2CF">
      <w:pPr>
        <w:spacing w:line="312" w:lineRule="auto"/>
        <w:rPr>
          <w:rFonts w:ascii="宋体" w:hAnsi="宋体" w:eastAsia="宋体"/>
          <w:color w:val="auto"/>
          <w:sz w:val="21"/>
          <w:szCs w:val="21"/>
        </w:rPr>
      </w:pPr>
      <w:r>
        <w:rPr>
          <w:rFonts w:hint="eastAsia" w:ascii="宋体" w:hAnsi="宋体" w:eastAsia="宋体"/>
          <w:color w:val="auto"/>
          <w:sz w:val="21"/>
          <w:szCs w:val="21"/>
        </w:rPr>
        <w:t>　　（十六）其他未列明行业。从业人员300人以下的为中小微型企业。其中，从业人员100人及以上的为中型企业；从业人员10人及以上的为小型企业；从业人员10人以下的为微型企业。</w:t>
      </w:r>
    </w:p>
    <w:p w14:paraId="1162FD5A">
      <w:pPr>
        <w:spacing w:line="312" w:lineRule="auto"/>
        <w:rPr>
          <w:rFonts w:ascii="宋体" w:hAnsi="宋体" w:eastAsia="宋体"/>
          <w:color w:val="auto"/>
          <w:sz w:val="21"/>
          <w:szCs w:val="21"/>
        </w:rPr>
      </w:pPr>
      <w:r>
        <w:rPr>
          <w:rFonts w:hint="eastAsia" w:ascii="宋体" w:hAnsi="宋体" w:eastAsia="宋体"/>
          <w:color w:val="auto"/>
          <w:sz w:val="21"/>
          <w:szCs w:val="21"/>
        </w:rPr>
        <w:t>　　五、企业类型的划分以统计部门的统计数据为依据。</w:t>
      </w:r>
    </w:p>
    <w:p w14:paraId="38101526">
      <w:pPr>
        <w:spacing w:line="312" w:lineRule="auto"/>
        <w:rPr>
          <w:rFonts w:ascii="宋体" w:hAnsi="宋体" w:eastAsia="宋体"/>
          <w:color w:val="auto"/>
          <w:sz w:val="21"/>
          <w:szCs w:val="21"/>
        </w:rPr>
      </w:pPr>
      <w:r>
        <w:rPr>
          <w:rFonts w:hint="eastAsia" w:ascii="宋体" w:hAnsi="宋体" w:eastAsia="宋体"/>
          <w:color w:val="auto"/>
          <w:sz w:val="21"/>
          <w:szCs w:val="21"/>
        </w:rPr>
        <w:t>　　六、本规定适用于在中华人民共和国境内依法设立的各类所有制和各种组织形式的企业。个体工商户和本规定以外的行业，参照本规定进行划型。</w:t>
      </w:r>
    </w:p>
    <w:p w14:paraId="7EE2E6E7">
      <w:pPr>
        <w:spacing w:line="312" w:lineRule="auto"/>
        <w:rPr>
          <w:rFonts w:ascii="宋体" w:hAnsi="宋体" w:eastAsia="宋体"/>
          <w:color w:val="auto"/>
          <w:sz w:val="21"/>
          <w:szCs w:val="21"/>
        </w:rPr>
      </w:pPr>
      <w:r>
        <w:rPr>
          <w:rFonts w:hint="eastAsia" w:ascii="宋体" w:hAnsi="宋体" w:eastAsia="宋体"/>
          <w:color w:val="auto"/>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1969BA1B">
      <w:pPr>
        <w:spacing w:line="312" w:lineRule="auto"/>
        <w:rPr>
          <w:rFonts w:ascii="宋体" w:hAnsi="宋体" w:eastAsia="宋体"/>
          <w:color w:val="auto"/>
          <w:sz w:val="21"/>
          <w:szCs w:val="21"/>
        </w:rPr>
      </w:pPr>
      <w:r>
        <w:rPr>
          <w:rFonts w:hint="eastAsia" w:ascii="宋体" w:hAnsi="宋体" w:eastAsia="宋体"/>
          <w:color w:val="auto"/>
          <w:sz w:val="21"/>
          <w:szCs w:val="21"/>
        </w:rPr>
        <w:t>　　八、本规定由工业和信息化部、国家统计局会同有关部门根据《国民经济行业分类》修订情况和企业发展变化情况适时修订。</w:t>
      </w:r>
    </w:p>
    <w:p w14:paraId="7A272377">
      <w:pPr>
        <w:spacing w:line="312" w:lineRule="auto"/>
        <w:rPr>
          <w:rFonts w:ascii="宋体" w:hAnsi="宋体" w:eastAsia="宋体"/>
          <w:color w:val="auto"/>
          <w:sz w:val="21"/>
          <w:szCs w:val="21"/>
        </w:rPr>
      </w:pPr>
      <w:r>
        <w:rPr>
          <w:rFonts w:hint="eastAsia" w:ascii="宋体" w:hAnsi="宋体" w:eastAsia="宋体"/>
          <w:color w:val="auto"/>
          <w:sz w:val="21"/>
          <w:szCs w:val="21"/>
        </w:rPr>
        <w:t>　　九、本规定由工业和信息化部、国家统计局会同有关部门负责解释。</w:t>
      </w:r>
    </w:p>
    <w:p w14:paraId="15DF32DC">
      <w:pPr>
        <w:spacing w:line="312" w:lineRule="auto"/>
        <w:rPr>
          <w:rFonts w:ascii="宋体" w:hAnsi="宋体" w:eastAsia="宋体"/>
          <w:color w:val="auto"/>
          <w:sz w:val="21"/>
          <w:szCs w:val="21"/>
        </w:rPr>
      </w:pPr>
      <w:r>
        <w:rPr>
          <w:rFonts w:hint="eastAsia" w:ascii="宋体" w:hAnsi="宋体" w:eastAsia="宋体"/>
          <w:color w:val="auto"/>
          <w:sz w:val="21"/>
          <w:szCs w:val="21"/>
        </w:rPr>
        <w:t xml:space="preserve">    十、本规定自发布之日起执行，原国家经贸委、原国家计委、财政部和国家统计局2003年颁布的《中小企业标准暂行规定》同时废止。</w:t>
      </w:r>
    </w:p>
    <w:p w14:paraId="185BC7D6">
      <w:pPr>
        <w:spacing w:line="360" w:lineRule="auto"/>
        <w:ind w:firstLine="424" w:firstLineChars="202"/>
        <w:jc w:val="center"/>
        <w:rPr>
          <w:rFonts w:ascii="宋体" w:hAnsi="宋体" w:eastAsia="宋体"/>
          <w:b/>
          <w:color w:val="auto"/>
          <w:sz w:val="21"/>
          <w:szCs w:val="21"/>
        </w:rPr>
      </w:pPr>
      <w:r>
        <w:rPr>
          <w:rFonts w:ascii="宋体" w:hAnsi="宋体" w:eastAsia="宋体"/>
          <w:color w:val="auto"/>
          <w:sz w:val="21"/>
          <w:szCs w:val="21"/>
        </w:rPr>
        <w:br w:type="page"/>
      </w:r>
      <w:r>
        <w:rPr>
          <w:rFonts w:hint="eastAsia" w:ascii="宋体" w:hAnsi="宋体" w:eastAsia="宋体"/>
          <w:b/>
          <w:color w:val="auto"/>
          <w:sz w:val="21"/>
          <w:szCs w:val="21"/>
        </w:rPr>
        <w:t>关于促进残疾人就业政府采购政策的通知</w:t>
      </w:r>
    </w:p>
    <w:p w14:paraId="072D8564">
      <w:pPr>
        <w:pStyle w:val="28"/>
        <w:spacing w:before="0" w:beforeAutospacing="0" w:after="0" w:afterAutospacing="0" w:line="360" w:lineRule="auto"/>
        <w:ind w:firstLine="420" w:firstLineChars="200"/>
        <w:jc w:val="center"/>
        <w:rPr>
          <w:rFonts w:ascii="宋体" w:hAnsi="宋体" w:eastAsia="宋体"/>
          <w:b/>
          <w:color w:val="auto"/>
          <w:kern w:val="2"/>
          <w:sz w:val="21"/>
          <w:szCs w:val="21"/>
        </w:rPr>
      </w:pPr>
      <w:bookmarkStart w:id="128" w:name="sendNo"/>
      <w:r>
        <w:rPr>
          <w:rFonts w:hint="eastAsia" w:ascii="宋体" w:hAnsi="宋体" w:eastAsia="宋体"/>
          <w:color w:val="auto"/>
          <w:kern w:val="2"/>
          <w:sz w:val="21"/>
          <w:szCs w:val="21"/>
        </w:rPr>
        <w:t>财库〔</w:t>
      </w:r>
      <w:bookmarkEnd w:id="128"/>
      <w:r>
        <w:rPr>
          <w:rFonts w:hint="eastAsia" w:ascii="宋体" w:hAnsi="宋体" w:eastAsia="宋体"/>
          <w:color w:val="auto"/>
          <w:kern w:val="2"/>
          <w:sz w:val="21"/>
          <w:szCs w:val="21"/>
        </w:rPr>
        <w:t>2017〕141号</w:t>
      </w:r>
    </w:p>
    <w:p w14:paraId="1D4A53A7">
      <w:pPr>
        <w:pStyle w:val="28"/>
        <w:spacing w:before="0" w:beforeAutospacing="0" w:after="0" w:afterAutospacing="0" w:line="360" w:lineRule="auto"/>
        <w:ind w:firstLine="420" w:firstLineChars="200"/>
        <w:jc w:val="both"/>
        <w:rPr>
          <w:rFonts w:ascii="宋体" w:hAnsi="宋体" w:eastAsia="宋体" w:cs="宋体"/>
          <w:color w:val="auto"/>
          <w:sz w:val="21"/>
          <w:szCs w:val="21"/>
        </w:rPr>
      </w:pPr>
      <w:bookmarkStart w:id="129" w:name="toDeptId"/>
      <w:r>
        <w:rPr>
          <w:rFonts w:hint="eastAsia" w:ascii="宋体" w:hAnsi="宋体" w:eastAsia="宋体"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29"/>
      <w:r>
        <w:rPr>
          <w:rFonts w:hint="eastAsia" w:ascii="宋体" w:hAnsi="宋体" w:eastAsia="宋体" w:cs="宋体"/>
          <w:color w:val="auto"/>
          <w:sz w:val="21"/>
          <w:szCs w:val="21"/>
          <w:shd w:val="clear" w:color="auto" w:fill="FFFFFF"/>
        </w:rPr>
        <w:t>：</w:t>
      </w:r>
    </w:p>
    <w:p w14:paraId="4F75D30E">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7B28FCFE">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一、享受政府采购支持政策的残疾人福利性单位应当同时满足以下条件：</w:t>
      </w:r>
    </w:p>
    <w:p w14:paraId="7EBD2AC5">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（一）安置的残疾人占本单位在职职工人数的比例不低于25%（含25%），并且安置的残疾人人数不少于10人（含10人）；</w:t>
      </w:r>
    </w:p>
    <w:p w14:paraId="192BBB26">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（二）依法与安置的每位残疾人签订了一年以上（含一年）的劳动合同或服务协议；</w:t>
      </w:r>
    </w:p>
    <w:p w14:paraId="3E977654">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（三）为安置的每位残疾人按月足额缴纳了基本养老保险、基本医疗保险、失业保险、工伤保险和生育保险等社会保险费；</w:t>
      </w:r>
    </w:p>
    <w:p w14:paraId="1F9CB5F4">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（四）通过银行等金融机构向安置的每位残疾人，按月支付了不低于单位所在区县适用的经省级人民政府批准的月最低工资标准的工资；</w:t>
      </w:r>
    </w:p>
    <w:p w14:paraId="30A90D66">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0631C51E">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A91247">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89672A8">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19E86F5A">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供应商提供的《残疾人福利性单位声明函》与事实不符的，依照《政府采购法》第七十七条第一款的规定追究法律责任。</w:t>
      </w:r>
    </w:p>
    <w:p w14:paraId="1D9A2E34">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B5CEC83">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49776020">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CBCA4F4">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9D9FCE9">
      <w:pPr>
        <w:pStyle w:val="28"/>
        <w:spacing w:before="0" w:beforeAutospacing="0" w:after="0" w:afterAutospacing="0" w:line="36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七、本通知自2017年10月1日起执行。</w:t>
      </w:r>
    </w:p>
    <w:p w14:paraId="30490297">
      <w:pPr>
        <w:pStyle w:val="28"/>
        <w:spacing w:before="0" w:beforeAutospacing="0" w:after="0" w:afterAutospacing="0" w:line="360" w:lineRule="auto"/>
        <w:ind w:firstLine="420" w:firstLineChars="200"/>
        <w:jc w:val="right"/>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财政部民政部中国残疾人联合会</w:t>
      </w:r>
    </w:p>
    <w:p w14:paraId="4A3C4F4B">
      <w:pPr>
        <w:spacing w:line="312" w:lineRule="auto"/>
        <w:rPr>
          <w:rFonts w:ascii="宋体" w:hAnsi="宋体" w:eastAsia="宋体"/>
          <w:color w:val="auto"/>
          <w:sz w:val="21"/>
          <w:szCs w:val="21"/>
        </w:rPr>
      </w:pPr>
      <w:r>
        <w:rPr>
          <w:rFonts w:ascii="宋体" w:hAnsi="宋体" w:eastAsia="宋体"/>
          <w:b/>
          <w:color w:val="auto"/>
          <w:sz w:val="21"/>
          <w:szCs w:val="21"/>
        </w:rPr>
        <w:br w:type="page"/>
      </w:r>
    </w:p>
    <w:p w14:paraId="3609D878">
      <w:pPr>
        <w:spacing w:line="588" w:lineRule="exact"/>
        <w:jc w:val="center"/>
        <w:rPr>
          <w:rFonts w:ascii="宋体" w:hAnsi="宋体" w:eastAsia="宋体"/>
          <w:b/>
          <w:color w:val="auto"/>
          <w:sz w:val="21"/>
          <w:szCs w:val="21"/>
        </w:rPr>
      </w:pPr>
      <w:bookmarkStart w:id="130" w:name="OLE_LINK13"/>
      <w:bookmarkStart w:id="131" w:name="OLE_LINK14"/>
      <w:r>
        <w:rPr>
          <w:rFonts w:hint="eastAsia" w:ascii="宋体" w:hAnsi="宋体" w:eastAsia="宋体"/>
          <w:b/>
          <w:color w:val="auto"/>
          <w:sz w:val="21"/>
          <w:szCs w:val="21"/>
        </w:rPr>
        <w:t>残疾人福利性单位声明函</w:t>
      </w:r>
    </w:p>
    <w:bookmarkEnd w:id="130"/>
    <w:bookmarkEnd w:id="131"/>
    <w:p w14:paraId="07EBDD0D">
      <w:pPr>
        <w:spacing w:line="588" w:lineRule="exact"/>
        <w:rPr>
          <w:rFonts w:ascii="宋体" w:hAnsi="宋体" w:eastAsia="宋体"/>
          <w:b/>
          <w:color w:val="auto"/>
          <w:spacing w:val="6"/>
          <w:sz w:val="21"/>
          <w:szCs w:val="21"/>
        </w:rPr>
      </w:pPr>
    </w:p>
    <w:p w14:paraId="06A024D4">
      <w:pPr>
        <w:spacing w:line="312" w:lineRule="auto"/>
        <w:rPr>
          <w:rFonts w:ascii="宋体" w:hAnsi="宋体" w:eastAsia="宋体"/>
          <w:color w:val="auto"/>
          <w:sz w:val="21"/>
          <w:szCs w:val="21"/>
        </w:rPr>
      </w:pPr>
      <w:r>
        <w:rPr>
          <w:rFonts w:hint="eastAsia" w:ascii="宋体" w:hAnsi="宋体" w:eastAsia="宋体"/>
          <w:color w:val="auto"/>
          <w:sz w:val="21"/>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AA20E">
      <w:pPr>
        <w:spacing w:line="312" w:lineRule="auto"/>
        <w:rPr>
          <w:rFonts w:ascii="宋体" w:hAnsi="宋体" w:eastAsia="宋体"/>
          <w:color w:val="auto"/>
          <w:sz w:val="21"/>
          <w:szCs w:val="21"/>
        </w:rPr>
      </w:pPr>
      <w:r>
        <w:rPr>
          <w:rFonts w:hint="eastAsia" w:ascii="宋体" w:hAnsi="宋体" w:eastAsia="宋体"/>
          <w:color w:val="auto"/>
          <w:sz w:val="21"/>
          <w:szCs w:val="21"/>
        </w:rPr>
        <w:t>本单位对上述声明的真实性负责。如有虚假，将依法承担相应责任。</w:t>
      </w:r>
    </w:p>
    <w:p w14:paraId="32CB2274">
      <w:pPr>
        <w:spacing w:line="588" w:lineRule="exact"/>
        <w:ind w:firstLine="444" w:firstLineChars="200"/>
        <w:rPr>
          <w:rFonts w:ascii="宋体" w:hAnsi="宋体" w:eastAsia="宋体"/>
          <w:color w:val="auto"/>
          <w:spacing w:val="6"/>
          <w:sz w:val="21"/>
          <w:szCs w:val="21"/>
        </w:rPr>
      </w:pPr>
    </w:p>
    <w:p w14:paraId="60F1A4A0">
      <w:pPr>
        <w:spacing w:line="588" w:lineRule="exact"/>
        <w:ind w:firstLine="444" w:firstLineChars="200"/>
        <w:rPr>
          <w:rFonts w:ascii="宋体" w:hAnsi="宋体" w:eastAsia="宋体"/>
          <w:color w:val="auto"/>
          <w:spacing w:val="6"/>
          <w:sz w:val="21"/>
          <w:szCs w:val="21"/>
        </w:rPr>
      </w:pPr>
    </w:p>
    <w:p w14:paraId="263E05A5">
      <w:pPr>
        <w:spacing w:line="312" w:lineRule="auto"/>
        <w:ind w:firstLine="405"/>
        <w:rPr>
          <w:rFonts w:ascii="宋体" w:hAnsi="宋体" w:eastAsia="宋体"/>
          <w:color w:val="auto"/>
          <w:sz w:val="21"/>
          <w:szCs w:val="21"/>
        </w:rPr>
      </w:pPr>
    </w:p>
    <w:p w14:paraId="4CC03BBA">
      <w:pPr>
        <w:spacing w:line="312" w:lineRule="auto"/>
        <w:ind w:firstLine="405"/>
        <w:rPr>
          <w:rFonts w:ascii="宋体" w:hAnsi="宋体" w:eastAsia="宋体"/>
          <w:color w:val="auto"/>
          <w:sz w:val="21"/>
          <w:szCs w:val="21"/>
        </w:rPr>
      </w:pPr>
    </w:p>
    <w:p w14:paraId="470E6488">
      <w:pPr>
        <w:spacing w:line="312" w:lineRule="auto"/>
        <w:ind w:firstLine="405"/>
        <w:rPr>
          <w:rFonts w:ascii="宋体" w:hAnsi="宋体" w:eastAsia="宋体"/>
          <w:color w:val="auto"/>
          <w:sz w:val="21"/>
          <w:szCs w:val="21"/>
        </w:rPr>
      </w:pPr>
      <w:r>
        <w:rPr>
          <w:rFonts w:hint="eastAsia" w:ascii="宋体" w:hAnsi="宋体" w:eastAsia="宋体"/>
          <w:color w:val="auto"/>
          <w:sz w:val="21"/>
          <w:szCs w:val="21"/>
        </w:rPr>
        <w:t xml:space="preserve">        单位名称（盖章）：</w:t>
      </w:r>
    </w:p>
    <w:p w14:paraId="3500668B">
      <w:pPr>
        <w:spacing w:line="312" w:lineRule="auto"/>
        <w:ind w:firstLine="405"/>
        <w:rPr>
          <w:rFonts w:ascii="宋体" w:hAnsi="宋体" w:eastAsia="宋体"/>
          <w:color w:val="auto"/>
          <w:sz w:val="21"/>
          <w:szCs w:val="21"/>
        </w:rPr>
      </w:pPr>
    </w:p>
    <w:p w14:paraId="54408BFE">
      <w:pPr>
        <w:spacing w:line="312" w:lineRule="auto"/>
        <w:ind w:firstLine="405"/>
        <w:rPr>
          <w:rFonts w:ascii="宋体" w:hAnsi="宋体" w:eastAsia="宋体"/>
          <w:color w:val="auto"/>
          <w:sz w:val="21"/>
          <w:szCs w:val="21"/>
        </w:rPr>
      </w:pPr>
    </w:p>
    <w:p w14:paraId="4AD2079E">
      <w:pPr>
        <w:spacing w:line="312" w:lineRule="auto"/>
        <w:ind w:firstLine="405"/>
        <w:rPr>
          <w:rFonts w:ascii="宋体" w:hAnsi="宋体" w:eastAsia="宋体"/>
          <w:color w:val="auto"/>
          <w:sz w:val="21"/>
          <w:szCs w:val="21"/>
        </w:rPr>
      </w:pPr>
      <w:r>
        <w:rPr>
          <w:rFonts w:hint="eastAsia" w:ascii="宋体" w:hAnsi="宋体" w:eastAsia="宋体"/>
          <w:color w:val="auto"/>
          <w:sz w:val="21"/>
          <w:szCs w:val="21"/>
        </w:rPr>
        <w:t xml:space="preserve">                                              日  期：</w:t>
      </w:r>
    </w:p>
    <w:p w14:paraId="763544AB">
      <w:pPr>
        <w:spacing w:line="312" w:lineRule="auto"/>
        <w:ind w:firstLine="405"/>
        <w:jc w:val="center"/>
        <w:rPr>
          <w:rFonts w:ascii="宋体" w:hAnsi="宋体" w:eastAsia="宋体" w:cs="宋体"/>
          <w:b/>
          <w:color w:val="auto"/>
          <w:sz w:val="21"/>
          <w:szCs w:val="21"/>
        </w:rPr>
      </w:pPr>
      <w:r>
        <w:rPr>
          <w:rFonts w:hint="eastAsia" w:ascii="宋体" w:hAnsi="宋体" w:eastAsia="宋体"/>
          <w:color w:val="auto"/>
          <w:sz w:val="21"/>
          <w:szCs w:val="21"/>
        </w:rPr>
        <w:br w:type="page"/>
      </w:r>
      <w:r>
        <w:rPr>
          <w:rFonts w:hint="eastAsia" w:ascii="宋体" w:hAnsi="宋体" w:eastAsia="宋体" w:cs="宋体"/>
          <w:b/>
          <w:color w:val="auto"/>
          <w:sz w:val="21"/>
          <w:szCs w:val="21"/>
        </w:rPr>
        <w:t>财政部司法部关于政府采购支持监狱企业发展有关问题的通知</w:t>
      </w:r>
    </w:p>
    <w:p w14:paraId="30F0B19E">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财库〔2014〕68号</w:t>
      </w:r>
    </w:p>
    <w:p w14:paraId="6AA3361F">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8146C1C">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F7BC2BA">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C74D368">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E721616">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388F702">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四、各地区可以结合本地区实际，对监狱企业生产的办公用品、家具用具、车辆维修和提供的保养服务、消防设备等，提出预留份额等政府采购支持措施，加大对监狱企业产品的采购力度。</w:t>
      </w:r>
    </w:p>
    <w:p w14:paraId="3069EE64">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CFB12E6">
      <w:pPr>
        <w:spacing w:line="360" w:lineRule="auto"/>
        <w:jc w:val="right"/>
        <w:rPr>
          <w:rFonts w:ascii="宋体" w:hAnsi="宋体" w:eastAsia="宋体" w:cs="宋体"/>
          <w:color w:val="auto"/>
          <w:sz w:val="21"/>
          <w:szCs w:val="21"/>
        </w:rPr>
      </w:pPr>
      <w:r>
        <w:rPr>
          <w:rFonts w:hint="eastAsia" w:ascii="宋体" w:hAnsi="宋体" w:eastAsia="宋体" w:cs="宋体"/>
          <w:color w:val="auto"/>
          <w:sz w:val="21"/>
          <w:szCs w:val="21"/>
        </w:rPr>
        <w:t>中华人民共和国财政部</w:t>
      </w:r>
    </w:p>
    <w:p w14:paraId="3EB913EF">
      <w:pPr>
        <w:rPr>
          <w:rFonts w:asciiTheme="minorEastAsia" w:hAnsiTheme="minorEastAsia" w:eastAsiaTheme="minorEastAsia"/>
          <w:color w:val="auto"/>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中华人民共和国司法部</w:t>
      </w:r>
    </w:p>
    <w:p w14:paraId="2A756E02">
      <w:pPr>
        <w:rPr>
          <w:rFonts w:asciiTheme="minorEastAsia" w:hAnsiTheme="minorEastAsia" w:eastAsiaTheme="minorEastAsia"/>
          <w:color w:val="auto"/>
        </w:rPr>
      </w:pPr>
    </w:p>
    <w:p w14:paraId="10995E1B">
      <w:pPr>
        <w:rPr>
          <w:rFonts w:asciiTheme="minorEastAsia" w:hAnsiTheme="minorEastAsia" w:eastAsiaTheme="minorEastAsia"/>
          <w:color w:val="auto"/>
        </w:rPr>
      </w:pPr>
    </w:p>
    <w:p w14:paraId="7DC1E812">
      <w:pPr>
        <w:rPr>
          <w:rFonts w:asciiTheme="minorEastAsia" w:hAnsiTheme="minorEastAsia" w:eastAsiaTheme="minorEastAsia"/>
          <w:color w:val="auto"/>
        </w:rPr>
      </w:pPr>
    </w:p>
    <w:p w14:paraId="3A2D46B7">
      <w:pPr>
        <w:rPr>
          <w:rFonts w:asciiTheme="minorEastAsia" w:hAnsiTheme="minorEastAsia" w:eastAsiaTheme="minorEastAsia"/>
          <w:color w:val="auto"/>
        </w:rPr>
      </w:pPr>
    </w:p>
    <w:p w14:paraId="37B04119">
      <w:pPr>
        <w:rPr>
          <w:color w:val="auto"/>
        </w:rPr>
      </w:pPr>
    </w:p>
    <w:p w14:paraId="6498633E">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第四章  服务合同</w:t>
      </w:r>
    </w:p>
    <w:p w14:paraId="49506B0F">
      <w:pPr>
        <w:rPr>
          <w:rFonts w:asciiTheme="minorEastAsia" w:hAnsiTheme="minorEastAsia" w:eastAsiaTheme="minorEastAsia"/>
          <w:color w:val="auto"/>
        </w:rPr>
      </w:pPr>
    </w:p>
    <w:p w14:paraId="32F45B0B">
      <w:pPr>
        <w:jc w:val="center"/>
        <w:rPr>
          <w:rFonts w:asciiTheme="minorEastAsia" w:hAnsiTheme="minorEastAsia" w:eastAsiaTheme="minorEastAsia"/>
          <w:color w:val="auto"/>
          <w:sz w:val="32"/>
          <w:szCs w:val="40"/>
        </w:rPr>
      </w:pPr>
      <w:r>
        <w:rPr>
          <w:rFonts w:hint="eastAsia" w:asciiTheme="minorEastAsia" w:hAnsiTheme="minorEastAsia" w:eastAsiaTheme="minorEastAsia"/>
          <w:color w:val="auto"/>
          <w:sz w:val="32"/>
          <w:szCs w:val="40"/>
        </w:rPr>
        <w:t>合同以双方实际签订为准</w:t>
      </w:r>
    </w:p>
    <w:p w14:paraId="44D79947">
      <w:pPr>
        <w:rPr>
          <w:rFonts w:asciiTheme="minorEastAsia" w:hAnsiTheme="minorEastAsia" w:eastAsiaTheme="minorEastAsia"/>
          <w:color w:val="auto"/>
        </w:rPr>
      </w:pPr>
    </w:p>
    <w:p w14:paraId="29A6F445">
      <w:pPr>
        <w:rPr>
          <w:rFonts w:asciiTheme="minorEastAsia" w:hAnsiTheme="minorEastAsia" w:eastAsiaTheme="minorEastAsia"/>
          <w:color w:val="auto"/>
        </w:rPr>
      </w:pPr>
    </w:p>
    <w:p w14:paraId="7A950B08">
      <w:pPr>
        <w:rPr>
          <w:rFonts w:asciiTheme="minorEastAsia" w:hAnsiTheme="minorEastAsia" w:eastAsiaTheme="minorEastAsia"/>
          <w:color w:val="auto"/>
        </w:rPr>
      </w:pPr>
    </w:p>
    <w:p w14:paraId="620148B7">
      <w:pPr>
        <w:rPr>
          <w:rFonts w:asciiTheme="minorEastAsia" w:hAnsiTheme="minorEastAsia" w:eastAsiaTheme="minorEastAsia"/>
          <w:color w:val="auto"/>
        </w:rPr>
      </w:pPr>
    </w:p>
    <w:p w14:paraId="5A470B23">
      <w:pPr>
        <w:rPr>
          <w:rFonts w:asciiTheme="minorEastAsia" w:hAnsiTheme="minorEastAsia" w:eastAsiaTheme="minorEastAsia"/>
          <w:color w:val="auto"/>
        </w:rPr>
      </w:pPr>
    </w:p>
    <w:p w14:paraId="501623F0">
      <w:pPr>
        <w:rPr>
          <w:rFonts w:asciiTheme="minorEastAsia" w:hAnsiTheme="minorEastAsia" w:eastAsiaTheme="minorEastAsia"/>
          <w:color w:val="auto"/>
        </w:rPr>
      </w:pPr>
    </w:p>
    <w:p w14:paraId="7CDBC2C3">
      <w:pPr>
        <w:rPr>
          <w:rFonts w:asciiTheme="minorEastAsia" w:hAnsiTheme="minorEastAsia" w:eastAsiaTheme="minorEastAsia"/>
          <w:color w:val="auto"/>
        </w:rPr>
      </w:pPr>
    </w:p>
    <w:p w14:paraId="117FB140">
      <w:pPr>
        <w:rPr>
          <w:rFonts w:asciiTheme="minorEastAsia" w:hAnsiTheme="minorEastAsia" w:eastAsiaTheme="minorEastAsia"/>
          <w:color w:val="auto"/>
        </w:rPr>
      </w:pPr>
    </w:p>
    <w:p w14:paraId="0C1C020F">
      <w:pPr>
        <w:rPr>
          <w:rFonts w:asciiTheme="minorEastAsia" w:hAnsiTheme="minorEastAsia" w:eastAsiaTheme="minorEastAsia"/>
          <w:color w:val="auto"/>
        </w:rPr>
      </w:pPr>
    </w:p>
    <w:p w14:paraId="4D452074">
      <w:pPr>
        <w:rPr>
          <w:rFonts w:asciiTheme="minorEastAsia" w:hAnsiTheme="minorEastAsia" w:eastAsiaTheme="minorEastAsia"/>
          <w:color w:val="auto"/>
        </w:rPr>
      </w:pPr>
    </w:p>
    <w:p w14:paraId="5150FCDF">
      <w:pPr>
        <w:rPr>
          <w:rFonts w:asciiTheme="minorEastAsia" w:hAnsiTheme="minorEastAsia" w:eastAsiaTheme="minorEastAsia"/>
          <w:color w:val="auto"/>
        </w:rPr>
      </w:pPr>
    </w:p>
    <w:p w14:paraId="2B740580">
      <w:pPr>
        <w:rPr>
          <w:rFonts w:asciiTheme="minorEastAsia" w:hAnsiTheme="minorEastAsia" w:eastAsiaTheme="minorEastAsia"/>
          <w:color w:val="auto"/>
        </w:rPr>
      </w:pPr>
    </w:p>
    <w:p w14:paraId="3905E827">
      <w:pPr>
        <w:rPr>
          <w:rFonts w:asciiTheme="minorEastAsia" w:hAnsiTheme="minorEastAsia" w:eastAsiaTheme="minorEastAsia"/>
          <w:color w:val="auto"/>
        </w:rPr>
      </w:pPr>
    </w:p>
    <w:p w14:paraId="3D2E760B">
      <w:pPr>
        <w:rPr>
          <w:rFonts w:asciiTheme="minorEastAsia" w:hAnsiTheme="minorEastAsia" w:eastAsiaTheme="minorEastAsia"/>
          <w:color w:val="auto"/>
        </w:rPr>
      </w:pPr>
    </w:p>
    <w:p w14:paraId="19EEBB8F">
      <w:pPr>
        <w:rPr>
          <w:rFonts w:asciiTheme="minorEastAsia" w:hAnsiTheme="minorEastAsia" w:eastAsiaTheme="minorEastAsia"/>
          <w:color w:val="auto"/>
        </w:rPr>
      </w:pPr>
    </w:p>
    <w:p w14:paraId="43FEF405">
      <w:pPr>
        <w:rPr>
          <w:rFonts w:asciiTheme="minorEastAsia" w:hAnsiTheme="minorEastAsia" w:eastAsiaTheme="minorEastAsia"/>
          <w:color w:val="auto"/>
        </w:rPr>
      </w:pPr>
    </w:p>
    <w:p w14:paraId="580BB53B">
      <w:pPr>
        <w:rPr>
          <w:rFonts w:asciiTheme="minorEastAsia" w:hAnsiTheme="minorEastAsia" w:eastAsiaTheme="minorEastAsia"/>
          <w:color w:val="auto"/>
        </w:rPr>
      </w:pPr>
    </w:p>
    <w:p w14:paraId="42165781">
      <w:pPr>
        <w:rPr>
          <w:rFonts w:asciiTheme="minorEastAsia" w:hAnsiTheme="minorEastAsia" w:eastAsiaTheme="minorEastAsia"/>
          <w:color w:val="auto"/>
        </w:rPr>
      </w:pPr>
    </w:p>
    <w:p w14:paraId="4C2117AB">
      <w:pPr>
        <w:rPr>
          <w:rFonts w:asciiTheme="minorEastAsia" w:hAnsiTheme="minorEastAsia" w:eastAsiaTheme="minorEastAsia"/>
          <w:color w:val="auto"/>
        </w:rPr>
      </w:pPr>
    </w:p>
    <w:p w14:paraId="734D0CF5">
      <w:pPr>
        <w:rPr>
          <w:rFonts w:asciiTheme="minorEastAsia" w:hAnsiTheme="minorEastAsia" w:eastAsiaTheme="minorEastAsia"/>
          <w:color w:val="auto"/>
        </w:rPr>
      </w:pPr>
    </w:p>
    <w:p w14:paraId="72FF41A3">
      <w:pPr>
        <w:rPr>
          <w:rFonts w:asciiTheme="minorEastAsia" w:hAnsiTheme="minorEastAsia" w:eastAsiaTheme="minorEastAsia"/>
          <w:color w:val="auto"/>
        </w:rPr>
      </w:pPr>
    </w:p>
    <w:p w14:paraId="430E9B61">
      <w:pPr>
        <w:rPr>
          <w:rFonts w:asciiTheme="minorEastAsia" w:hAnsiTheme="minorEastAsia" w:eastAsiaTheme="minorEastAsia"/>
          <w:color w:val="auto"/>
        </w:rPr>
      </w:pPr>
    </w:p>
    <w:p w14:paraId="465711F9">
      <w:pPr>
        <w:rPr>
          <w:rFonts w:asciiTheme="minorEastAsia" w:hAnsiTheme="minorEastAsia" w:eastAsiaTheme="minorEastAsia"/>
          <w:color w:val="auto"/>
        </w:rPr>
      </w:pPr>
    </w:p>
    <w:p w14:paraId="4AA6B1AE">
      <w:pPr>
        <w:rPr>
          <w:rFonts w:asciiTheme="minorEastAsia" w:hAnsiTheme="minorEastAsia" w:eastAsiaTheme="minorEastAsia"/>
          <w:color w:val="auto"/>
        </w:rPr>
      </w:pPr>
    </w:p>
    <w:p w14:paraId="61BDF180">
      <w:pPr>
        <w:rPr>
          <w:rFonts w:asciiTheme="minorEastAsia" w:hAnsiTheme="minorEastAsia" w:eastAsiaTheme="minorEastAsia"/>
          <w:color w:val="auto"/>
        </w:rPr>
      </w:pPr>
    </w:p>
    <w:p w14:paraId="4CD0399F">
      <w:pPr>
        <w:rPr>
          <w:rFonts w:asciiTheme="minorEastAsia" w:hAnsiTheme="minorEastAsia" w:eastAsiaTheme="minorEastAsia"/>
          <w:color w:val="auto"/>
        </w:rPr>
      </w:pPr>
    </w:p>
    <w:p w14:paraId="216FF961">
      <w:pPr>
        <w:spacing w:line="360" w:lineRule="auto"/>
        <w:ind w:left="359" w:leftChars="171" w:firstLine="3855" w:firstLineChars="800"/>
        <w:rPr>
          <w:rFonts w:cs="宋体" w:asciiTheme="minorEastAsia" w:hAnsiTheme="minorEastAsia" w:eastAsiaTheme="minorEastAsia"/>
          <w:b/>
          <w:bCs/>
          <w:color w:val="auto"/>
          <w:sz w:val="48"/>
          <w:szCs w:val="48"/>
          <w:lang w:val="zh-CN"/>
        </w:rPr>
      </w:pPr>
    </w:p>
    <w:p w14:paraId="4FCAE926">
      <w:pPr>
        <w:spacing w:line="360" w:lineRule="auto"/>
        <w:rPr>
          <w:rFonts w:asciiTheme="minorEastAsia" w:hAnsiTheme="minorEastAsia" w:eastAsiaTheme="minorEastAsia"/>
          <w:color w:val="auto"/>
        </w:rPr>
      </w:pPr>
      <w:r>
        <w:rPr>
          <w:rFonts w:asciiTheme="minorEastAsia" w:hAnsiTheme="minorEastAsia" w:eastAsiaTheme="minorEastAsia"/>
          <w:color w:val="auto"/>
          <w:szCs w:val="21"/>
        </w:rPr>
        <w:br w:type="page"/>
      </w:r>
    </w:p>
    <w:p w14:paraId="5F29594B">
      <w:pPr>
        <w:pStyle w:val="2"/>
        <w:spacing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第五章 </w:t>
      </w:r>
      <w:r>
        <w:rPr>
          <w:rFonts w:hint="eastAsia" w:asciiTheme="minorEastAsia" w:hAnsiTheme="minorEastAsia" w:eastAsiaTheme="minorEastAsia"/>
          <w:color w:val="auto"/>
          <w:lang w:eastAsia="zh-CN"/>
        </w:rPr>
        <w:t>服务内容及</w:t>
      </w:r>
      <w:r>
        <w:rPr>
          <w:rFonts w:hint="eastAsia" w:asciiTheme="minorEastAsia" w:hAnsiTheme="minorEastAsia" w:eastAsiaTheme="minorEastAsia"/>
          <w:color w:val="auto"/>
        </w:rPr>
        <w:t>要求</w:t>
      </w:r>
    </w:p>
    <w:p w14:paraId="36D4ADEA">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基本原则</w:t>
      </w:r>
    </w:p>
    <w:p w14:paraId="28B1CFE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(一)坚持政府主导。树立以人民为中心理念，积极将计划生育家庭特别扶助对象住院护理补贴保险纳入各级政府民生保障范围，促进计划生育特殊家庭保障体系更加完善。</w:t>
      </w:r>
    </w:p>
    <w:p w14:paraId="5856444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障基本重点。坚持“保基本保重点广覆盖”思路聚焦计划生育特殊家庭最急需、最突出的住院无人照料护理等问题，将计划生育家庭特别扶助对象全部纳入住院护理补贴保险保障范围，减轻计划生育特殊家庭经济压力，增强计划生育特殊家庭获得感。</w:t>
      </w:r>
    </w:p>
    <w:p w14:paraId="7778EFD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(三)注重统筹协调。注重与医疗卫生、医疗保障等现行制度有效衔接，推动计划生育家庭特别扶助对象住院护理补贴保险制度成为社会保障制度的补充和延伸。</w:t>
      </w:r>
    </w:p>
    <w:p w14:paraId="5EDD69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(四)促进持续发展。遵循“循序渐进”路径，不断探索总结经验，持续优化完善方案，确保计划生育家庭特别扶助对象住院护理补贴保险制度可持续健康发展。</w:t>
      </w:r>
    </w:p>
    <w:p w14:paraId="24A3A433">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保险方案</w:t>
      </w:r>
    </w:p>
    <w:p w14:paraId="73C1AF87">
      <w:pPr>
        <w:pStyle w:val="2"/>
        <w:pageBreakBefore w:val="0"/>
        <w:widowControl w:val="0"/>
        <w:kinsoku/>
        <w:wordWrap/>
        <w:overflowPunct/>
        <w:topLinePunct w:val="0"/>
        <w:autoSpaceDE/>
        <w:autoSpaceDN/>
        <w:bidi w:val="0"/>
        <w:adjustRightInd/>
        <w:snapToGrid/>
        <w:spacing w:line="360" w:lineRule="auto"/>
        <w:ind w:firstLine="482" w:firstLineChars="200"/>
        <w:jc w:val="both"/>
        <w:textAlignment w:val="auto"/>
        <w:rPr>
          <w:rStyle w:val="41"/>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保障对象</w:t>
      </w:r>
    </w:p>
    <w:p w14:paraId="6AF329F4">
      <w:pPr>
        <w:pStyle w:val="3"/>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纳入吉林省计划生育家庭特别扶助制度的扶助对象。</w:t>
      </w:r>
    </w:p>
    <w:p w14:paraId="43ACC827">
      <w:pPr>
        <w:pStyle w:val="3"/>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二、保费标准</w:t>
      </w:r>
    </w:p>
    <w:p w14:paraId="519A3B4F">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按照全市的计划生育家庭特别扶助制度的扶助对象的参保人数为2037人 ，人均保费192元/人/年，总保费391104.00元，保费在签订协议后30日内完成支付。</w:t>
      </w:r>
    </w:p>
    <w:p w14:paraId="2D40095F">
      <w:pPr>
        <w:pStyle w:val="4"/>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三、赔付内容</w:t>
      </w:r>
    </w:p>
    <w:p w14:paraId="1F357CC1">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在保险期间内，参保对象因疾病或意外在二级及以上医保定点医疗机构住院需要护理的，每位参保对象可获得每天150元住院护理补贴。参保对象意外身故可获得一次性理赔1000元。</w:t>
      </w:r>
    </w:p>
    <w:p w14:paraId="54225D4F">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四、赔付标准</w:t>
      </w:r>
    </w:p>
    <w:p w14:paraId="44CEFB6C">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参保对象因疾病或意外在二级及以上医保定点医疗机构住院需要护理的。</w:t>
      </w:r>
    </w:p>
    <w:p w14:paraId="42409980">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每位参保对象每天住院可赔偿150元住院护理补贴，每人全年累计不超过30天住院护理补偿。</w:t>
      </w:r>
    </w:p>
    <w:p w14:paraId="27D0EAF8">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参保对象意外身故可获得一次性理赔1000元。</w:t>
      </w:r>
    </w:p>
    <w:p w14:paraId="236F4298">
      <w:pPr>
        <w:rPr>
          <w:color w:val="auto"/>
        </w:rPr>
      </w:pPr>
    </w:p>
    <w:p w14:paraId="17C5E892">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szCs w:val="32"/>
        </w:rPr>
      </w:pPr>
    </w:p>
    <w:p w14:paraId="455A615D">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szCs w:val="32"/>
        </w:rPr>
      </w:pPr>
    </w:p>
    <w:p w14:paraId="5DC8A11C">
      <w:pPr>
        <w:rPr>
          <w:rFonts w:asciiTheme="minorEastAsia" w:hAnsiTheme="minorEastAsia" w:eastAsiaTheme="minorEastAsia"/>
          <w:color w:val="auto"/>
        </w:rPr>
      </w:pPr>
    </w:p>
    <w:p w14:paraId="3BFEBB47">
      <w:pPr>
        <w:rPr>
          <w:rFonts w:asciiTheme="minorEastAsia" w:hAnsiTheme="minorEastAsia" w:eastAsiaTheme="minorEastAsia"/>
          <w:color w:val="auto"/>
        </w:rPr>
      </w:pPr>
    </w:p>
    <w:p w14:paraId="684E7343">
      <w:pPr>
        <w:rPr>
          <w:rFonts w:asciiTheme="minorEastAsia" w:hAnsiTheme="minorEastAsia" w:eastAsiaTheme="minorEastAsia"/>
          <w:color w:val="auto"/>
        </w:rPr>
      </w:pPr>
    </w:p>
    <w:p w14:paraId="2100ED57">
      <w:pPr>
        <w:rPr>
          <w:rFonts w:asciiTheme="minorEastAsia" w:hAnsiTheme="minorEastAsia" w:eastAsiaTheme="minorEastAsia"/>
          <w:color w:val="auto"/>
        </w:rPr>
      </w:pPr>
    </w:p>
    <w:p w14:paraId="3390E6D2">
      <w:pPr>
        <w:rPr>
          <w:rFonts w:asciiTheme="minorEastAsia" w:hAnsiTheme="minorEastAsia" w:eastAsiaTheme="minorEastAsia"/>
          <w:color w:val="auto"/>
        </w:rPr>
      </w:pPr>
    </w:p>
    <w:p w14:paraId="37414CC9">
      <w:pPr>
        <w:rPr>
          <w:rFonts w:asciiTheme="minorEastAsia" w:hAnsiTheme="minorEastAsia" w:eastAsiaTheme="minorEastAsia"/>
          <w:color w:val="auto"/>
        </w:rPr>
      </w:pPr>
    </w:p>
    <w:p w14:paraId="00E2A615">
      <w:pPr>
        <w:rPr>
          <w:rFonts w:asciiTheme="minorEastAsia" w:hAnsiTheme="minorEastAsia" w:eastAsiaTheme="minorEastAsia"/>
          <w:color w:val="auto"/>
        </w:rPr>
      </w:pPr>
    </w:p>
    <w:p w14:paraId="4EE71494">
      <w:pPr>
        <w:rPr>
          <w:rFonts w:asciiTheme="minorEastAsia" w:hAnsiTheme="minorEastAsia" w:eastAsiaTheme="minorEastAsia"/>
          <w:color w:val="auto"/>
        </w:rPr>
      </w:pPr>
    </w:p>
    <w:p w14:paraId="1908869D">
      <w:pPr>
        <w:rPr>
          <w:rFonts w:asciiTheme="minorEastAsia" w:hAnsiTheme="minorEastAsia" w:eastAsiaTheme="minorEastAsia"/>
          <w:color w:val="auto"/>
        </w:rPr>
      </w:pPr>
    </w:p>
    <w:p w14:paraId="3FB3519F">
      <w:pPr>
        <w:rPr>
          <w:rFonts w:asciiTheme="minorEastAsia" w:hAnsiTheme="minorEastAsia" w:eastAsiaTheme="minorEastAsia"/>
          <w:color w:val="auto"/>
        </w:rPr>
      </w:pPr>
    </w:p>
    <w:p w14:paraId="1FEDA23A">
      <w:pPr>
        <w:rPr>
          <w:rFonts w:asciiTheme="minorEastAsia" w:hAnsiTheme="minorEastAsia" w:eastAsiaTheme="minorEastAsia"/>
          <w:color w:val="auto"/>
        </w:rPr>
      </w:pPr>
    </w:p>
    <w:p w14:paraId="5398F751">
      <w:pPr>
        <w:rPr>
          <w:rFonts w:asciiTheme="minorEastAsia" w:hAnsiTheme="minorEastAsia" w:eastAsiaTheme="minorEastAsia"/>
          <w:color w:val="auto"/>
        </w:rPr>
      </w:pPr>
    </w:p>
    <w:p w14:paraId="3A5F4713">
      <w:pPr>
        <w:rPr>
          <w:rFonts w:asciiTheme="minorEastAsia" w:hAnsiTheme="minorEastAsia" w:eastAsiaTheme="minorEastAsia"/>
          <w:color w:val="auto"/>
        </w:rPr>
      </w:pPr>
    </w:p>
    <w:p w14:paraId="1B44CABB">
      <w:pPr>
        <w:rPr>
          <w:rFonts w:asciiTheme="minorEastAsia" w:hAnsiTheme="minorEastAsia" w:eastAsiaTheme="minorEastAsia"/>
          <w:color w:val="auto"/>
        </w:rPr>
      </w:pPr>
    </w:p>
    <w:p w14:paraId="36B3C99B">
      <w:pPr>
        <w:pStyle w:val="2"/>
        <w:jc w:val="center"/>
        <w:rPr>
          <w:rFonts w:asciiTheme="minorEastAsia" w:hAnsiTheme="minorEastAsia" w:eastAsiaTheme="minorEastAsia"/>
          <w:color w:val="auto"/>
        </w:rPr>
      </w:pPr>
      <w:r>
        <w:rPr>
          <w:rFonts w:hint="eastAsia" w:asciiTheme="minorEastAsia" w:hAnsiTheme="minorEastAsia" w:eastAsiaTheme="minorEastAsia"/>
          <w:color w:val="auto"/>
        </w:rPr>
        <w:t>第六章</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lang w:eastAsia="zh-CN"/>
        </w:rPr>
        <w:t>响应文件</w:t>
      </w:r>
      <w:r>
        <w:rPr>
          <w:rFonts w:hint="eastAsia" w:asciiTheme="minorEastAsia" w:hAnsiTheme="minorEastAsia" w:eastAsiaTheme="minorEastAsia"/>
          <w:color w:val="auto"/>
        </w:rPr>
        <w:t>格式</w:t>
      </w:r>
    </w:p>
    <w:p w14:paraId="41EFCB43">
      <w:pPr>
        <w:pStyle w:val="2"/>
        <w:jc w:val="center"/>
        <w:rPr>
          <w:rFonts w:asciiTheme="minorEastAsia" w:hAnsiTheme="minorEastAsia" w:eastAsiaTheme="minorEastAsia"/>
          <w:color w:val="auto"/>
        </w:rPr>
      </w:pPr>
    </w:p>
    <w:p w14:paraId="2990313A">
      <w:pPr>
        <w:rPr>
          <w:rFonts w:asciiTheme="minorEastAsia" w:hAnsiTheme="minorEastAsia" w:eastAsiaTheme="minorEastAsia"/>
          <w:color w:val="auto"/>
        </w:rPr>
      </w:pPr>
    </w:p>
    <w:p w14:paraId="6A7A6F93">
      <w:pPr>
        <w:rPr>
          <w:rFonts w:asciiTheme="minorEastAsia" w:hAnsiTheme="minorEastAsia" w:eastAsiaTheme="minorEastAsia"/>
          <w:color w:val="auto"/>
        </w:rPr>
      </w:pPr>
    </w:p>
    <w:p w14:paraId="31F66A43">
      <w:pPr>
        <w:rPr>
          <w:rFonts w:asciiTheme="minorEastAsia" w:hAnsiTheme="minorEastAsia" w:eastAsiaTheme="minorEastAsia"/>
          <w:color w:val="auto"/>
        </w:rPr>
      </w:pPr>
    </w:p>
    <w:p w14:paraId="153F7292">
      <w:pPr>
        <w:rPr>
          <w:rFonts w:asciiTheme="minorEastAsia" w:hAnsiTheme="minorEastAsia" w:eastAsiaTheme="minorEastAsia"/>
          <w:color w:val="auto"/>
        </w:rPr>
      </w:pPr>
    </w:p>
    <w:p w14:paraId="68B6834B">
      <w:pPr>
        <w:rPr>
          <w:rFonts w:asciiTheme="minorEastAsia" w:hAnsiTheme="minorEastAsia" w:eastAsiaTheme="minorEastAsia"/>
          <w:color w:val="auto"/>
        </w:rPr>
      </w:pPr>
    </w:p>
    <w:p w14:paraId="52593472">
      <w:pPr>
        <w:rPr>
          <w:rFonts w:asciiTheme="minorEastAsia" w:hAnsiTheme="minorEastAsia" w:eastAsiaTheme="minorEastAsia"/>
          <w:color w:val="auto"/>
        </w:rPr>
      </w:pPr>
    </w:p>
    <w:p w14:paraId="49FB5E7D">
      <w:pPr>
        <w:rPr>
          <w:rFonts w:asciiTheme="minorEastAsia" w:hAnsiTheme="minorEastAsia" w:eastAsiaTheme="minorEastAsia"/>
          <w:color w:val="auto"/>
        </w:rPr>
      </w:pPr>
    </w:p>
    <w:p w14:paraId="47A7879A">
      <w:pPr>
        <w:rPr>
          <w:rFonts w:asciiTheme="minorEastAsia" w:hAnsiTheme="minorEastAsia" w:eastAsiaTheme="minorEastAsia"/>
          <w:color w:val="auto"/>
        </w:rPr>
      </w:pPr>
    </w:p>
    <w:p w14:paraId="4F5C54C4">
      <w:pPr>
        <w:rPr>
          <w:rFonts w:asciiTheme="minorEastAsia" w:hAnsiTheme="minorEastAsia" w:eastAsiaTheme="minorEastAsia"/>
          <w:color w:val="auto"/>
        </w:rPr>
      </w:pPr>
    </w:p>
    <w:p w14:paraId="2550E836">
      <w:pPr>
        <w:rPr>
          <w:rFonts w:asciiTheme="minorEastAsia" w:hAnsiTheme="minorEastAsia" w:eastAsiaTheme="minorEastAsia"/>
          <w:color w:val="auto"/>
        </w:rPr>
      </w:pPr>
    </w:p>
    <w:p w14:paraId="703E6D06">
      <w:pPr>
        <w:rPr>
          <w:rFonts w:asciiTheme="minorEastAsia" w:hAnsiTheme="minorEastAsia" w:eastAsiaTheme="minorEastAsia"/>
          <w:color w:val="auto"/>
        </w:rPr>
      </w:pPr>
    </w:p>
    <w:p w14:paraId="05FF9A0F">
      <w:pPr>
        <w:rPr>
          <w:rFonts w:asciiTheme="minorEastAsia" w:hAnsiTheme="minorEastAsia" w:eastAsiaTheme="minorEastAsia"/>
          <w:color w:val="auto"/>
        </w:rPr>
      </w:pPr>
    </w:p>
    <w:p w14:paraId="2ECCCDE9">
      <w:pPr>
        <w:rPr>
          <w:rFonts w:asciiTheme="minorEastAsia" w:hAnsiTheme="minorEastAsia" w:eastAsiaTheme="minorEastAsia"/>
          <w:color w:val="auto"/>
        </w:rPr>
      </w:pPr>
    </w:p>
    <w:p w14:paraId="3958EB84">
      <w:pPr>
        <w:rPr>
          <w:rFonts w:asciiTheme="minorEastAsia" w:hAnsiTheme="minorEastAsia" w:eastAsiaTheme="minorEastAsia"/>
          <w:color w:val="auto"/>
        </w:rPr>
      </w:pPr>
    </w:p>
    <w:p w14:paraId="6FDAD1A5">
      <w:pPr>
        <w:rPr>
          <w:rFonts w:asciiTheme="minorEastAsia" w:hAnsiTheme="minorEastAsia" w:eastAsiaTheme="minorEastAsia"/>
          <w:color w:val="auto"/>
        </w:rPr>
      </w:pPr>
    </w:p>
    <w:p w14:paraId="10872850">
      <w:pPr>
        <w:rPr>
          <w:rFonts w:asciiTheme="minorEastAsia" w:hAnsiTheme="minorEastAsia" w:eastAsiaTheme="minorEastAsia"/>
          <w:color w:val="auto"/>
        </w:rPr>
      </w:pPr>
    </w:p>
    <w:p w14:paraId="5FB0D2EE">
      <w:pPr>
        <w:rPr>
          <w:rFonts w:asciiTheme="minorEastAsia" w:hAnsiTheme="minorEastAsia" w:eastAsiaTheme="minorEastAsia"/>
          <w:color w:val="auto"/>
        </w:rPr>
      </w:pPr>
    </w:p>
    <w:p w14:paraId="0A26D77D">
      <w:pPr>
        <w:rPr>
          <w:rFonts w:asciiTheme="minorEastAsia" w:hAnsiTheme="minorEastAsia" w:eastAsiaTheme="minorEastAsia"/>
          <w:color w:val="auto"/>
        </w:rPr>
      </w:pPr>
    </w:p>
    <w:p w14:paraId="1114EB38">
      <w:pPr>
        <w:rPr>
          <w:rFonts w:asciiTheme="minorEastAsia" w:hAnsiTheme="minorEastAsia" w:eastAsiaTheme="minorEastAsia"/>
          <w:color w:val="auto"/>
        </w:rPr>
      </w:pPr>
    </w:p>
    <w:p w14:paraId="65F541A6">
      <w:pPr>
        <w:spacing w:line="360" w:lineRule="auto"/>
        <w:jc w:val="center"/>
        <w:rPr>
          <w:rFonts w:asciiTheme="minorEastAsia" w:hAnsiTheme="minorEastAsia" w:eastAsiaTheme="minorEastAsia"/>
          <w:b/>
          <w:color w:val="auto"/>
          <w:sz w:val="36"/>
          <w:szCs w:val="36"/>
          <w:u w:val="single"/>
        </w:rPr>
      </w:pPr>
    </w:p>
    <w:p w14:paraId="0D4742B3">
      <w:pPr>
        <w:spacing w:line="360" w:lineRule="auto"/>
        <w:jc w:val="center"/>
        <w:rPr>
          <w:rFonts w:asciiTheme="minorEastAsia" w:hAnsiTheme="minorEastAsia" w:eastAsiaTheme="minorEastAsia"/>
          <w:b/>
          <w:color w:val="auto"/>
          <w:sz w:val="36"/>
          <w:szCs w:val="36"/>
          <w:u w:val="single"/>
        </w:rPr>
      </w:pPr>
    </w:p>
    <w:p w14:paraId="0849B61C">
      <w:pPr>
        <w:spacing w:line="360" w:lineRule="auto"/>
        <w:jc w:val="center"/>
        <w:rPr>
          <w:rFonts w:asciiTheme="minorEastAsia" w:hAnsiTheme="minorEastAsia" w:eastAsiaTheme="minorEastAsia"/>
          <w:b/>
          <w:color w:val="auto"/>
          <w:sz w:val="36"/>
          <w:szCs w:val="36"/>
          <w:u w:val="single"/>
        </w:rPr>
      </w:pPr>
      <w:r>
        <w:rPr>
          <w:rFonts w:asciiTheme="minorEastAsia" w:hAnsiTheme="minorEastAsia" w:eastAsiaTheme="minorEastAsia"/>
          <w:b/>
          <w:color w:val="auto"/>
          <w:sz w:val="36"/>
          <w:szCs w:val="36"/>
          <w:u w:val="single"/>
        </w:rPr>
        <w:t>（项目名称）</w:t>
      </w:r>
    </w:p>
    <w:p w14:paraId="3F6DB83B">
      <w:pPr>
        <w:spacing w:line="360" w:lineRule="auto"/>
        <w:jc w:val="center"/>
        <w:rPr>
          <w:rFonts w:asciiTheme="minorEastAsia" w:hAnsiTheme="minorEastAsia" w:eastAsiaTheme="minorEastAsia"/>
          <w:b/>
          <w:color w:val="auto"/>
          <w:sz w:val="36"/>
          <w:szCs w:val="36"/>
          <w:u w:val="single"/>
        </w:rPr>
      </w:pPr>
    </w:p>
    <w:p w14:paraId="493F76D0">
      <w:pPr>
        <w:spacing w:line="360" w:lineRule="auto"/>
        <w:jc w:val="center"/>
        <w:rPr>
          <w:rFonts w:asciiTheme="minorEastAsia" w:hAnsiTheme="minorEastAsia" w:eastAsiaTheme="minorEastAsia"/>
          <w:b/>
          <w:color w:val="auto"/>
          <w:sz w:val="36"/>
          <w:szCs w:val="36"/>
          <w:u w:val="single"/>
        </w:rPr>
      </w:pPr>
    </w:p>
    <w:p w14:paraId="51B123DF">
      <w:pPr>
        <w:spacing w:line="360" w:lineRule="auto"/>
        <w:jc w:val="center"/>
        <w:rPr>
          <w:rFonts w:asciiTheme="minorEastAsia" w:hAnsiTheme="minorEastAsia" w:eastAsiaTheme="minorEastAsia"/>
          <w:b/>
          <w:color w:val="auto"/>
          <w:sz w:val="72"/>
          <w:szCs w:val="72"/>
          <w:u w:val="single"/>
        </w:rPr>
      </w:pPr>
      <w:r>
        <w:rPr>
          <w:rFonts w:hint="eastAsia" w:asciiTheme="minorEastAsia" w:hAnsiTheme="minorEastAsia" w:eastAsiaTheme="minorEastAsia"/>
          <w:b/>
          <w:color w:val="auto"/>
          <w:sz w:val="72"/>
          <w:szCs w:val="72"/>
          <w:u w:val="single"/>
          <w:lang w:eastAsia="zh-CN"/>
        </w:rPr>
        <w:t>竞争性磋商响应文件</w:t>
      </w:r>
    </w:p>
    <w:p w14:paraId="7F0EC55C">
      <w:pPr>
        <w:spacing w:line="360" w:lineRule="auto"/>
        <w:jc w:val="center"/>
        <w:rPr>
          <w:rFonts w:asciiTheme="minorEastAsia" w:hAnsiTheme="minorEastAsia" w:eastAsiaTheme="minorEastAsia"/>
          <w:b/>
          <w:color w:val="auto"/>
          <w:sz w:val="32"/>
          <w:szCs w:val="32"/>
          <w:u w:val="single"/>
        </w:rPr>
      </w:pPr>
    </w:p>
    <w:p w14:paraId="2A4975ED">
      <w:pPr>
        <w:spacing w:line="360" w:lineRule="auto"/>
        <w:jc w:val="center"/>
        <w:rPr>
          <w:rFonts w:asciiTheme="minorEastAsia" w:hAnsiTheme="minorEastAsia" w:eastAsiaTheme="minorEastAsia"/>
          <w:b/>
          <w:color w:val="auto"/>
          <w:sz w:val="32"/>
          <w:szCs w:val="32"/>
          <w:u w:val="single"/>
        </w:rPr>
      </w:pPr>
    </w:p>
    <w:p w14:paraId="466B85EF">
      <w:pPr>
        <w:spacing w:line="360" w:lineRule="auto"/>
        <w:jc w:val="center"/>
        <w:rPr>
          <w:rFonts w:asciiTheme="minorEastAsia" w:hAnsiTheme="minorEastAsia" w:eastAsiaTheme="minorEastAsia"/>
          <w:b/>
          <w:color w:val="auto"/>
          <w:sz w:val="32"/>
          <w:szCs w:val="32"/>
          <w:u w:val="single"/>
        </w:rPr>
      </w:pPr>
    </w:p>
    <w:p w14:paraId="042EAC3A">
      <w:pPr>
        <w:spacing w:line="360" w:lineRule="auto"/>
        <w:jc w:val="center"/>
        <w:rPr>
          <w:rFonts w:asciiTheme="minorEastAsia" w:hAnsiTheme="minorEastAsia" w:eastAsiaTheme="minorEastAsia"/>
          <w:b/>
          <w:color w:val="auto"/>
          <w:sz w:val="32"/>
          <w:szCs w:val="32"/>
          <w:u w:val="single"/>
        </w:rPr>
      </w:pPr>
    </w:p>
    <w:p w14:paraId="58B6AFBC">
      <w:pPr>
        <w:spacing w:line="360" w:lineRule="auto"/>
        <w:jc w:val="center"/>
        <w:rPr>
          <w:rFonts w:asciiTheme="minorEastAsia" w:hAnsiTheme="minorEastAsia" w:eastAsiaTheme="minorEastAsia"/>
          <w:b/>
          <w:color w:val="auto"/>
          <w:sz w:val="32"/>
          <w:szCs w:val="32"/>
          <w:u w:val="single"/>
        </w:rPr>
      </w:pPr>
    </w:p>
    <w:p w14:paraId="58D18F60">
      <w:pPr>
        <w:spacing w:line="360" w:lineRule="auto"/>
        <w:jc w:val="center"/>
        <w:rPr>
          <w:rFonts w:asciiTheme="minorEastAsia" w:hAnsiTheme="minorEastAsia" w:eastAsiaTheme="minorEastAsia"/>
          <w:b/>
          <w:color w:val="auto"/>
          <w:sz w:val="32"/>
          <w:szCs w:val="32"/>
          <w:u w:val="single"/>
        </w:rPr>
      </w:pPr>
    </w:p>
    <w:p w14:paraId="4EAEB13B">
      <w:pPr>
        <w:spacing w:line="360" w:lineRule="auto"/>
        <w:jc w:val="center"/>
        <w:rPr>
          <w:rFonts w:asciiTheme="minorEastAsia" w:hAnsiTheme="minorEastAsia" w:eastAsiaTheme="minorEastAsia"/>
          <w:b/>
          <w:color w:val="auto"/>
          <w:sz w:val="32"/>
          <w:szCs w:val="32"/>
          <w:u w:val="single"/>
        </w:rPr>
      </w:pPr>
    </w:p>
    <w:p w14:paraId="4ACCA6E3">
      <w:pPr>
        <w:spacing w:line="360" w:lineRule="auto"/>
        <w:jc w:val="center"/>
        <w:rPr>
          <w:rFonts w:asciiTheme="minorEastAsia" w:hAnsiTheme="minorEastAsia" w:eastAsiaTheme="minorEastAsia"/>
          <w:b/>
          <w:color w:val="auto"/>
          <w:sz w:val="32"/>
          <w:szCs w:val="32"/>
          <w:u w:val="single"/>
        </w:rPr>
      </w:pPr>
    </w:p>
    <w:p w14:paraId="36C6A98D">
      <w:pPr>
        <w:spacing w:line="600" w:lineRule="auto"/>
        <w:jc w:val="center"/>
        <w:rPr>
          <w:rFonts w:asciiTheme="minorEastAsia" w:hAnsiTheme="minorEastAsia" w:eastAsiaTheme="minorEastAsia"/>
          <w:b/>
          <w:color w:val="auto"/>
          <w:sz w:val="32"/>
          <w:szCs w:val="32"/>
          <w:u w:val="single"/>
        </w:rPr>
      </w:pPr>
      <w:r>
        <w:rPr>
          <w:rFonts w:hint="eastAsia" w:asciiTheme="minorEastAsia" w:hAnsiTheme="minorEastAsia" w:eastAsiaTheme="minorEastAsia"/>
          <w:b/>
          <w:color w:val="auto"/>
          <w:sz w:val="32"/>
          <w:szCs w:val="32"/>
          <w:u w:val="single"/>
          <w:lang w:eastAsia="zh-CN"/>
        </w:rPr>
        <w:t>供应商</w:t>
      </w:r>
      <w:r>
        <w:rPr>
          <w:rFonts w:asciiTheme="minorEastAsia" w:hAnsiTheme="minorEastAsia" w:eastAsiaTheme="minorEastAsia"/>
          <w:b/>
          <w:color w:val="auto"/>
          <w:sz w:val="32"/>
          <w:szCs w:val="32"/>
          <w:u w:val="single"/>
        </w:rPr>
        <w:t>：                            （盖单位章）</w:t>
      </w:r>
    </w:p>
    <w:p w14:paraId="46001A9B">
      <w:pPr>
        <w:spacing w:line="600" w:lineRule="auto"/>
        <w:jc w:val="center"/>
        <w:rPr>
          <w:rFonts w:asciiTheme="minorEastAsia" w:hAnsiTheme="minorEastAsia" w:eastAsiaTheme="minorEastAsia"/>
          <w:b/>
          <w:color w:val="auto"/>
          <w:sz w:val="32"/>
          <w:szCs w:val="32"/>
          <w:u w:val="single"/>
        </w:rPr>
      </w:pPr>
      <w:r>
        <w:rPr>
          <w:rFonts w:asciiTheme="minorEastAsia" w:hAnsiTheme="minorEastAsia" w:eastAsiaTheme="minorEastAsia"/>
          <w:b/>
          <w:color w:val="auto"/>
          <w:sz w:val="32"/>
          <w:szCs w:val="32"/>
          <w:u w:val="single"/>
        </w:rPr>
        <w:t>法定代表人或其委托代理人：             （签字</w:t>
      </w:r>
      <w:r>
        <w:rPr>
          <w:rFonts w:hint="eastAsia" w:asciiTheme="minorEastAsia" w:hAnsiTheme="minorEastAsia" w:eastAsiaTheme="minorEastAsia"/>
          <w:b/>
          <w:color w:val="auto"/>
          <w:sz w:val="32"/>
          <w:szCs w:val="32"/>
          <w:u w:val="single"/>
          <w:lang w:eastAsia="zh-CN"/>
        </w:rPr>
        <w:t>或盖章</w:t>
      </w:r>
      <w:r>
        <w:rPr>
          <w:rFonts w:asciiTheme="minorEastAsia" w:hAnsiTheme="minorEastAsia" w:eastAsiaTheme="minorEastAsia"/>
          <w:b/>
          <w:color w:val="auto"/>
          <w:sz w:val="32"/>
          <w:szCs w:val="32"/>
          <w:u w:val="single"/>
        </w:rPr>
        <w:t>）</w:t>
      </w:r>
    </w:p>
    <w:p w14:paraId="3B89830E">
      <w:pPr>
        <w:spacing w:line="600" w:lineRule="auto"/>
        <w:jc w:val="center"/>
        <w:rPr>
          <w:rFonts w:asciiTheme="minorEastAsia" w:hAnsiTheme="minorEastAsia" w:eastAsiaTheme="minorEastAsia"/>
          <w:b/>
          <w:color w:val="auto"/>
          <w:sz w:val="32"/>
          <w:szCs w:val="32"/>
          <w:u w:val="single"/>
        </w:rPr>
      </w:pPr>
      <w:r>
        <w:rPr>
          <w:rFonts w:asciiTheme="minorEastAsia" w:hAnsiTheme="minorEastAsia" w:eastAsiaTheme="minorEastAsia"/>
          <w:b/>
          <w:color w:val="auto"/>
          <w:sz w:val="32"/>
          <w:szCs w:val="32"/>
          <w:u w:val="single"/>
        </w:rPr>
        <w:t xml:space="preserve">        年        月        日</w:t>
      </w:r>
    </w:p>
    <w:p w14:paraId="6F97B14A">
      <w:pPr>
        <w:pStyle w:val="4"/>
        <w:jc w:val="center"/>
        <w:rPr>
          <w:rFonts w:asciiTheme="minorEastAsia" w:hAnsiTheme="minorEastAsia" w:eastAsiaTheme="minorEastAsia"/>
          <w:b w:val="0"/>
          <w:color w:val="auto"/>
          <w:sz w:val="28"/>
          <w:szCs w:val="28"/>
          <w:highlight w:val="none"/>
        </w:rPr>
      </w:pPr>
      <w:bookmarkStart w:id="132" w:name="_Toc199384393"/>
      <w:bookmarkStart w:id="133" w:name="_Toc208999274"/>
      <w:bookmarkStart w:id="134" w:name="_Toc208975013"/>
      <w:bookmarkStart w:id="135" w:name="_Toc199384394"/>
      <w:bookmarkStart w:id="136" w:name="_Toc208975014"/>
      <w:bookmarkStart w:id="137" w:name="_Toc208999275"/>
      <w:r>
        <w:rPr>
          <w:rFonts w:hint="eastAsia" w:asciiTheme="minorEastAsia" w:hAnsiTheme="minorEastAsia" w:eastAsiaTheme="minorEastAsia"/>
          <w:b w:val="0"/>
          <w:color w:val="auto"/>
          <w:sz w:val="28"/>
          <w:szCs w:val="28"/>
          <w:highlight w:val="none"/>
        </w:rPr>
        <w:t>目录</w:t>
      </w:r>
      <w:bookmarkEnd w:id="132"/>
      <w:bookmarkEnd w:id="133"/>
      <w:bookmarkEnd w:id="134"/>
    </w:p>
    <w:p w14:paraId="75F52B0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一、磋商响应函</w:t>
      </w:r>
    </w:p>
    <w:p w14:paraId="22E7EC2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二、法定代表人身份证明</w:t>
      </w:r>
    </w:p>
    <w:p w14:paraId="79715A5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三、附法定代表人身份证明的授权委托书</w:t>
      </w:r>
    </w:p>
    <w:p w14:paraId="624FEC3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四、磋商保证金</w:t>
      </w:r>
    </w:p>
    <w:p w14:paraId="60C7E19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五、服务方案</w:t>
      </w:r>
    </w:p>
    <w:p w14:paraId="7456CCB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六、资格审查资料</w:t>
      </w:r>
    </w:p>
    <w:p w14:paraId="3896FED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七、承诺函</w:t>
      </w:r>
    </w:p>
    <w:p w14:paraId="5E38FB8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八、政府采购诚信承诺书</w:t>
      </w:r>
    </w:p>
    <w:p w14:paraId="0CD17D3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九</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磋商</w:t>
      </w:r>
      <w:r>
        <w:rPr>
          <w:rFonts w:hint="eastAsia" w:asciiTheme="minorEastAsia" w:hAnsiTheme="minorEastAsia" w:eastAsiaTheme="minorEastAsia"/>
          <w:color w:val="auto"/>
          <w:szCs w:val="21"/>
          <w:highlight w:val="none"/>
        </w:rPr>
        <w:t>一览表</w:t>
      </w:r>
    </w:p>
    <w:p w14:paraId="5B464B54">
      <w:pPr>
        <w:spacing w:line="360" w:lineRule="auto"/>
        <w:ind w:firstLine="420" w:firstLineChars="200"/>
        <w:rPr>
          <w:rFonts w:asciiTheme="minorEastAsia" w:hAnsiTheme="minorEastAsia" w:eastAsiaTheme="minorEastAsia"/>
          <w:color w:val="auto"/>
          <w:szCs w:val="21"/>
          <w:highlight w:val="none"/>
        </w:rPr>
        <w:sectPr>
          <w:headerReference r:id="rId9" w:type="default"/>
          <w:footerReference r:id="rId10" w:type="default"/>
          <w:footerReference r:id="rId11" w:type="even"/>
          <w:pgSz w:w="11906" w:h="16838"/>
          <w:pgMar w:top="1418" w:right="924" w:bottom="1418" w:left="1134" w:header="851" w:footer="992" w:gutter="0"/>
          <w:cols w:space="720" w:num="1"/>
          <w:titlePg/>
          <w:docGrid w:linePitch="312" w:charSpace="0"/>
        </w:sectPr>
      </w:pPr>
      <w:r>
        <w:rPr>
          <w:rFonts w:hint="eastAsia" w:asciiTheme="minorEastAsia" w:hAnsiTheme="minorEastAsia" w:eastAsiaTheme="minorEastAsia"/>
          <w:color w:val="auto"/>
          <w:szCs w:val="21"/>
          <w:highlight w:val="none"/>
          <w:lang w:eastAsia="zh-CN"/>
        </w:rPr>
        <w:t>十、</w:t>
      </w:r>
      <w:r>
        <w:rPr>
          <w:rFonts w:hint="eastAsia" w:asciiTheme="minorEastAsia" w:hAnsiTheme="minorEastAsia" w:eastAsiaTheme="minorEastAsia"/>
          <w:color w:val="auto"/>
          <w:szCs w:val="21"/>
          <w:highlight w:val="none"/>
        </w:rPr>
        <w:t>供应商认为需提供的其他材料</w:t>
      </w:r>
    </w:p>
    <w:bookmarkEnd w:id="135"/>
    <w:bookmarkEnd w:id="136"/>
    <w:bookmarkEnd w:id="137"/>
    <w:p w14:paraId="58EA33BA">
      <w:pPr>
        <w:keepNext/>
        <w:keepLines/>
        <w:spacing w:line="360" w:lineRule="auto"/>
        <w:jc w:val="center"/>
        <w:outlineLvl w:val="2"/>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一、磋商响应函</w:t>
      </w:r>
    </w:p>
    <w:p w14:paraId="56FCFF43">
      <w:pPr>
        <w:spacing w:line="360" w:lineRule="auto"/>
        <w:ind w:firstLine="420" w:firstLineChars="200"/>
        <w:rPr>
          <w:rFonts w:asciiTheme="minorEastAsia" w:hAnsiTheme="minorEastAsia" w:eastAsiaTheme="minorEastAsia"/>
          <w:color w:val="auto"/>
          <w:szCs w:val="21"/>
          <w:highlight w:val="none"/>
        </w:rPr>
      </w:pPr>
    </w:p>
    <w:p w14:paraId="592BF7F2">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（采购人名称）: </w:t>
      </w:r>
    </w:p>
    <w:p w14:paraId="56A89FE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1．我方己仔细研究了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（项目名称）竞争性磋商文件的全部内容，愿意以</w:t>
      </w:r>
      <w:r>
        <w:rPr>
          <w:rFonts w:hint="eastAsia" w:asciiTheme="minorEastAsia" w:hAnsiTheme="minorEastAsia" w:eastAsiaTheme="minorEastAsia"/>
          <w:color w:val="auto"/>
          <w:highlight w:val="none"/>
        </w:rPr>
        <w:t>第二轮的最终报价作为本项目的</w:t>
      </w:r>
      <w:r>
        <w:rPr>
          <w:rFonts w:hint="eastAsia" w:asciiTheme="minorEastAsia" w:hAnsiTheme="minorEastAsia" w:eastAsiaTheme="minorEastAsia"/>
          <w:color w:val="auto"/>
          <w:szCs w:val="21"/>
          <w:highlight w:val="none"/>
        </w:rPr>
        <w:t>磋商最后报价，合同履行期限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，按合同约定实施和完成项目，质量达到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785F1AF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2．我方承诺在投标有效期内</w:t>
      </w:r>
      <w:r>
        <w:rPr>
          <w:rFonts w:hint="eastAsia" w:asciiTheme="minorEastAsia" w:hAnsiTheme="minorEastAsia" w:eastAsiaTheme="minorEastAsia"/>
          <w:b/>
          <w:color w:val="auto"/>
          <w:szCs w:val="21"/>
          <w:highlight w:val="none"/>
          <w:u w:val="single"/>
        </w:rPr>
        <w:t>(90日历天)</w:t>
      </w:r>
      <w:r>
        <w:rPr>
          <w:rFonts w:hint="eastAsia" w:asciiTheme="minorEastAsia" w:hAnsiTheme="minorEastAsia" w:eastAsiaTheme="minorEastAsia"/>
          <w:color w:val="auto"/>
          <w:szCs w:val="21"/>
          <w:highlight w:val="none"/>
        </w:rPr>
        <w:t>不修改、撤销报价文件。</w:t>
      </w:r>
    </w:p>
    <w:p w14:paraId="2DF7481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3．随同本磋商响应函提交磋商保证金一份，金额为人民币（大写）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29FB50D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4．如我方中标：</w:t>
      </w:r>
    </w:p>
    <w:p w14:paraId="117D6EF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(l）我方承诺在收到中标通知书后，在中标通知书规定的期限内与你方签订合同。</w:t>
      </w:r>
    </w:p>
    <w:p w14:paraId="3CAA6D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(2）我方承诺按照竞争性磋商文件规定向你方递交履约担保。</w:t>
      </w:r>
    </w:p>
    <w:p w14:paraId="177785D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(3）我方承诺在合同约定的期限内完成并移交全部合同项目。</w:t>
      </w:r>
    </w:p>
    <w:p w14:paraId="5CDFEF3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5．我方在此声明，所递交的报价文件及有关资料内容完整、真实和准确，且不存在第二章“供应商须知”第1.4.3 项规定的任何一种情形。</w:t>
      </w:r>
    </w:p>
    <w:p w14:paraId="51892AB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6.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（其他补充说明）。</w:t>
      </w:r>
    </w:p>
    <w:p w14:paraId="6182B728">
      <w:pPr>
        <w:spacing w:line="360" w:lineRule="auto"/>
        <w:ind w:firstLine="420" w:firstLineChars="200"/>
        <w:rPr>
          <w:rFonts w:asciiTheme="minorEastAsia" w:hAnsiTheme="minorEastAsia" w:eastAsiaTheme="minorEastAsia"/>
          <w:color w:val="auto"/>
          <w:szCs w:val="21"/>
          <w:highlight w:val="none"/>
        </w:rPr>
      </w:pPr>
    </w:p>
    <w:p w14:paraId="33677DE2">
      <w:pPr>
        <w:spacing w:line="360" w:lineRule="auto"/>
        <w:ind w:firstLine="420" w:firstLineChars="200"/>
        <w:rPr>
          <w:rFonts w:asciiTheme="minorEastAsia" w:hAnsiTheme="minorEastAsia" w:eastAsiaTheme="minorEastAsia"/>
          <w:color w:val="auto"/>
          <w:szCs w:val="21"/>
          <w:highlight w:val="none"/>
        </w:rPr>
      </w:pPr>
    </w:p>
    <w:p w14:paraId="20528088">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72138184">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lang w:eastAsia="zh-CN"/>
        </w:rPr>
        <w:t>或盖章</w:t>
      </w:r>
      <w:r>
        <w:rPr>
          <w:rFonts w:hint="eastAsia" w:asciiTheme="minorEastAsia" w:hAnsiTheme="minorEastAsia" w:eastAsiaTheme="minorEastAsia"/>
          <w:color w:val="auto"/>
          <w:szCs w:val="21"/>
          <w:highlight w:val="none"/>
        </w:rPr>
        <w:t>）</w:t>
      </w:r>
    </w:p>
    <w:p w14:paraId="78390044">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u w:val="single"/>
        </w:rPr>
        <w:t xml:space="preserve">                                 </w:t>
      </w:r>
    </w:p>
    <w:p w14:paraId="1762451A">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网址：</w:t>
      </w:r>
      <w:r>
        <w:rPr>
          <w:rFonts w:hint="eastAsia" w:asciiTheme="minorEastAsia" w:hAnsiTheme="minorEastAsia" w:eastAsiaTheme="minorEastAsia"/>
          <w:color w:val="auto"/>
          <w:szCs w:val="21"/>
          <w:highlight w:val="none"/>
          <w:u w:val="single"/>
        </w:rPr>
        <w:t xml:space="preserve">                                 </w:t>
      </w:r>
    </w:p>
    <w:p w14:paraId="39C90B9D">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Theme="minorEastAsia" w:hAnsiTheme="minorEastAsia" w:eastAsiaTheme="minorEastAsia"/>
          <w:color w:val="auto"/>
          <w:szCs w:val="21"/>
          <w:highlight w:val="none"/>
          <w:u w:val="single"/>
        </w:rPr>
        <w:t xml:space="preserve">                                 </w:t>
      </w:r>
    </w:p>
    <w:p w14:paraId="0AA94F66">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hint="eastAsia" w:asciiTheme="minorEastAsia" w:hAnsiTheme="minorEastAsia" w:eastAsiaTheme="minorEastAsia"/>
          <w:color w:val="auto"/>
          <w:szCs w:val="21"/>
          <w:highlight w:val="none"/>
          <w:u w:val="single"/>
        </w:rPr>
        <w:t xml:space="preserve">                                 </w:t>
      </w:r>
    </w:p>
    <w:p w14:paraId="5909B8B3">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r>
        <w:rPr>
          <w:rFonts w:hint="eastAsia" w:asciiTheme="minorEastAsia" w:hAnsiTheme="minorEastAsia" w:eastAsiaTheme="minorEastAsia"/>
          <w:color w:val="auto"/>
          <w:szCs w:val="21"/>
          <w:highlight w:val="none"/>
          <w:u w:val="single"/>
        </w:rPr>
        <w:t xml:space="preserve">                             </w:t>
      </w:r>
    </w:p>
    <w:p w14:paraId="2EB04E24">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232BC443">
      <w:pPr>
        <w:snapToGrid w:val="0"/>
        <w:spacing w:line="360" w:lineRule="auto"/>
        <w:rPr>
          <w:rStyle w:val="68"/>
          <w:rFonts w:asciiTheme="minorEastAsia" w:hAnsiTheme="minorEastAsia" w:eastAsiaTheme="minorEastAsia"/>
          <w:color w:val="auto"/>
          <w:sz w:val="24"/>
        </w:rPr>
      </w:pPr>
    </w:p>
    <w:p w14:paraId="6A882D5F">
      <w:pPr>
        <w:snapToGrid w:val="0"/>
        <w:spacing w:line="360" w:lineRule="auto"/>
        <w:rPr>
          <w:rStyle w:val="68"/>
          <w:rFonts w:asciiTheme="minorEastAsia" w:hAnsiTheme="minorEastAsia" w:eastAsiaTheme="minorEastAsia"/>
          <w:color w:val="auto"/>
          <w:sz w:val="24"/>
        </w:rPr>
      </w:pPr>
    </w:p>
    <w:p w14:paraId="13CA86F5">
      <w:pPr>
        <w:snapToGrid w:val="0"/>
        <w:spacing w:line="360" w:lineRule="auto"/>
        <w:rPr>
          <w:rStyle w:val="68"/>
          <w:rFonts w:asciiTheme="minorEastAsia" w:hAnsiTheme="minorEastAsia" w:eastAsiaTheme="minorEastAsia"/>
          <w:color w:val="auto"/>
          <w:sz w:val="24"/>
        </w:rPr>
      </w:pPr>
    </w:p>
    <w:p w14:paraId="7AA4DA0F">
      <w:pPr>
        <w:snapToGrid w:val="0"/>
        <w:spacing w:line="360" w:lineRule="auto"/>
        <w:rPr>
          <w:rStyle w:val="68"/>
          <w:rFonts w:asciiTheme="minorEastAsia" w:hAnsiTheme="minorEastAsia" w:eastAsiaTheme="minorEastAsia"/>
          <w:color w:val="auto"/>
          <w:sz w:val="24"/>
        </w:rPr>
      </w:pPr>
      <w:r>
        <w:rPr>
          <w:rStyle w:val="68"/>
          <w:rFonts w:asciiTheme="minorEastAsia" w:hAnsiTheme="minorEastAsia" w:eastAsiaTheme="minorEastAsia"/>
          <w:color w:val="auto"/>
          <w:sz w:val="24"/>
        </w:rPr>
        <w:t xml:space="preserve">  </w:t>
      </w:r>
    </w:p>
    <w:p w14:paraId="1C8E3AD4">
      <w:pPr>
        <w:spacing w:line="360" w:lineRule="auto"/>
        <w:ind w:firstLine="4305" w:firstLineChars="2050"/>
        <w:rPr>
          <w:rFonts w:asciiTheme="minorEastAsia" w:hAnsiTheme="minorEastAsia" w:eastAsiaTheme="minorEastAsia"/>
          <w:color w:val="auto"/>
          <w:szCs w:val="21"/>
        </w:rPr>
      </w:pPr>
    </w:p>
    <w:p w14:paraId="097D068D">
      <w:pPr>
        <w:spacing w:line="360" w:lineRule="auto"/>
        <w:ind w:firstLine="4305" w:firstLineChars="2050"/>
        <w:rPr>
          <w:rFonts w:asciiTheme="minorEastAsia" w:hAnsiTheme="minorEastAsia" w:eastAsiaTheme="minorEastAsia"/>
          <w:color w:val="auto"/>
          <w:szCs w:val="21"/>
        </w:rPr>
      </w:pPr>
    </w:p>
    <w:p w14:paraId="58EFF52C">
      <w:pPr>
        <w:keepNext/>
        <w:keepLines/>
        <w:spacing w:line="360" w:lineRule="auto"/>
        <w:jc w:val="center"/>
        <w:outlineLvl w:val="2"/>
        <w:rPr>
          <w:rFonts w:asciiTheme="minorEastAsia" w:hAnsiTheme="minorEastAsia" w:eastAsiaTheme="minorEastAsia"/>
          <w:b/>
          <w:bCs/>
          <w:color w:val="auto"/>
          <w:sz w:val="32"/>
          <w:szCs w:val="32"/>
          <w:highlight w:val="none"/>
        </w:rPr>
      </w:pPr>
      <w:bookmarkStart w:id="138" w:name="_Toc199384396"/>
      <w:bookmarkStart w:id="139" w:name="_Toc208999277"/>
      <w:bookmarkStart w:id="140" w:name="_Toc208975016"/>
      <w:r>
        <w:rPr>
          <w:rFonts w:hint="eastAsia" w:asciiTheme="minorEastAsia" w:hAnsiTheme="minorEastAsia" w:eastAsiaTheme="minorEastAsia"/>
          <w:b/>
          <w:bCs/>
          <w:color w:val="auto"/>
          <w:sz w:val="32"/>
          <w:szCs w:val="32"/>
          <w:highlight w:val="none"/>
        </w:rPr>
        <w:t>二、法定代表人身份证明</w:t>
      </w:r>
      <w:bookmarkEnd w:id="138"/>
      <w:bookmarkEnd w:id="139"/>
      <w:bookmarkEnd w:id="140"/>
    </w:p>
    <w:p w14:paraId="119E5AB0">
      <w:pPr>
        <w:spacing w:line="360" w:lineRule="auto"/>
        <w:ind w:firstLine="420" w:firstLineChars="200"/>
        <w:rPr>
          <w:rFonts w:asciiTheme="minorEastAsia" w:hAnsiTheme="minorEastAsia" w:eastAsiaTheme="minorEastAsia"/>
          <w:color w:val="auto"/>
          <w:szCs w:val="21"/>
          <w:highlight w:val="none"/>
        </w:rPr>
      </w:pPr>
    </w:p>
    <w:p w14:paraId="6BE965A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7E8AD3C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单位性质：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419EE99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04D2C68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3E42E0F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779EEC4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性别：</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_</w:t>
      </w:r>
    </w:p>
    <w:p w14:paraId="7699F6D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w:t>
      </w:r>
    </w:p>
    <w:p w14:paraId="5C7FC871">
      <w:pPr>
        <w:spacing w:line="360" w:lineRule="auto"/>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14:paraId="5665B6A6">
      <w:pPr>
        <w:spacing w:line="360" w:lineRule="auto"/>
        <w:ind w:firstLine="420" w:firstLineChars="200"/>
        <w:rPr>
          <w:rFonts w:asciiTheme="minorEastAsia" w:hAnsiTheme="minorEastAsia" w:eastAsiaTheme="minorEastAsia"/>
          <w:color w:val="auto"/>
          <w:szCs w:val="21"/>
          <w:highlight w:val="none"/>
        </w:rPr>
      </w:pPr>
    </w:p>
    <w:p w14:paraId="4BC8309F">
      <w:pPr>
        <w:spacing w:line="360" w:lineRule="auto"/>
        <w:ind w:firstLine="420" w:firstLineChars="200"/>
        <w:rPr>
          <w:rFonts w:asciiTheme="minorEastAsia" w:hAnsiTheme="minorEastAsia" w:eastAsiaTheme="minorEastAsia"/>
          <w:color w:val="auto"/>
          <w:szCs w:val="21"/>
          <w:highlight w:val="none"/>
        </w:rPr>
      </w:pPr>
    </w:p>
    <w:p w14:paraId="28AE617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pict>
          <v:shape id="文本框 17" o:spid="_x0000_s1031" o:spt="202" type="#_x0000_t202" style="position:absolute;left:0pt;margin-left:99pt;margin-top:0pt;height:117pt;width:243pt;z-index:251659264;mso-width-relative:page;mso-height-relative:page;" coordsize="21600,21600">
            <v:path/>
            <v:fill focussize="0,0"/>
            <v:stroke joinstyle="miter"/>
            <v:imagedata o:title=""/>
            <o:lock v:ext="edit"/>
            <v:textbox>
              <w:txbxContent>
                <w:p w14:paraId="04122C1F">
                  <w:pPr>
                    <w:jc w:val="center"/>
                    <w:rPr>
                      <w:rFonts w:ascii="黑体" w:eastAsia="黑体"/>
                      <w:sz w:val="32"/>
                      <w:szCs w:val="32"/>
                    </w:rPr>
                  </w:pPr>
                </w:p>
                <w:p w14:paraId="4C7C31E0">
                  <w:pPr>
                    <w:jc w:val="center"/>
                    <w:rPr>
                      <w:rFonts w:ascii="黑体" w:eastAsia="黑体"/>
                      <w:sz w:val="32"/>
                      <w:szCs w:val="32"/>
                    </w:rPr>
                  </w:pPr>
                  <w:r>
                    <w:rPr>
                      <w:rFonts w:hint="eastAsia" w:ascii="黑体" w:eastAsia="黑体"/>
                      <w:sz w:val="32"/>
                      <w:szCs w:val="32"/>
                    </w:rPr>
                    <w:t>法定代表人身份证复印件</w:t>
                  </w:r>
                </w:p>
              </w:txbxContent>
            </v:textbox>
          </v:shape>
        </w:pict>
      </w:r>
    </w:p>
    <w:p w14:paraId="4036D211">
      <w:pPr>
        <w:spacing w:line="360" w:lineRule="auto"/>
        <w:ind w:firstLine="420" w:firstLineChars="200"/>
        <w:rPr>
          <w:rFonts w:asciiTheme="minorEastAsia" w:hAnsiTheme="minorEastAsia" w:eastAsiaTheme="minorEastAsia"/>
          <w:color w:val="auto"/>
          <w:szCs w:val="21"/>
          <w:highlight w:val="none"/>
        </w:rPr>
      </w:pPr>
    </w:p>
    <w:p w14:paraId="481270E9">
      <w:pPr>
        <w:spacing w:line="360" w:lineRule="auto"/>
        <w:ind w:firstLine="420" w:firstLineChars="200"/>
        <w:rPr>
          <w:rFonts w:asciiTheme="minorEastAsia" w:hAnsiTheme="minorEastAsia" w:eastAsiaTheme="minorEastAsia"/>
          <w:color w:val="auto"/>
          <w:szCs w:val="21"/>
          <w:highlight w:val="none"/>
        </w:rPr>
      </w:pPr>
    </w:p>
    <w:p w14:paraId="7AECFF96">
      <w:pPr>
        <w:spacing w:line="360" w:lineRule="auto"/>
        <w:ind w:firstLine="420" w:firstLineChars="200"/>
        <w:rPr>
          <w:rFonts w:asciiTheme="minorEastAsia" w:hAnsiTheme="minorEastAsia" w:eastAsiaTheme="minorEastAsia"/>
          <w:color w:val="auto"/>
          <w:szCs w:val="21"/>
          <w:highlight w:val="none"/>
        </w:rPr>
      </w:pPr>
    </w:p>
    <w:p w14:paraId="38DE7FCE">
      <w:pPr>
        <w:spacing w:line="360" w:lineRule="auto"/>
        <w:ind w:firstLine="420" w:firstLineChars="200"/>
        <w:rPr>
          <w:rFonts w:asciiTheme="minorEastAsia" w:hAnsiTheme="minorEastAsia" w:eastAsiaTheme="minorEastAsia"/>
          <w:color w:val="auto"/>
          <w:szCs w:val="21"/>
          <w:highlight w:val="none"/>
        </w:rPr>
      </w:pPr>
    </w:p>
    <w:p w14:paraId="5DB1E378">
      <w:pPr>
        <w:spacing w:line="360" w:lineRule="auto"/>
        <w:ind w:firstLine="420" w:firstLineChars="200"/>
        <w:rPr>
          <w:rFonts w:asciiTheme="minorEastAsia" w:hAnsiTheme="minorEastAsia" w:eastAsiaTheme="minorEastAsia"/>
          <w:color w:val="auto"/>
          <w:szCs w:val="21"/>
          <w:highlight w:val="none"/>
        </w:rPr>
      </w:pPr>
    </w:p>
    <w:p w14:paraId="04F041EA">
      <w:pPr>
        <w:spacing w:line="360" w:lineRule="auto"/>
        <w:ind w:firstLine="420" w:firstLineChars="200"/>
        <w:rPr>
          <w:rFonts w:asciiTheme="minorEastAsia" w:hAnsiTheme="minorEastAsia" w:eastAsiaTheme="minorEastAsia"/>
          <w:color w:val="auto"/>
          <w:szCs w:val="21"/>
          <w:highlight w:val="none"/>
        </w:rPr>
      </w:pPr>
    </w:p>
    <w:p w14:paraId="789379BB">
      <w:pPr>
        <w:spacing w:line="360" w:lineRule="auto"/>
        <w:ind w:firstLine="420" w:firstLineChars="200"/>
        <w:rPr>
          <w:rFonts w:asciiTheme="minorEastAsia" w:hAnsiTheme="minorEastAsia" w:eastAsiaTheme="minorEastAsia"/>
          <w:color w:val="auto"/>
          <w:szCs w:val="21"/>
          <w:highlight w:val="none"/>
        </w:rPr>
      </w:pPr>
    </w:p>
    <w:p w14:paraId="1FA725E6">
      <w:pPr>
        <w:spacing w:line="360" w:lineRule="auto"/>
        <w:ind w:firstLine="420" w:firstLineChars="200"/>
        <w:rPr>
          <w:rFonts w:asciiTheme="minorEastAsia" w:hAnsiTheme="minorEastAsia" w:eastAsiaTheme="minorEastAsia"/>
          <w:color w:val="auto"/>
          <w:szCs w:val="21"/>
          <w:highlight w:val="none"/>
        </w:rPr>
      </w:pPr>
    </w:p>
    <w:p w14:paraId="3679C389">
      <w:pPr>
        <w:spacing w:line="360" w:lineRule="auto"/>
        <w:ind w:firstLine="420" w:firstLineChars="200"/>
        <w:rPr>
          <w:rFonts w:asciiTheme="minorEastAsia" w:hAnsiTheme="minorEastAsia" w:eastAsiaTheme="minorEastAsia"/>
          <w:color w:val="auto"/>
          <w:szCs w:val="21"/>
          <w:highlight w:val="none"/>
        </w:rPr>
      </w:pPr>
    </w:p>
    <w:p w14:paraId="5006737A">
      <w:pPr>
        <w:spacing w:line="360" w:lineRule="auto"/>
        <w:ind w:firstLine="4200" w:firstLineChars="20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2F39C73C">
      <w:pPr>
        <w:spacing w:line="360" w:lineRule="auto"/>
        <w:ind w:firstLine="4515" w:firstLineChars="2150"/>
        <w:rPr>
          <w:rFonts w:asciiTheme="minorEastAsia" w:hAnsiTheme="minorEastAsia" w:eastAsiaTheme="minorEastAsia"/>
          <w:color w:val="auto"/>
          <w:szCs w:val="21"/>
          <w:highlight w:val="none"/>
          <w:u w:val="single"/>
        </w:rPr>
      </w:pPr>
    </w:p>
    <w:p w14:paraId="1B48D935">
      <w:pPr>
        <w:spacing w:line="360" w:lineRule="auto"/>
        <w:ind w:firstLine="4515" w:firstLineChars="2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529386BF">
      <w:pPr>
        <w:spacing w:line="360" w:lineRule="auto"/>
        <w:ind w:firstLine="420" w:firstLineChars="200"/>
        <w:rPr>
          <w:rFonts w:asciiTheme="minorEastAsia" w:hAnsiTheme="minorEastAsia" w:eastAsiaTheme="minorEastAsia"/>
          <w:color w:val="auto"/>
          <w:szCs w:val="21"/>
          <w:highlight w:val="none"/>
        </w:rPr>
        <w:sectPr>
          <w:pgSz w:w="11906" w:h="16838"/>
          <w:pgMar w:top="1418" w:right="926" w:bottom="1418" w:left="1134" w:header="851" w:footer="992" w:gutter="0"/>
          <w:cols w:space="720" w:num="1"/>
          <w:docGrid w:type="lines" w:linePitch="312" w:charSpace="0"/>
        </w:sectPr>
      </w:pPr>
    </w:p>
    <w:p w14:paraId="4C2A1D83">
      <w:pPr>
        <w:keepNext/>
        <w:keepLines/>
        <w:spacing w:line="360" w:lineRule="auto"/>
        <w:jc w:val="center"/>
        <w:outlineLvl w:val="2"/>
        <w:rPr>
          <w:rFonts w:asciiTheme="minorEastAsia" w:hAnsiTheme="minorEastAsia" w:eastAsiaTheme="minorEastAsia"/>
          <w:b/>
          <w:bCs/>
          <w:color w:val="auto"/>
          <w:sz w:val="32"/>
          <w:szCs w:val="32"/>
          <w:highlight w:val="none"/>
        </w:rPr>
      </w:pPr>
      <w:bookmarkStart w:id="141" w:name="_Toc208975017"/>
      <w:bookmarkStart w:id="142" w:name="_Toc208999278"/>
      <w:bookmarkStart w:id="143" w:name="_Toc199384397"/>
      <w:r>
        <w:rPr>
          <w:rFonts w:hint="eastAsia" w:asciiTheme="minorEastAsia" w:hAnsiTheme="minorEastAsia" w:eastAsiaTheme="minorEastAsia"/>
          <w:b/>
          <w:bCs/>
          <w:color w:val="auto"/>
          <w:sz w:val="32"/>
          <w:szCs w:val="32"/>
          <w:highlight w:val="none"/>
        </w:rPr>
        <w:t>三、授权委托书</w:t>
      </w:r>
      <w:bookmarkEnd w:id="141"/>
      <w:bookmarkEnd w:id="142"/>
      <w:bookmarkEnd w:id="143"/>
    </w:p>
    <w:p w14:paraId="633203B0">
      <w:pPr>
        <w:spacing w:line="360" w:lineRule="auto"/>
        <w:ind w:firstLine="420" w:firstLineChars="200"/>
        <w:rPr>
          <w:rFonts w:asciiTheme="minorEastAsia" w:hAnsiTheme="minorEastAsia" w:eastAsiaTheme="minorEastAsia"/>
          <w:color w:val="auto"/>
          <w:szCs w:val="21"/>
          <w:highlight w:val="none"/>
        </w:rPr>
      </w:pPr>
    </w:p>
    <w:p w14:paraId="111B4C9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（供应商名称）的法定代表人，现委托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响应文件、签订合同和处理有关事宜，其法律后果由我方承担。</w:t>
      </w:r>
    </w:p>
    <w:p w14:paraId="7411C32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委托期限：</w:t>
      </w:r>
      <w:r>
        <w:rPr>
          <w:rFonts w:hint="eastAsia" w:asciiTheme="minorEastAsia" w:hAnsiTheme="minorEastAsia" w:eastAsiaTheme="minorEastAsia"/>
          <w:color w:val="auto"/>
          <w:szCs w:val="21"/>
          <w:highlight w:val="none"/>
          <w:u w:val="single"/>
        </w:rPr>
        <w:t xml:space="preserve">                                </w:t>
      </w:r>
    </w:p>
    <w:p w14:paraId="7A1AECE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代理人无转委托权。</w:t>
      </w:r>
    </w:p>
    <w:p w14:paraId="370DB06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附：代理人身份证明</w:t>
      </w:r>
    </w:p>
    <w:p w14:paraId="4DB7A7B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pict>
          <v:shape id="文本框 18" o:spid="_x0000_s1032" o:spt="202" type="#_x0000_t202" style="position:absolute;left:0pt;margin-left:115.5pt;margin-top:-0.05pt;height:124.8pt;width:225.75pt;z-index:251660288;mso-width-relative:page;mso-height-relative:page;" coordsize="21600,21600">
            <v:path/>
            <v:fill focussize="0,0"/>
            <v:stroke joinstyle="miter"/>
            <v:imagedata o:title=""/>
            <o:lock v:ext="edit"/>
            <v:textbox>
              <w:txbxContent>
                <w:p w14:paraId="6E841DD2">
                  <w:pPr>
                    <w:jc w:val="center"/>
                    <w:rPr>
                      <w:rFonts w:ascii="黑体" w:eastAsia="黑体"/>
                      <w:sz w:val="32"/>
                      <w:szCs w:val="32"/>
                    </w:rPr>
                  </w:pPr>
                </w:p>
                <w:p w14:paraId="398DB5FD">
                  <w:pPr>
                    <w:jc w:val="center"/>
                    <w:rPr>
                      <w:rFonts w:ascii="黑体" w:eastAsia="黑体"/>
                      <w:sz w:val="32"/>
                      <w:szCs w:val="32"/>
                    </w:rPr>
                  </w:pPr>
                  <w:r>
                    <w:rPr>
                      <w:rFonts w:hint="eastAsia" w:ascii="黑体" w:eastAsia="黑体"/>
                      <w:sz w:val="32"/>
                      <w:szCs w:val="32"/>
                    </w:rPr>
                    <w:t>代理人身份证复印件</w:t>
                  </w:r>
                </w:p>
              </w:txbxContent>
            </v:textbox>
          </v:shape>
        </w:pict>
      </w:r>
    </w:p>
    <w:p w14:paraId="7CA52AB8">
      <w:pPr>
        <w:spacing w:line="360" w:lineRule="auto"/>
        <w:ind w:firstLine="420" w:firstLineChars="200"/>
        <w:rPr>
          <w:rFonts w:asciiTheme="minorEastAsia" w:hAnsiTheme="minorEastAsia" w:eastAsiaTheme="minorEastAsia"/>
          <w:color w:val="auto"/>
          <w:szCs w:val="21"/>
          <w:highlight w:val="none"/>
        </w:rPr>
      </w:pPr>
    </w:p>
    <w:p w14:paraId="3A210AE3">
      <w:pPr>
        <w:spacing w:line="360" w:lineRule="auto"/>
        <w:ind w:firstLine="420" w:firstLineChars="200"/>
        <w:rPr>
          <w:rFonts w:asciiTheme="minorEastAsia" w:hAnsiTheme="minorEastAsia" w:eastAsiaTheme="minorEastAsia"/>
          <w:color w:val="auto"/>
          <w:szCs w:val="21"/>
          <w:highlight w:val="none"/>
        </w:rPr>
      </w:pPr>
    </w:p>
    <w:p w14:paraId="73B5681E">
      <w:pPr>
        <w:spacing w:line="360" w:lineRule="auto"/>
        <w:ind w:firstLine="420" w:firstLineChars="200"/>
        <w:rPr>
          <w:rFonts w:asciiTheme="minorEastAsia" w:hAnsiTheme="minorEastAsia" w:eastAsiaTheme="minorEastAsia"/>
          <w:color w:val="auto"/>
          <w:szCs w:val="21"/>
          <w:highlight w:val="none"/>
        </w:rPr>
      </w:pPr>
    </w:p>
    <w:p w14:paraId="56EEC839">
      <w:pPr>
        <w:spacing w:line="360" w:lineRule="auto"/>
        <w:ind w:firstLine="420" w:firstLineChars="200"/>
        <w:rPr>
          <w:rFonts w:asciiTheme="minorEastAsia" w:hAnsiTheme="minorEastAsia" w:eastAsiaTheme="minorEastAsia"/>
          <w:color w:val="auto"/>
          <w:szCs w:val="21"/>
          <w:highlight w:val="none"/>
        </w:rPr>
      </w:pPr>
    </w:p>
    <w:p w14:paraId="1153A26A">
      <w:pPr>
        <w:spacing w:line="360" w:lineRule="auto"/>
        <w:ind w:firstLine="420" w:firstLineChars="200"/>
        <w:rPr>
          <w:rFonts w:asciiTheme="minorEastAsia" w:hAnsiTheme="minorEastAsia" w:eastAsiaTheme="minorEastAsia"/>
          <w:color w:val="auto"/>
          <w:szCs w:val="21"/>
          <w:highlight w:val="none"/>
        </w:rPr>
      </w:pPr>
    </w:p>
    <w:p w14:paraId="4ACC62D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附：法定人身份证明</w:t>
      </w:r>
    </w:p>
    <w:tbl>
      <w:tblPr>
        <w:tblStyle w:val="33"/>
        <w:tblW w:w="0" w:type="auto"/>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14:paraId="42E7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4500" w:type="dxa"/>
          </w:tcPr>
          <w:p w14:paraId="1D5B584D">
            <w:pPr>
              <w:spacing w:line="360" w:lineRule="auto"/>
              <w:ind w:firstLine="420" w:firstLineChars="200"/>
              <w:rPr>
                <w:rFonts w:asciiTheme="minorEastAsia" w:hAnsiTheme="minorEastAsia" w:eastAsiaTheme="minorEastAsia"/>
                <w:color w:val="auto"/>
                <w:szCs w:val="21"/>
                <w:highlight w:val="none"/>
              </w:rPr>
            </w:pPr>
          </w:p>
          <w:p w14:paraId="4DB60E6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32"/>
                <w:szCs w:val="32"/>
                <w:highlight w:val="none"/>
              </w:rPr>
              <w:t>法定人身份证复印件</w:t>
            </w:r>
          </w:p>
        </w:tc>
      </w:tr>
    </w:tbl>
    <w:p w14:paraId="5C6ED58E">
      <w:pPr>
        <w:spacing w:line="360" w:lineRule="auto"/>
        <w:ind w:firstLine="4139" w:firstLineChars="1971"/>
        <w:rPr>
          <w:rFonts w:asciiTheme="minorEastAsia" w:hAnsiTheme="minorEastAsia" w:eastAsiaTheme="minorEastAsia"/>
          <w:color w:val="auto"/>
          <w:szCs w:val="21"/>
          <w:highlight w:val="none"/>
        </w:rPr>
      </w:pPr>
    </w:p>
    <w:p w14:paraId="5CBC67DB">
      <w:pPr>
        <w:spacing w:line="360" w:lineRule="auto"/>
        <w:ind w:firstLine="4139" w:firstLineChars="1971"/>
        <w:rPr>
          <w:rFonts w:asciiTheme="minorEastAsia" w:hAnsiTheme="minorEastAsia" w:eastAsiaTheme="minorEastAsia"/>
          <w:color w:val="auto"/>
          <w:szCs w:val="21"/>
          <w:highlight w:val="none"/>
        </w:rPr>
      </w:pPr>
    </w:p>
    <w:p w14:paraId="75785465">
      <w:pPr>
        <w:spacing w:line="360" w:lineRule="auto"/>
        <w:ind w:firstLine="4139" w:firstLineChars="1971"/>
        <w:rPr>
          <w:rFonts w:asciiTheme="minorEastAsia" w:hAnsiTheme="minorEastAsia" w:eastAsiaTheme="minorEastAsia"/>
          <w:color w:val="auto"/>
          <w:szCs w:val="21"/>
          <w:highlight w:val="none"/>
        </w:rPr>
      </w:pPr>
    </w:p>
    <w:p w14:paraId="3D3F3EA0">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11B7CC21">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p>
    <w:p w14:paraId="1D416D56">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p>
    <w:p w14:paraId="637EB28F">
      <w:pPr>
        <w:spacing w:line="360" w:lineRule="auto"/>
        <w:ind w:firstLine="4139" w:firstLineChars="1971"/>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（签字）性别：</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7B0D1EBA">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hint="eastAsia" w:asciiTheme="minorEastAsia" w:hAnsiTheme="minorEastAsia" w:eastAsiaTheme="minorEastAsia"/>
          <w:color w:val="auto"/>
          <w:szCs w:val="21"/>
          <w:highlight w:val="none"/>
          <w:u w:val="single"/>
        </w:rPr>
        <w:t xml:space="preserve">                 </w:t>
      </w:r>
    </w:p>
    <w:p w14:paraId="2CF8CC40">
      <w:pPr>
        <w:spacing w:line="360" w:lineRule="auto"/>
        <w:ind w:firstLine="5355" w:firstLineChars="2550"/>
        <w:rPr>
          <w:rFonts w:asciiTheme="minorEastAsia" w:hAnsiTheme="minorEastAsia" w:eastAsiaTheme="minorEastAsia"/>
          <w:color w:val="auto"/>
          <w:szCs w:val="21"/>
          <w:highlight w:val="none"/>
        </w:rPr>
      </w:pPr>
    </w:p>
    <w:p w14:paraId="7E06C7D9">
      <w:pPr>
        <w:spacing w:line="360" w:lineRule="auto"/>
        <w:ind w:firstLine="2205" w:firstLineChars="1050"/>
        <w:jc w:val="right"/>
        <w:rPr>
          <w:rFonts w:asciiTheme="minorEastAsia" w:hAnsiTheme="minorEastAsia" w:eastAsiaTheme="minorEastAsia"/>
          <w:color w:val="auto"/>
          <w:szCs w:val="21"/>
          <w:highlight w:val="none"/>
        </w:rPr>
        <w:sectPr>
          <w:pgSz w:w="11906" w:h="16838"/>
          <w:pgMar w:top="1418" w:right="924" w:bottom="1418" w:left="1134" w:header="851" w:footer="992" w:gutter="0"/>
          <w:cols w:space="720" w:num="1"/>
          <w:docGrid w:linePitch="312" w:charSpace="0"/>
        </w:sect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日</w:t>
      </w:r>
    </w:p>
    <w:p w14:paraId="615FADBC">
      <w:pPr>
        <w:keepNext/>
        <w:keepLines/>
        <w:spacing w:line="360" w:lineRule="auto"/>
        <w:jc w:val="center"/>
        <w:outlineLvl w:val="2"/>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四、磋商保证金</w:t>
      </w:r>
    </w:p>
    <w:p w14:paraId="478822B5">
      <w:pPr>
        <w:spacing w:line="360" w:lineRule="auto"/>
        <w:ind w:firstLine="420" w:firstLineChars="200"/>
        <w:rPr>
          <w:rFonts w:asciiTheme="minorEastAsia" w:hAnsiTheme="minorEastAsia" w:eastAsiaTheme="minorEastAsia"/>
          <w:color w:val="auto"/>
          <w:szCs w:val="21"/>
          <w:highlight w:val="none"/>
        </w:rPr>
      </w:pPr>
    </w:p>
    <w:p w14:paraId="24D62E29">
      <w:pPr>
        <w:spacing w:beforeLines="50" w:afterLines="50" w:line="288" w:lineRule="auto"/>
        <w:jc w:val="center"/>
        <w:rPr>
          <w:rFonts w:ascii="宋体" w:hAnsi="宋体" w:cs="宋体"/>
          <w:color w:val="auto"/>
          <w:sz w:val="21"/>
          <w:szCs w:val="21"/>
        </w:rPr>
      </w:pPr>
      <w:r>
        <w:rPr>
          <w:rFonts w:hint="eastAsia" w:ascii="宋体" w:hAnsi="宋体" w:cs="宋体"/>
          <w:color w:val="auto"/>
          <w:sz w:val="21"/>
          <w:szCs w:val="21"/>
          <w:lang w:val="en-US" w:eastAsia="zh-CN"/>
        </w:rPr>
        <w:t>磋商</w:t>
      </w:r>
      <w:r>
        <w:rPr>
          <w:rFonts w:hint="eastAsia" w:ascii="宋体" w:hAnsi="宋体" w:cs="宋体"/>
          <w:color w:val="auto"/>
          <w:sz w:val="21"/>
          <w:szCs w:val="21"/>
        </w:rPr>
        <w:t>保证金缴纳凭证及基本账户开户许可证复印件</w:t>
      </w:r>
    </w:p>
    <w:p w14:paraId="1EFEC6B7">
      <w:pPr>
        <w:spacing w:beforeLines="50" w:afterLines="50" w:line="288" w:lineRule="auto"/>
        <w:jc w:val="center"/>
        <w:rPr>
          <w:rFonts w:ascii="宋体" w:hAnsi="宋体" w:cs="宋体"/>
          <w:b/>
          <w:color w:val="auto"/>
          <w:sz w:val="21"/>
          <w:szCs w:val="21"/>
        </w:rPr>
      </w:pPr>
      <w:r>
        <w:rPr>
          <w:rFonts w:hint="eastAsia" w:ascii="宋体" w:hAnsi="宋体" w:cs="宋体"/>
          <w:b/>
          <w:color w:val="auto"/>
          <w:sz w:val="21"/>
          <w:szCs w:val="21"/>
        </w:rPr>
        <w:t>注：</w:t>
      </w:r>
      <w:r>
        <w:rPr>
          <w:rFonts w:ascii="宋体" w:hAnsi="宋体" w:cs="宋体"/>
          <w:b/>
          <w:color w:val="auto"/>
          <w:sz w:val="21"/>
          <w:szCs w:val="21"/>
        </w:rPr>
        <w:t>基本账户开户许可取消后新开立基本账户的</w:t>
      </w:r>
      <w:r>
        <w:rPr>
          <w:rFonts w:hint="eastAsia" w:ascii="宋体" w:hAnsi="宋体" w:cs="宋体"/>
          <w:b/>
          <w:color w:val="auto"/>
          <w:sz w:val="21"/>
          <w:szCs w:val="21"/>
        </w:rPr>
        <w:t>供应商</w:t>
      </w:r>
      <w:r>
        <w:rPr>
          <w:rFonts w:ascii="宋体" w:hAnsi="宋体" w:cs="宋体"/>
          <w:b/>
          <w:color w:val="auto"/>
          <w:sz w:val="21"/>
          <w:szCs w:val="21"/>
        </w:rPr>
        <w:t>，可以按照中国人民银行的相关文件规定提交银行打印的《基本存款账户信息》</w:t>
      </w:r>
    </w:p>
    <w:p w14:paraId="1683C5B7">
      <w:pPr>
        <w:spacing w:line="500" w:lineRule="exact"/>
        <w:jc w:val="center"/>
        <w:rPr>
          <w:rFonts w:asciiTheme="minorEastAsia" w:hAnsiTheme="minorEastAsia" w:eastAsiaTheme="minorEastAsia"/>
          <w:b/>
          <w:color w:val="auto"/>
          <w:sz w:val="24"/>
          <w:highlight w:val="none"/>
        </w:rPr>
      </w:pPr>
    </w:p>
    <w:p w14:paraId="5936B8F9">
      <w:pPr>
        <w:spacing w:line="500" w:lineRule="exact"/>
        <w:jc w:val="center"/>
        <w:rPr>
          <w:rFonts w:asciiTheme="minorEastAsia" w:hAnsiTheme="minorEastAsia" w:eastAsiaTheme="minorEastAsia"/>
          <w:b/>
          <w:color w:val="auto"/>
          <w:sz w:val="24"/>
          <w:highlight w:val="none"/>
        </w:rPr>
      </w:pPr>
    </w:p>
    <w:p w14:paraId="564B7775">
      <w:pPr>
        <w:spacing w:line="500" w:lineRule="exact"/>
        <w:jc w:val="center"/>
        <w:rPr>
          <w:rFonts w:asciiTheme="minorEastAsia" w:hAnsiTheme="minorEastAsia" w:eastAsiaTheme="minorEastAsia"/>
          <w:b/>
          <w:color w:val="auto"/>
          <w:sz w:val="24"/>
          <w:highlight w:val="none"/>
        </w:rPr>
      </w:pPr>
    </w:p>
    <w:p w14:paraId="4F0E2FE6">
      <w:pPr>
        <w:spacing w:line="500" w:lineRule="exact"/>
        <w:jc w:val="center"/>
        <w:rPr>
          <w:rFonts w:asciiTheme="minorEastAsia" w:hAnsiTheme="minorEastAsia" w:eastAsiaTheme="minorEastAsia"/>
          <w:b/>
          <w:color w:val="auto"/>
          <w:sz w:val="24"/>
          <w:highlight w:val="none"/>
        </w:rPr>
      </w:pPr>
    </w:p>
    <w:p w14:paraId="465C59A2">
      <w:pPr>
        <w:spacing w:line="500" w:lineRule="exact"/>
        <w:jc w:val="center"/>
        <w:rPr>
          <w:rFonts w:asciiTheme="minorEastAsia" w:hAnsiTheme="minorEastAsia" w:eastAsiaTheme="minorEastAsia"/>
          <w:b/>
          <w:color w:val="auto"/>
          <w:sz w:val="24"/>
          <w:highlight w:val="none"/>
        </w:rPr>
      </w:pPr>
    </w:p>
    <w:p w14:paraId="01F1844A">
      <w:pPr>
        <w:spacing w:line="500" w:lineRule="exact"/>
        <w:jc w:val="center"/>
        <w:rPr>
          <w:rFonts w:asciiTheme="minorEastAsia" w:hAnsiTheme="minorEastAsia" w:eastAsiaTheme="minorEastAsia"/>
          <w:b/>
          <w:color w:val="auto"/>
          <w:sz w:val="24"/>
          <w:highlight w:val="none"/>
        </w:rPr>
      </w:pPr>
    </w:p>
    <w:p w14:paraId="76B2D3B5">
      <w:pPr>
        <w:spacing w:line="500" w:lineRule="exact"/>
        <w:jc w:val="center"/>
        <w:rPr>
          <w:rFonts w:asciiTheme="minorEastAsia" w:hAnsiTheme="minorEastAsia" w:eastAsiaTheme="minorEastAsia"/>
          <w:b/>
          <w:color w:val="auto"/>
          <w:sz w:val="24"/>
          <w:highlight w:val="none"/>
        </w:rPr>
      </w:pPr>
    </w:p>
    <w:p w14:paraId="4BB2B877">
      <w:pPr>
        <w:spacing w:line="500" w:lineRule="exact"/>
        <w:jc w:val="center"/>
        <w:rPr>
          <w:rFonts w:asciiTheme="minorEastAsia" w:hAnsiTheme="minorEastAsia" w:eastAsiaTheme="minorEastAsia"/>
          <w:b/>
          <w:color w:val="auto"/>
          <w:sz w:val="24"/>
          <w:highlight w:val="none"/>
        </w:rPr>
      </w:pPr>
    </w:p>
    <w:p w14:paraId="11723F82">
      <w:pPr>
        <w:spacing w:line="500" w:lineRule="exact"/>
        <w:jc w:val="center"/>
        <w:rPr>
          <w:rFonts w:asciiTheme="minorEastAsia" w:hAnsiTheme="minorEastAsia" w:eastAsiaTheme="minorEastAsia"/>
          <w:b/>
          <w:color w:val="auto"/>
          <w:sz w:val="24"/>
          <w:highlight w:val="none"/>
        </w:rPr>
      </w:pPr>
    </w:p>
    <w:p w14:paraId="75E4C67D">
      <w:pPr>
        <w:spacing w:line="500" w:lineRule="exact"/>
        <w:jc w:val="center"/>
        <w:rPr>
          <w:rFonts w:asciiTheme="minorEastAsia" w:hAnsiTheme="minorEastAsia" w:eastAsiaTheme="minorEastAsia"/>
          <w:b/>
          <w:color w:val="auto"/>
          <w:sz w:val="24"/>
          <w:highlight w:val="none"/>
        </w:rPr>
      </w:pPr>
    </w:p>
    <w:p w14:paraId="3C95233E">
      <w:pPr>
        <w:spacing w:line="500" w:lineRule="exact"/>
        <w:jc w:val="center"/>
        <w:rPr>
          <w:rFonts w:asciiTheme="minorEastAsia" w:hAnsiTheme="minorEastAsia" w:eastAsiaTheme="minorEastAsia"/>
          <w:b/>
          <w:color w:val="auto"/>
          <w:sz w:val="24"/>
          <w:highlight w:val="none"/>
        </w:rPr>
      </w:pPr>
    </w:p>
    <w:p w14:paraId="26CF7B86">
      <w:pPr>
        <w:spacing w:line="500" w:lineRule="exact"/>
        <w:jc w:val="center"/>
        <w:rPr>
          <w:rFonts w:asciiTheme="minorEastAsia" w:hAnsiTheme="minorEastAsia" w:eastAsiaTheme="minorEastAsia"/>
          <w:b/>
          <w:color w:val="auto"/>
          <w:sz w:val="24"/>
          <w:highlight w:val="none"/>
        </w:rPr>
      </w:pPr>
    </w:p>
    <w:p w14:paraId="51BE6CEE">
      <w:pPr>
        <w:spacing w:line="500" w:lineRule="exact"/>
        <w:jc w:val="center"/>
        <w:rPr>
          <w:rFonts w:asciiTheme="minorEastAsia" w:hAnsiTheme="minorEastAsia" w:eastAsiaTheme="minorEastAsia"/>
          <w:b/>
          <w:color w:val="auto"/>
          <w:sz w:val="24"/>
          <w:highlight w:val="none"/>
        </w:rPr>
      </w:pPr>
    </w:p>
    <w:p w14:paraId="14049222">
      <w:pPr>
        <w:spacing w:line="500" w:lineRule="exact"/>
        <w:jc w:val="center"/>
        <w:rPr>
          <w:rFonts w:asciiTheme="minorEastAsia" w:hAnsiTheme="minorEastAsia" w:eastAsiaTheme="minorEastAsia"/>
          <w:b/>
          <w:color w:val="auto"/>
          <w:sz w:val="24"/>
          <w:highlight w:val="none"/>
        </w:rPr>
      </w:pPr>
    </w:p>
    <w:p w14:paraId="4687F95E">
      <w:pPr>
        <w:spacing w:line="500" w:lineRule="exact"/>
        <w:jc w:val="center"/>
        <w:rPr>
          <w:rFonts w:asciiTheme="minorEastAsia" w:hAnsiTheme="minorEastAsia" w:eastAsiaTheme="minorEastAsia"/>
          <w:b/>
          <w:color w:val="auto"/>
          <w:sz w:val="24"/>
          <w:highlight w:val="none"/>
        </w:rPr>
      </w:pPr>
    </w:p>
    <w:p w14:paraId="65173E24">
      <w:pPr>
        <w:spacing w:line="500" w:lineRule="exact"/>
        <w:jc w:val="center"/>
        <w:rPr>
          <w:rFonts w:asciiTheme="minorEastAsia" w:hAnsiTheme="minorEastAsia" w:eastAsiaTheme="minorEastAsia"/>
          <w:b/>
          <w:color w:val="auto"/>
          <w:sz w:val="24"/>
          <w:highlight w:val="none"/>
        </w:rPr>
      </w:pPr>
    </w:p>
    <w:p w14:paraId="7B0BC96F">
      <w:pPr>
        <w:spacing w:line="500" w:lineRule="exact"/>
        <w:jc w:val="center"/>
        <w:rPr>
          <w:rFonts w:asciiTheme="minorEastAsia" w:hAnsiTheme="minorEastAsia" w:eastAsiaTheme="minorEastAsia"/>
          <w:b/>
          <w:color w:val="auto"/>
          <w:sz w:val="24"/>
          <w:highlight w:val="none"/>
        </w:rPr>
      </w:pPr>
    </w:p>
    <w:p w14:paraId="2E2DC770">
      <w:pPr>
        <w:spacing w:line="500" w:lineRule="exact"/>
        <w:jc w:val="center"/>
        <w:rPr>
          <w:rFonts w:asciiTheme="minorEastAsia" w:hAnsiTheme="minorEastAsia" w:eastAsiaTheme="minorEastAsia"/>
          <w:b/>
          <w:color w:val="auto"/>
          <w:sz w:val="24"/>
          <w:highlight w:val="none"/>
        </w:rPr>
      </w:pPr>
    </w:p>
    <w:p w14:paraId="363035CC">
      <w:pPr>
        <w:spacing w:line="500" w:lineRule="exact"/>
        <w:jc w:val="center"/>
        <w:rPr>
          <w:rFonts w:asciiTheme="minorEastAsia" w:hAnsiTheme="minorEastAsia" w:eastAsiaTheme="minorEastAsia"/>
          <w:b/>
          <w:color w:val="auto"/>
          <w:sz w:val="24"/>
          <w:highlight w:val="none"/>
        </w:rPr>
      </w:pPr>
    </w:p>
    <w:p w14:paraId="338B68A0">
      <w:pPr>
        <w:spacing w:line="500" w:lineRule="exact"/>
        <w:jc w:val="center"/>
        <w:rPr>
          <w:rFonts w:asciiTheme="minorEastAsia" w:hAnsiTheme="minorEastAsia" w:eastAsiaTheme="minorEastAsia"/>
          <w:b/>
          <w:color w:val="auto"/>
          <w:sz w:val="24"/>
          <w:highlight w:val="none"/>
        </w:rPr>
      </w:pPr>
    </w:p>
    <w:p w14:paraId="0F6FF463">
      <w:pPr>
        <w:spacing w:line="500" w:lineRule="exact"/>
        <w:jc w:val="center"/>
        <w:rPr>
          <w:rFonts w:asciiTheme="minorEastAsia" w:hAnsiTheme="minorEastAsia" w:eastAsiaTheme="minorEastAsia"/>
          <w:b/>
          <w:color w:val="auto"/>
          <w:sz w:val="24"/>
          <w:highlight w:val="none"/>
        </w:rPr>
      </w:pPr>
    </w:p>
    <w:p w14:paraId="54F6A328">
      <w:pPr>
        <w:pStyle w:val="4"/>
        <w:spacing w:line="240" w:lineRule="auto"/>
        <w:jc w:val="center"/>
        <w:rPr>
          <w:rFonts w:asciiTheme="minorEastAsia" w:hAnsiTheme="minorEastAsia" w:eastAsiaTheme="minorEastAsia"/>
          <w:b w:val="0"/>
          <w:color w:val="auto"/>
          <w:highlight w:val="none"/>
        </w:rPr>
      </w:pPr>
      <w:bookmarkStart w:id="144" w:name="_Toc199384437"/>
      <w:bookmarkStart w:id="145" w:name="_Toc208975057"/>
      <w:bookmarkStart w:id="146" w:name="_Toc208999318"/>
      <w:r>
        <w:rPr>
          <w:rFonts w:hint="eastAsia" w:asciiTheme="minorEastAsia" w:hAnsiTheme="minorEastAsia" w:eastAsiaTheme="minorEastAsia"/>
          <w:b w:val="0"/>
          <w:color w:val="auto"/>
          <w:highlight w:val="none"/>
        </w:rPr>
        <w:t>五、</w:t>
      </w:r>
      <w:bookmarkEnd w:id="144"/>
      <w:bookmarkEnd w:id="145"/>
      <w:bookmarkEnd w:id="146"/>
      <w:r>
        <w:rPr>
          <w:rFonts w:hint="eastAsia" w:asciiTheme="minorEastAsia" w:hAnsiTheme="minorEastAsia" w:eastAsiaTheme="minorEastAsia"/>
          <w:b w:val="0"/>
          <w:color w:val="auto"/>
          <w:sz w:val="30"/>
          <w:szCs w:val="30"/>
          <w:highlight w:val="none"/>
        </w:rPr>
        <w:t>服务方案</w:t>
      </w:r>
    </w:p>
    <w:p w14:paraId="5265E198">
      <w:pPr>
        <w:rPr>
          <w:rFonts w:asciiTheme="minorEastAsia" w:hAnsiTheme="minorEastAsia" w:eastAsiaTheme="minorEastAsia"/>
          <w:color w:val="auto"/>
          <w:szCs w:val="21"/>
          <w:highlight w:val="none"/>
        </w:rPr>
      </w:pPr>
    </w:p>
    <w:p w14:paraId="4F5F193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格式自拟</w:t>
      </w:r>
    </w:p>
    <w:p w14:paraId="009887E4">
      <w:pPr>
        <w:rPr>
          <w:rFonts w:asciiTheme="minorEastAsia" w:hAnsiTheme="minorEastAsia" w:eastAsiaTheme="minorEastAsia"/>
          <w:color w:val="auto"/>
          <w:highlight w:val="none"/>
        </w:rPr>
      </w:pPr>
    </w:p>
    <w:p w14:paraId="4B5EA606">
      <w:pPr>
        <w:rPr>
          <w:rFonts w:asciiTheme="minorEastAsia" w:hAnsiTheme="minorEastAsia" w:eastAsiaTheme="minorEastAsia"/>
          <w:color w:val="auto"/>
          <w:highlight w:val="none"/>
        </w:rPr>
      </w:pPr>
    </w:p>
    <w:p w14:paraId="5AFD88F5">
      <w:pPr>
        <w:rPr>
          <w:rFonts w:asciiTheme="minorEastAsia" w:hAnsiTheme="minorEastAsia" w:eastAsiaTheme="minorEastAsia"/>
          <w:color w:val="auto"/>
          <w:highlight w:val="none"/>
        </w:rPr>
      </w:pPr>
    </w:p>
    <w:p w14:paraId="11BDD91F">
      <w:pPr>
        <w:rPr>
          <w:rFonts w:asciiTheme="minorEastAsia" w:hAnsiTheme="minorEastAsia" w:eastAsiaTheme="minorEastAsia"/>
          <w:color w:val="auto"/>
          <w:highlight w:val="none"/>
        </w:rPr>
      </w:pPr>
    </w:p>
    <w:p w14:paraId="61CC3D5A">
      <w:pPr>
        <w:rPr>
          <w:rFonts w:asciiTheme="minorEastAsia" w:hAnsiTheme="minorEastAsia" w:eastAsiaTheme="minorEastAsia"/>
          <w:color w:val="auto"/>
          <w:highlight w:val="none"/>
        </w:rPr>
      </w:pPr>
    </w:p>
    <w:p w14:paraId="22F8BFEB">
      <w:pPr>
        <w:rPr>
          <w:rFonts w:asciiTheme="minorEastAsia" w:hAnsiTheme="minorEastAsia" w:eastAsiaTheme="minorEastAsia"/>
          <w:color w:val="auto"/>
          <w:highlight w:val="none"/>
        </w:rPr>
      </w:pPr>
    </w:p>
    <w:p w14:paraId="4139E5BA">
      <w:pPr>
        <w:rPr>
          <w:rFonts w:asciiTheme="minorEastAsia" w:hAnsiTheme="minorEastAsia" w:eastAsiaTheme="minorEastAsia"/>
          <w:color w:val="auto"/>
          <w:highlight w:val="none"/>
        </w:rPr>
      </w:pPr>
    </w:p>
    <w:p w14:paraId="20B951E1">
      <w:pPr>
        <w:rPr>
          <w:rFonts w:asciiTheme="minorEastAsia" w:hAnsiTheme="minorEastAsia" w:eastAsiaTheme="minorEastAsia"/>
          <w:color w:val="auto"/>
          <w:highlight w:val="none"/>
        </w:rPr>
      </w:pPr>
    </w:p>
    <w:p w14:paraId="330736DC">
      <w:pPr>
        <w:rPr>
          <w:rFonts w:asciiTheme="minorEastAsia" w:hAnsiTheme="minorEastAsia" w:eastAsiaTheme="minorEastAsia"/>
          <w:color w:val="auto"/>
          <w:highlight w:val="none"/>
        </w:rPr>
      </w:pPr>
    </w:p>
    <w:p w14:paraId="725B9750">
      <w:pPr>
        <w:rPr>
          <w:rFonts w:asciiTheme="minorEastAsia" w:hAnsiTheme="minorEastAsia" w:eastAsiaTheme="minorEastAsia"/>
          <w:color w:val="auto"/>
          <w:highlight w:val="none"/>
        </w:rPr>
      </w:pPr>
    </w:p>
    <w:p w14:paraId="27F83FA8">
      <w:pPr>
        <w:rPr>
          <w:rFonts w:asciiTheme="minorEastAsia" w:hAnsiTheme="minorEastAsia" w:eastAsiaTheme="minorEastAsia"/>
          <w:color w:val="auto"/>
          <w:highlight w:val="none"/>
        </w:rPr>
      </w:pPr>
    </w:p>
    <w:p w14:paraId="218E5E69">
      <w:pPr>
        <w:rPr>
          <w:rFonts w:asciiTheme="minorEastAsia" w:hAnsiTheme="minorEastAsia" w:eastAsiaTheme="minorEastAsia"/>
          <w:color w:val="auto"/>
          <w:highlight w:val="none"/>
        </w:rPr>
      </w:pPr>
    </w:p>
    <w:p w14:paraId="13354C73">
      <w:pPr>
        <w:rPr>
          <w:rFonts w:asciiTheme="minorEastAsia" w:hAnsiTheme="minorEastAsia" w:eastAsiaTheme="minorEastAsia"/>
          <w:color w:val="auto"/>
          <w:highlight w:val="none"/>
        </w:rPr>
      </w:pPr>
    </w:p>
    <w:p w14:paraId="29804E4A">
      <w:pPr>
        <w:rPr>
          <w:rFonts w:asciiTheme="minorEastAsia" w:hAnsiTheme="minorEastAsia" w:eastAsiaTheme="minorEastAsia"/>
          <w:color w:val="auto"/>
          <w:highlight w:val="none"/>
        </w:rPr>
      </w:pPr>
    </w:p>
    <w:p w14:paraId="7C3D3776">
      <w:pPr>
        <w:rPr>
          <w:rFonts w:asciiTheme="minorEastAsia" w:hAnsiTheme="minorEastAsia" w:eastAsiaTheme="minorEastAsia"/>
          <w:color w:val="auto"/>
          <w:highlight w:val="none"/>
        </w:rPr>
      </w:pPr>
    </w:p>
    <w:p w14:paraId="4C389410">
      <w:pPr>
        <w:rPr>
          <w:rFonts w:asciiTheme="minorEastAsia" w:hAnsiTheme="minorEastAsia" w:eastAsiaTheme="minorEastAsia"/>
          <w:color w:val="auto"/>
          <w:highlight w:val="none"/>
        </w:rPr>
      </w:pPr>
    </w:p>
    <w:p w14:paraId="247AE328">
      <w:pPr>
        <w:rPr>
          <w:rFonts w:asciiTheme="minorEastAsia" w:hAnsiTheme="minorEastAsia" w:eastAsiaTheme="minorEastAsia"/>
          <w:color w:val="auto"/>
          <w:highlight w:val="none"/>
        </w:rPr>
      </w:pPr>
    </w:p>
    <w:p w14:paraId="43579EFB">
      <w:pPr>
        <w:rPr>
          <w:rFonts w:asciiTheme="minorEastAsia" w:hAnsiTheme="minorEastAsia" w:eastAsiaTheme="minorEastAsia"/>
          <w:color w:val="auto"/>
          <w:highlight w:val="none"/>
        </w:rPr>
      </w:pPr>
    </w:p>
    <w:p w14:paraId="447790E1">
      <w:pPr>
        <w:rPr>
          <w:rFonts w:asciiTheme="minorEastAsia" w:hAnsiTheme="minorEastAsia" w:eastAsiaTheme="minorEastAsia"/>
          <w:color w:val="auto"/>
          <w:highlight w:val="none"/>
        </w:rPr>
      </w:pPr>
    </w:p>
    <w:p w14:paraId="4608E322">
      <w:pPr>
        <w:rPr>
          <w:rFonts w:asciiTheme="minorEastAsia" w:hAnsiTheme="minorEastAsia" w:eastAsiaTheme="minorEastAsia"/>
          <w:color w:val="auto"/>
          <w:highlight w:val="none"/>
        </w:rPr>
      </w:pPr>
    </w:p>
    <w:p w14:paraId="70971331">
      <w:pPr>
        <w:rPr>
          <w:rFonts w:asciiTheme="minorEastAsia" w:hAnsiTheme="minorEastAsia" w:eastAsiaTheme="minorEastAsia"/>
          <w:color w:val="auto"/>
          <w:highlight w:val="none"/>
        </w:rPr>
      </w:pPr>
    </w:p>
    <w:p w14:paraId="3CFB7737">
      <w:pPr>
        <w:rPr>
          <w:rFonts w:asciiTheme="minorEastAsia" w:hAnsiTheme="minorEastAsia" w:eastAsiaTheme="minorEastAsia"/>
          <w:color w:val="auto"/>
          <w:highlight w:val="none"/>
        </w:rPr>
      </w:pPr>
    </w:p>
    <w:p w14:paraId="2F141960">
      <w:pPr>
        <w:rPr>
          <w:rFonts w:asciiTheme="minorEastAsia" w:hAnsiTheme="minorEastAsia" w:eastAsiaTheme="minorEastAsia"/>
          <w:color w:val="auto"/>
          <w:highlight w:val="none"/>
        </w:rPr>
      </w:pPr>
    </w:p>
    <w:p w14:paraId="78F1B82E">
      <w:pPr>
        <w:rPr>
          <w:rFonts w:asciiTheme="minorEastAsia" w:hAnsiTheme="minorEastAsia" w:eastAsiaTheme="minorEastAsia"/>
          <w:color w:val="auto"/>
          <w:highlight w:val="none"/>
        </w:rPr>
      </w:pPr>
    </w:p>
    <w:p w14:paraId="2840768A">
      <w:pPr>
        <w:rPr>
          <w:rFonts w:asciiTheme="minorEastAsia" w:hAnsiTheme="minorEastAsia" w:eastAsiaTheme="minorEastAsia"/>
          <w:color w:val="auto"/>
          <w:highlight w:val="none"/>
        </w:rPr>
      </w:pPr>
    </w:p>
    <w:p w14:paraId="623F3684">
      <w:pPr>
        <w:rPr>
          <w:rFonts w:asciiTheme="minorEastAsia" w:hAnsiTheme="minorEastAsia" w:eastAsiaTheme="minorEastAsia"/>
          <w:color w:val="auto"/>
          <w:highlight w:val="none"/>
        </w:rPr>
      </w:pPr>
    </w:p>
    <w:p w14:paraId="41F33DA6">
      <w:pPr>
        <w:rPr>
          <w:rFonts w:asciiTheme="minorEastAsia" w:hAnsiTheme="minorEastAsia" w:eastAsiaTheme="minorEastAsia"/>
          <w:color w:val="auto"/>
          <w:highlight w:val="none"/>
        </w:rPr>
      </w:pPr>
    </w:p>
    <w:p w14:paraId="17937C07">
      <w:pPr>
        <w:rPr>
          <w:rFonts w:asciiTheme="minorEastAsia" w:hAnsiTheme="minorEastAsia" w:eastAsiaTheme="minorEastAsia"/>
          <w:color w:val="auto"/>
          <w:highlight w:val="none"/>
        </w:rPr>
      </w:pPr>
    </w:p>
    <w:p w14:paraId="779E2220">
      <w:pPr>
        <w:rPr>
          <w:rFonts w:asciiTheme="minorEastAsia" w:hAnsiTheme="minorEastAsia" w:eastAsiaTheme="minorEastAsia"/>
          <w:color w:val="auto"/>
          <w:highlight w:val="none"/>
        </w:rPr>
      </w:pPr>
    </w:p>
    <w:p w14:paraId="69630200">
      <w:pPr>
        <w:widowControl/>
        <w:spacing w:line="480" w:lineRule="exact"/>
        <w:jc w:val="center"/>
        <w:rPr>
          <w:rFonts w:asciiTheme="minorEastAsia" w:hAnsiTheme="minorEastAsia" w:eastAsiaTheme="minorEastAsia"/>
          <w:color w:val="auto"/>
          <w:kern w:val="0"/>
          <w:szCs w:val="21"/>
          <w:highlight w:val="none"/>
        </w:rPr>
      </w:pPr>
      <w:bookmarkStart w:id="147" w:name="_Toc199384440"/>
      <w:bookmarkStart w:id="148" w:name="_Toc208975060"/>
      <w:bookmarkStart w:id="149" w:name="_Toc208999321"/>
    </w:p>
    <w:p w14:paraId="736ED333">
      <w:pPr>
        <w:widowControl/>
        <w:spacing w:line="480" w:lineRule="exact"/>
        <w:jc w:val="center"/>
        <w:rPr>
          <w:rFonts w:asciiTheme="minorEastAsia" w:hAnsiTheme="minorEastAsia" w:eastAsiaTheme="minorEastAsia"/>
          <w:color w:val="auto"/>
          <w:kern w:val="0"/>
          <w:szCs w:val="21"/>
          <w:highlight w:val="none"/>
        </w:rPr>
      </w:pPr>
    </w:p>
    <w:p w14:paraId="6502BE79">
      <w:pPr>
        <w:widowControl/>
        <w:spacing w:line="480" w:lineRule="exact"/>
        <w:jc w:val="center"/>
        <w:rPr>
          <w:rFonts w:asciiTheme="minorEastAsia" w:hAnsiTheme="minorEastAsia" w:eastAsiaTheme="minorEastAsia"/>
          <w:color w:val="auto"/>
          <w:kern w:val="0"/>
          <w:szCs w:val="21"/>
          <w:highlight w:val="none"/>
        </w:rPr>
      </w:pPr>
    </w:p>
    <w:p w14:paraId="7E37BEC9">
      <w:pPr>
        <w:widowControl/>
        <w:spacing w:line="480" w:lineRule="exact"/>
        <w:jc w:val="center"/>
        <w:rPr>
          <w:rFonts w:asciiTheme="minorEastAsia" w:hAnsiTheme="minorEastAsia" w:eastAsiaTheme="minorEastAsia"/>
          <w:color w:val="auto"/>
          <w:kern w:val="0"/>
          <w:szCs w:val="21"/>
          <w:highlight w:val="none"/>
        </w:rPr>
      </w:pPr>
    </w:p>
    <w:p w14:paraId="506DB459">
      <w:pPr>
        <w:widowControl/>
        <w:spacing w:line="480" w:lineRule="exact"/>
        <w:jc w:val="center"/>
        <w:rPr>
          <w:rFonts w:asciiTheme="minorEastAsia" w:hAnsiTheme="minorEastAsia" w:eastAsiaTheme="minorEastAsia"/>
          <w:color w:val="auto"/>
          <w:kern w:val="0"/>
          <w:szCs w:val="21"/>
          <w:highlight w:val="none"/>
        </w:rPr>
      </w:pPr>
    </w:p>
    <w:p w14:paraId="73BD09B3">
      <w:pPr>
        <w:widowControl/>
        <w:spacing w:line="480" w:lineRule="exact"/>
        <w:jc w:val="center"/>
        <w:rPr>
          <w:rFonts w:asciiTheme="minorEastAsia" w:hAnsiTheme="minorEastAsia" w:eastAsiaTheme="minorEastAsia"/>
          <w:color w:val="auto"/>
          <w:kern w:val="0"/>
          <w:szCs w:val="21"/>
          <w:highlight w:val="none"/>
        </w:rPr>
      </w:pPr>
    </w:p>
    <w:p w14:paraId="368F25A8">
      <w:pPr>
        <w:widowControl/>
        <w:spacing w:line="480" w:lineRule="exact"/>
        <w:jc w:val="center"/>
        <w:rPr>
          <w:rFonts w:asciiTheme="minorEastAsia" w:hAnsiTheme="minorEastAsia" w:eastAsiaTheme="minorEastAsia"/>
          <w:color w:val="auto"/>
          <w:kern w:val="0"/>
          <w:szCs w:val="21"/>
          <w:highlight w:val="none"/>
        </w:rPr>
      </w:pPr>
    </w:p>
    <w:p w14:paraId="2554C78E">
      <w:pPr>
        <w:widowControl/>
        <w:spacing w:line="480" w:lineRule="exact"/>
        <w:jc w:val="center"/>
        <w:rPr>
          <w:rFonts w:asciiTheme="minorEastAsia" w:hAnsiTheme="minorEastAsia" w:eastAsiaTheme="minorEastAsia"/>
          <w:color w:val="auto"/>
          <w:kern w:val="0"/>
          <w:szCs w:val="21"/>
          <w:highlight w:val="none"/>
        </w:rPr>
      </w:pPr>
    </w:p>
    <w:p w14:paraId="5C38680C">
      <w:pPr>
        <w:widowControl/>
        <w:spacing w:line="480" w:lineRule="exact"/>
        <w:jc w:val="center"/>
        <w:rPr>
          <w:rFonts w:asciiTheme="minorEastAsia" w:hAnsiTheme="minorEastAsia" w:eastAsiaTheme="minorEastAsia"/>
          <w:color w:val="auto"/>
          <w:kern w:val="0"/>
          <w:szCs w:val="21"/>
          <w:highlight w:val="none"/>
        </w:rPr>
      </w:pPr>
    </w:p>
    <w:p w14:paraId="5EF208D5">
      <w:pPr>
        <w:pStyle w:val="4"/>
        <w:spacing w:line="240" w:lineRule="auto"/>
        <w:jc w:val="center"/>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六、资格审查资料</w:t>
      </w:r>
      <w:bookmarkEnd w:id="147"/>
      <w:bookmarkEnd w:id="148"/>
      <w:bookmarkEnd w:id="149"/>
    </w:p>
    <w:p w14:paraId="5AB67B13">
      <w:pPr>
        <w:pStyle w:val="72"/>
        <w:snapToGrid w:val="0"/>
        <w:spacing w:line="240" w:lineRule="auto"/>
        <w:jc w:val="center"/>
        <w:rPr>
          <w:rStyle w:val="68"/>
          <w:rFonts w:asciiTheme="minorEastAsia" w:hAnsiTheme="minorEastAsia" w:eastAsiaTheme="minorEastAsia"/>
          <w:bCs/>
          <w:color w:val="auto"/>
          <w:highlight w:val="none"/>
        </w:rPr>
      </w:pPr>
      <w:r>
        <w:rPr>
          <w:rStyle w:val="68"/>
          <w:rFonts w:asciiTheme="minorEastAsia" w:hAnsiTheme="minorEastAsia" w:eastAsiaTheme="minorEastAsia"/>
          <w:bCs/>
          <w:color w:val="auto"/>
          <w:highlight w:val="none"/>
        </w:rPr>
        <w:t>（一）</w:t>
      </w:r>
      <w:r>
        <w:rPr>
          <w:rStyle w:val="68"/>
          <w:rFonts w:hint="eastAsia" w:asciiTheme="minorEastAsia" w:hAnsiTheme="minorEastAsia" w:eastAsiaTheme="minorEastAsia"/>
          <w:bCs/>
          <w:color w:val="auto"/>
          <w:highlight w:val="none"/>
        </w:rPr>
        <w:t>供应商</w:t>
      </w:r>
      <w:r>
        <w:rPr>
          <w:rStyle w:val="68"/>
          <w:rFonts w:asciiTheme="minorEastAsia" w:hAnsiTheme="minorEastAsia" w:eastAsiaTheme="minorEastAsia"/>
          <w:bCs/>
          <w:color w:val="auto"/>
          <w:highlight w:val="none"/>
        </w:rPr>
        <w:t>基本情况表</w:t>
      </w:r>
    </w:p>
    <w:tbl>
      <w:tblPr>
        <w:tblStyle w:val="33"/>
        <w:tblW w:w="95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077"/>
        <w:gridCol w:w="3055"/>
        <w:gridCol w:w="1089"/>
        <w:gridCol w:w="2329"/>
      </w:tblGrid>
      <w:tr w14:paraId="569E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00E0D870">
            <w:pPr>
              <w:snapToGrid w:val="0"/>
              <w:spacing w:line="360" w:lineRule="auto"/>
              <w:jc w:val="center"/>
              <w:rPr>
                <w:rStyle w:val="68"/>
                <w:rFonts w:asciiTheme="minorEastAsia" w:hAnsiTheme="minorEastAsia" w:eastAsiaTheme="minorEastAsia"/>
                <w:color w:val="auto"/>
                <w:szCs w:val="21"/>
                <w:highlight w:val="none"/>
              </w:rPr>
            </w:pPr>
            <w:r>
              <w:rPr>
                <w:rStyle w:val="68"/>
                <w:rFonts w:hint="eastAsia" w:asciiTheme="minorEastAsia" w:hAnsiTheme="minorEastAsia" w:eastAsiaTheme="minorEastAsia"/>
                <w:color w:val="auto"/>
                <w:szCs w:val="21"/>
                <w:highlight w:val="none"/>
              </w:rPr>
              <w:t>供应商</w:t>
            </w:r>
            <w:r>
              <w:rPr>
                <w:rStyle w:val="68"/>
                <w:rFonts w:asciiTheme="minorEastAsia" w:hAnsiTheme="minorEastAsia" w:eastAsiaTheme="minorEastAsia"/>
                <w:color w:val="auto"/>
                <w:szCs w:val="21"/>
                <w:highlight w:val="none"/>
              </w:rPr>
              <w:t>名称</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167BEC73">
            <w:pPr>
              <w:snapToGrid w:val="0"/>
              <w:spacing w:line="360" w:lineRule="auto"/>
              <w:jc w:val="center"/>
              <w:rPr>
                <w:rStyle w:val="68"/>
                <w:rFonts w:asciiTheme="minorEastAsia" w:hAnsiTheme="minorEastAsia" w:eastAsiaTheme="minorEastAsia"/>
                <w:color w:val="auto"/>
                <w:szCs w:val="21"/>
                <w:highlight w:val="none"/>
              </w:rPr>
            </w:pPr>
          </w:p>
        </w:tc>
      </w:tr>
      <w:tr w14:paraId="1CFC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786E9B34">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注册地址</w:t>
            </w:r>
          </w:p>
        </w:tc>
        <w:tc>
          <w:tcPr>
            <w:tcW w:w="4132" w:type="dxa"/>
            <w:gridSpan w:val="2"/>
            <w:tcBorders>
              <w:top w:val="single" w:color="000000" w:sz="4" w:space="0"/>
              <w:left w:val="single" w:color="000000" w:sz="4" w:space="0"/>
              <w:bottom w:val="single" w:color="000000" w:sz="4" w:space="0"/>
              <w:right w:val="single" w:color="000000" w:sz="4" w:space="0"/>
            </w:tcBorders>
            <w:vAlign w:val="center"/>
          </w:tcPr>
          <w:p w14:paraId="1F7572B0">
            <w:pPr>
              <w:snapToGrid w:val="0"/>
              <w:spacing w:line="360" w:lineRule="auto"/>
              <w:jc w:val="center"/>
              <w:rPr>
                <w:rStyle w:val="68"/>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7C9D45D8">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邮政编码</w:t>
            </w:r>
          </w:p>
        </w:tc>
        <w:tc>
          <w:tcPr>
            <w:tcW w:w="2329" w:type="dxa"/>
            <w:tcBorders>
              <w:top w:val="single" w:color="000000" w:sz="4" w:space="0"/>
              <w:left w:val="single" w:color="000000" w:sz="4" w:space="0"/>
              <w:bottom w:val="single" w:color="000000" w:sz="4" w:space="0"/>
              <w:right w:val="single" w:color="000000" w:sz="4" w:space="0"/>
            </w:tcBorders>
            <w:vAlign w:val="center"/>
          </w:tcPr>
          <w:p w14:paraId="0B09C0EA">
            <w:pPr>
              <w:snapToGrid w:val="0"/>
              <w:spacing w:line="360" w:lineRule="auto"/>
              <w:jc w:val="center"/>
              <w:rPr>
                <w:rStyle w:val="68"/>
                <w:rFonts w:asciiTheme="minorEastAsia" w:hAnsiTheme="minorEastAsia" w:eastAsiaTheme="minorEastAsia"/>
                <w:color w:val="auto"/>
                <w:szCs w:val="21"/>
                <w:highlight w:val="none"/>
              </w:rPr>
            </w:pPr>
          </w:p>
        </w:tc>
      </w:tr>
      <w:tr w14:paraId="42A2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36C04392">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联系方式</w:t>
            </w:r>
          </w:p>
        </w:tc>
        <w:tc>
          <w:tcPr>
            <w:tcW w:w="1077" w:type="dxa"/>
            <w:tcBorders>
              <w:top w:val="single" w:color="000000" w:sz="4" w:space="0"/>
              <w:left w:val="single" w:color="000000" w:sz="4" w:space="0"/>
              <w:bottom w:val="single" w:color="000000" w:sz="4" w:space="0"/>
              <w:right w:val="single" w:color="000000" w:sz="4" w:space="0"/>
            </w:tcBorders>
            <w:vAlign w:val="center"/>
          </w:tcPr>
          <w:p w14:paraId="22C0BE89">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联系人</w:t>
            </w:r>
          </w:p>
        </w:tc>
        <w:tc>
          <w:tcPr>
            <w:tcW w:w="3055" w:type="dxa"/>
            <w:tcBorders>
              <w:top w:val="single" w:color="000000" w:sz="4" w:space="0"/>
              <w:left w:val="single" w:color="000000" w:sz="4" w:space="0"/>
              <w:bottom w:val="single" w:color="000000" w:sz="4" w:space="0"/>
              <w:right w:val="single" w:color="000000" w:sz="4" w:space="0"/>
            </w:tcBorders>
            <w:vAlign w:val="center"/>
          </w:tcPr>
          <w:p w14:paraId="6E5A8578">
            <w:pPr>
              <w:snapToGrid w:val="0"/>
              <w:spacing w:line="360" w:lineRule="auto"/>
              <w:jc w:val="center"/>
              <w:rPr>
                <w:rStyle w:val="68"/>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0DBA2A54">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电话</w:t>
            </w:r>
          </w:p>
        </w:tc>
        <w:tc>
          <w:tcPr>
            <w:tcW w:w="2329" w:type="dxa"/>
            <w:tcBorders>
              <w:top w:val="single" w:color="000000" w:sz="4" w:space="0"/>
              <w:left w:val="single" w:color="000000" w:sz="4" w:space="0"/>
              <w:bottom w:val="single" w:color="000000" w:sz="4" w:space="0"/>
              <w:right w:val="single" w:color="000000" w:sz="4" w:space="0"/>
            </w:tcBorders>
            <w:vAlign w:val="center"/>
          </w:tcPr>
          <w:p w14:paraId="1C1BE10E">
            <w:pPr>
              <w:snapToGrid w:val="0"/>
              <w:spacing w:line="360" w:lineRule="auto"/>
              <w:jc w:val="center"/>
              <w:rPr>
                <w:rStyle w:val="68"/>
                <w:rFonts w:asciiTheme="minorEastAsia" w:hAnsiTheme="minorEastAsia" w:eastAsiaTheme="minorEastAsia"/>
                <w:color w:val="auto"/>
                <w:szCs w:val="21"/>
                <w:highlight w:val="none"/>
              </w:rPr>
            </w:pPr>
          </w:p>
        </w:tc>
      </w:tr>
      <w:tr w14:paraId="3D9D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1144ABBB">
            <w:pPr>
              <w:snapToGrid w:val="0"/>
              <w:spacing w:line="360" w:lineRule="auto"/>
              <w:jc w:val="center"/>
              <w:rPr>
                <w:rStyle w:val="68"/>
                <w:rFonts w:asciiTheme="minorEastAsia" w:hAnsiTheme="minorEastAsia" w:eastAsiaTheme="minorEastAsia"/>
                <w:color w:val="auto"/>
                <w:szCs w:val="21"/>
                <w:highlight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76C8960A">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传真</w:t>
            </w:r>
          </w:p>
        </w:tc>
        <w:tc>
          <w:tcPr>
            <w:tcW w:w="3055" w:type="dxa"/>
            <w:tcBorders>
              <w:top w:val="single" w:color="000000" w:sz="4" w:space="0"/>
              <w:left w:val="single" w:color="000000" w:sz="4" w:space="0"/>
              <w:bottom w:val="single" w:color="000000" w:sz="4" w:space="0"/>
              <w:right w:val="single" w:color="000000" w:sz="4" w:space="0"/>
            </w:tcBorders>
            <w:vAlign w:val="center"/>
          </w:tcPr>
          <w:p w14:paraId="756C9E49">
            <w:pPr>
              <w:snapToGrid w:val="0"/>
              <w:spacing w:line="360" w:lineRule="auto"/>
              <w:jc w:val="center"/>
              <w:rPr>
                <w:rStyle w:val="68"/>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259C3FD0">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网址</w:t>
            </w:r>
          </w:p>
        </w:tc>
        <w:tc>
          <w:tcPr>
            <w:tcW w:w="2329" w:type="dxa"/>
            <w:tcBorders>
              <w:top w:val="single" w:color="000000" w:sz="4" w:space="0"/>
              <w:left w:val="single" w:color="000000" w:sz="4" w:space="0"/>
              <w:bottom w:val="single" w:color="000000" w:sz="4" w:space="0"/>
              <w:right w:val="single" w:color="000000" w:sz="4" w:space="0"/>
            </w:tcBorders>
            <w:vAlign w:val="center"/>
          </w:tcPr>
          <w:p w14:paraId="1DFB5EB4">
            <w:pPr>
              <w:snapToGrid w:val="0"/>
              <w:spacing w:line="360" w:lineRule="auto"/>
              <w:jc w:val="center"/>
              <w:rPr>
                <w:rStyle w:val="68"/>
                <w:rFonts w:asciiTheme="minorEastAsia" w:hAnsiTheme="minorEastAsia" w:eastAsiaTheme="minorEastAsia"/>
                <w:color w:val="auto"/>
                <w:szCs w:val="21"/>
                <w:highlight w:val="none"/>
              </w:rPr>
            </w:pPr>
          </w:p>
        </w:tc>
      </w:tr>
      <w:tr w14:paraId="6F561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5768959C">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法定代表人</w:t>
            </w:r>
          </w:p>
        </w:tc>
        <w:tc>
          <w:tcPr>
            <w:tcW w:w="1077" w:type="dxa"/>
            <w:tcBorders>
              <w:top w:val="single" w:color="000000" w:sz="4" w:space="0"/>
              <w:left w:val="single" w:color="000000" w:sz="4" w:space="0"/>
              <w:bottom w:val="single" w:color="000000" w:sz="4" w:space="0"/>
              <w:right w:val="single" w:color="000000" w:sz="4" w:space="0"/>
            </w:tcBorders>
            <w:vAlign w:val="center"/>
          </w:tcPr>
          <w:p w14:paraId="0B85FD49">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姓名</w:t>
            </w:r>
          </w:p>
        </w:tc>
        <w:tc>
          <w:tcPr>
            <w:tcW w:w="3055" w:type="dxa"/>
            <w:tcBorders>
              <w:top w:val="single" w:color="000000" w:sz="4" w:space="0"/>
              <w:left w:val="single" w:color="000000" w:sz="4" w:space="0"/>
              <w:bottom w:val="single" w:color="000000" w:sz="4" w:space="0"/>
              <w:right w:val="single" w:color="000000" w:sz="4" w:space="0"/>
            </w:tcBorders>
            <w:vAlign w:val="center"/>
          </w:tcPr>
          <w:p w14:paraId="2466ACE3">
            <w:pPr>
              <w:snapToGrid w:val="0"/>
              <w:spacing w:line="360" w:lineRule="auto"/>
              <w:jc w:val="center"/>
              <w:rPr>
                <w:rStyle w:val="68"/>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1B89C161">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电话</w:t>
            </w:r>
          </w:p>
        </w:tc>
        <w:tc>
          <w:tcPr>
            <w:tcW w:w="2329" w:type="dxa"/>
            <w:tcBorders>
              <w:top w:val="single" w:color="000000" w:sz="4" w:space="0"/>
              <w:left w:val="single" w:color="000000" w:sz="4" w:space="0"/>
              <w:bottom w:val="single" w:color="000000" w:sz="4" w:space="0"/>
              <w:right w:val="single" w:color="000000" w:sz="4" w:space="0"/>
            </w:tcBorders>
            <w:vAlign w:val="center"/>
          </w:tcPr>
          <w:p w14:paraId="558BE535">
            <w:pPr>
              <w:snapToGrid w:val="0"/>
              <w:spacing w:line="360" w:lineRule="auto"/>
              <w:rPr>
                <w:rStyle w:val="68"/>
                <w:rFonts w:asciiTheme="minorEastAsia" w:hAnsiTheme="minorEastAsia" w:eastAsiaTheme="minorEastAsia"/>
                <w:color w:val="auto"/>
                <w:szCs w:val="21"/>
                <w:highlight w:val="none"/>
              </w:rPr>
            </w:pPr>
          </w:p>
        </w:tc>
      </w:tr>
      <w:tr w14:paraId="7741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59CE72D5">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成立时间</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77C5D951">
            <w:pPr>
              <w:snapToGrid w:val="0"/>
              <w:spacing w:line="360" w:lineRule="auto"/>
              <w:jc w:val="center"/>
              <w:rPr>
                <w:rStyle w:val="68"/>
                <w:rFonts w:asciiTheme="minorEastAsia" w:hAnsiTheme="minorEastAsia" w:eastAsiaTheme="minorEastAsia"/>
                <w:color w:val="auto"/>
                <w:szCs w:val="21"/>
                <w:highlight w:val="none"/>
              </w:rPr>
            </w:pPr>
          </w:p>
        </w:tc>
      </w:tr>
      <w:tr w14:paraId="4F44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06EB6A87">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员工总人数</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129CB270">
            <w:pPr>
              <w:snapToGrid w:val="0"/>
              <w:spacing w:line="360" w:lineRule="auto"/>
              <w:jc w:val="center"/>
              <w:rPr>
                <w:rStyle w:val="68"/>
                <w:rFonts w:asciiTheme="minorEastAsia" w:hAnsiTheme="minorEastAsia" w:eastAsiaTheme="minorEastAsia"/>
                <w:color w:val="auto"/>
                <w:szCs w:val="21"/>
                <w:highlight w:val="none"/>
              </w:rPr>
            </w:pPr>
          </w:p>
        </w:tc>
      </w:tr>
      <w:tr w14:paraId="4CF1B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56AA69B6">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营业执照号</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3B94F31C">
            <w:pPr>
              <w:snapToGrid w:val="0"/>
              <w:spacing w:line="360" w:lineRule="auto"/>
              <w:jc w:val="center"/>
              <w:rPr>
                <w:rStyle w:val="68"/>
                <w:rFonts w:asciiTheme="minorEastAsia" w:hAnsiTheme="minorEastAsia" w:eastAsiaTheme="minorEastAsia"/>
                <w:color w:val="auto"/>
                <w:szCs w:val="21"/>
                <w:highlight w:val="none"/>
              </w:rPr>
            </w:pPr>
          </w:p>
        </w:tc>
      </w:tr>
      <w:tr w14:paraId="33FC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014E8EBF">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注册资金</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3DBEDFC8">
            <w:pPr>
              <w:snapToGrid w:val="0"/>
              <w:spacing w:line="360" w:lineRule="auto"/>
              <w:jc w:val="center"/>
              <w:rPr>
                <w:rStyle w:val="68"/>
                <w:rFonts w:asciiTheme="minorEastAsia" w:hAnsiTheme="minorEastAsia" w:eastAsiaTheme="minorEastAsia"/>
                <w:color w:val="auto"/>
                <w:szCs w:val="21"/>
                <w:highlight w:val="none"/>
              </w:rPr>
            </w:pPr>
          </w:p>
        </w:tc>
      </w:tr>
      <w:tr w14:paraId="5D3B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1E1F38BF">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开户银行</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6FFAA562">
            <w:pPr>
              <w:snapToGrid w:val="0"/>
              <w:spacing w:line="360" w:lineRule="auto"/>
              <w:rPr>
                <w:rStyle w:val="68"/>
                <w:rFonts w:asciiTheme="minorEastAsia" w:hAnsiTheme="minorEastAsia" w:eastAsiaTheme="minorEastAsia"/>
                <w:color w:val="auto"/>
                <w:szCs w:val="21"/>
                <w:highlight w:val="none"/>
              </w:rPr>
            </w:pPr>
          </w:p>
        </w:tc>
      </w:tr>
      <w:tr w14:paraId="06F50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06747F5D">
            <w:pPr>
              <w:snapToGrid w:val="0"/>
              <w:spacing w:line="360" w:lineRule="auto"/>
              <w:jc w:val="center"/>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账号</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69AF3BD2">
            <w:pPr>
              <w:snapToGrid w:val="0"/>
              <w:spacing w:line="360" w:lineRule="auto"/>
              <w:rPr>
                <w:rStyle w:val="68"/>
                <w:rFonts w:asciiTheme="minorEastAsia" w:hAnsiTheme="minorEastAsia" w:eastAsiaTheme="minorEastAsia"/>
                <w:color w:val="auto"/>
                <w:szCs w:val="21"/>
                <w:highlight w:val="none"/>
              </w:rPr>
            </w:pPr>
          </w:p>
        </w:tc>
      </w:tr>
      <w:tr w14:paraId="0469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4"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61C87435">
            <w:pPr>
              <w:snapToGrid w:val="0"/>
              <w:spacing w:line="360" w:lineRule="auto"/>
              <w:rPr>
                <w:rStyle w:val="68"/>
                <w:rFonts w:asciiTheme="minorEastAsia" w:hAnsiTheme="minorEastAsia" w:eastAsiaTheme="minorEastAsia"/>
                <w:color w:val="auto"/>
                <w:szCs w:val="21"/>
                <w:highlight w:val="none"/>
              </w:rPr>
            </w:pPr>
            <w:r>
              <w:rPr>
                <w:rStyle w:val="68"/>
                <w:rFonts w:asciiTheme="minorEastAsia" w:hAnsiTheme="minorEastAsia" w:eastAsiaTheme="minorEastAsia"/>
                <w:color w:val="auto"/>
                <w:szCs w:val="21"/>
                <w:highlight w:val="none"/>
              </w:rPr>
              <w:t>经营范围备注</w:t>
            </w:r>
          </w:p>
        </w:tc>
        <w:tc>
          <w:tcPr>
            <w:tcW w:w="7550" w:type="dxa"/>
            <w:gridSpan w:val="4"/>
            <w:tcBorders>
              <w:top w:val="single" w:color="000000" w:sz="4" w:space="0"/>
              <w:left w:val="single" w:color="000000" w:sz="4" w:space="0"/>
              <w:bottom w:val="single" w:color="000000" w:sz="4" w:space="0"/>
              <w:right w:val="single" w:color="000000" w:sz="4" w:space="0"/>
            </w:tcBorders>
          </w:tcPr>
          <w:p w14:paraId="09650FE5">
            <w:pPr>
              <w:snapToGrid w:val="0"/>
              <w:spacing w:line="360" w:lineRule="auto"/>
              <w:ind w:firstLine="420" w:firstLineChars="200"/>
              <w:rPr>
                <w:rStyle w:val="68"/>
                <w:rFonts w:asciiTheme="minorEastAsia" w:hAnsiTheme="minorEastAsia" w:eastAsiaTheme="minorEastAsia"/>
                <w:color w:val="auto"/>
                <w:szCs w:val="21"/>
                <w:highlight w:val="none"/>
              </w:rPr>
            </w:pPr>
          </w:p>
        </w:tc>
      </w:tr>
    </w:tbl>
    <w:p w14:paraId="722B9A39">
      <w:pPr>
        <w:snapToGrid w:val="0"/>
        <w:spacing w:line="360" w:lineRule="auto"/>
        <w:rPr>
          <w:rStyle w:val="68"/>
          <w:rFonts w:asciiTheme="minorEastAsia" w:hAnsiTheme="minorEastAsia" w:eastAsiaTheme="minorEastAsia"/>
          <w:color w:val="auto"/>
          <w:szCs w:val="21"/>
          <w:highlight w:val="none"/>
        </w:rPr>
        <w:sectPr>
          <w:headerReference r:id="rId12" w:type="default"/>
          <w:pgSz w:w="11906" w:h="16838"/>
          <w:pgMar w:top="1418" w:right="924" w:bottom="1418" w:left="1134" w:header="851" w:footer="992" w:gutter="0"/>
          <w:cols w:space="720" w:num="1"/>
          <w:docGrid w:linePitch="312" w:charSpace="0"/>
        </w:sectPr>
      </w:pPr>
      <w:r>
        <w:rPr>
          <w:rStyle w:val="68"/>
          <w:rFonts w:asciiTheme="minorEastAsia" w:hAnsiTheme="minorEastAsia" w:eastAsiaTheme="minorEastAsia"/>
          <w:color w:val="auto"/>
          <w:szCs w:val="21"/>
          <w:highlight w:val="none"/>
        </w:rPr>
        <w:t>应附企业营业执照副本、信用截图、</w:t>
      </w:r>
      <w:r>
        <w:rPr>
          <w:rStyle w:val="68"/>
          <w:rFonts w:hint="eastAsia" w:asciiTheme="minorEastAsia" w:hAnsiTheme="minorEastAsia" w:eastAsiaTheme="minorEastAsia"/>
          <w:color w:val="auto"/>
          <w:szCs w:val="21"/>
          <w:highlight w:val="none"/>
        </w:rPr>
        <w:t>纳税证明、社保证明</w:t>
      </w:r>
      <w:r>
        <w:rPr>
          <w:rStyle w:val="68"/>
          <w:rFonts w:asciiTheme="minorEastAsia" w:hAnsiTheme="minorEastAsia" w:eastAsiaTheme="minorEastAsia"/>
          <w:color w:val="auto"/>
          <w:szCs w:val="21"/>
          <w:highlight w:val="none"/>
        </w:rPr>
        <w:t>等</w:t>
      </w:r>
    </w:p>
    <w:p w14:paraId="625BE16C">
      <w:pPr>
        <w:tabs>
          <w:tab w:val="left" w:pos="900"/>
          <w:tab w:val="left" w:pos="1080"/>
        </w:tabs>
        <w:snapToGrid w:val="0"/>
        <w:spacing w:line="360" w:lineRule="auto"/>
        <w:jc w:val="center"/>
        <w:rPr>
          <w:rStyle w:val="68"/>
          <w:rFonts w:asciiTheme="minorEastAsia" w:hAnsiTheme="minorEastAsia" w:eastAsiaTheme="minorEastAsia"/>
          <w:b/>
          <w:bCs/>
          <w:color w:val="auto"/>
          <w:sz w:val="24"/>
          <w:szCs w:val="28"/>
          <w:highlight w:val="none"/>
        </w:rPr>
      </w:pPr>
      <w:r>
        <w:rPr>
          <w:rStyle w:val="68"/>
          <w:rFonts w:asciiTheme="minorEastAsia" w:hAnsiTheme="minorEastAsia" w:eastAsiaTheme="minorEastAsia"/>
          <w:bCs/>
          <w:color w:val="auto"/>
          <w:kern w:val="0"/>
          <w:sz w:val="28"/>
          <w:szCs w:val="28"/>
          <w:highlight w:val="none"/>
        </w:rPr>
        <w:t>（二）</w:t>
      </w:r>
      <w:r>
        <w:rPr>
          <w:rStyle w:val="68"/>
          <w:rFonts w:asciiTheme="minorEastAsia" w:hAnsiTheme="minorEastAsia" w:eastAsiaTheme="minorEastAsia"/>
          <w:b/>
          <w:color w:val="auto"/>
          <w:sz w:val="24"/>
          <w:highlight w:val="none"/>
        </w:rPr>
        <w:t>（202</w:t>
      </w:r>
      <w:r>
        <w:rPr>
          <w:rStyle w:val="68"/>
          <w:rFonts w:hint="eastAsia" w:asciiTheme="minorEastAsia" w:hAnsiTheme="minorEastAsia" w:eastAsiaTheme="minorEastAsia"/>
          <w:b/>
          <w:color w:val="auto"/>
          <w:sz w:val="24"/>
          <w:highlight w:val="none"/>
          <w:lang w:val="en-US" w:eastAsia="zh-CN"/>
        </w:rPr>
        <w:t>4</w:t>
      </w:r>
      <w:r>
        <w:rPr>
          <w:rStyle w:val="68"/>
          <w:rFonts w:asciiTheme="minorEastAsia" w:hAnsiTheme="minorEastAsia" w:eastAsiaTheme="minorEastAsia"/>
          <w:b/>
          <w:color w:val="auto"/>
          <w:sz w:val="24"/>
          <w:highlight w:val="none"/>
        </w:rPr>
        <w:t>年度）</w:t>
      </w:r>
      <w:r>
        <w:rPr>
          <w:rStyle w:val="68"/>
          <w:rFonts w:asciiTheme="minorEastAsia" w:hAnsiTheme="minorEastAsia" w:eastAsiaTheme="minorEastAsia"/>
          <w:b/>
          <w:bCs/>
          <w:color w:val="auto"/>
          <w:sz w:val="24"/>
          <w:szCs w:val="28"/>
          <w:highlight w:val="none"/>
        </w:rPr>
        <w:t>财务状况表</w:t>
      </w:r>
    </w:p>
    <w:p w14:paraId="6E9ECC30">
      <w:pPr>
        <w:keepLines/>
        <w:snapToGrid w:val="0"/>
        <w:spacing w:before="280" w:after="290" w:line="374" w:lineRule="auto"/>
        <w:jc w:val="center"/>
        <w:rPr>
          <w:rStyle w:val="68"/>
          <w:rFonts w:ascii="Arial" w:hAnsi="Arial" w:eastAsia="黑体"/>
          <w:bCs/>
          <w:color w:val="auto"/>
          <w:kern w:val="0"/>
          <w:sz w:val="28"/>
          <w:szCs w:val="28"/>
        </w:rPr>
      </w:pPr>
      <w:r>
        <w:rPr>
          <w:rStyle w:val="68"/>
          <w:rFonts w:hint="eastAsia" w:asciiTheme="minorEastAsia" w:hAnsiTheme="minorEastAsia" w:eastAsiaTheme="minorEastAsia"/>
          <w:color w:val="auto"/>
          <w:kern w:val="0"/>
          <w:szCs w:val="21"/>
          <w:highlight w:val="none"/>
        </w:rPr>
        <w:t>202</w:t>
      </w:r>
      <w:r>
        <w:rPr>
          <w:rStyle w:val="68"/>
          <w:rFonts w:hint="eastAsia" w:asciiTheme="minorEastAsia" w:hAnsiTheme="minorEastAsia" w:eastAsiaTheme="minorEastAsia"/>
          <w:color w:val="auto"/>
          <w:kern w:val="0"/>
          <w:szCs w:val="21"/>
          <w:highlight w:val="none"/>
          <w:lang w:val="en-US" w:eastAsia="zh-CN"/>
        </w:rPr>
        <w:t>4</w:t>
      </w:r>
      <w:r>
        <w:rPr>
          <w:rStyle w:val="68"/>
          <w:rFonts w:hint="eastAsia" w:asciiTheme="minorEastAsia" w:hAnsiTheme="minorEastAsia" w:eastAsiaTheme="minorEastAsia"/>
          <w:color w:val="auto"/>
          <w:kern w:val="0"/>
          <w:szCs w:val="21"/>
          <w:highlight w:val="none"/>
        </w:rPr>
        <w:t>年度财务审计报告或财务报表（含资产负债表、现金流量表、利润表）（若供应商为2025年以后注册成立公司的，须提供银行资信证明）</w:t>
      </w:r>
    </w:p>
    <w:p w14:paraId="0C7B9D0B">
      <w:pPr>
        <w:keepLines/>
        <w:snapToGrid w:val="0"/>
        <w:spacing w:before="280" w:after="290" w:line="374" w:lineRule="auto"/>
        <w:jc w:val="center"/>
        <w:rPr>
          <w:rStyle w:val="68"/>
          <w:rFonts w:ascii="Arial" w:hAnsi="Arial" w:eastAsia="黑体"/>
          <w:bCs/>
          <w:color w:val="auto"/>
          <w:kern w:val="0"/>
          <w:sz w:val="28"/>
          <w:szCs w:val="28"/>
        </w:rPr>
      </w:pPr>
    </w:p>
    <w:p w14:paraId="6A3DD41E">
      <w:pPr>
        <w:keepLines/>
        <w:snapToGrid w:val="0"/>
        <w:spacing w:before="280" w:after="290" w:line="374" w:lineRule="auto"/>
        <w:jc w:val="center"/>
        <w:rPr>
          <w:rStyle w:val="68"/>
          <w:rFonts w:ascii="Arial" w:hAnsi="Arial" w:eastAsia="黑体"/>
          <w:bCs/>
          <w:color w:val="auto"/>
          <w:kern w:val="0"/>
          <w:sz w:val="28"/>
          <w:szCs w:val="28"/>
        </w:rPr>
      </w:pPr>
    </w:p>
    <w:p w14:paraId="5EF00B69">
      <w:pPr>
        <w:keepLines/>
        <w:snapToGrid w:val="0"/>
        <w:spacing w:before="280" w:after="290" w:line="374" w:lineRule="auto"/>
        <w:jc w:val="center"/>
        <w:rPr>
          <w:rStyle w:val="68"/>
          <w:rFonts w:ascii="Arial" w:hAnsi="Arial" w:eastAsia="黑体"/>
          <w:bCs/>
          <w:color w:val="auto"/>
          <w:kern w:val="0"/>
          <w:sz w:val="28"/>
          <w:szCs w:val="28"/>
        </w:rPr>
      </w:pPr>
    </w:p>
    <w:p w14:paraId="23215131">
      <w:pPr>
        <w:keepLines/>
        <w:snapToGrid w:val="0"/>
        <w:spacing w:before="280" w:after="290" w:line="374" w:lineRule="auto"/>
        <w:jc w:val="center"/>
        <w:rPr>
          <w:rStyle w:val="68"/>
          <w:rFonts w:ascii="Arial" w:hAnsi="Arial" w:eastAsia="黑体"/>
          <w:bCs/>
          <w:color w:val="auto"/>
          <w:kern w:val="0"/>
          <w:sz w:val="28"/>
          <w:szCs w:val="28"/>
        </w:rPr>
      </w:pPr>
    </w:p>
    <w:p w14:paraId="536D6832">
      <w:pPr>
        <w:keepLines/>
        <w:snapToGrid w:val="0"/>
        <w:spacing w:before="280" w:after="290" w:line="374" w:lineRule="auto"/>
        <w:jc w:val="center"/>
        <w:rPr>
          <w:rStyle w:val="68"/>
          <w:rFonts w:ascii="Arial" w:hAnsi="Arial" w:eastAsia="黑体"/>
          <w:bCs/>
          <w:color w:val="auto"/>
          <w:kern w:val="0"/>
          <w:sz w:val="28"/>
          <w:szCs w:val="28"/>
        </w:rPr>
      </w:pPr>
    </w:p>
    <w:p w14:paraId="189197C5">
      <w:pPr>
        <w:keepLines/>
        <w:snapToGrid w:val="0"/>
        <w:spacing w:before="280" w:after="290" w:line="374" w:lineRule="auto"/>
        <w:jc w:val="center"/>
        <w:rPr>
          <w:rStyle w:val="68"/>
          <w:rFonts w:ascii="Arial" w:hAnsi="Arial" w:eastAsia="黑体"/>
          <w:bCs/>
          <w:color w:val="auto"/>
          <w:kern w:val="0"/>
          <w:sz w:val="28"/>
          <w:szCs w:val="28"/>
        </w:rPr>
      </w:pPr>
    </w:p>
    <w:p w14:paraId="739F5738">
      <w:pPr>
        <w:keepLines/>
        <w:snapToGrid w:val="0"/>
        <w:spacing w:before="280" w:after="290" w:line="374" w:lineRule="auto"/>
        <w:jc w:val="center"/>
        <w:rPr>
          <w:rStyle w:val="68"/>
          <w:rFonts w:ascii="Arial" w:hAnsi="Arial" w:eastAsia="黑体"/>
          <w:bCs/>
          <w:color w:val="auto"/>
          <w:kern w:val="0"/>
          <w:sz w:val="28"/>
          <w:szCs w:val="28"/>
        </w:rPr>
      </w:pPr>
    </w:p>
    <w:p w14:paraId="268EDD72">
      <w:pPr>
        <w:keepLines/>
        <w:snapToGrid w:val="0"/>
        <w:spacing w:before="280" w:after="290" w:line="374" w:lineRule="auto"/>
        <w:jc w:val="center"/>
        <w:rPr>
          <w:rStyle w:val="68"/>
          <w:rFonts w:ascii="Arial" w:hAnsi="Arial" w:eastAsia="黑体"/>
          <w:bCs/>
          <w:color w:val="auto"/>
          <w:kern w:val="0"/>
          <w:sz w:val="28"/>
          <w:szCs w:val="28"/>
        </w:rPr>
      </w:pPr>
    </w:p>
    <w:p w14:paraId="355177B4">
      <w:pPr>
        <w:keepLines/>
        <w:snapToGrid w:val="0"/>
        <w:spacing w:before="280" w:after="290" w:line="374" w:lineRule="auto"/>
        <w:jc w:val="center"/>
        <w:rPr>
          <w:rStyle w:val="68"/>
          <w:rFonts w:ascii="Arial" w:hAnsi="Arial" w:eastAsia="黑体"/>
          <w:bCs/>
          <w:color w:val="auto"/>
          <w:kern w:val="0"/>
          <w:sz w:val="28"/>
          <w:szCs w:val="28"/>
        </w:rPr>
      </w:pPr>
    </w:p>
    <w:p w14:paraId="7A237A8E">
      <w:pPr>
        <w:keepLines/>
        <w:snapToGrid w:val="0"/>
        <w:spacing w:before="280" w:after="290" w:line="374" w:lineRule="auto"/>
        <w:jc w:val="center"/>
        <w:rPr>
          <w:rStyle w:val="68"/>
          <w:rFonts w:ascii="Arial" w:hAnsi="Arial" w:eastAsia="黑体"/>
          <w:bCs/>
          <w:color w:val="auto"/>
          <w:kern w:val="0"/>
          <w:sz w:val="28"/>
          <w:szCs w:val="28"/>
        </w:rPr>
      </w:pPr>
    </w:p>
    <w:p w14:paraId="2D6C7BFE">
      <w:pPr>
        <w:keepLines/>
        <w:snapToGrid w:val="0"/>
        <w:spacing w:before="280" w:after="290" w:line="374" w:lineRule="auto"/>
        <w:jc w:val="center"/>
        <w:rPr>
          <w:rStyle w:val="68"/>
          <w:rFonts w:ascii="Arial" w:hAnsi="Arial" w:eastAsia="黑体"/>
          <w:bCs/>
          <w:color w:val="auto"/>
          <w:kern w:val="0"/>
          <w:sz w:val="28"/>
          <w:szCs w:val="28"/>
        </w:rPr>
      </w:pPr>
    </w:p>
    <w:p w14:paraId="5CFA2AC7">
      <w:pPr>
        <w:keepLines/>
        <w:snapToGrid w:val="0"/>
        <w:spacing w:before="280" w:after="290" w:line="374" w:lineRule="auto"/>
        <w:jc w:val="center"/>
        <w:rPr>
          <w:rStyle w:val="68"/>
          <w:rFonts w:ascii="Arial" w:hAnsi="Arial" w:eastAsia="黑体"/>
          <w:bCs/>
          <w:color w:val="auto"/>
          <w:kern w:val="0"/>
          <w:sz w:val="28"/>
          <w:szCs w:val="28"/>
        </w:rPr>
      </w:pPr>
    </w:p>
    <w:p w14:paraId="42DC4595">
      <w:pPr>
        <w:keepLines/>
        <w:snapToGrid w:val="0"/>
        <w:spacing w:before="280" w:after="290" w:line="374" w:lineRule="auto"/>
        <w:jc w:val="center"/>
        <w:rPr>
          <w:rStyle w:val="68"/>
          <w:rFonts w:ascii="Arial" w:hAnsi="Arial" w:eastAsia="黑体"/>
          <w:bCs/>
          <w:color w:val="auto"/>
          <w:kern w:val="0"/>
          <w:sz w:val="28"/>
          <w:szCs w:val="28"/>
        </w:rPr>
      </w:pPr>
    </w:p>
    <w:p w14:paraId="4AD89AA1">
      <w:pPr>
        <w:keepLines/>
        <w:snapToGrid w:val="0"/>
        <w:spacing w:before="280" w:after="290" w:line="374" w:lineRule="auto"/>
        <w:jc w:val="center"/>
        <w:rPr>
          <w:rStyle w:val="68"/>
          <w:rFonts w:ascii="Arial" w:hAnsi="Arial" w:eastAsia="黑体"/>
          <w:bCs/>
          <w:color w:val="auto"/>
          <w:kern w:val="0"/>
          <w:sz w:val="28"/>
          <w:szCs w:val="28"/>
        </w:rPr>
      </w:pPr>
    </w:p>
    <w:p w14:paraId="2128FEC8">
      <w:pPr>
        <w:snapToGrid w:val="0"/>
        <w:rPr>
          <w:rStyle w:val="68"/>
          <w:color w:val="auto"/>
        </w:rPr>
      </w:pPr>
    </w:p>
    <w:p w14:paraId="7AA4D429">
      <w:pPr>
        <w:snapToGrid w:val="0"/>
        <w:rPr>
          <w:rStyle w:val="68"/>
          <w:color w:val="auto"/>
        </w:rPr>
      </w:pPr>
    </w:p>
    <w:p w14:paraId="461AE474">
      <w:pPr>
        <w:tabs>
          <w:tab w:val="left" w:pos="142"/>
        </w:tabs>
        <w:autoSpaceDE w:val="0"/>
        <w:autoSpaceDN w:val="0"/>
        <w:adjustRightInd w:val="0"/>
        <w:spacing w:line="360" w:lineRule="auto"/>
        <w:ind w:left="-2" w:leftChars="-1" w:firstLine="2"/>
        <w:jc w:val="center"/>
        <w:textAlignment w:val="baseline"/>
        <w:outlineLvl w:val="3"/>
        <w:rPr>
          <w:rFonts w:ascii="宋体" w:hAnsi="宋体" w:eastAsia="宋体"/>
          <w:color w:val="auto"/>
          <w:kern w:val="0"/>
          <w:sz w:val="32"/>
          <w:szCs w:val="32"/>
          <w:highlight w:val="none"/>
        </w:rPr>
      </w:pPr>
      <w:r>
        <w:rPr>
          <w:rFonts w:hint="eastAsia" w:ascii="宋体" w:hAnsi="宋体" w:eastAsia="宋体"/>
          <w:color w:val="auto"/>
          <w:kern w:val="0"/>
          <w:sz w:val="32"/>
          <w:szCs w:val="32"/>
          <w:highlight w:val="none"/>
        </w:rPr>
        <w:t>（</w:t>
      </w:r>
      <w:r>
        <w:rPr>
          <w:rFonts w:hint="eastAsia" w:ascii="宋体" w:hAnsi="宋体" w:eastAsia="宋体"/>
          <w:color w:val="auto"/>
          <w:kern w:val="0"/>
          <w:sz w:val="32"/>
          <w:szCs w:val="32"/>
          <w:highlight w:val="none"/>
          <w:lang w:eastAsia="zh-CN"/>
        </w:rPr>
        <w:t>三</w:t>
      </w:r>
      <w:r>
        <w:rPr>
          <w:rFonts w:hint="eastAsia" w:ascii="宋体" w:hAnsi="宋体" w:eastAsia="宋体"/>
          <w:color w:val="auto"/>
          <w:kern w:val="0"/>
          <w:sz w:val="32"/>
          <w:szCs w:val="32"/>
          <w:highlight w:val="none"/>
        </w:rPr>
        <w:t>）商务和技术偏差表</w:t>
      </w:r>
    </w:p>
    <w:p w14:paraId="2AF1C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1A9DAA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　　　</w:t>
      </w:r>
    </w:p>
    <w:tbl>
      <w:tblPr>
        <w:tblStyle w:val="33"/>
        <w:tblpPr w:leftFromText="180" w:rightFromText="180" w:vertAnchor="text" w:horzAnchor="page" w:tblpX="1717" w:tblpY="481"/>
        <w:tblOverlap w:val="never"/>
        <w:tblW w:w="89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386"/>
        <w:gridCol w:w="2074"/>
        <w:gridCol w:w="2303"/>
        <w:gridCol w:w="2191"/>
      </w:tblGrid>
      <w:tr w14:paraId="4BE4D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952" w:type="dxa"/>
            <w:tcBorders>
              <w:tl2br w:val="nil"/>
              <w:tr2bl w:val="nil"/>
            </w:tcBorders>
            <w:noWrap w:val="0"/>
            <w:vAlign w:val="center"/>
          </w:tcPr>
          <w:p w14:paraId="064A83BA">
            <w:pPr>
              <w:jc w:val="center"/>
              <w:rPr>
                <w:rFonts w:hint="eastAsia" w:ascii="宋体" w:hAnsi="宋体" w:eastAsia="宋体" w:cs="Calibri"/>
                <w:color w:val="auto"/>
                <w:kern w:val="0"/>
                <w:sz w:val="21"/>
                <w:szCs w:val="21"/>
                <w:lang w:val="en-US" w:eastAsia="zh-CN"/>
              </w:rPr>
            </w:pPr>
            <w:bookmarkStart w:id="150" w:name="_Toc38373978"/>
            <w:bookmarkStart w:id="151" w:name="_Toc9828"/>
            <w:bookmarkStart w:id="152" w:name="_Toc14023"/>
            <w:bookmarkStart w:id="153" w:name="_Toc16842"/>
            <w:r>
              <w:rPr>
                <w:rFonts w:hint="eastAsia" w:ascii="宋体" w:hAnsi="宋体" w:eastAsia="宋体" w:cs="Calibri"/>
                <w:color w:val="auto"/>
                <w:kern w:val="0"/>
                <w:sz w:val="21"/>
                <w:szCs w:val="21"/>
                <w:lang w:val="en-US" w:eastAsia="zh-CN"/>
              </w:rPr>
              <w:t>序号</w:t>
            </w:r>
            <w:bookmarkEnd w:id="150"/>
            <w:bookmarkEnd w:id="151"/>
            <w:bookmarkEnd w:id="152"/>
            <w:bookmarkEnd w:id="153"/>
          </w:p>
        </w:tc>
        <w:tc>
          <w:tcPr>
            <w:tcW w:w="1386" w:type="dxa"/>
            <w:tcBorders>
              <w:tl2br w:val="nil"/>
              <w:tr2bl w:val="nil"/>
            </w:tcBorders>
            <w:noWrap w:val="0"/>
            <w:vAlign w:val="center"/>
          </w:tcPr>
          <w:p w14:paraId="786650B8">
            <w:pPr>
              <w:jc w:val="center"/>
              <w:rPr>
                <w:rFonts w:hint="default" w:ascii="宋体" w:hAnsi="宋体" w:eastAsia="宋体" w:cs="Calibri"/>
                <w:color w:val="auto"/>
                <w:kern w:val="0"/>
                <w:sz w:val="21"/>
                <w:szCs w:val="21"/>
                <w:lang w:val="en-US" w:eastAsia="zh-CN"/>
              </w:rPr>
            </w:pPr>
            <w:r>
              <w:rPr>
                <w:rFonts w:hint="eastAsia" w:ascii="宋体" w:hAnsi="宋体" w:eastAsia="宋体" w:cs="Calibri"/>
                <w:color w:val="auto"/>
                <w:kern w:val="0"/>
                <w:sz w:val="21"/>
                <w:szCs w:val="21"/>
                <w:lang w:val="en-US" w:eastAsia="zh-CN"/>
              </w:rPr>
              <w:t>项目/磋商文件条款</w:t>
            </w:r>
          </w:p>
        </w:tc>
        <w:tc>
          <w:tcPr>
            <w:tcW w:w="2074" w:type="dxa"/>
            <w:tcBorders>
              <w:tl2br w:val="nil"/>
              <w:tr2bl w:val="nil"/>
            </w:tcBorders>
            <w:noWrap w:val="0"/>
            <w:vAlign w:val="center"/>
          </w:tcPr>
          <w:p w14:paraId="4A55E209">
            <w:pPr>
              <w:jc w:val="center"/>
              <w:rPr>
                <w:rFonts w:hint="eastAsia" w:ascii="宋体" w:hAnsi="宋体" w:eastAsia="宋体" w:cs="Calibri"/>
                <w:color w:val="auto"/>
                <w:kern w:val="0"/>
                <w:sz w:val="21"/>
                <w:szCs w:val="21"/>
                <w:lang w:val="en-US" w:eastAsia="zh-CN"/>
              </w:rPr>
            </w:pPr>
            <w:bookmarkStart w:id="154" w:name="_Toc29524"/>
            <w:bookmarkStart w:id="155" w:name="_Toc38373980"/>
            <w:bookmarkStart w:id="156" w:name="_Toc213"/>
            <w:r>
              <w:rPr>
                <w:rFonts w:hint="eastAsia" w:ascii="宋体" w:hAnsi="宋体" w:eastAsia="宋体" w:cs="Calibri"/>
                <w:color w:val="auto"/>
                <w:kern w:val="0"/>
                <w:sz w:val="21"/>
                <w:szCs w:val="21"/>
                <w:lang w:val="en-US" w:eastAsia="zh-CN"/>
              </w:rPr>
              <w:t>磋商文件</w:t>
            </w:r>
            <w:bookmarkEnd w:id="154"/>
            <w:bookmarkEnd w:id="155"/>
            <w:r>
              <w:rPr>
                <w:rFonts w:hint="eastAsia" w:ascii="宋体" w:hAnsi="宋体" w:eastAsia="宋体" w:cs="Calibri"/>
                <w:color w:val="auto"/>
                <w:kern w:val="0"/>
                <w:sz w:val="21"/>
                <w:szCs w:val="21"/>
                <w:lang w:val="en-US" w:eastAsia="zh-CN"/>
              </w:rPr>
              <w:t>要求</w:t>
            </w:r>
            <w:bookmarkEnd w:id="156"/>
          </w:p>
        </w:tc>
        <w:tc>
          <w:tcPr>
            <w:tcW w:w="2303" w:type="dxa"/>
            <w:tcBorders>
              <w:tl2br w:val="nil"/>
              <w:tr2bl w:val="nil"/>
            </w:tcBorders>
            <w:noWrap w:val="0"/>
            <w:vAlign w:val="center"/>
          </w:tcPr>
          <w:p w14:paraId="5B53D4B6">
            <w:pPr>
              <w:jc w:val="center"/>
              <w:rPr>
                <w:rFonts w:hint="eastAsia" w:ascii="宋体" w:hAnsi="宋体" w:eastAsia="宋体" w:cs="Calibri"/>
                <w:color w:val="auto"/>
                <w:kern w:val="0"/>
                <w:sz w:val="21"/>
                <w:szCs w:val="21"/>
                <w:lang w:val="en-US" w:eastAsia="zh-CN"/>
              </w:rPr>
            </w:pPr>
            <w:bookmarkStart w:id="157" w:name="_Toc38373981"/>
            <w:bookmarkStart w:id="158" w:name="_Toc12806"/>
            <w:bookmarkStart w:id="159" w:name="_Toc26884"/>
            <w:bookmarkStart w:id="160" w:name="_Toc16327"/>
            <w:r>
              <w:rPr>
                <w:rFonts w:hint="eastAsia" w:ascii="宋体" w:hAnsi="宋体" w:eastAsia="宋体" w:cs="Calibri"/>
                <w:color w:val="auto"/>
                <w:kern w:val="0"/>
                <w:sz w:val="21"/>
                <w:szCs w:val="21"/>
                <w:lang w:val="en-US" w:eastAsia="zh-CN"/>
              </w:rPr>
              <w:t>响应文件</w:t>
            </w:r>
            <w:bookmarkEnd w:id="157"/>
            <w:bookmarkEnd w:id="158"/>
            <w:bookmarkEnd w:id="159"/>
            <w:bookmarkEnd w:id="160"/>
            <w:r>
              <w:rPr>
                <w:rFonts w:hint="eastAsia" w:ascii="宋体" w:hAnsi="宋体" w:eastAsia="宋体" w:cs="Calibri"/>
                <w:color w:val="auto"/>
                <w:kern w:val="0"/>
                <w:sz w:val="21"/>
                <w:szCs w:val="21"/>
                <w:lang w:val="en-US" w:eastAsia="zh-CN"/>
              </w:rPr>
              <w:t>响应</w:t>
            </w:r>
          </w:p>
        </w:tc>
        <w:tc>
          <w:tcPr>
            <w:tcW w:w="2191" w:type="dxa"/>
            <w:tcBorders>
              <w:tl2br w:val="nil"/>
              <w:tr2bl w:val="nil"/>
            </w:tcBorders>
            <w:noWrap w:val="0"/>
            <w:vAlign w:val="center"/>
          </w:tcPr>
          <w:p w14:paraId="3E61F490">
            <w:pPr>
              <w:jc w:val="center"/>
              <w:rPr>
                <w:rFonts w:hint="eastAsia" w:ascii="宋体" w:hAnsi="宋体" w:eastAsia="宋体" w:cs="Calibri"/>
                <w:color w:val="auto"/>
                <w:kern w:val="0"/>
                <w:sz w:val="21"/>
                <w:szCs w:val="21"/>
                <w:lang w:val="en-US" w:eastAsia="zh-CN"/>
              </w:rPr>
            </w:pPr>
            <w:r>
              <w:rPr>
                <w:rFonts w:hint="eastAsia" w:ascii="宋体" w:hAnsi="宋体" w:eastAsia="宋体" w:cs="Calibri"/>
                <w:color w:val="auto"/>
                <w:kern w:val="0"/>
                <w:sz w:val="21"/>
                <w:szCs w:val="21"/>
                <w:lang w:val="en-US" w:eastAsia="zh-CN"/>
              </w:rPr>
              <w:t>偏离情况</w:t>
            </w:r>
          </w:p>
        </w:tc>
      </w:tr>
      <w:tr w14:paraId="5E907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52" w:type="dxa"/>
            <w:tcBorders>
              <w:tl2br w:val="nil"/>
              <w:tr2bl w:val="nil"/>
            </w:tcBorders>
            <w:noWrap w:val="0"/>
            <w:vAlign w:val="top"/>
          </w:tcPr>
          <w:p w14:paraId="2A973351">
            <w:pPr>
              <w:widowControl/>
              <w:spacing w:line="360" w:lineRule="auto"/>
              <w:jc w:val="center"/>
              <w:outlineLvl w:val="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386" w:type="dxa"/>
            <w:tcBorders>
              <w:tl2br w:val="nil"/>
              <w:tr2bl w:val="nil"/>
            </w:tcBorders>
            <w:noWrap w:val="0"/>
            <w:vAlign w:val="top"/>
          </w:tcPr>
          <w:p w14:paraId="222E3EC7">
            <w:pPr>
              <w:widowControl/>
              <w:spacing w:line="360" w:lineRule="auto"/>
              <w:jc w:val="center"/>
              <w:outlineLvl w:val="0"/>
              <w:rPr>
                <w:rFonts w:hint="eastAsia" w:ascii="宋体" w:hAnsi="宋体" w:eastAsia="宋体" w:cs="宋体"/>
                <w:color w:val="auto"/>
                <w:kern w:val="0"/>
                <w:sz w:val="44"/>
                <w:szCs w:val="21"/>
              </w:rPr>
            </w:pPr>
          </w:p>
        </w:tc>
        <w:tc>
          <w:tcPr>
            <w:tcW w:w="2074" w:type="dxa"/>
            <w:tcBorders>
              <w:tl2br w:val="nil"/>
              <w:tr2bl w:val="nil"/>
            </w:tcBorders>
            <w:noWrap w:val="0"/>
            <w:vAlign w:val="top"/>
          </w:tcPr>
          <w:p w14:paraId="61537135">
            <w:pPr>
              <w:widowControl/>
              <w:spacing w:line="360" w:lineRule="auto"/>
              <w:jc w:val="center"/>
              <w:outlineLvl w:val="0"/>
              <w:rPr>
                <w:rFonts w:hint="eastAsia" w:ascii="宋体" w:hAnsi="宋体" w:eastAsia="宋体" w:cs="宋体"/>
                <w:color w:val="auto"/>
                <w:kern w:val="0"/>
                <w:sz w:val="44"/>
                <w:szCs w:val="21"/>
              </w:rPr>
            </w:pPr>
          </w:p>
        </w:tc>
        <w:tc>
          <w:tcPr>
            <w:tcW w:w="2303" w:type="dxa"/>
            <w:tcBorders>
              <w:tl2br w:val="nil"/>
              <w:tr2bl w:val="nil"/>
            </w:tcBorders>
            <w:noWrap w:val="0"/>
            <w:vAlign w:val="top"/>
          </w:tcPr>
          <w:p w14:paraId="25A1529D">
            <w:pPr>
              <w:widowControl/>
              <w:spacing w:line="360" w:lineRule="auto"/>
              <w:jc w:val="center"/>
              <w:outlineLvl w:val="0"/>
              <w:rPr>
                <w:rFonts w:hint="eastAsia" w:ascii="宋体" w:hAnsi="宋体" w:eastAsia="宋体" w:cs="宋体"/>
                <w:color w:val="auto"/>
                <w:kern w:val="0"/>
                <w:sz w:val="44"/>
                <w:szCs w:val="21"/>
              </w:rPr>
            </w:pPr>
          </w:p>
        </w:tc>
        <w:tc>
          <w:tcPr>
            <w:tcW w:w="2191" w:type="dxa"/>
            <w:tcBorders>
              <w:tl2br w:val="nil"/>
              <w:tr2bl w:val="nil"/>
            </w:tcBorders>
            <w:noWrap w:val="0"/>
            <w:vAlign w:val="top"/>
          </w:tcPr>
          <w:p w14:paraId="1E5E1CE8">
            <w:pPr>
              <w:jc w:val="center"/>
              <w:rPr>
                <w:rFonts w:hint="eastAsia" w:ascii="宋体" w:hAnsi="宋体" w:eastAsia="宋体" w:cs="宋体"/>
                <w:color w:val="auto"/>
                <w:kern w:val="0"/>
                <w:sz w:val="21"/>
                <w:szCs w:val="21"/>
              </w:rPr>
            </w:pPr>
            <w:r>
              <w:rPr>
                <w:rFonts w:hint="eastAsia" w:ascii="宋体" w:hAnsi="宋体" w:eastAsia="宋体" w:cs="Calibri"/>
                <w:color w:val="auto"/>
                <w:kern w:val="0"/>
                <w:sz w:val="21"/>
                <w:szCs w:val="21"/>
                <w:lang w:val="en-US" w:eastAsia="zh-CN"/>
              </w:rPr>
              <w:t>若无偏离，请标明 “完全响应”。</w:t>
            </w:r>
          </w:p>
        </w:tc>
      </w:tr>
      <w:tr w14:paraId="65497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52" w:type="dxa"/>
            <w:tcBorders>
              <w:tl2br w:val="nil"/>
              <w:tr2bl w:val="nil"/>
            </w:tcBorders>
            <w:noWrap w:val="0"/>
            <w:vAlign w:val="top"/>
          </w:tcPr>
          <w:p w14:paraId="6FBCEB3A">
            <w:pPr>
              <w:widowControl/>
              <w:spacing w:line="360" w:lineRule="auto"/>
              <w:jc w:val="center"/>
              <w:outlineLvl w:val="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386" w:type="dxa"/>
            <w:tcBorders>
              <w:tl2br w:val="nil"/>
              <w:tr2bl w:val="nil"/>
            </w:tcBorders>
            <w:noWrap w:val="0"/>
            <w:vAlign w:val="top"/>
          </w:tcPr>
          <w:p w14:paraId="752FB30B">
            <w:pPr>
              <w:widowControl/>
              <w:spacing w:line="360" w:lineRule="auto"/>
              <w:jc w:val="center"/>
              <w:outlineLvl w:val="0"/>
              <w:rPr>
                <w:rFonts w:hint="eastAsia" w:ascii="宋体" w:hAnsi="宋体" w:eastAsia="宋体" w:cs="宋体"/>
                <w:color w:val="auto"/>
                <w:kern w:val="0"/>
                <w:sz w:val="24"/>
                <w:szCs w:val="21"/>
              </w:rPr>
            </w:pPr>
          </w:p>
        </w:tc>
        <w:tc>
          <w:tcPr>
            <w:tcW w:w="2074" w:type="dxa"/>
            <w:tcBorders>
              <w:tl2br w:val="nil"/>
              <w:tr2bl w:val="nil"/>
            </w:tcBorders>
            <w:noWrap w:val="0"/>
            <w:vAlign w:val="top"/>
          </w:tcPr>
          <w:p w14:paraId="149C7F21">
            <w:pPr>
              <w:widowControl/>
              <w:spacing w:line="360" w:lineRule="auto"/>
              <w:jc w:val="center"/>
              <w:outlineLvl w:val="0"/>
              <w:rPr>
                <w:rFonts w:hint="eastAsia" w:ascii="宋体" w:hAnsi="宋体" w:eastAsia="宋体" w:cs="宋体"/>
                <w:color w:val="auto"/>
                <w:kern w:val="0"/>
                <w:sz w:val="24"/>
                <w:szCs w:val="21"/>
              </w:rPr>
            </w:pPr>
          </w:p>
        </w:tc>
        <w:tc>
          <w:tcPr>
            <w:tcW w:w="2303" w:type="dxa"/>
            <w:tcBorders>
              <w:tl2br w:val="nil"/>
              <w:tr2bl w:val="nil"/>
            </w:tcBorders>
            <w:noWrap w:val="0"/>
            <w:vAlign w:val="top"/>
          </w:tcPr>
          <w:p w14:paraId="1A950E97">
            <w:pPr>
              <w:widowControl/>
              <w:spacing w:line="360" w:lineRule="auto"/>
              <w:jc w:val="center"/>
              <w:outlineLvl w:val="0"/>
              <w:rPr>
                <w:rFonts w:hint="eastAsia" w:ascii="宋体" w:hAnsi="宋体" w:eastAsia="宋体" w:cs="宋体"/>
                <w:color w:val="auto"/>
                <w:kern w:val="0"/>
                <w:sz w:val="24"/>
                <w:szCs w:val="21"/>
              </w:rPr>
            </w:pPr>
          </w:p>
        </w:tc>
        <w:tc>
          <w:tcPr>
            <w:tcW w:w="2191" w:type="dxa"/>
            <w:tcBorders>
              <w:tl2br w:val="nil"/>
              <w:tr2bl w:val="nil"/>
            </w:tcBorders>
            <w:noWrap w:val="0"/>
            <w:vAlign w:val="top"/>
          </w:tcPr>
          <w:p w14:paraId="6E8F0A0F">
            <w:pPr>
              <w:widowControl/>
              <w:spacing w:line="360" w:lineRule="auto"/>
              <w:jc w:val="center"/>
              <w:outlineLvl w:val="0"/>
              <w:rPr>
                <w:rFonts w:hint="eastAsia" w:ascii="宋体" w:hAnsi="宋体" w:eastAsia="宋体" w:cs="宋体"/>
                <w:color w:val="auto"/>
                <w:kern w:val="0"/>
                <w:sz w:val="24"/>
                <w:szCs w:val="21"/>
              </w:rPr>
            </w:pPr>
          </w:p>
        </w:tc>
      </w:tr>
      <w:tr w14:paraId="0F29B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52" w:type="dxa"/>
            <w:tcBorders>
              <w:tl2br w:val="nil"/>
              <w:tr2bl w:val="nil"/>
            </w:tcBorders>
            <w:noWrap w:val="0"/>
            <w:vAlign w:val="top"/>
          </w:tcPr>
          <w:p w14:paraId="7F3F95EF">
            <w:pPr>
              <w:widowControl/>
              <w:spacing w:line="360" w:lineRule="auto"/>
              <w:jc w:val="center"/>
              <w:outlineLvl w:val="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386" w:type="dxa"/>
            <w:tcBorders>
              <w:tl2br w:val="nil"/>
              <w:tr2bl w:val="nil"/>
            </w:tcBorders>
            <w:noWrap w:val="0"/>
            <w:vAlign w:val="top"/>
          </w:tcPr>
          <w:p w14:paraId="52165D11">
            <w:pPr>
              <w:widowControl/>
              <w:spacing w:line="360" w:lineRule="auto"/>
              <w:jc w:val="center"/>
              <w:outlineLvl w:val="0"/>
              <w:rPr>
                <w:rFonts w:hint="eastAsia" w:ascii="宋体" w:hAnsi="宋体" w:eastAsia="宋体" w:cs="宋体"/>
                <w:color w:val="auto"/>
                <w:kern w:val="0"/>
                <w:sz w:val="24"/>
                <w:szCs w:val="21"/>
              </w:rPr>
            </w:pPr>
          </w:p>
        </w:tc>
        <w:tc>
          <w:tcPr>
            <w:tcW w:w="2074" w:type="dxa"/>
            <w:tcBorders>
              <w:tl2br w:val="nil"/>
              <w:tr2bl w:val="nil"/>
            </w:tcBorders>
            <w:noWrap w:val="0"/>
            <w:vAlign w:val="top"/>
          </w:tcPr>
          <w:p w14:paraId="373A3756">
            <w:pPr>
              <w:widowControl/>
              <w:spacing w:line="360" w:lineRule="auto"/>
              <w:jc w:val="center"/>
              <w:outlineLvl w:val="0"/>
              <w:rPr>
                <w:rFonts w:hint="eastAsia" w:ascii="宋体" w:hAnsi="宋体" w:eastAsia="宋体" w:cs="宋体"/>
                <w:color w:val="auto"/>
                <w:kern w:val="0"/>
                <w:sz w:val="24"/>
                <w:szCs w:val="21"/>
              </w:rPr>
            </w:pPr>
          </w:p>
        </w:tc>
        <w:tc>
          <w:tcPr>
            <w:tcW w:w="2303" w:type="dxa"/>
            <w:tcBorders>
              <w:tl2br w:val="nil"/>
              <w:tr2bl w:val="nil"/>
            </w:tcBorders>
            <w:noWrap w:val="0"/>
            <w:vAlign w:val="top"/>
          </w:tcPr>
          <w:p w14:paraId="0E1D0D7B">
            <w:pPr>
              <w:widowControl/>
              <w:spacing w:line="360" w:lineRule="auto"/>
              <w:jc w:val="center"/>
              <w:outlineLvl w:val="0"/>
              <w:rPr>
                <w:rFonts w:hint="eastAsia" w:ascii="宋体" w:hAnsi="宋体" w:eastAsia="宋体" w:cs="宋体"/>
                <w:color w:val="auto"/>
                <w:kern w:val="0"/>
                <w:sz w:val="24"/>
                <w:szCs w:val="21"/>
              </w:rPr>
            </w:pPr>
          </w:p>
        </w:tc>
        <w:tc>
          <w:tcPr>
            <w:tcW w:w="2191" w:type="dxa"/>
            <w:tcBorders>
              <w:tl2br w:val="nil"/>
              <w:tr2bl w:val="nil"/>
            </w:tcBorders>
            <w:noWrap w:val="0"/>
            <w:vAlign w:val="top"/>
          </w:tcPr>
          <w:p w14:paraId="25489ED3">
            <w:pPr>
              <w:widowControl/>
              <w:spacing w:line="360" w:lineRule="auto"/>
              <w:jc w:val="center"/>
              <w:outlineLvl w:val="0"/>
              <w:rPr>
                <w:rFonts w:hint="eastAsia" w:ascii="宋体" w:hAnsi="宋体" w:eastAsia="宋体" w:cs="宋体"/>
                <w:color w:val="auto"/>
                <w:kern w:val="0"/>
                <w:sz w:val="24"/>
                <w:szCs w:val="21"/>
              </w:rPr>
            </w:pPr>
          </w:p>
        </w:tc>
      </w:tr>
      <w:tr w14:paraId="572BD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52" w:type="dxa"/>
            <w:tcBorders>
              <w:tl2br w:val="nil"/>
              <w:tr2bl w:val="nil"/>
            </w:tcBorders>
            <w:noWrap w:val="0"/>
            <w:vAlign w:val="top"/>
          </w:tcPr>
          <w:p w14:paraId="2ED593C6">
            <w:pPr>
              <w:widowControl/>
              <w:spacing w:line="360" w:lineRule="auto"/>
              <w:jc w:val="center"/>
              <w:outlineLvl w:val="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386" w:type="dxa"/>
            <w:tcBorders>
              <w:tl2br w:val="nil"/>
              <w:tr2bl w:val="nil"/>
            </w:tcBorders>
            <w:noWrap w:val="0"/>
            <w:vAlign w:val="top"/>
          </w:tcPr>
          <w:p w14:paraId="5F4F2211">
            <w:pPr>
              <w:widowControl/>
              <w:spacing w:line="360" w:lineRule="auto"/>
              <w:jc w:val="center"/>
              <w:outlineLvl w:val="0"/>
              <w:rPr>
                <w:rFonts w:hint="eastAsia" w:ascii="宋体" w:hAnsi="宋体" w:eastAsia="宋体" w:cs="宋体"/>
                <w:color w:val="auto"/>
                <w:kern w:val="0"/>
                <w:sz w:val="24"/>
                <w:szCs w:val="21"/>
              </w:rPr>
            </w:pPr>
          </w:p>
        </w:tc>
        <w:tc>
          <w:tcPr>
            <w:tcW w:w="2074" w:type="dxa"/>
            <w:tcBorders>
              <w:tl2br w:val="nil"/>
              <w:tr2bl w:val="nil"/>
            </w:tcBorders>
            <w:noWrap w:val="0"/>
            <w:vAlign w:val="top"/>
          </w:tcPr>
          <w:p w14:paraId="46B48213">
            <w:pPr>
              <w:widowControl/>
              <w:spacing w:line="360" w:lineRule="auto"/>
              <w:jc w:val="center"/>
              <w:outlineLvl w:val="0"/>
              <w:rPr>
                <w:rFonts w:hint="eastAsia" w:ascii="宋体" w:hAnsi="宋体" w:eastAsia="宋体" w:cs="宋体"/>
                <w:color w:val="auto"/>
                <w:kern w:val="0"/>
                <w:sz w:val="24"/>
                <w:szCs w:val="21"/>
              </w:rPr>
            </w:pPr>
          </w:p>
        </w:tc>
        <w:tc>
          <w:tcPr>
            <w:tcW w:w="2303" w:type="dxa"/>
            <w:tcBorders>
              <w:tl2br w:val="nil"/>
              <w:tr2bl w:val="nil"/>
            </w:tcBorders>
            <w:noWrap w:val="0"/>
            <w:vAlign w:val="top"/>
          </w:tcPr>
          <w:p w14:paraId="7F86317F">
            <w:pPr>
              <w:widowControl/>
              <w:spacing w:line="360" w:lineRule="auto"/>
              <w:jc w:val="center"/>
              <w:outlineLvl w:val="0"/>
              <w:rPr>
                <w:rFonts w:hint="eastAsia" w:ascii="宋体" w:hAnsi="宋体" w:eastAsia="宋体" w:cs="宋体"/>
                <w:color w:val="auto"/>
                <w:kern w:val="0"/>
                <w:sz w:val="24"/>
                <w:szCs w:val="21"/>
              </w:rPr>
            </w:pPr>
          </w:p>
        </w:tc>
        <w:tc>
          <w:tcPr>
            <w:tcW w:w="2191" w:type="dxa"/>
            <w:tcBorders>
              <w:tl2br w:val="nil"/>
              <w:tr2bl w:val="nil"/>
            </w:tcBorders>
            <w:noWrap w:val="0"/>
            <w:vAlign w:val="top"/>
          </w:tcPr>
          <w:p w14:paraId="7738921B">
            <w:pPr>
              <w:widowControl/>
              <w:spacing w:line="360" w:lineRule="auto"/>
              <w:jc w:val="center"/>
              <w:outlineLvl w:val="0"/>
              <w:rPr>
                <w:rFonts w:hint="eastAsia" w:ascii="宋体" w:hAnsi="宋体" w:eastAsia="宋体" w:cs="宋体"/>
                <w:color w:val="auto"/>
                <w:kern w:val="0"/>
                <w:sz w:val="24"/>
                <w:szCs w:val="21"/>
              </w:rPr>
            </w:pPr>
          </w:p>
        </w:tc>
      </w:tr>
      <w:tr w14:paraId="57F7D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2" w:type="dxa"/>
            <w:tcBorders>
              <w:tl2br w:val="nil"/>
              <w:tr2bl w:val="nil"/>
            </w:tcBorders>
            <w:noWrap w:val="0"/>
            <w:vAlign w:val="top"/>
          </w:tcPr>
          <w:p w14:paraId="5711FEAE">
            <w:pPr>
              <w:widowControl/>
              <w:spacing w:line="360" w:lineRule="auto"/>
              <w:jc w:val="center"/>
              <w:outlineLvl w:val="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386" w:type="dxa"/>
            <w:tcBorders>
              <w:tl2br w:val="nil"/>
              <w:tr2bl w:val="nil"/>
            </w:tcBorders>
            <w:noWrap w:val="0"/>
            <w:vAlign w:val="top"/>
          </w:tcPr>
          <w:p w14:paraId="2CBE16A7">
            <w:pPr>
              <w:widowControl/>
              <w:spacing w:line="360" w:lineRule="auto"/>
              <w:jc w:val="center"/>
              <w:outlineLvl w:val="0"/>
              <w:rPr>
                <w:rFonts w:hint="eastAsia" w:ascii="宋体" w:hAnsi="宋体" w:eastAsia="宋体" w:cs="宋体"/>
                <w:color w:val="auto"/>
                <w:kern w:val="0"/>
                <w:sz w:val="24"/>
                <w:szCs w:val="21"/>
                <w:lang w:eastAsia="zh-CN"/>
              </w:rPr>
            </w:pPr>
            <w:r>
              <w:rPr>
                <w:rFonts w:hint="eastAsia" w:ascii="宋体" w:hAnsi="宋体" w:eastAsia="宋体" w:cs="宋体"/>
                <w:color w:val="auto"/>
                <w:kern w:val="0"/>
                <w:sz w:val="24"/>
                <w:szCs w:val="21"/>
                <w:lang w:eastAsia="zh-CN"/>
              </w:rPr>
              <w:t>……</w:t>
            </w:r>
          </w:p>
        </w:tc>
        <w:tc>
          <w:tcPr>
            <w:tcW w:w="2074" w:type="dxa"/>
            <w:tcBorders>
              <w:tl2br w:val="nil"/>
              <w:tr2bl w:val="nil"/>
            </w:tcBorders>
            <w:noWrap w:val="0"/>
            <w:vAlign w:val="top"/>
          </w:tcPr>
          <w:p w14:paraId="69C38A9F">
            <w:pPr>
              <w:widowControl/>
              <w:spacing w:line="360" w:lineRule="auto"/>
              <w:jc w:val="center"/>
              <w:outlineLvl w:val="0"/>
              <w:rPr>
                <w:rFonts w:hint="eastAsia" w:ascii="宋体" w:hAnsi="宋体" w:eastAsia="宋体" w:cs="宋体"/>
                <w:color w:val="auto"/>
                <w:kern w:val="0"/>
                <w:sz w:val="24"/>
                <w:szCs w:val="21"/>
              </w:rPr>
            </w:pPr>
          </w:p>
        </w:tc>
        <w:tc>
          <w:tcPr>
            <w:tcW w:w="2303" w:type="dxa"/>
            <w:tcBorders>
              <w:tl2br w:val="nil"/>
              <w:tr2bl w:val="nil"/>
            </w:tcBorders>
            <w:noWrap w:val="0"/>
            <w:vAlign w:val="top"/>
          </w:tcPr>
          <w:p w14:paraId="5829E633">
            <w:pPr>
              <w:widowControl/>
              <w:spacing w:line="360" w:lineRule="auto"/>
              <w:jc w:val="center"/>
              <w:outlineLvl w:val="0"/>
              <w:rPr>
                <w:rFonts w:hint="eastAsia" w:ascii="宋体" w:hAnsi="宋体" w:eastAsia="宋体" w:cs="宋体"/>
                <w:color w:val="auto"/>
                <w:kern w:val="0"/>
                <w:sz w:val="24"/>
                <w:szCs w:val="21"/>
              </w:rPr>
            </w:pPr>
          </w:p>
        </w:tc>
        <w:tc>
          <w:tcPr>
            <w:tcW w:w="2191" w:type="dxa"/>
            <w:tcBorders>
              <w:tl2br w:val="nil"/>
              <w:tr2bl w:val="nil"/>
            </w:tcBorders>
            <w:noWrap w:val="0"/>
            <w:vAlign w:val="top"/>
          </w:tcPr>
          <w:p w14:paraId="7EF4E079">
            <w:pPr>
              <w:widowControl/>
              <w:spacing w:line="360" w:lineRule="auto"/>
              <w:jc w:val="center"/>
              <w:outlineLvl w:val="0"/>
              <w:rPr>
                <w:rFonts w:hint="eastAsia" w:ascii="宋体" w:hAnsi="宋体" w:eastAsia="宋体" w:cs="宋体"/>
                <w:color w:val="auto"/>
                <w:kern w:val="0"/>
                <w:sz w:val="24"/>
                <w:szCs w:val="21"/>
              </w:rPr>
            </w:pPr>
          </w:p>
        </w:tc>
      </w:tr>
    </w:tbl>
    <w:p w14:paraId="14FD42B8">
      <w:pPr>
        <w:spacing w:line="360" w:lineRule="auto"/>
        <w:ind w:firstLine="420" w:firstLineChars="200"/>
        <w:jc w:val="left"/>
        <w:rPr>
          <w:rFonts w:hint="eastAsia" w:ascii="宋体" w:hAnsi="宋体" w:eastAsia="宋体" w:cs="Calibri"/>
          <w:color w:val="auto"/>
          <w:sz w:val="21"/>
          <w:szCs w:val="21"/>
          <w:lang w:val="en-US" w:eastAsia="zh-CN"/>
        </w:rPr>
      </w:pPr>
    </w:p>
    <w:p w14:paraId="57223FA7">
      <w:pPr>
        <w:spacing w:line="360" w:lineRule="auto"/>
        <w:jc w:val="left"/>
        <w:rPr>
          <w:rFonts w:hint="eastAsia" w:ascii="宋体" w:hAnsi="宋体" w:eastAsia="宋体" w:cs="Calibri"/>
          <w:color w:val="auto"/>
          <w:sz w:val="21"/>
          <w:szCs w:val="21"/>
          <w:lang w:val="en-US" w:eastAsia="zh-CN"/>
        </w:rPr>
      </w:pPr>
    </w:p>
    <w:p w14:paraId="23B02B54">
      <w:pPr>
        <w:spacing w:line="360" w:lineRule="auto"/>
        <w:jc w:val="left"/>
        <w:rPr>
          <w:rFonts w:hint="eastAsia" w:ascii="宋体" w:hAnsi="宋体" w:eastAsia="宋体" w:cs="Calibri"/>
          <w:color w:val="auto"/>
          <w:sz w:val="21"/>
          <w:szCs w:val="21"/>
        </w:rPr>
      </w:pPr>
      <w:r>
        <w:rPr>
          <w:rFonts w:hint="eastAsia" w:ascii="宋体" w:hAnsi="宋体" w:eastAsia="宋体" w:cs="Calibri"/>
          <w:color w:val="auto"/>
          <w:sz w:val="21"/>
          <w:szCs w:val="21"/>
          <w:lang w:val="en-US" w:eastAsia="zh-CN"/>
        </w:rPr>
        <w:t>说明：</w:t>
      </w:r>
      <w:r>
        <w:rPr>
          <w:rFonts w:hint="eastAsia" w:ascii="宋体" w:hAnsi="宋体" w:eastAsia="宋体" w:cs="Calibri"/>
          <w:color w:val="auto"/>
          <w:sz w:val="21"/>
          <w:szCs w:val="21"/>
        </w:rPr>
        <w:t>1.此表为表样，行数可自行添加，但表式不变。</w:t>
      </w:r>
    </w:p>
    <w:p w14:paraId="4976EB45">
      <w:pPr>
        <w:snapToGrid w:val="0"/>
        <w:textAlignment w:val="baseline"/>
        <w:rPr>
          <w:rFonts w:hint="eastAsia" w:ascii="宋体" w:hAnsi="宋体" w:eastAsia="宋体" w:cs="Calibri"/>
          <w:color w:val="auto"/>
          <w:kern w:val="0"/>
          <w:sz w:val="21"/>
          <w:szCs w:val="21"/>
        </w:rPr>
      </w:pPr>
      <w:r>
        <w:rPr>
          <w:rFonts w:hint="eastAsia" w:ascii="宋体" w:hAnsi="宋体" w:eastAsia="宋体" w:cs="Calibri"/>
          <w:color w:val="auto"/>
          <w:kern w:val="0"/>
          <w:sz w:val="21"/>
          <w:szCs w:val="21"/>
        </w:rPr>
        <w:t>2.偏离情况说明分正偏离、完全响应、负偏离，分别表示优于要求、满足要求、不满足要求。</w:t>
      </w:r>
    </w:p>
    <w:p w14:paraId="5E195F92">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p>
    <w:p w14:paraId="2B34DE37">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p>
    <w:p w14:paraId="1534FAB4">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p>
    <w:p w14:paraId="4CAD1452">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p>
    <w:p w14:paraId="4FB51BDA">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供应商：</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(盖单位章)</w:t>
      </w:r>
    </w:p>
    <w:p w14:paraId="128D7E29">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p>
    <w:p w14:paraId="3F86BA7D">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法定代表人或其委托代理人：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(签字</w:t>
      </w:r>
      <w:r>
        <w:rPr>
          <w:rFonts w:hint="eastAsia" w:ascii="宋体" w:hAnsi="宋体" w:cs="宋体"/>
          <w:color w:val="auto"/>
          <w:kern w:val="2"/>
          <w:sz w:val="21"/>
          <w:szCs w:val="21"/>
          <w:lang w:val="en-US" w:eastAsia="zh-CN" w:bidi="ar"/>
        </w:rPr>
        <w:t>或盖章</w:t>
      </w:r>
      <w:r>
        <w:rPr>
          <w:rFonts w:hint="eastAsia" w:ascii="宋体" w:hAnsi="宋体" w:eastAsia="宋体" w:cs="宋体"/>
          <w:color w:val="auto"/>
          <w:kern w:val="2"/>
          <w:sz w:val="21"/>
          <w:szCs w:val="21"/>
          <w:lang w:val="en-US" w:eastAsia="zh-CN" w:bidi="ar"/>
        </w:rPr>
        <w:t>)</w:t>
      </w:r>
    </w:p>
    <w:p w14:paraId="0FD1629A">
      <w:pPr>
        <w:widowControl w:val="0"/>
        <w:spacing w:before="0" w:beforeAutospacing="0" w:after="0" w:afterAutospacing="0"/>
        <w:ind w:firstLine="420" w:firstLineChars="200"/>
        <w:jc w:val="both"/>
        <w:rPr>
          <w:rFonts w:hint="eastAsia" w:ascii="宋体" w:hAnsi="宋体" w:eastAsia="宋体" w:cs="宋体"/>
          <w:color w:val="auto"/>
          <w:kern w:val="2"/>
          <w:sz w:val="21"/>
          <w:szCs w:val="21"/>
          <w:lang w:val="en-US" w:eastAsia="zh-CN" w:bidi="ar"/>
        </w:rPr>
      </w:pPr>
    </w:p>
    <w:p w14:paraId="0CBA8CFC">
      <w:pPr>
        <w:snapToGrid w:val="0"/>
        <w:spacing w:line="360" w:lineRule="auto"/>
        <w:ind w:firstLine="315" w:firstLineChars="150"/>
        <w:rPr>
          <w:rStyle w:val="68"/>
          <w:rFonts w:ascii="宋体" w:hAnsi="宋体"/>
          <w:color w:val="auto"/>
          <w:szCs w:val="21"/>
        </w:rPr>
      </w:pPr>
      <w:r>
        <w:rPr>
          <w:rFonts w:hint="eastAsia" w:ascii="宋体" w:hAnsi="Courier New" w:eastAsia="宋体" w:cs="宋体"/>
          <w:color w:val="auto"/>
          <w:kern w:val="2"/>
          <w:sz w:val="21"/>
          <w:szCs w:val="21"/>
          <w:u w:val="single"/>
          <w:lang w:val="en-US" w:eastAsia="zh-CN" w:bidi="ar"/>
        </w:rPr>
        <w:t xml:space="preserve">      </w:t>
      </w:r>
      <w:r>
        <w:rPr>
          <w:rFonts w:hint="eastAsia" w:ascii="宋体" w:hAnsi="Courier New" w:eastAsia="宋体" w:cs="宋体"/>
          <w:color w:val="auto"/>
          <w:kern w:val="2"/>
          <w:sz w:val="21"/>
          <w:szCs w:val="21"/>
          <w:lang w:val="en-US" w:eastAsia="zh-CN" w:bidi="ar"/>
        </w:rPr>
        <w:t>年</w:t>
      </w:r>
      <w:r>
        <w:rPr>
          <w:rFonts w:hint="eastAsia" w:ascii="宋体" w:hAnsi="Courier New" w:eastAsia="宋体" w:cs="宋体"/>
          <w:color w:val="auto"/>
          <w:kern w:val="2"/>
          <w:sz w:val="21"/>
          <w:szCs w:val="21"/>
          <w:u w:val="single"/>
          <w:lang w:val="en-US" w:eastAsia="zh-CN" w:bidi="ar"/>
        </w:rPr>
        <w:t xml:space="preserve">      </w:t>
      </w:r>
      <w:r>
        <w:rPr>
          <w:rFonts w:hint="eastAsia" w:ascii="宋体" w:hAnsi="Courier New" w:eastAsia="宋体" w:cs="宋体"/>
          <w:color w:val="auto"/>
          <w:kern w:val="2"/>
          <w:sz w:val="21"/>
          <w:szCs w:val="21"/>
          <w:lang w:val="en-US" w:eastAsia="zh-CN" w:bidi="ar"/>
        </w:rPr>
        <w:t>月</w:t>
      </w:r>
      <w:r>
        <w:rPr>
          <w:rFonts w:hint="eastAsia" w:ascii="宋体" w:hAnsi="Courier New" w:eastAsia="宋体" w:cs="宋体"/>
          <w:color w:val="auto"/>
          <w:kern w:val="2"/>
          <w:sz w:val="21"/>
          <w:szCs w:val="21"/>
          <w:u w:val="single"/>
          <w:lang w:val="en-US" w:eastAsia="zh-CN" w:bidi="ar"/>
        </w:rPr>
        <w:t xml:space="preserve">      </w:t>
      </w:r>
      <w:r>
        <w:rPr>
          <w:rFonts w:hint="eastAsia" w:ascii="宋体" w:hAnsi="Courier New" w:eastAsia="宋体" w:cs="宋体"/>
          <w:color w:val="auto"/>
          <w:kern w:val="2"/>
          <w:sz w:val="21"/>
          <w:szCs w:val="21"/>
          <w:lang w:val="en-US" w:eastAsia="zh-CN" w:bidi="ar"/>
        </w:rPr>
        <w:t>日</w:t>
      </w:r>
    </w:p>
    <w:p w14:paraId="7EAEF214">
      <w:pPr>
        <w:widowControl/>
        <w:jc w:val="left"/>
        <w:rPr>
          <w:rFonts w:cs="宋体" w:asciiTheme="minorEastAsia" w:hAnsiTheme="minorEastAsia" w:eastAsiaTheme="minorEastAsia"/>
          <w:color w:val="auto"/>
          <w:kern w:val="0"/>
          <w:sz w:val="32"/>
          <w:szCs w:val="32"/>
          <w:highlight w:val="none"/>
        </w:rPr>
      </w:pPr>
      <w:r>
        <w:rPr>
          <w:rFonts w:cs="宋体" w:asciiTheme="minorEastAsia" w:hAnsiTheme="minorEastAsia" w:eastAsiaTheme="minorEastAsia"/>
          <w:color w:val="auto"/>
          <w:kern w:val="0"/>
          <w:sz w:val="32"/>
          <w:szCs w:val="32"/>
          <w:highlight w:val="none"/>
        </w:rPr>
        <w:br w:type="page"/>
      </w:r>
    </w:p>
    <w:p w14:paraId="5C19C774">
      <w:pPr>
        <w:numPr>
          <w:ilvl w:val="0"/>
          <w:numId w:val="0"/>
        </w:numPr>
        <w:tabs>
          <w:tab w:val="left" w:pos="142"/>
        </w:tabs>
        <w:autoSpaceDE w:val="0"/>
        <w:autoSpaceDN w:val="0"/>
        <w:adjustRightInd w:val="0"/>
        <w:spacing w:line="360" w:lineRule="auto"/>
        <w:ind w:leftChars="-1"/>
        <w:jc w:val="center"/>
        <w:textAlignment w:val="baseline"/>
        <w:outlineLvl w:val="3"/>
        <w:rPr>
          <w:rFonts w:hint="eastAsia" w:asciiTheme="minorEastAsia" w:hAnsiTheme="minorEastAsia" w:eastAsiaTheme="minorEastAsia"/>
          <w:color w:val="auto"/>
          <w:kern w:val="0"/>
          <w:sz w:val="32"/>
          <w:szCs w:val="32"/>
          <w:highlight w:val="none"/>
        </w:rPr>
      </w:pPr>
      <w:r>
        <w:rPr>
          <w:rFonts w:hint="eastAsia" w:asciiTheme="minorEastAsia" w:hAnsiTheme="minorEastAsia" w:eastAsiaTheme="minorEastAsia"/>
          <w:color w:val="auto"/>
          <w:kern w:val="0"/>
          <w:sz w:val="32"/>
          <w:szCs w:val="32"/>
          <w:highlight w:val="none"/>
          <w:lang w:eastAsia="zh-CN"/>
        </w:rPr>
        <w:t>（四）</w:t>
      </w:r>
      <w:r>
        <w:rPr>
          <w:rFonts w:hint="eastAsia" w:asciiTheme="minorEastAsia" w:hAnsiTheme="minorEastAsia" w:eastAsiaTheme="minorEastAsia"/>
          <w:color w:val="auto"/>
          <w:kern w:val="0"/>
          <w:sz w:val="32"/>
          <w:szCs w:val="32"/>
          <w:highlight w:val="none"/>
        </w:rPr>
        <w:t>供应商近年同类业绩情况表</w:t>
      </w:r>
    </w:p>
    <w:p w14:paraId="2F7466A3">
      <w:pPr>
        <w:numPr>
          <w:ilvl w:val="0"/>
          <w:numId w:val="0"/>
        </w:numPr>
        <w:tabs>
          <w:tab w:val="left" w:pos="142"/>
        </w:tabs>
        <w:autoSpaceDE w:val="0"/>
        <w:autoSpaceDN w:val="0"/>
        <w:adjustRightInd w:val="0"/>
        <w:spacing w:line="360" w:lineRule="auto"/>
        <w:ind w:leftChars="-1"/>
        <w:jc w:val="both"/>
        <w:textAlignment w:val="baseline"/>
        <w:outlineLvl w:val="3"/>
        <w:rPr>
          <w:rFonts w:hint="eastAsia" w:asciiTheme="minorEastAsia" w:hAnsiTheme="minorEastAsia" w:eastAsiaTheme="minorEastAsia"/>
          <w:color w:val="auto"/>
          <w:kern w:val="0"/>
          <w:sz w:val="32"/>
          <w:szCs w:val="32"/>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46"/>
      </w:tblGrid>
      <w:tr w14:paraId="738F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6" w:type="dxa"/>
            <w:noWrap w:val="0"/>
            <w:vAlign w:val="center"/>
          </w:tcPr>
          <w:p w14:paraId="2806A908">
            <w:pPr>
              <w:jc w:val="center"/>
              <w:rPr>
                <w:color w:val="auto"/>
              </w:rPr>
            </w:pPr>
            <w:r>
              <w:rPr>
                <w:rFonts w:hint="eastAsia"/>
                <w:color w:val="auto"/>
              </w:rPr>
              <w:t>项目名称</w:t>
            </w:r>
          </w:p>
        </w:tc>
        <w:tc>
          <w:tcPr>
            <w:tcW w:w="6946" w:type="dxa"/>
            <w:noWrap w:val="0"/>
            <w:vAlign w:val="center"/>
          </w:tcPr>
          <w:p w14:paraId="0EE012BE">
            <w:pPr>
              <w:jc w:val="center"/>
              <w:rPr>
                <w:color w:val="auto"/>
              </w:rPr>
            </w:pPr>
          </w:p>
        </w:tc>
      </w:tr>
      <w:tr w14:paraId="2C84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244BA374">
            <w:pPr>
              <w:jc w:val="center"/>
              <w:rPr>
                <w:color w:val="auto"/>
              </w:rPr>
            </w:pPr>
            <w:r>
              <w:rPr>
                <w:rFonts w:hint="eastAsia"/>
                <w:color w:val="auto"/>
                <w:szCs w:val="21"/>
              </w:rPr>
              <w:t>采购规模</w:t>
            </w:r>
          </w:p>
        </w:tc>
        <w:tc>
          <w:tcPr>
            <w:tcW w:w="6946" w:type="dxa"/>
            <w:noWrap w:val="0"/>
            <w:vAlign w:val="center"/>
          </w:tcPr>
          <w:p w14:paraId="1D7F3D80">
            <w:pPr>
              <w:jc w:val="center"/>
              <w:rPr>
                <w:color w:val="auto"/>
              </w:rPr>
            </w:pPr>
          </w:p>
        </w:tc>
      </w:tr>
      <w:tr w14:paraId="2E87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6" w:type="dxa"/>
            <w:noWrap w:val="0"/>
            <w:vAlign w:val="center"/>
          </w:tcPr>
          <w:p w14:paraId="571459AA">
            <w:pPr>
              <w:jc w:val="center"/>
              <w:rPr>
                <w:rFonts w:hint="eastAsia"/>
                <w:color w:val="auto"/>
                <w:szCs w:val="21"/>
              </w:rPr>
            </w:pPr>
            <w:r>
              <w:rPr>
                <w:rFonts w:hint="eastAsia"/>
                <w:color w:val="auto"/>
                <w:szCs w:val="21"/>
              </w:rPr>
              <w:t>采购金额</w:t>
            </w:r>
          </w:p>
        </w:tc>
        <w:tc>
          <w:tcPr>
            <w:tcW w:w="6946" w:type="dxa"/>
            <w:noWrap w:val="0"/>
            <w:vAlign w:val="center"/>
          </w:tcPr>
          <w:p w14:paraId="0D6A2E6F">
            <w:pPr>
              <w:jc w:val="center"/>
              <w:rPr>
                <w:color w:val="auto"/>
              </w:rPr>
            </w:pPr>
          </w:p>
        </w:tc>
      </w:tr>
      <w:tr w14:paraId="423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6" w:type="dxa"/>
            <w:noWrap w:val="0"/>
            <w:vAlign w:val="center"/>
          </w:tcPr>
          <w:p w14:paraId="692B93BF">
            <w:pPr>
              <w:jc w:val="center"/>
              <w:rPr>
                <w:color w:val="auto"/>
              </w:rPr>
            </w:pPr>
            <w:r>
              <w:rPr>
                <w:rFonts w:hint="eastAsia"/>
                <w:color w:val="auto"/>
                <w:szCs w:val="21"/>
                <w:lang w:eastAsia="zh-CN"/>
              </w:rPr>
              <w:t>服务</w:t>
            </w:r>
            <w:r>
              <w:rPr>
                <w:rFonts w:hint="eastAsia"/>
                <w:color w:val="auto"/>
                <w:szCs w:val="21"/>
              </w:rPr>
              <w:t>期限</w:t>
            </w:r>
          </w:p>
        </w:tc>
        <w:tc>
          <w:tcPr>
            <w:tcW w:w="6946" w:type="dxa"/>
            <w:noWrap w:val="0"/>
            <w:vAlign w:val="center"/>
          </w:tcPr>
          <w:p w14:paraId="4FDBF6D2">
            <w:pPr>
              <w:jc w:val="center"/>
              <w:rPr>
                <w:color w:val="auto"/>
              </w:rPr>
            </w:pPr>
          </w:p>
        </w:tc>
      </w:tr>
      <w:tr w14:paraId="382A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26" w:type="dxa"/>
            <w:noWrap w:val="0"/>
            <w:vAlign w:val="center"/>
          </w:tcPr>
          <w:p w14:paraId="430EF950">
            <w:pPr>
              <w:jc w:val="center"/>
              <w:rPr>
                <w:rFonts w:hint="eastAsia"/>
                <w:color w:val="auto"/>
              </w:rPr>
            </w:pPr>
            <w:r>
              <w:rPr>
                <w:rFonts w:hint="eastAsia"/>
                <w:color w:val="auto"/>
                <w:szCs w:val="21"/>
              </w:rPr>
              <w:t>项目负责人</w:t>
            </w:r>
          </w:p>
        </w:tc>
        <w:tc>
          <w:tcPr>
            <w:tcW w:w="6946" w:type="dxa"/>
            <w:noWrap w:val="0"/>
            <w:vAlign w:val="center"/>
          </w:tcPr>
          <w:p w14:paraId="7C855DC9">
            <w:pPr>
              <w:jc w:val="center"/>
              <w:rPr>
                <w:color w:val="auto"/>
              </w:rPr>
            </w:pPr>
          </w:p>
        </w:tc>
      </w:tr>
      <w:tr w14:paraId="2B0D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26" w:type="dxa"/>
            <w:noWrap w:val="0"/>
            <w:vAlign w:val="center"/>
          </w:tcPr>
          <w:p w14:paraId="7E06283A">
            <w:pPr>
              <w:jc w:val="center"/>
              <w:rPr>
                <w:color w:val="auto"/>
              </w:rPr>
            </w:pPr>
            <w:r>
              <w:rPr>
                <w:rFonts w:hint="eastAsia"/>
                <w:color w:val="auto"/>
              </w:rPr>
              <w:t>买方名称</w:t>
            </w:r>
          </w:p>
        </w:tc>
        <w:tc>
          <w:tcPr>
            <w:tcW w:w="6946" w:type="dxa"/>
            <w:noWrap w:val="0"/>
            <w:vAlign w:val="center"/>
          </w:tcPr>
          <w:p w14:paraId="7821BC52">
            <w:pPr>
              <w:jc w:val="center"/>
              <w:rPr>
                <w:color w:val="auto"/>
              </w:rPr>
            </w:pPr>
          </w:p>
        </w:tc>
      </w:tr>
      <w:tr w14:paraId="03D4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26" w:type="dxa"/>
            <w:noWrap w:val="0"/>
            <w:vAlign w:val="center"/>
          </w:tcPr>
          <w:p w14:paraId="5CB47ABA">
            <w:pPr>
              <w:jc w:val="center"/>
              <w:rPr>
                <w:color w:val="auto"/>
              </w:rPr>
            </w:pPr>
            <w:r>
              <w:rPr>
                <w:rFonts w:hint="eastAsia"/>
                <w:color w:val="auto"/>
              </w:rPr>
              <w:t>买方联系人及电话</w:t>
            </w:r>
          </w:p>
        </w:tc>
        <w:tc>
          <w:tcPr>
            <w:tcW w:w="6946" w:type="dxa"/>
            <w:noWrap w:val="0"/>
            <w:vAlign w:val="center"/>
          </w:tcPr>
          <w:p w14:paraId="7C6E7684">
            <w:pPr>
              <w:jc w:val="center"/>
              <w:rPr>
                <w:color w:val="auto"/>
              </w:rPr>
            </w:pPr>
          </w:p>
        </w:tc>
      </w:tr>
      <w:tr w14:paraId="58F8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526" w:type="dxa"/>
            <w:noWrap w:val="0"/>
            <w:vAlign w:val="center"/>
          </w:tcPr>
          <w:p w14:paraId="54D4771A">
            <w:pPr>
              <w:jc w:val="center"/>
              <w:rPr>
                <w:color w:val="auto"/>
              </w:rPr>
            </w:pPr>
            <w:r>
              <w:rPr>
                <w:rFonts w:hint="eastAsia"/>
                <w:color w:val="auto"/>
              </w:rPr>
              <w:t>项目概况及投标人履约情况</w:t>
            </w:r>
          </w:p>
        </w:tc>
        <w:tc>
          <w:tcPr>
            <w:tcW w:w="6946" w:type="dxa"/>
            <w:noWrap w:val="0"/>
            <w:vAlign w:val="center"/>
          </w:tcPr>
          <w:p w14:paraId="0FEAED9C">
            <w:pPr>
              <w:jc w:val="center"/>
              <w:rPr>
                <w:color w:val="auto"/>
              </w:rPr>
            </w:pPr>
          </w:p>
        </w:tc>
      </w:tr>
      <w:tr w14:paraId="7B48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26" w:type="dxa"/>
            <w:noWrap w:val="0"/>
            <w:vAlign w:val="center"/>
          </w:tcPr>
          <w:p w14:paraId="4953AC1E">
            <w:pPr>
              <w:jc w:val="center"/>
              <w:rPr>
                <w:color w:val="auto"/>
              </w:rPr>
            </w:pPr>
            <w:r>
              <w:rPr>
                <w:rFonts w:hint="eastAsia"/>
                <w:color w:val="auto"/>
              </w:rPr>
              <w:t>备注</w:t>
            </w:r>
          </w:p>
        </w:tc>
        <w:tc>
          <w:tcPr>
            <w:tcW w:w="6946" w:type="dxa"/>
            <w:noWrap w:val="0"/>
            <w:vAlign w:val="center"/>
          </w:tcPr>
          <w:p w14:paraId="06691084">
            <w:pPr>
              <w:jc w:val="center"/>
              <w:rPr>
                <w:color w:val="auto"/>
              </w:rPr>
            </w:pPr>
          </w:p>
        </w:tc>
      </w:tr>
    </w:tbl>
    <w:p w14:paraId="4073DCA0">
      <w:pPr>
        <w:spacing w:line="360" w:lineRule="auto"/>
        <w:ind w:firstLine="420" w:firstLineChars="200"/>
        <w:jc w:val="center"/>
        <w:rPr>
          <w:rFonts w:hint="eastAsia" w:cs="宋体" w:asciiTheme="minorEastAsia" w:hAnsiTheme="minorEastAsia" w:eastAsiaTheme="minorEastAsia"/>
          <w:b/>
          <w:color w:val="auto"/>
          <w:kern w:val="0"/>
          <w:sz w:val="32"/>
          <w:szCs w:val="18"/>
          <w:lang w:val="zh-CN"/>
        </w:rPr>
      </w:pPr>
      <w:r>
        <w:rPr>
          <w:rFonts w:hint="eastAsia"/>
          <w:color w:val="auto"/>
        </w:rPr>
        <w:t>注：</w:t>
      </w:r>
      <w:r>
        <w:rPr>
          <w:rFonts w:hint="eastAsia" w:ascii="宋体" w:hAnsi="宋体"/>
          <w:color w:val="auto"/>
          <w:szCs w:val="21"/>
        </w:rPr>
        <w:t>本表后附类似</w:t>
      </w:r>
      <w:r>
        <w:rPr>
          <w:rFonts w:hint="eastAsia"/>
          <w:color w:val="auto"/>
        </w:rPr>
        <w:t>相关业绩证明材料</w:t>
      </w:r>
      <w:r>
        <w:rPr>
          <w:rFonts w:hint="eastAsia" w:ascii="宋体" w:hAnsi="宋体"/>
          <w:color w:val="auto"/>
          <w:szCs w:val="21"/>
        </w:rPr>
        <w:t>；具体年份要求见投标人须知前附表。</w:t>
      </w:r>
    </w:p>
    <w:p w14:paraId="6D315381">
      <w:pPr>
        <w:spacing w:line="360" w:lineRule="auto"/>
        <w:ind w:firstLine="643" w:firstLineChars="200"/>
        <w:jc w:val="center"/>
        <w:rPr>
          <w:rFonts w:hint="eastAsia" w:cs="宋体" w:asciiTheme="minorEastAsia" w:hAnsiTheme="minorEastAsia" w:eastAsiaTheme="minorEastAsia"/>
          <w:b/>
          <w:color w:val="auto"/>
          <w:kern w:val="0"/>
          <w:sz w:val="32"/>
          <w:szCs w:val="18"/>
          <w:lang w:val="zh-CN"/>
        </w:rPr>
      </w:pPr>
    </w:p>
    <w:p w14:paraId="0D8C57DC">
      <w:pPr>
        <w:spacing w:line="360" w:lineRule="auto"/>
        <w:ind w:firstLine="643" w:firstLineChars="200"/>
        <w:jc w:val="center"/>
        <w:rPr>
          <w:rFonts w:hint="eastAsia" w:cs="宋体" w:asciiTheme="minorEastAsia" w:hAnsiTheme="minorEastAsia" w:eastAsiaTheme="minorEastAsia"/>
          <w:b/>
          <w:color w:val="auto"/>
          <w:kern w:val="0"/>
          <w:sz w:val="32"/>
          <w:szCs w:val="18"/>
          <w:lang w:val="zh-CN"/>
        </w:rPr>
      </w:pPr>
    </w:p>
    <w:p w14:paraId="4F2509F8">
      <w:pPr>
        <w:spacing w:line="360" w:lineRule="auto"/>
        <w:ind w:firstLine="643" w:firstLineChars="200"/>
        <w:jc w:val="center"/>
        <w:rPr>
          <w:rFonts w:hint="eastAsia" w:cs="宋体" w:asciiTheme="minorEastAsia" w:hAnsiTheme="minorEastAsia" w:eastAsiaTheme="minorEastAsia"/>
          <w:b/>
          <w:color w:val="auto"/>
          <w:kern w:val="0"/>
          <w:sz w:val="32"/>
          <w:szCs w:val="18"/>
          <w:lang w:val="zh-CN"/>
        </w:rPr>
      </w:pPr>
    </w:p>
    <w:p w14:paraId="196B4279">
      <w:pPr>
        <w:spacing w:line="360" w:lineRule="auto"/>
        <w:ind w:firstLine="643" w:firstLineChars="200"/>
        <w:jc w:val="center"/>
        <w:rPr>
          <w:rFonts w:hint="eastAsia" w:cs="宋体" w:asciiTheme="minorEastAsia" w:hAnsiTheme="minorEastAsia" w:eastAsiaTheme="minorEastAsia"/>
          <w:b/>
          <w:color w:val="auto"/>
          <w:kern w:val="0"/>
          <w:sz w:val="32"/>
          <w:szCs w:val="18"/>
          <w:lang w:val="zh-CN"/>
        </w:rPr>
      </w:pPr>
    </w:p>
    <w:p w14:paraId="6328ABDB">
      <w:pPr>
        <w:spacing w:line="360" w:lineRule="auto"/>
        <w:ind w:firstLine="643" w:firstLineChars="20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kern w:val="0"/>
          <w:sz w:val="32"/>
          <w:szCs w:val="18"/>
          <w:lang w:val="zh-CN"/>
        </w:rPr>
        <w:t>七、</w:t>
      </w:r>
      <w:r>
        <w:rPr>
          <w:rFonts w:hint="eastAsia" w:asciiTheme="minorEastAsia" w:hAnsiTheme="minorEastAsia" w:eastAsiaTheme="minorEastAsia"/>
          <w:b/>
          <w:color w:val="auto"/>
          <w:sz w:val="32"/>
          <w:szCs w:val="32"/>
        </w:rPr>
        <w:t>承诺书</w:t>
      </w:r>
    </w:p>
    <w:p w14:paraId="15B53175">
      <w:pPr>
        <w:spacing w:line="360" w:lineRule="auto"/>
        <w:jc w:val="center"/>
        <w:rPr>
          <w:rFonts w:asciiTheme="minorEastAsia" w:hAnsiTheme="minorEastAsia" w:eastAsiaTheme="minorEastAsia"/>
          <w:color w:val="auto"/>
          <w:sz w:val="24"/>
          <w:szCs w:val="22"/>
        </w:rPr>
      </w:pPr>
    </w:p>
    <w:p w14:paraId="7778BFA9">
      <w:pPr>
        <w:spacing w:line="360" w:lineRule="auto"/>
        <w:rPr>
          <w:rFonts w:asciiTheme="minorEastAsia" w:hAnsiTheme="minorEastAsia" w:eastAsiaTheme="minorEastAsia"/>
          <w:color w:val="auto"/>
          <w:sz w:val="24"/>
          <w:szCs w:val="22"/>
        </w:rPr>
      </w:pPr>
    </w:p>
    <w:p w14:paraId="101D9895">
      <w:pPr>
        <w:ind w:firstLine="643" w:firstLineChars="20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（1）在经营活动中没有重大违法记录的承诺书</w:t>
      </w:r>
    </w:p>
    <w:p w14:paraId="5E04C163">
      <w:pPr>
        <w:rPr>
          <w:rFonts w:asciiTheme="minorEastAsia" w:hAnsiTheme="minorEastAsia" w:eastAsiaTheme="minorEastAsia"/>
          <w:color w:val="auto"/>
          <w:sz w:val="24"/>
          <w:szCs w:val="20"/>
        </w:rPr>
      </w:pPr>
    </w:p>
    <w:p w14:paraId="6098CBBB">
      <w:pPr>
        <w:spacing w:line="360" w:lineRule="auto"/>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本单位郑重声明：</w:t>
      </w:r>
    </w:p>
    <w:p w14:paraId="1FFA7D55">
      <w:pPr>
        <w:spacing w:line="360" w:lineRule="auto"/>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我单位参加本次采购活动前三年内，在经营活动中没有不良经营行为、重大安全事故及质量问题、因供应商违约或不恰当履约引起的合同争议纠纷及仲裁和诉讼等重大违法记录。</w:t>
      </w:r>
    </w:p>
    <w:p w14:paraId="65FCC896">
      <w:pPr>
        <w:spacing w:line="360" w:lineRule="auto"/>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特此声明！</w:t>
      </w:r>
    </w:p>
    <w:p w14:paraId="58F9128A">
      <w:pPr>
        <w:ind w:firstLine="480" w:firstLineChars="200"/>
        <w:rPr>
          <w:rFonts w:asciiTheme="minorEastAsia" w:hAnsiTheme="minorEastAsia" w:eastAsiaTheme="minorEastAsia"/>
          <w:color w:val="auto"/>
          <w:sz w:val="24"/>
          <w:szCs w:val="20"/>
        </w:rPr>
      </w:pPr>
    </w:p>
    <w:p w14:paraId="4BD1402C">
      <w:pPr>
        <w:ind w:firstLine="480" w:firstLineChars="200"/>
        <w:rPr>
          <w:rFonts w:asciiTheme="minorEastAsia" w:hAnsiTheme="minorEastAsia" w:eastAsiaTheme="minorEastAsia"/>
          <w:color w:val="auto"/>
          <w:sz w:val="24"/>
          <w:szCs w:val="20"/>
        </w:rPr>
      </w:pPr>
    </w:p>
    <w:p w14:paraId="258E5D96">
      <w:pPr>
        <w:ind w:firstLine="480" w:firstLineChars="200"/>
        <w:rPr>
          <w:rFonts w:asciiTheme="minorEastAsia" w:hAnsiTheme="minorEastAsia" w:eastAsiaTheme="minorEastAsia"/>
          <w:color w:val="auto"/>
          <w:sz w:val="24"/>
          <w:szCs w:val="20"/>
        </w:rPr>
      </w:pPr>
    </w:p>
    <w:p w14:paraId="4DBDFD8D">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（盖单位章）</w:t>
      </w:r>
    </w:p>
    <w:p w14:paraId="518F89CD">
      <w:pPr>
        <w:spacing w:line="360" w:lineRule="auto"/>
        <w:jc w:val="left"/>
        <w:rPr>
          <w:rFonts w:asciiTheme="minorEastAsia" w:hAnsiTheme="minorEastAsia" w:eastAsiaTheme="minorEastAsia"/>
          <w:color w:val="auto"/>
          <w:sz w:val="24"/>
        </w:rPr>
      </w:pPr>
    </w:p>
    <w:p w14:paraId="50B325FC">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法定代表人或其委托代理人：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（签字或盖章）</w:t>
      </w:r>
    </w:p>
    <w:p w14:paraId="3DE4F0DA">
      <w:pPr>
        <w:spacing w:line="360" w:lineRule="auto"/>
        <w:jc w:val="left"/>
        <w:rPr>
          <w:rFonts w:asciiTheme="minorEastAsia" w:hAnsiTheme="minorEastAsia" w:eastAsiaTheme="minorEastAsia"/>
          <w:color w:val="auto"/>
          <w:sz w:val="24"/>
        </w:rPr>
      </w:pPr>
    </w:p>
    <w:p w14:paraId="4D925BEA">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日  期：   年   月   日</w:t>
      </w:r>
    </w:p>
    <w:p w14:paraId="0A7F46C1">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578127BC">
      <w:pPr>
        <w:widowControl/>
        <w:jc w:val="center"/>
        <w:rPr>
          <w:rFonts w:asciiTheme="minorEastAsia" w:hAnsiTheme="minorEastAsia" w:eastAsiaTheme="minorEastAsia"/>
          <w:b/>
          <w:bCs/>
          <w:color w:val="auto"/>
          <w:sz w:val="24"/>
        </w:rPr>
      </w:pPr>
      <w:r>
        <w:rPr>
          <w:rFonts w:hint="eastAsia" w:cs="宋体" w:asciiTheme="minorEastAsia" w:hAnsiTheme="minorEastAsia" w:eastAsiaTheme="minorEastAsia"/>
          <w:color w:val="auto"/>
          <w:sz w:val="30"/>
          <w:szCs w:val="30"/>
        </w:rPr>
        <w:t>（2）</w:t>
      </w:r>
      <w:r>
        <w:rPr>
          <w:rFonts w:hint="eastAsia" w:cs="宋体" w:asciiTheme="minorEastAsia" w:hAnsiTheme="minorEastAsia" w:eastAsiaTheme="minorEastAsia"/>
          <w:b/>
          <w:bCs/>
          <w:color w:val="auto"/>
          <w:sz w:val="24"/>
        </w:rPr>
        <w:t>无不良信用记录承诺书</w:t>
      </w:r>
    </w:p>
    <w:p w14:paraId="7500DEF3">
      <w:pPr>
        <w:spacing w:line="460" w:lineRule="exact"/>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致</w:t>
      </w:r>
      <w:r>
        <w:rPr>
          <w:rFonts w:asciiTheme="minorEastAsia" w:hAnsiTheme="minorEastAsia" w:eastAsiaTheme="minorEastAsia"/>
          <w:color w:val="auto"/>
          <w:sz w:val="24"/>
          <w:szCs w:val="20"/>
        </w:rPr>
        <w:t>______(</w:t>
      </w:r>
      <w:r>
        <w:rPr>
          <w:rFonts w:hint="eastAsia" w:asciiTheme="minorEastAsia" w:hAnsiTheme="minorEastAsia" w:eastAsiaTheme="minorEastAsia"/>
          <w:color w:val="auto"/>
          <w:sz w:val="24"/>
          <w:szCs w:val="20"/>
        </w:rPr>
        <w:t>采购人</w:t>
      </w:r>
      <w:r>
        <w:rPr>
          <w:rFonts w:asciiTheme="minorEastAsia" w:hAnsiTheme="minorEastAsia" w:eastAsiaTheme="minorEastAsia"/>
          <w:color w:val="auto"/>
          <w:sz w:val="24"/>
          <w:szCs w:val="20"/>
        </w:rPr>
        <w:t>)</w:t>
      </w:r>
      <w:r>
        <w:rPr>
          <w:rFonts w:hint="eastAsia" w:asciiTheme="minorEastAsia" w:hAnsiTheme="minorEastAsia" w:eastAsiaTheme="minorEastAsia"/>
          <w:color w:val="auto"/>
          <w:sz w:val="24"/>
          <w:szCs w:val="20"/>
        </w:rPr>
        <w:t>：</w:t>
      </w:r>
    </w:p>
    <w:p w14:paraId="0FCD6DEB">
      <w:pPr>
        <w:spacing w:line="360" w:lineRule="auto"/>
        <w:rPr>
          <w:rFonts w:asciiTheme="minorEastAsia" w:hAnsiTheme="minorEastAsia" w:eastAsiaTheme="minorEastAsia"/>
          <w:color w:val="auto"/>
          <w:sz w:val="24"/>
          <w:szCs w:val="22"/>
        </w:rPr>
      </w:pPr>
      <w:r>
        <w:rPr>
          <w:rFonts w:cs="宋体" w:asciiTheme="minorEastAsia" w:hAnsiTheme="minorEastAsia" w:eastAsiaTheme="minorEastAsia"/>
          <w:color w:val="auto"/>
          <w:sz w:val="24"/>
          <w:szCs w:val="22"/>
        </w:rPr>
        <w:t xml:space="preserve">    </w:t>
      </w:r>
      <w:r>
        <w:rPr>
          <w:rFonts w:hint="eastAsia" w:cs="宋体" w:asciiTheme="minorEastAsia" w:hAnsiTheme="minorEastAsia" w:eastAsiaTheme="minorEastAsia"/>
          <w:color w:val="auto"/>
          <w:sz w:val="24"/>
          <w:szCs w:val="22"/>
        </w:rPr>
        <w:t>本单位郑重承诺，我单位无以下不良信用记录情形：</w:t>
      </w:r>
    </w:p>
    <w:p w14:paraId="327CF52B">
      <w:pPr>
        <w:spacing w:line="360" w:lineRule="auto"/>
        <w:ind w:firstLine="435"/>
        <w:rPr>
          <w:rFonts w:asciiTheme="minorEastAsia" w:hAnsiTheme="minorEastAsia" w:eastAsiaTheme="minorEastAsia"/>
          <w:color w:val="auto"/>
          <w:sz w:val="24"/>
          <w:szCs w:val="22"/>
        </w:rPr>
      </w:pPr>
      <w:r>
        <w:rPr>
          <w:rFonts w:cs="宋体" w:asciiTheme="minorEastAsia" w:hAnsiTheme="minorEastAsia" w:eastAsiaTheme="minorEastAsia"/>
          <w:color w:val="auto"/>
          <w:sz w:val="24"/>
          <w:szCs w:val="22"/>
        </w:rPr>
        <w:t>1</w:t>
      </w:r>
      <w:r>
        <w:rPr>
          <w:rFonts w:hint="eastAsia" w:cs="宋体" w:asciiTheme="minorEastAsia" w:hAnsiTheme="minorEastAsia" w:eastAsiaTheme="minorEastAsia"/>
          <w:color w:val="auto"/>
          <w:sz w:val="24"/>
          <w:szCs w:val="22"/>
        </w:rPr>
        <w:t>、被人民法院列入失信被执行人；</w:t>
      </w:r>
    </w:p>
    <w:p w14:paraId="6C6BAB57">
      <w:pPr>
        <w:spacing w:line="360" w:lineRule="auto"/>
        <w:ind w:firstLine="435"/>
        <w:rPr>
          <w:rFonts w:asciiTheme="minorEastAsia" w:hAnsiTheme="minorEastAsia" w:eastAsiaTheme="minorEastAsia"/>
          <w:color w:val="auto"/>
          <w:sz w:val="24"/>
          <w:szCs w:val="22"/>
        </w:rPr>
      </w:pPr>
      <w:r>
        <w:rPr>
          <w:rFonts w:cs="宋体" w:asciiTheme="minorEastAsia" w:hAnsiTheme="minorEastAsia" w:eastAsiaTheme="minorEastAsia"/>
          <w:color w:val="auto"/>
          <w:sz w:val="24"/>
          <w:szCs w:val="22"/>
        </w:rPr>
        <w:t>2</w:t>
      </w:r>
      <w:r>
        <w:rPr>
          <w:rFonts w:hint="eastAsia" w:cs="宋体" w:asciiTheme="minorEastAsia" w:hAnsiTheme="minorEastAsia" w:eastAsiaTheme="minorEastAsia"/>
          <w:color w:val="auto"/>
          <w:sz w:val="24"/>
          <w:szCs w:val="22"/>
        </w:rPr>
        <w:t>、被税务部门列入重大税收违法案件当事人名单；</w:t>
      </w:r>
    </w:p>
    <w:p w14:paraId="7055E6A5">
      <w:pPr>
        <w:spacing w:line="360" w:lineRule="auto"/>
        <w:ind w:firstLine="435"/>
        <w:rPr>
          <w:rFonts w:asciiTheme="minorEastAsia" w:hAnsiTheme="minorEastAsia" w:eastAsiaTheme="minorEastAsia"/>
          <w:color w:val="auto"/>
          <w:sz w:val="24"/>
          <w:szCs w:val="22"/>
        </w:rPr>
      </w:pPr>
      <w:r>
        <w:rPr>
          <w:rFonts w:cs="宋体" w:asciiTheme="minorEastAsia" w:hAnsiTheme="minorEastAsia" w:eastAsiaTheme="minorEastAsia"/>
          <w:color w:val="auto"/>
          <w:sz w:val="24"/>
          <w:szCs w:val="22"/>
        </w:rPr>
        <w:t>3</w:t>
      </w:r>
      <w:r>
        <w:rPr>
          <w:rFonts w:hint="eastAsia" w:cs="宋体" w:asciiTheme="minorEastAsia" w:hAnsiTheme="minorEastAsia" w:eastAsiaTheme="minorEastAsia"/>
          <w:color w:val="auto"/>
          <w:sz w:val="24"/>
          <w:szCs w:val="22"/>
        </w:rPr>
        <w:t>、被政府采购监管部门列入政府采购严重违法失信行为记录名单；</w:t>
      </w:r>
    </w:p>
    <w:p w14:paraId="4B276472">
      <w:pPr>
        <w:spacing w:line="360" w:lineRule="auto"/>
        <w:ind w:firstLine="435"/>
        <w:rPr>
          <w:rFonts w:asciiTheme="minorEastAsia" w:hAnsiTheme="minorEastAsia" w:eastAsiaTheme="minorEastAsia"/>
          <w:color w:val="auto"/>
          <w:sz w:val="24"/>
          <w:szCs w:val="22"/>
        </w:rPr>
      </w:pPr>
      <w:r>
        <w:rPr>
          <w:rFonts w:cs="宋体" w:asciiTheme="minorEastAsia" w:hAnsiTheme="minorEastAsia" w:eastAsiaTheme="minorEastAsia"/>
          <w:color w:val="auto"/>
          <w:sz w:val="24"/>
          <w:szCs w:val="22"/>
        </w:rPr>
        <w:t>4</w:t>
      </w:r>
      <w:r>
        <w:rPr>
          <w:rFonts w:hint="eastAsia" w:cs="宋体" w:asciiTheme="minorEastAsia" w:hAnsiTheme="minorEastAsia" w:eastAsiaTheme="minorEastAsia"/>
          <w:color w:val="auto"/>
          <w:sz w:val="24"/>
          <w:szCs w:val="22"/>
        </w:rPr>
        <w:t>、不符合政府采购法第二十二条规定的条件。</w:t>
      </w:r>
    </w:p>
    <w:p w14:paraId="4D930D9E">
      <w:pPr>
        <w:spacing w:line="360" w:lineRule="auto"/>
        <w:ind w:firstLine="435"/>
        <w:rPr>
          <w:rFonts w:asciiTheme="minorEastAsia" w:hAnsiTheme="minorEastAsia" w:eastAsiaTheme="minorEastAsia"/>
          <w:color w:val="auto"/>
          <w:sz w:val="24"/>
          <w:szCs w:val="22"/>
        </w:rPr>
      </w:pPr>
      <w:r>
        <w:rPr>
          <w:rFonts w:hint="eastAsia" w:cs="宋体" w:asciiTheme="minorEastAsia" w:hAnsiTheme="minorEastAsia" w:eastAsiaTheme="minorEastAsia"/>
          <w:color w:val="auto"/>
          <w:sz w:val="24"/>
          <w:szCs w:val="22"/>
        </w:rPr>
        <w:t>我单位已就上述不良信用行为按照</w:t>
      </w:r>
      <w:r>
        <w:rPr>
          <w:rFonts w:hint="eastAsia" w:cs="宋体" w:asciiTheme="minorEastAsia" w:hAnsiTheme="minorEastAsia" w:eastAsiaTheme="minorEastAsia"/>
          <w:color w:val="auto"/>
          <w:sz w:val="24"/>
          <w:szCs w:val="22"/>
          <w:lang w:eastAsia="zh-CN"/>
        </w:rPr>
        <w:t>竞争性磋商文件</w:t>
      </w:r>
      <w:r>
        <w:rPr>
          <w:rFonts w:hint="eastAsia" w:cs="宋体" w:asciiTheme="minorEastAsia" w:hAnsiTheme="minorEastAsia" w:eastAsiaTheme="minorEastAsia"/>
          <w:color w:val="auto"/>
          <w:sz w:val="24"/>
          <w:szCs w:val="22"/>
        </w:rPr>
        <w:t>中</w:t>
      </w:r>
      <w:r>
        <w:rPr>
          <w:rFonts w:hint="eastAsia" w:cs="宋体" w:asciiTheme="minorEastAsia" w:hAnsiTheme="minorEastAsia" w:eastAsiaTheme="minorEastAsia"/>
          <w:bCs/>
          <w:color w:val="auto"/>
          <w:sz w:val="24"/>
          <w:szCs w:val="22"/>
        </w:rPr>
        <w:t>供应商须知前附表</w:t>
      </w:r>
      <w:r>
        <w:rPr>
          <w:rFonts w:hint="eastAsia" w:cs="宋体" w:asciiTheme="minorEastAsia" w:hAnsiTheme="minorEastAsia" w:eastAsiaTheme="minorEastAsia"/>
          <w:color w:val="auto"/>
          <w:sz w:val="24"/>
          <w:szCs w:val="22"/>
        </w:rPr>
        <w:t>规定进行了查询。我单位承诺：合同签订前，若我单位具有不良信用记录情形，贵方可取消我单位成交资格或者不授予合同，所有责任由我单位自行承担。同时，我单位愿意无条件接受监管部门的调查处理。</w:t>
      </w:r>
      <w:r>
        <w:rPr>
          <w:rFonts w:cs="宋体" w:asciiTheme="minorEastAsia" w:hAnsiTheme="minorEastAsia" w:eastAsiaTheme="minorEastAsia"/>
          <w:color w:val="auto"/>
          <w:sz w:val="24"/>
          <w:szCs w:val="22"/>
        </w:rPr>
        <w:t xml:space="preserve"> </w:t>
      </w:r>
    </w:p>
    <w:p w14:paraId="3AD5AC80">
      <w:pPr>
        <w:tabs>
          <w:tab w:val="left" w:pos="630"/>
        </w:tabs>
        <w:spacing w:line="360" w:lineRule="auto"/>
        <w:ind w:firstLine="630"/>
        <w:rPr>
          <w:rFonts w:asciiTheme="minorEastAsia" w:hAnsiTheme="minorEastAsia" w:eastAsiaTheme="minorEastAsia"/>
          <w:color w:val="auto"/>
          <w:sz w:val="24"/>
        </w:rPr>
      </w:pPr>
    </w:p>
    <w:p w14:paraId="3DE74B4E">
      <w:pPr>
        <w:spacing w:line="360" w:lineRule="auto"/>
        <w:ind w:firstLine="4228" w:firstLineChars="1762"/>
        <w:rPr>
          <w:rFonts w:asciiTheme="minorEastAsia" w:hAnsiTheme="minorEastAsia" w:eastAsiaTheme="minorEastAsia"/>
          <w:color w:val="auto"/>
          <w:sz w:val="24"/>
        </w:rPr>
      </w:pPr>
    </w:p>
    <w:p w14:paraId="1DC4D8AB">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（盖单位章）</w:t>
      </w:r>
    </w:p>
    <w:p w14:paraId="060D61FA">
      <w:pPr>
        <w:spacing w:line="360" w:lineRule="auto"/>
        <w:jc w:val="left"/>
        <w:rPr>
          <w:rFonts w:asciiTheme="minorEastAsia" w:hAnsiTheme="minorEastAsia" w:eastAsiaTheme="minorEastAsia"/>
          <w:color w:val="auto"/>
          <w:sz w:val="24"/>
        </w:rPr>
      </w:pPr>
    </w:p>
    <w:p w14:paraId="06522A66">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法定代表人或其委托代理人：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（签字或盖章）</w:t>
      </w:r>
    </w:p>
    <w:p w14:paraId="52DA6898">
      <w:pPr>
        <w:spacing w:line="360" w:lineRule="auto"/>
        <w:jc w:val="left"/>
        <w:rPr>
          <w:rFonts w:asciiTheme="minorEastAsia" w:hAnsiTheme="minorEastAsia" w:eastAsiaTheme="minorEastAsia"/>
          <w:color w:val="auto"/>
          <w:sz w:val="24"/>
        </w:rPr>
      </w:pPr>
    </w:p>
    <w:p w14:paraId="427269FD">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日  期：   年   月   日</w:t>
      </w:r>
    </w:p>
    <w:p w14:paraId="46B9F199">
      <w:pPr>
        <w:ind w:firstLine="480" w:firstLineChars="200"/>
        <w:rPr>
          <w:rFonts w:asciiTheme="minorEastAsia" w:hAnsiTheme="minorEastAsia" w:eastAsiaTheme="minorEastAsia"/>
          <w:color w:val="auto"/>
          <w:sz w:val="24"/>
          <w:szCs w:val="20"/>
        </w:rPr>
      </w:pPr>
    </w:p>
    <w:p w14:paraId="6B01724B">
      <w:pPr>
        <w:spacing w:line="360" w:lineRule="auto"/>
        <w:jc w:val="left"/>
        <w:rPr>
          <w:rFonts w:asciiTheme="minorEastAsia" w:hAnsiTheme="minorEastAsia" w:eastAsiaTheme="minorEastAsia"/>
          <w:color w:val="auto"/>
          <w:sz w:val="24"/>
        </w:rPr>
      </w:pPr>
    </w:p>
    <w:p w14:paraId="569D6A4D">
      <w:pPr>
        <w:ind w:firstLine="480" w:firstLineChars="200"/>
        <w:rPr>
          <w:rFonts w:asciiTheme="minorEastAsia" w:hAnsiTheme="minorEastAsia" w:eastAsiaTheme="minorEastAsia"/>
          <w:color w:val="auto"/>
          <w:sz w:val="24"/>
          <w:szCs w:val="20"/>
        </w:rPr>
      </w:pPr>
    </w:p>
    <w:p w14:paraId="55DF6124">
      <w:pPr>
        <w:ind w:firstLine="480" w:firstLineChars="200"/>
        <w:rPr>
          <w:rFonts w:asciiTheme="minorEastAsia" w:hAnsiTheme="minorEastAsia" w:eastAsiaTheme="minorEastAsia"/>
          <w:color w:val="auto"/>
          <w:sz w:val="24"/>
          <w:szCs w:val="20"/>
        </w:rPr>
      </w:pPr>
    </w:p>
    <w:p w14:paraId="49531F1E">
      <w:pPr>
        <w:ind w:firstLine="480" w:firstLineChars="200"/>
        <w:rPr>
          <w:rFonts w:asciiTheme="minorEastAsia" w:hAnsiTheme="minorEastAsia" w:eastAsiaTheme="minorEastAsia"/>
          <w:color w:val="auto"/>
          <w:sz w:val="24"/>
          <w:szCs w:val="20"/>
        </w:rPr>
      </w:pPr>
    </w:p>
    <w:p w14:paraId="5A5C030B">
      <w:pPr>
        <w:ind w:firstLine="480" w:firstLineChars="200"/>
        <w:rPr>
          <w:rFonts w:asciiTheme="minorEastAsia" w:hAnsiTheme="minorEastAsia" w:eastAsiaTheme="minorEastAsia"/>
          <w:color w:val="auto"/>
          <w:sz w:val="24"/>
          <w:szCs w:val="20"/>
        </w:rPr>
      </w:pPr>
    </w:p>
    <w:p w14:paraId="29ECFE79">
      <w:pPr>
        <w:spacing w:line="360" w:lineRule="auto"/>
        <w:jc w:val="left"/>
        <w:rPr>
          <w:rFonts w:asciiTheme="minorEastAsia" w:hAnsiTheme="minorEastAsia" w:eastAsiaTheme="minorEastAsia"/>
          <w:color w:val="auto"/>
          <w:sz w:val="24"/>
        </w:rPr>
      </w:pPr>
    </w:p>
    <w:p w14:paraId="46784D29">
      <w:pPr>
        <w:rPr>
          <w:rFonts w:asciiTheme="minorEastAsia" w:hAnsiTheme="minorEastAsia" w:eastAsiaTheme="minorEastAsia"/>
          <w:color w:val="auto"/>
          <w:sz w:val="22"/>
          <w:szCs w:val="22"/>
        </w:rPr>
      </w:pPr>
    </w:p>
    <w:p w14:paraId="65327924">
      <w:pPr>
        <w:rPr>
          <w:rFonts w:asciiTheme="minorEastAsia" w:hAnsiTheme="minorEastAsia" w:eastAsiaTheme="minorEastAsia"/>
          <w:b/>
          <w:color w:val="auto"/>
          <w:sz w:val="32"/>
          <w:szCs w:val="22"/>
        </w:rPr>
      </w:pPr>
    </w:p>
    <w:p w14:paraId="6A431B48">
      <w:pPr>
        <w:widowControl/>
        <w:ind w:firstLine="960" w:firstLineChars="400"/>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14:paraId="3790240C">
      <w:pPr>
        <w:widowControl/>
        <w:ind w:firstLine="960" w:firstLineChars="400"/>
        <w:jc w:val="center"/>
        <w:rPr>
          <w:rFonts w:cs="宋体" w:asciiTheme="minorEastAsia" w:hAnsiTheme="minorEastAsia" w:eastAsiaTheme="minorEastAsia"/>
          <w:color w:val="auto"/>
          <w:sz w:val="24"/>
        </w:rPr>
      </w:pPr>
    </w:p>
    <w:p w14:paraId="1D5F2BA1">
      <w:pPr>
        <w:widowControl/>
        <w:ind w:firstLine="1200" w:firstLineChars="400"/>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 w:val="30"/>
          <w:szCs w:val="30"/>
        </w:rPr>
        <w:t>（3）</w:t>
      </w:r>
      <w:r>
        <w:rPr>
          <w:rFonts w:hint="eastAsia" w:cs="宋体" w:asciiTheme="minorEastAsia" w:hAnsiTheme="minorEastAsia" w:eastAsiaTheme="minorEastAsia"/>
          <w:b/>
          <w:bCs/>
          <w:color w:val="auto"/>
          <w:sz w:val="24"/>
        </w:rPr>
        <w:t>未列入政府取消投标资格记录期间的承诺书</w:t>
      </w:r>
    </w:p>
    <w:p w14:paraId="508010F6">
      <w:pPr>
        <w:widowControl/>
        <w:ind w:firstLine="964" w:firstLineChars="400"/>
        <w:jc w:val="center"/>
        <w:rPr>
          <w:rFonts w:cs="宋体" w:asciiTheme="minorEastAsia" w:hAnsiTheme="minorEastAsia" w:eastAsiaTheme="minorEastAsia"/>
          <w:b/>
          <w:bCs/>
          <w:color w:val="auto"/>
          <w:sz w:val="24"/>
        </w:rPr>
      </w:pPr>
    </w:p>
    <w:p w14:paraId="23A1CBE8">
      <w:pPr>
        <w:spacing w:line="480" w:lineRule="auto"/>
        <w:rPr>
          <w:rFonts w:asciiTheme="minorEastAsia" w:hAnsiTheme="minorEastAsia" w:eastAsiaTheme="minorEastAsia"/>
          <w:color w:val="auto"/>
          <w:sz w:val="24"/>
        </w:rPr>
      </w:pPr>
    </w:p>
    <w:p w14:paraId="044A1105">
      <w:pPr>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（采购人）</w:t>
      </w:r>
    </w:p>
    <w:p w14:paraId="41947EDF">
      <w:pPr>
        <w:spacing w:line="480" w:lineRule="auto"/>
        <w:rPr>
          <w:rFonts w:asciiTheme="minorEastAsia" w:hAnsiTheme="minorEastAsia" w:eastAsiaTheme="minorEastAsia"/>
          <w:color w:val="auto"/>
          <w:sz w:val="24"/>
        </w:rPr>
      </w:pPr>
    </w:p>
    <w:p w14:paraId="6D45C159">
      <w:pPr>
        <w:spacing w:line="480" w:lineRule="auto"/>
        <w:ind w:firstLine="1440" w:firstLineChars="600"/>
        <w:rPr>
          <w:rFonts w:asciiTheme="minorEastAsia" w:hAnsiTheme="minorEastAsia" w:eastAsiaTheme="minorEastAsia"/>
          <w:color w:val="auto"/>
          <w:szCs w:val="21"/>
        </w:rPr>
      </w:pPr>
      <w:r>
        <w:rPr>
          <w:rFonts w:hint="eastAsia" w:asciiTheme="minorEastAsia" w:hAnsiTheme="minorEastAsia" w:eastAsiaTheme="minorEastAsia"/>
          <w:color w:val="auto"/>
          <w:sz w:val="24"/>
        </w:rPr>
        <w:t>我单位未被列入政府取消投标资格的记录，特此声明！</w:t>
      </w:r>
    </w:p>
    <w:p w14:paraId="1B5179D0">
      <w:pPr>
        <w:spacing w:line="420" w:lineRule="exact"/>
        <w:ind w:firstLine="420"/>
        <w:rPr>
          <w:rFonts w:asciiTheme="minorEastAsia" w:hAnsiTheme="minorEastAsia" w:eastAsiaTheme="minorEastAsia"/>
          <w:color w:val="auto"/>
          <w:szCs w:val="21"/>
        </w:rPr>
      </w:pPr>
    </w:p>
    <w:p w14:paraId="67368CC4">
      <w:pPr>
        <w:spacing w:line="420" w:lineRule="exact"/>
        <w:ind w:firstLine="420"/>
        <w:rPr>
          <w:rFonts w:asciiTheme="minorEastAsia" w:hAnsiTheme="minorEastAsia" w:eastAsiaTheme="minorEastAsia"/>
          <w:color w:val="auto"/>
          <w:szCs w:val="21"/>
        </w:rPr>
      </w:pPr>
    </w:p>
    <w:p w14:paraId="69415C29">
      <w:pPr>
        <w:spacing w:line="420" w:lineRule="exact"/>
        <w:ind w:firstLine="420"/>
        <w:rPr>
          <w:rFonts w:asciiTheme="minorEastAsia" w:hAnsiTheme="minorEastAsia" w:eastAsiaTheme="minorEastAsia"/>
          <w:color w:val="auto"/>
          <w:szCs w:val="21"/>
        </w:rPr>
      </w:pPr>
    </w:p>
    <w:p w14:paraId="7EFB99B5">
      <w:pPr>
        <w:spacing w:line="360" w:lineRule="auto"/>
        <w:ind w:firstLine="4228" w:firstLineChars="1762"/>
        <w:rPr>
          <w:rFonts w:asciiTheme="minorEastAsia" w:hAnsiTheme="minorEastAsia" w:eastAsiaTheme="minorEastAsia"/>
          <w:color w:val="auto"/>
          <w:sz w:val="24"/>
        </w:rPr>
      </w:pPr>
    </w:p>
    <w:p w14:paraId="3885E14C">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（盖单位章）</w:t>
      </w:r>
    </w:p>
    <w:p w14:paraId="30CDB5A3">
      <w:pPr>
        <w:spacing w:line="360" w:lineRule="auto"/>
        <w:jc w:val="left"/>
        <w:rPr>
          <w:rFonts w:asciiTheme="minorEastAsia" w:hAnsiTheme="minorEastAsia" w:eastAsiaTheme="minorEastAsia"/>
          <w:color w:val="auto"/>
          <w:sz w:val="24"/>
        </w:rPr>
      </w:pPr>
    </w:p>
    <w:p w14:paraId="28442198">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法定代表人或其委托代理人：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（签字或盖章）</w:t>
      </w:r>
    </w:p>
    <w:p w14:paraId="64A0B094">
      <w:pPr>
        <w:spacing w:line="360" w:lineRule="auto"/>
        <w:jc w:val="left"/>
        <w:rPr>
          <w:rFonts w:asciiTheme="minorEastAsia" w:hAnsiTheme="minorEastAsia" w:eastAsiaTheme="minorEastAsia"/>
          <w:color w:val="auto"/>
          <w:sz w:val="24"/>
        </w:rPr>
      </w:pPr>
    </w:p>
    <w:p w14:paraId="535023C1">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日  期：   年   月   日</w:t>
      </w:r>
    </w:p>
    <w:p w14:paraId="551A3EB0">
      <w:pPr>
        <w:widowControl/>
        <w:ind w:firstLine="960" w:firstLineChars="400"/>
        <w:jc w:val="center"/>
        <w:rPr>
          <w:rFonts w:cs="宋体" w:asciiTheme="minorEastAsia" w:hAnsiTheme="minorEastAsia" w:eastAsiaTheme="minorEastAsia"/>
          <w:b/>
          <w:bCs/>
          <w:color w:val="auto"/>
          <w:sz w:val="24"/>
        </w:rPr>
      </w:pPr>
      <w:r>
        <w:rPr>
          <w:rFonts w:cs="宋体" w:asciiTheme="minorEastAsia" w:hAnsiTheme="minorEastAsia" w:eastAsiaTheme="minorEastAsia"/>
          <w:color w:val="auto"/>
          <w:sz w:val="24"/>
        </w:rPr>
        <w:br w:type="page"/>
      </w:r>
      <w:r>
        <w:rPr>
          <w:rFonts w:hint="eastAsia" w:cs="宋体" w:asciiTheme="minorEastAsia" w:hAnsiTheme="minorEastAsia" w:eastAsiaTheme="minorEastAsia"/>
          <w:color w:val="auto"/>
          <w:sz w:val="30"/>
          <w:szCs w:val="30"/>
        </w:rPr>
        <w:t>（4）</w:t>
      </w:r>
      <w:r>
        <w:rPr>
          <w:rFonts w:hint="eastAsia" w:cs="宋体" w:asciiTheme="minorEastAsia" w:hAnsiTheme="minorEastAsia" w:eastAsiaTheme="minorEastAsia"/>
          <w:b/>
          <w:bCs/>
          <w:color w:val="auto"/>
          <w:sz w:val="24"/>
        </w:rPr>
        <w:t>无投资参股关系关联企业同时投标的承诺书</w:t>
      </w:r>
    </w:p>
    <w:p w14:paraId="44AD01E6">
      <w:pPr>
        <w:widowControl/>
        <w:ind w:firstLine="964" w:firstLineChars="400"/>
        <w:jc w:val="center"/>
        <w:rPr>
          <w:rFonts w:cs="宋体" w:asciiTheme="minorEastAsia" w:hAnsiTheme="minorEastAsia" w:eastAsiaTheme="minorEastAsia"/>
          <w:b/>
          <w:bCs/>
          <w:color w:val="auto"/>
          <w:sz w:val="24"/>
        </w:rPr>
      </w:pPr>
    </w:p>
    <w:p w14:paraId="39FA3FF6">
      <w:pPr>
        <w:spacing w:line="480" w:lineRule="auto"/>
        <w:rPr>
          <w:rFonts w:asciiTheme="minorEastAsia" w:hAnsiTheme="minorEastAsia" w:eastAsiaTheme="minorEastAsia"/>
          <w:color w:val="auto"/>
          <w:sz w:val="24"/>
        </w:rPr>
      </w:pPr>
    </w:p>
    <w:p w14:paraId="63B92A85">
      <w:pPr>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（采购人）</w:t>
      </w:r>
    </w:p>
    <w:p w14:paraId="550EFCD2">
      <w:pPr>
        <w:spacing w:line="480" w:lineRule="auto"/>
        <w:rPr>
          <w:rFonts w:asciiTheme="minorEastAsia" w:hAnsiTheme="minorEastAsia" w:eastAsiaTheme="minorEastAsia"/>
          <w:color w:val="auto"/>
          <w:sz w:val="24"/>
        </w:rPr>
      </w:pPr>
    </w:p>
    <w:p w14:paraId="05974E1C">
      <w:pPr>
        <w:spacing w:line="480" w:lineRule="auto"/>
        <w:ind w:firstLine="480" w:firstLineChars="200"/>
        <w:rPr>
          <w:rFonts w:asciiTheme="minorEastAsia" w:hAnsiTheme="minorEastAsia" w:eastAsiaTheme="minorEastAsia"/>
          <w:color w:val="auto"/>
          <w:szCs w:val="21"/>
        </w:rPr>
      </w:pPr>
      <w:r>
        <w:rPr>
          <w:rFonts w:hint="eastAsia" w:asciiTheme="minorEastAsia" w:hAnsiTheme="minorEastAsia" w:eastAsiaTheme="minorEastAsia"/>
          <w:color w:val="auto"/>
          <w:sz w:val="24"/>
        </w:rPr>
        <w:t>我单位承诺：无投资参股关系的关联企业,或具有直接管理和被管理关系的母子公司，或同一母公司的子公司，或法定代表人为同一人的两个及两个以上法人同时对本项目进行投标，与招标人存在利害关系可能影响投标公正性的法人、其他组织或者个人不得参加投标。单位负责人为同一人或者存在控股、管理关系的不同单位，不得参加同一标段投标或者未划分标段的同一项目投标</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特此声明！</w:t>
      </w:r>
    </w:p>
    <w:p w14:paraId="60664AD7">
      <w:pPr>
        <w:spacing w:line="420" w:lineRule="exact"/>
        <w:ind w:firstLine="420"/>
        <w:rPr>
          <w:rFonts w:asciiTheme="minorEastAsia" w:hAnsiTheme="minorEastAsia" w:eastAsiaTheme="minorEastAsia"/>
          <w:color w:val="auto"/>
          <w:szCs w:val="21"/>
        </w:rPr>
      </w:pPr>
    </w:p>
    <w:p w14:paraId="01C4A507">
      <w:pPr>
        <w:spacing w:line="420" w:lineRule="exact"/>
        <w:ind w:firstLine="420"/>
        <w:rPr>
          <w:rFonts w:asciiTheme="minorEastAsia" w:hAnsiTheme="minorEastAsia" w:eastAsiaTheme="minorEastAsia"/>
          <w:color w:val="auto"/>
          <w:szCs w:val="21"/>
        </w:rPr>
      </w:pPr>
    </w:p>
    <w:p w14:paraId="5F60507C">
      <w:pPr>
        <w:spacing w:line="360" w:lineRule="auto"/>
        <w:ind w:firstLine="4228" w:firstLineChars="1762"/>
        <w:rPr>
          <w:rFonts w:asciiTheme="minorEastAsia" w:hAnsiTheme="minorEastAsia" w:eastAsiaTheme="minorEastAsia"/>
          <w:color w:val="auto"/>
          <w:sz w:val="24"/>
        </w:rPr>
      </w:pPr>
    </w:p>
    <w:p w14:paraId="7D2928CE">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（盖单位章）</w:t>
      </w:r>
    </w:p>
    <w:p w14:paraId="511FE2EE">
      <w:pPr>
        <w:spacing w:line="360" w:lineRule="auto"/>
        <w:jc w:val="left"/>
        <w:rPr>
          <w:rFonts w:asciiTheme="minorEastAsia" w:hAnsiTheme="minorEastAsia" w:eastAsiaTheme="minorEastAsia"/>
          <w:color w:val="auto"/>
          <w:sz w:val="24"/>
        </w:rPr>
      </w:pPr>
    </w:p>
    <w:p w14:paraId="6079AEC4">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法定代表人或其委托代理人：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（签字或盖章）</w:t>
      </w:r>
    </w:p>
    <w:p w14:paraId="18B8B45E">
      <w:pPr>
        <w:spacing w:line="360" w:lineRule="auto"/>
        <w:jc w:val="left"/>
        <w:rPr>
          <w:rFonts w:asciiTheme="minorEastAsia" w:hAnsiTheme="minorEastAsia" w:eastAsiaTheme="minorEastAsia"/>
          <w:color w:val="auto"/>
          <w:sz w:val="24"/>
        </w:rPr>
      </w:pPr>
    </w:p>
    <w:p w14:paraId="5F0BA787">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日  期：   年   月   日</w:t>
      </w:r>
    </w:p>
    <w:p w14:paraId="13F1840B">
      <w:pPr>
        <w:widowControl/>
        <w:ind w:firstLine="960" w:firstLineChars="400"/>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14:paraId="6EBCC58F">
      <w:pPr>
        <w:widowControl/>
        <w:ind w:firstLine="3300" w:firstLineChars="1100"/>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 w:val="30"/>
          <w:szCs w:val="30"/>
        </w:rPr>
        <w:t>（5）</w:t>
      </w:r>
      <w:r>
        <w:rPr>
          <w:rFonts w:hint="eastAsia" w:cs="宋体" w:asciiTheme="minorEastAsia" w:hAnsiTheme="minorEastAsia" w:eastAsiaTheme="minorEastAsia"/>
          <w:b/>
          <w:bCs/>
          <w:color w:val="auto"/>
          <w:sz w:val="24"/>
        </w:rPr>
        <w:t>信用良好的承诺书</w:t>
      </w:r>
    </w:p>
    <w:p w14:paraId="2B213F62">
      <w:pPr>
        <w:spacing w:line="480" w:lineRule="auto"/>
        <w:rPr>
          <w:rFonts w:asciiTheme="minorEastAsia" w:hAnsiTheme="minorEastAsia" w:eastAsiaTheme="minorEastAsia"/>
          <w:color w:val="auto"/>
          <w:sz w:val="24"/>
        </w:rPr>
      </w:pPr>
    </w:p>
    <w:p w14:paraId="60FFFEC6">
      <w:pPr>
        <w:spacing w:line="48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（采购人）</w:t>
      </w:r>
    </w:p>
    <w:p w14:paraId="6815FC0E">
      <w:pPr>
        <w:spacing w:line="480" w:lineRule="auto"/>
        <w:ind w:firstLine="480" w:firstLineChars="200"/>
        <w:rPr>
          <w:rFonts w:asciiTheme="minorEastAsia" w:hAnsiTheme="minorEastAsia" w:eastAsiaTheme="minorEastAsia"/>
          <w:color w:val="auto"/>
          <w:sz w:val="24"/>
        </w:rPr>
      </w:pPr>
    </w:p>
    <w:p w14:paraId="1D22B64B">
      <w:pPr>
        <w:spacing w:line="48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我单位承诺具有良好的商业信誉，没有处于被责令停业，财产被接管、冻结或破产状态，如有虚假，我公司愿意接收有关规定处罚。</w:t>
      </w:r>
    </w:p>
    <w:p w14:paraId="234B1758">
      <w:pPr>
        <w:spacing w:line="480" w:lineRule="auto"/>
        <w:ind w:firstLine="480" w:firstLineChars="200"/>
        <w:rPr>
          <w:rFonts w:asciiTheme="minorEastAsia" w:hAnsiTheme="minorEastAsia" w:eastAsiaTheme="minorEastAsia"/>
          <w:color w:val="auto"/>
          <w:szCs w:val="21"/>
        </w:rPr>
      </w:pPr>
      <w:r>
        <w:rPr>
          <w:rFonts w:hint="eastAsia" w:asciiTheme="minorEastAsia" w:hAnsiTheme="minorEastAsia" w:eastAsiaTheme="minorEastAsia"/>
          <w:color w:val="auto"/>
          <w:sz w:val="24"/>
        </w:rPr>
        <w:t>特此声明！</w:t>
      </w:r>
    </w:p>
    <w:p w14:paraId="2FEFB805">
      <w:pPr>
        <w:spacing w:line="420" w:lineRule="exact"/>
        <w:ind w:firstLine="420"/>
        <w:rPr>
          <w:rFonts w:asciiTheme="minorEastAsia" w:hAnsiTheme="minorEastAsia" w:eastAsiaTheme="minorEastAsia"/>
          <w:color w:val="auto"/>
          <w:szCs w:val="21"/>
        </w:rPr>
      </w:pPr>
    </w:p>
    <w:p w14:paraId="26E3C4B9">
      <w:pPr>
        <w:spacing w:line="420" w:lineRule="exact"/>
        <w:ind w:firstLine="420"/>
        <w:rPr>
          <w:rFonts w:asciiTheme="minorEastAsia" w:hAnsiTheme="minorEastAsia" w:eastAsiaTheme="minorEastAsia"/>
          <w:color w:val="auto"/>
          <w:szCs w:val="21"/>
        </w:rPr>
      </w:pPr>
    </w:p>
    <w:p w14:paraId="2920A36E">
      <w:pPr>
        <w:spacing w:line="360" w:lineRule="auto"/>
        <w:ind w:firstLine="4228" w:firstLineChars="1762"/>
        <w:rPr>
          <w:rFonts w:asciiTheme="minorEastAsia" w:hAnsiTheme="minorEastAsia" w:eastAsiaTheme="minorEastAsia"/>
          <w:color w:val="auto"/>
          <w:sz w:val="24"/>
        </w:rPr>
      </w:pPr>
    </w:p>
    <w:p w14:paraId="43013EF5">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（盖单位章）</w:t>
      </w:r>
    </w:p>
    <w:p w14:paraId="1DA11225">
      <w:pPr>
        <w:spacing w:line="360" w:lineRule="auto"/>
        <w:jc w:val="left"/>
        <w:rPr>
          <w:rFonts w:asciiTheme="minorEastAsia" w:hAnsiTheme="minorEastAsia" w:eastAsiaTheme="minorEastAsia"/>
          <w:color w:val="auto"/>
          <w:sz w:val="24"/>
        </w:rPr>
      </w:pPr>
    </w:p>
    <w:p w14:paraId="6E00A451">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法定代表人或其委托代理人：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（签字或盖章）</w:t>
      </w:r>
    </w:p>
    <w:p w14:paraId="1E66CCE4">
      <w:pPr>
        <w:spacing w:line="360" w:lineRule="auto"/>
        <w:jc w:val="left"/>
        <w:rPr>
          <w:rFonts w:asciiTheme="minorEastAsia" w:hAnsiTheme="minorEastAsia" w:eastAsiaTheme="minorEastAsia"/>
          <w:color w:val="auto"/>
          <w:sz w:val="24"/>
        </w:rPr>
      </w:pPr>
    </w:p>
    <w:p w14:paraId="2ABF31A1">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日  期：   年   月   日</w:t>
      </w:r>
    </w:p>
    <w:p w14:paraId="6D98D55B">
      <w:pPr>
        <w:widowControl/>
        <w:ind w:firstLine="2640" w:firstLineChars="1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14:paraId="4346DDEC">
      <w:pPr>
        <w:widowControl/>
        <w:spacing w:line="360" w:lineRule="auto"/>
        <w:jc w:val="center"/>
        <w:rPr>
          <w:rFonts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zh-CN"/>
        </w:rPr>
        <w:t>）中小企业声明函（如有）</w:t>
      </w:r>
    </w:p>
    <w:p w14:paraId="0C26F460">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p>
    <w:p w14:paraId="5AB49039">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E854BB5">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 xml:space="preserve">1. </w:t>
      </w:r>
      <w:r>
        <w:rPr>
          <w:rFonts w:hint="eastAsia" w:ascii="宋体" w:hAnsi="宋体" w:eastAsia="宋体" w:cs="宋体"/>
          <w:bCs/>
          <w:color w:val="auto"/>
          <w:kern w:val="0"/>
          <w:sz w:val="24"/>
          <w:highlight w:val="none"/>
          <w:u w:val="single"/>
          <w:lang w:val="zh-CN"/>
        </w:rPr>
        <w:t>（标的名称）</w:t>
      </w:r>
      <w:r>
        <w:rPr>
          <w:rFonts w:hint="eastAsia" w:ascii="宋体" w:hAnsi="宋体" w:eastAsia="宋体" w:cs="宋体"/>
          <w:bCs/>
          <w:color w:val="auto"/>
          <w:kern w:val="0"/>
          <w:sz w:val="24"/>
          <w:highlight w:val="none"/>
          <w:lang w:val="zh-CN"/>
        </w:rPr>
        <w:t xml:space="preserve"> ，属于</w:t>
      </w:r>
      <w:r>
        <w:rPr>
          <w:rFonts w:hint="eastAsia" w:ascii="宋体" w:hAnsi="宋体" w:eastAsia="宋体" w:cs="宋体"/>
          <w:bCs/>
          <w:color w:val="auto"/>
          <w:kern w:val="0"/>
          <w:sz w:val="24"/>
          <w:highlight w:val="none"/>
          <w:u w:val="single"/>
          <w:lang w:val="zh-CN"/>
        </w:rPr>
        <w:t>（采购文件中明确的所属行业）</w:t>
      </w:r>
      <w:r>
        <w:rPr>
          <w:rFonts w:hint="eastAsia" w:ascii="宋体" w:hAnsi="宋体" w:eastAsia="宋体" w:cs="宋体"/>
          <w:bCs/>
          <w:color w:val="auto"/>
          <w:kern w:val="0"/>
          <w:sz w:val="24"/>
          <w:highlight w:val="none"/>
          <w:lang w:val="zh-CN"/>
        </w:rPr>
        <w:t>；承建（承接）企业为</w:t>
      </w: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lang w:val="zh-CN"/>
        </w:rPr>
        <w:t>（企业名称）</w:t>
      </w:r>
      <w:r>
        <w:rPr>
          <w:rFonts w:hint="eastAsia" w:ascii="宋体" w:hAnsi="宋体" w:eastAsia="宋体" w:cs="宋体"/>
          <w:bCs/>
          <w:color w:val="auto"/>
          <w:kern w:val="0"/>
          <w:sz w:val="24"/>
          <w:highlight w:val="none"/>
          <w:lang w:val="zh-CN"/>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 xml:space="preserve">人，营业收入为 </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 xml:space="preserve"> 万元</w:t>
      </w:r>
      <w:r>
        <w:rPr>
          <w:rFonts w:hint="eastAsia" w:ascii="宋体" w:hAnsi="宋体" w:eastAsia="宋体" w:cs="宋体"/>
          <w:bCs/>
          <w:color w:val="auto"/>
          <w:kern w:val="0"/>
          <w:sz w:val="24"/>
          <w:highlight w:val="none"/>
          <w:vertAlign w:val="superscript"/>
          <w:lang w:val="zh-CN"/>
        </w:rPr>
        <w:footnoteReference w:id="0"/>
      </w:r>
      <w:r>
        <w:rPr>
          <w:rFonts w:hint="eastAsia" w:ascii="宋体" w:hAnsi="宋体" w:eastAsia="宋体" w:cs="宋体"/>
          <w:bCs/>
          <w:color w:val="auto"/>
          <w:kern w:val="0"/>
          <w:sz w:val="24"/>
          <w:highlight w:val="none"/>
          <w:lang w:val="zh-CN"/>
        </w:rPr>
        <w:t>，属于（中型企业、小型企业、微型企业）；</w:t>
      </w:r>
    </w:p>
    <w:p w14:paraId="6AAD16E6">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 xml:space="preserve">2. </w:t>
      </w:r>
      <w:r>
        <w:rPr>
          <w:rFonts w:hint="eastAsia" w:ascii="宋体" w:hAnsi="宋体" w:eastAsia="宋体" w:cs="宋体"/>
          <w:bCs/>
          <w:color w:val="auto"/>
          <w:kern w:val="0"/>
          <w:sz w:val="24"/>
          <w:highlight w:val="none"/>
          <w:u w:val="single"/>
          <w:lang w:val="zh-CN"/>
        </w:rPr>
        <w:t>（标的名称）</w:t>
      </w:r>
      <w:r>
        <w:rPr>
          <w:rFonts w:hint="eastAsia" w:ascii="宋体" w:hAnsi="宋体" w:eastAsia="宋体" w:cs="宋体"/>
          <w:bCs/>
          <w:color w:val="auto"/>
          <w:kern w:val="0"/>
          <w:sz w:val="24"/>
          <w:highlight w:val="none"/>
          <w:lang w:val="zh-CN"/>
        </w:rPr>
        <w:t xml:space="preserve"> ，属于</w:t>
      </w:r>
      <w:r>
        <w:rPr>
          <w:rFonts w:hint="eastAsia" w:ascii="宋体" w:hAnsi="宋体" w:eastAsia="宋体" w:cs="宋体"/>
          <w:bCs/>
          <w:color w:val="auto"/>
          <w:kern w:val="0"/>
          <w:sz w:val="24"/>
          <w:highlight w:val="none"/>
          <w:u w:val="single"/>
          <w:lang w:val="zh-CN"/>
        </w:rPr>
        <w:t>（采购文件中明确的所属行业）</w:t>
      </w:r>
      <w:r>
        <w:rPr>
          <w:rFonts w:hint="eastAsia" w:ascii="宋体" w:hAnsi="宋体" w:eastAsia="宋体" w:cs="宋体"/>
          <w:bCs/>
          <w:color w:val="auto"/>
          <w:kern w:val="0"/>
          <w:sz w:val="24"/>
          <w:highlight w:val="none"/>
          <w:lang w:val="zh-CN"/>
        </w:rPr>
        <w:t>；承建（承接）企业为</w:t>
      </w:r>
      <w:r>
        <w:rPr>
          <w:rFonts w:hint="eastAsia" w:ascii="宋体" w:hAnsi="宋体" w:eastAsia="宋体" w:cs="宋体"/>
          <w:bCs/>
          <w:color w:val="auto"/>
          <w:kern w:val="0"/>
          <w:sz w:val="24"/>
          <w:highlight w:val="none"/>
          <w:u w:val="single"/>
          <w:lang w:val="zh-CN"/>
        </w:rPr>
        <w:t>（企业名称）</w:t>
      </w:r>
      <w:r>
        <w:rPr>
          <w:rFonts w:hint="eastAsia" w:ascii="宋体" w:hAnsi="宋体" w:eastAsia="宋体" w:cs="宋体"/>
          <w:bCs/>
          <w:color w:val="auto"/>
          <w:kern w:val="0"/>
          <w:sz w:val="24"/>
          <w:highlight w:val="none"/>
          <w:lang w:val="zh-CN"/>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万元，属于（中型企业、小型企业、微型企业）；</w:t>
      </w:r>
    </w:p>
    <w:p w14:paraId="6D9D82F3">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w:t>
      </w:r>
    </w:p>
    <w:p w14:paraId="5E4E34FA">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以上企业，不属于大企业的分支机构，不存在控股股东为大企业的情形，也不存在与大企业的负责人为同一人的情形。</w:t>
      </w:r>
    </w:p>
    <w:p w14:paraId="281F99F2">
      <w:pPr>
        <w:autoSpaceDE w:val="0"/>
        <w:autoSpaceDN w:val="0"/>
        <w:adjustRightInd w:val="0"/>
        <w:spacing w:line="400" w:lineRule="exact"/>
        <w:ind w:firstLine="960" w:firstLineChars="4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本企业对上述声明内容的真实性负责。如有虚假，将依法承担相应责任。</w:t>
      </w:r>
    </w:p>
    <w:p w14:paraId="0532D154">
      <w:pPr>
        <w:autoSpaceDE w:val="0"/>
        <w:autoSpaceDN w:val="0"/>
        <w:adjustRightInd w:val="0"/>
        <w:spacing w:line="400" w:lineRule="exact"/>
        <w:ind w:firstLine="4320" w:firstLineChars="1800"/>
        <w:rPr>
          <w:rFonts w:ascii="宋体" w:hAnsi="宋体" w:eastAsia="宋体" w:cs="宋体"/>
          <w:bCs/>
          <w:color w:val="auto"/>
          <w:kern w:val="0"/>
          <w:sz w:val="24"/>
          <w:highlight w:val="none"/>
          <w:lang w:val="zh-CN"/>
        </w:rPr>
      </w:pPr>
    </w:p>
    <w:p w14:paraId="4CA1C151">
      <w:pPr>
        <w:autoSpaceDE w:val="0"/>
        <w:autoSpaceDN w:val="0"/>
        <w:adjustRightInd w:val="0"/>
        <w:spacing w:line="400" w:lineRule="exact"/>
        <w:ind w:firstLine="4080" w:firstLineChars="1700"/>
        <w:rPr>
          <w:rFonts w:ascii="宋体" w:hAnsi="宋体" w:eastAsia="宋体" w:cs="宋体"/>
          <w:bCs/>
          <w:color w:val="auto"/>
          <w:kern w:val="0"/>
          <w:sz w:val="24"/>
          <w:highlight w:val="none"/>
          <w:lang w:val="zh-CN"/>
        </w:rPr>
      </w:pPr>
    </w:p>
    <w:p w14:paraId="2A184716">
      <w:pPr>
        <w:spacing w:line="360" w:lineRule="auto"/>
        <w:ind w:right="48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5B1DFFB8">
      <w:pPr>
        <w:widowControl/>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85D512">
      <w:pPr>
        <w:widowControl/>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FF77B4C">
      <w:pPr>
        <w:widowControl/>
        <w:spacing w:line="360" w:lineRule="auto"/>
        <w:jc w:val="center"/>
        <w:rPr>
          <w:rFonts w:ascii="宋体" w:hAnsi="宋体" w:eastAsia="宋体" w:cs="宋体"/>
          <w:b/>
          <w:color w:val="auto"/>
          <w:sz w:val="28"/>
          <w:szCs w:val="28"/>
          <w:highlight w:val="none"/>
          <w:lang w:val="zh-CN"/>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lang w:val="zh-CN"/>
        </w:rPr>
        <w:t>（</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zh-CN"/>
        </w:rPr>
        <w:t>）监狱企业的证明文件（如有）</w:t>
      </w:r>
    </w:p>
    <w:p w14:paraId="3AE6CC4C">
      <w:pPr>
        <w:widowControl/>
        <w:rPr>
          <w:rFonts w:ascii="宋体" w:hAnsi="宋体" w:eastAsia="宋体" w:cs="宋体"/>
          <w:bCs/>
          <w:color w:val="auto"/>
          <w:kern w:val="0"/>
          <w:sz w:val="24"/>
          <w:highlight w:val="none"/>
          <w:lang w:val="zh-CN"/>
        </w:rPr>
      </w:pPr>
    </w:p>
    <w:p w14:paraId="37DD89A0">
      <w:pPr>
        <w:keepNext/>
        <w:keepLines/>
        <w:numPr>
          <w:ilvl w:val="1"/>
          <w:numId w:val="0"/>
        </w:numPr>
        <w:tabs>
          <w:tab w:val="left" w:pos="720"/>
        </w:tabs>
        <w:spacing w:before="260" w:after="260" w:line="360" w:lineRule="auto"/>
        <w:jc w:val="center"/>
        <w:outlineLvl w:val="1"/>
        <w:rPr>
          <w:rFonts w:ascii="宋体" w:hAnsi="宋体" w:eastAsia="宋体" w:cs="宋体"/>
          <w:bCs/>
          <w:color w:val="auto"/>
          <w:kern w:val="0"/>
          <w:sz w:val="24"/>
          <w:szCs w:val="32"/>
          <w:highlight w:val="none"/>
          <w:lang w:val="zh-CN"/>
        </w:rPr>
      </w:pPr>
      <w:r>
        <w:rPr>
          <w:rFonts w:hint="eastAsia" w:ascii="宋体" w:hAnsi="宋体" w:eastAsia="宋体" w:cs="宋体"/>
          <w:bCs/>
          <w:color w:val="auto"/>
          <w:kern w:val="0"/>
          <w:sz w:val="24"/>
          <w:szCs w:val="32"/>
          <w:highlight w:val="none"/>
          <w:lang w:val="zh-CN"/>
        </w:rPr>
        <w:t>监狱和戒毒企业应当提供由省级以上监狱管理局、戒毒管理局（含新疆生产建设兵团）出具的属于监狱企业的证明文件。</w:t>
      </w:r>
    </w:p>
    <w:p w14:paraId="42E6FA67">
      <w:pPr>
        <w:keepNext/>
        <w:keepLines/>
        <w:numPr>
          <w:ilvl w:val="1"/>
          <w:numId w:val="0"/>
        </w:numPr>
        <w:tabs>
          <w:tab w:val="left" w:pos="720"/>
        </w:tabs>
        <w:spacing w:before="260" w:after="260" w:line="360" w:lineRule="auto"/>
        <w:jc w:val="center"/>
        <w:outlineLvl w:val="1"/>
        <w:rPr>
          <w:rFonts w:ascii="宋体" w:hAnsi="宋体" w:eastAsia="宋体" w:cs="宋体"/>
          <w:b/>
          <w:bCs/>
          <w:color w:val="auto"/>
          <w:sz w:val="28"/>
          <w:szCs w:val="28"/>
          <w:highlight w:val="none"/>
          <w:lang w:val="zh-CN"/>
        </w:rPr>
      </w:pPr>
      <w:r>
        <w:rPr>
          <w:rFonts w:hint="eastAsia" w:ascii="宋体" w:hAnsi="宋体" w:eastAsia="宋体" w:cs="宋体"/>
          <w:b/>
          <w:color w:val="auto"/>
          <w:kern w:val="0"/>
          <w:sz w:val="24"/>
          <w:szCs w:val="32"/>
          <w:highlight w:val="none"/>
          <w:lang w:val="zh-CN"/>
        </w:rPr>
        <w:br w:type="page"/>
      </w:r>
      <w:r>
        <w:rPr>
          <w:rFonts w:hint="eastAsia" w:ascii="宋体" w:hAnsi="宋体" w:eastAsia="宋体" w:cs="宋体"/>
          <w:b/>
          <w:bCs/>
          <w:color w:val="auto"/>
          <w:sz w:val="28"/>
          <w:szCs w:val="28"/>
          <w:highlight w:val="none"/>
          <w:lang w:val="zh-CN"/>
        </w:rPr>
        <w:t>（</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zh-CN"/>
        </w:rPr>
        <w:t>）残疾人福利性单位声明函（如有）</w:t>
      </w:r>
    </w:p>
    <w:p w14:paraId="3B58FC68">
      <w:pPr>
        <w:widowControl/>
        <w:spacing w:line="360" w:lineRule="auto"/>
        <w:jc w:val="center"/>
        <w:rPr>
          <w:rFonts w:ascii="宋体" w:hAnsi="宋体" w:eastAsia="宋体" w:cs="宋体"/>
          <w:b/>
          <w:color w:val="auto"/>
          <w:sz w:val="28"/>
          <w:szCs w:val="28"/>
          <w:highlight w:val="none"/>
          <w:lang w:val="zh-CN"/>
        </w:rPr>
      </w:pPr>
    </w:p>
    <w:p w14:paraId="343A639C">
      <w:pPr>
        <w:autoSpaceDE w:val="0"/>
        <w:autoSpaceDN w:val="0"/>
        <w:adjustRightInd w:val="0"/>
        <w:spacing w:line="400" w:lineRule="exact"/>
        <w:ind w:firstLine="480" w:firstLineChars="2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本公司郑重声明，根据《财政部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单位的</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lang w:val="zh-CN"/>
        </w:rPr>
        <w:t>项目采购活动提供本单位制造的货物（由本单位承担工程/提供服务），或者提供其他残疾人福利性单位制造的货物（不包括使用非残疾人福利性单位注册商标的货物）。</w:t>
      </w:r>
    </w:p>
    <w:p w14:paraId="765649B6">
      <w:pPr>
        <w:autoSpaceDE w:val="0"/>
        <w:autoSpaceDN w:val="0"/>
        <w:adjustRightInd w:val="0"/>
        <w:spacing w:line="400" w:lineRule="exact"/>
        <w:ind w:firstLine="480" w:firstLineChars="200"/>
        <w:rPr>
          <w:rFonts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本单位对上述声明的真实性负责。如有虚假，将依法承担相应责任。</w:t>
      </w:r>
    </w:p>
    <w:p w14:paraId="3F6CFBE8">
      <w:pPr>
        <w:spacing w:line="360" w:lineRule="auto"/>
        <w:ind w:firstLine="420" w:firstLineChars="200"/>
        <w:rPr>
          <w:rFonts w:ascii="宋体" w:hAnsi="宋体" w:eastAsia="宋体" w:cs="宋体"/>
          <w:color w:val="auto"/>
          <w:highlight w:val="none"/>
        </w:rPr>
      </w:pPr>
    </w:p>
    <w:p w14:paraId="61976AC9">
      <w:pPr>
        <w:adjustRightInd w:val="0"/>
        <w:snapToGrid w:val="0"/>
        <w:spacing w:line="440" w:lineRule="exact"/>
        <w:rPr>
          <w:rFonts w:ascii="宋体" w:hAnsi="宋体" w:eastAsia="宋体" w:cs="宋体"/>
          <w:bCs/>
          <w:color w:val="auto"/>
          <w:szCs w:val="21"/>
          <w:highlight w:val="none"/>
        </w:rPr>
      </w:pPr>
    </w:p>
    <w:p w14:paraId="589A9736">
      <w:pPr>
        <w:adjustRightInd w:val="0"/>
        <w:snapToGrid w:val="0"/>
        <w:spacing w:line="440" w:lineRule="exact"/>
        <w:rPr>
          <w:rFonts w:ascii="宋体" w:hAnsi="宋体" w:eastAsia="宋体" w:cs="宋体"/>
          <w:bCs/>
          <w:color w:val="auto"/>
          <w:szCs w:val="21"/>
          <w:highlight w:val="none"/>
        </w:rPr>
      </w:pPr>
    </w:p>
    <w:p w14:paraId="79AA746C">
      <w:pPr>
        <w:adjustRightInd w:val="0"/>
        <w:snapToGrid w:val="0"/>
        <w:spacing w:line="440" w:lineRule="exact"/>
        <w:rPr>
          <w:rFonts w:ascii="宋体" w:hAnsi="宋体" w:eastAsia="宋体" w:cs="宋体"/>
          <w:bCs/>
          <w:color w:val="auto"/>
          <w:szCs w:val="21"/>
          <w:highlight w:val="none"/>
        </w:rPr>
      </w:pPr>
    </w:p>
    <w:p w14:paraId="5D9D20BB">
      <w:pPr>
        <w:spacing w:line="360" w:lineRule="auto"/>
        <w:ind w:right="480" w:firstLine="2880" w:firstLineChars="1200"/>
        <w:jc w:val="left"/>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4B5BC368">
      <w:pPr>
        <w:keepNext/>
        <w:keepLines/>
        <w:numPr>
          <w:ilvl w:val="1"/>
          <w:numId w:val="0"/>
        </w:numPr>
        <w:tabs>
          <w:tab w:val="left" w:pos="720"/>
        </w:tabs>
        <w:spacing w:before="260" w:after="260" w:line="360" w:lineRule="auto"/>
        <w:jc w:val="center"/>
        <w:outlineLvl w:val="1"/>
        <w:rPr>
          <w:rFonts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74F69EB6">
      <w:pPr>
        <w:widowControl/>
        <w:ind w:firstLine="1285" w:firstLineChars="400"/>
        <w:jc w:val="center"/>
        <w:rPr>
          <w:rFonts w:hint="eastAsia" w:asciiTheme="minorEastAsia" w:hAnsiTheme="minorEastAsia" w:eastAsiaTheme="minorEastAsia"/>
          <w:b/>
          <w:color w:val="auto"/>
          <w:kern w:val="0"/>
          <w:sz w:val="32"/>
          <w:szCs w:val="32"/>
          <w:lang w:val="zh-CN"/>
        </w:rPr>
      </w:pPr>
    </w:p>
    <w:p w14:paraId="28F23F10">
      <w:pPr>
        <w:widowControl/>
        <w:ind w:firstLine="1285" w:firstLineChars="400"/>
        <w:jc w:val="center"/>
        <w:rPr>
          <w:rFonts w:hint="eastAsia" w:asciiTheme="minorEastAsia" w:hAnsiTheme="minorEastAsia" w:eastAsiaTheme="minorEastAsia"/>
          <w:b/>
          <w:color w:val="auto"/>
          <w:kern w:val="0"/>
          <w:sz w:val="32"/>
          <w:szCs w:val="32"/>
          <w:lang w:val="zh-CN"/>
        </w:rPr>
      </w:pPr>
    </w:p>
    <w:p w14:paraId="27964E08">
      <w:pPr>
        <w:widowControl/>
        <w:ind w:firstLine="1285" w:firstLineChars="400"/>
        <w:jc w:val="center"/>
        <w:rPr>
          <w:rFonts w:hint="eastAsia" w:asciiTheme="minorEastAsia" w:hAnsiTheme="minorEastAsia" w:eastAsiaTheme="minorEastAsia"/>
          <w:b/>
          <w:color w:val="auto"/>
          <w:kern w:val="0"/>
          <w:sz w:val="32"/>
          <w:szCs w:val="32"/>
          <w:lang w:val="zh-CN"/>
        </w:rPr>
      </w:pPr>
    </w:p>
    <w:p w14:paraId="5729794E">
      <w:pPr>
        <w:widowControl/>
        <w:ind w:firstLine="1285" w:firstLineChars="400"/>
        <w:jc w:val="center"/>
        <w:rPr>
          <w:rFonts w:hint="eastAsia" w:asciiTheme="minorEastAsia" w:hAnsiTheme="minorEastAsia" w:eastAsiaTheme="minorEastAsia"/>
          <w:b/>
          <w:color w:val="auto"/>
          <w:kern w:val="0"/>
          <w:sz w:val="32"/>
          <w:szCs w:val="32"/>
          <w:lang w:val="zh-CN"/>
        </w:rPr>
      </w:pPr>
    </w:p>
    <w:p w14:paraId="0DD351B2">
      <w:pPr>
        <w:widowControl/>
        <w:ind w:firstLine="1285" w:firstLineChars="400"/>
        <w:jc w:val="center"/>
        <w:rPr>
          <w:rFonts w:hint="eastAsia" w:asciiTheme="minorEastAsia" w:hAnsiTheme="minorEastAsia" w:eastAsiaTheme="minorEastAsia"/>
          <w:b/>
          <w:color w:val="auto"/>
          <w:kern w:val="0"/>
          <w:sz w:val="32"/>
          <w:szCs w:val="32"/>
          <w:lang w:val="zh-CN"/>
        </w:rPr>
      </w:pPr>
    </w:p>
    <w:p w14:paraId="717B96D0">
      <w:pPr>
        <w:widowControl/>
        <w:ind w:firstLine="1285" w:firstLineChars="400"/>
        <w:jc w:val="center"/>
        <w:rPr>
          <w:rFonts w:hint="eastAsia" w:asciiTheme="minorEastAsia" w:hAnsiTheme="minorEastAsia" w:eastAsiaTheme="minorEastAsia"/>
          <w:b/>
          <w:color w:val="auto"/>
          <w:kern w:val="0"/>
          <w:sz w:val="32"/>
          <w:szCs w:val="32"/>
          <w:lang w:val="zh-CN"/>
        </w:rPr>
      </w:pPr>
    </w:p>
    <w:p w14:paraId="7749585C">
      <w:pPr>
        <w:widowControl/>
        <w:ind w:firstLine="1285" w:firstLineChars="400"/>
        <w:jc w:val="center"/>
        <w:rPr>
          <w:rFonts w:hint="eastAsia" w:asciiTheme="minorEastAsia" w:hAnsiTheme="minorEastAsia" w:eastAsiaTheme="minorEastAsia"/>
          <w:b/>
          <w:color w:val="auto"/>
          <w:kern w:val="0"/>
          <w:sz w:val="32"/>
          <w:szCs w:val="32"/>
          <w:lang w:val="zh-CN"/>
        </w:rPr>
      </w:pPr>
    </w:p>
    <w:p w14:paraId="0D751E43">
      <w:pPr>
        <w:widowControl/>
        <w:ind w:firstLine="1285" w:firstLineChars="400"/>
        <w:jc w:val="center"/>
        <w:rPr>
          <w:rFonts w:hint="eastAsia" w:asciiTheme="minorEastAsia" w:hAnsiTheme="minorEastAsia" w:eastAsiaTheme="minorEastAsia"/>
          <w:b/>
          <w:color w:val="auto"/>
          <w:kern w:val="0"/>
          <w:sz w:val="32"/>
          <w:szCs w:val="32"/>
          <w:lang w:val="zh-CN"/>
        </w:rPr>
      </w:pPr>
    </w:p>
    <w:p w14:paraId="44F86E8B">
      <w:pPr>
        <w:widowControl/>
        <w:ind w:firstLine="1285" w:firstLineChars="400"/>
        <w:jc w:val="center"/>
        <w:rPr>
          <w:rFonts w:hint="eastAsia" w:asciiTheme="minorEastAsia" w:hAnsiTheme="minorEastAsia" w:eastAsiaTheme="minorEastAsia"/>
          <w:b/>
          <w:color w:val="auto"/>
          <w:kern w:val="0"/>
          <w:sz w:val="32"/>
          <w:szCs w:val="32"/>
          <w:lang w:val="zh-CN"/>
        </w:rPr>
      </w:pPr>
    </w:p>
    <w:p w14:paraId="4D376844">
      <w:pPr>
        <w:widowControl/>
        <w:ind w:firstLine="1285" w:firstLineChars="400"/>
        <w:jc w:val="center"/>
        <w:rPr>
          <w:rFonts w:hint="eastAsia" w:asciiTheme="minorEastAsia" w:hAnsiTheme="minorEastAsia" w:eastAsiaTheme="minorEastAsia"/>
          <w:b/>
          <w:color w:val="auto"/>
          <w:kern w:val="0"/>
          <w:sz w:val="32"/>
          <w:szCs w:val="32"/>
          <w:lang w:val="zh-CN"/>
        </w:rPr>
      </w:pPr>
    </w:p>
    <w:p w14:paraId="299E8332">
      <w:pPr>
        <w:widowControl/>
        <w:ind w:firstLine="1285" w:firstLineChars="400"/>
        <w:jc w:val="center"/>
        <w:rPr>
          <w:rFonts w:hint="eastAsia" w:asciiTheme="minorEastAsia" w:hAnsiTheme="minorEastAsia" w:eastAsiaTheme="minorEastAsia"/>
          <w:b/>
          <w:color w:val="auto"/>
          <w:kern w:val="0"/>
          <w:sz w:val="32"/>
          <w:szCs w:val="32"/>
          <w:lang w:val="zh-CN"/>
        </w:rPr>
      </w:pPr>
    </w:p>
    <w:p w14:paraId="3B1ACBCD">
      <w:pPr>
        <w:widowControl/>
        <w:ind w:firstLine="1285" w:firstLineChars="400"/>
        <w:jc w:val="center"/>
        <w:rPr>
          <w:rFonts w:asciiTheme="minorEastAsia" w:hAnsiTheme="minorEastAsia" w:eastAsiaTheme="minorEastAsia"/>
          <w:b/>
          <w:bCs/>
          <w:color w:val="auto"/>
          <w:kern w:val="0"/>
          <w:sz w:val="32"/>
          <w:szCs w:val="32"/>
        </w:rPr>
      </w:pPr>
      <w:r>
        <w:rPr>
          <w:rFonts w:hint="eastAsia" w:asciiTheme="minorEastAsia" w:hAnsiTheme="minorEastAsia" w:eastAsiaTheme="minorEastAsia"/>
          <w:b/>
          <w:color w:val="auto"/>
          <w:kern w:val="0"/>
          <w:sz w:val="32"/>
          <w:szCs w:val="32"/>
          <w:lang w:val="zh-CN"/>
        </w:rPr>
        <w:t>八、政府采购诚信承诺书</w:t>
      </w:r>
    </w:p>
    <w:p w14:paraId="45E381A3">
      <w:pPr>
        <w:spacing w:line="440" w:lineRule="exact"/>
        <w:jc w:val="center"/>
        <w:rPr>
          <w:rFonts w:cs="宋体" w:asciiTheme="minorEastAsia" w:hAnsiTheme="minorEastAsia" w:eastAsiaTheme="minorEastAsia"/>
          <w:b/>
          <w:color w:val="auto"/>
          <w:kern w:val="0"/>
          <w:sz w:val="32"/>
          <w:szCs w:val="18"/>
        </w:rPr>
      </w:pPr>
    </w:p>
    <w:p w14:paraId="102991AD">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u w:val="single"/>
        </w:rPr>
        <w:t xml:space="preserve">     (采购人）     </w:t>
      </w:r>
      <w:r>
        <w:rPr>
          <w:rFonts w:hint="eastAsia" w:asciiTheme="minorEastAsia" w:hAnsiTheme="minorEastAsia" w:eastAsiaTheme="minorEastAsia"/>
          <w:bCs/>
          <w:color w:val="auto"/>
          <w:sz w:val="24"/>
        </w:rPr>
        <w:t>：</w:t>
      </w:r>
    </w:p>
    <w:p w14:paraId="56467146">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我公司</w:t>
      </w:r>
      <w:r>
        <w:rPr>
          <w:rFonts w:hint="eastAsia" w:asciiTheme="minorEastAsia" w:hAnsiTheme="minorEastAsia" w:eastAsiaTheme="minorEastAsia"/>
          <w:bCs/>
          <w:color w:val="auto"/>
          <w:sz w:val="24"/>
          <w:u w:val="single"/>
        </w:rPr>
        <w:t xml:space="preserve">    （供应商名称） </w:t>
      </w:r>
      <w:r>
        <w:rPr>
          <w:rFonts w:hint="eastAsia" w:asciiTheme="minorEastAsia" w:hAnsiTheme="minorEastAsia" w:eastAsiaTheme="minorEastAsia"/>
          <w:bCs/>
          <w:color w:val="auto"/>
          <w:sz w:val="24"/>
        </w:rPr>
        <w:t>已详细阅读了</w:t>
      </w:r>
      <w:r>
        <w:rPr>
          <w:rFonts w:hint="eastAsia" w:asciiTheme="minorEastAsia" w:hAnsiTheme="minorEastAsia" w:eastAsiaTheme="minorEastAsia"/>
          <w:bCs/>
          <w:color w:val="auto"/>
          <w:sz w:val="24"/>
          <w:u w:val="single"/>
        </w:rPr>
        <w:t xml:space="preserve">     （项目名称）        </w:t>
      </w:r>
      <w:r>
        <w:rPr>
          <w:rFonts w:hint="eastAsia" w:asciiTheme="minorEastAsia" w:hAnsiTheme="minorEastAsia" w:eastAsiaTheme="minorEastAsia"/>
          <w:bCs/>
          <w:color w:val="auto"/>
          <w:sz w:val="24"/>
        </w:rPr>
        <w:t>项目（项目编号：</w:t>
      </w:r>
      <w:r>
        <w:rPr>
          <w:rFonts w:hint="eastAsia"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rPr>
        <w:t>）的</w:t>
      </w:r>
      <w:r>
        <w:rPr>
          <w:rFonts w:hint="eastAsia" w:asciiTheme="minorEastAsia" w:hAnsiTheme="minorEastAsia" w:eastAsiaTheme="minorEastAsia"/>
          <w:bCs/>
          <w:color w:val="auto"/>
          <w:sz w:val="24"/>
          <w:lang w:eastAsia="zh-CN"/>
        </w:rPr>
        <w:t>竞争性磋商文件</w:t>
      </w:r>
      <w:r>
        <w:rPr>
          <w:rFonts w:hint="eastAsia" w:asciiTheme="minorEastAsia" w:hAnsiTheme="minorEastAsia" w:eastAsiaTheme="minorEastAsia"/>
          <w:bCs/>
          <w:color w:val="auto"/>
          <w:sz w:val="24"/>
        </w:rPr>
        <w:t>，自愿参加本次投标，现就有关事项郑重承诺如下：</w:t>
      </w:r>
    </w:p>
    <w:p w14:paraId="25AAF47F">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2D4CCB62">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遵纪守法，公平竞争。不与其他供应商相互串通、哄抬价格，不排挤其他供应商，不损害采购人的合法权益；不向采购人、采购代理机构、评标小组成员等及其他参与采购活动的人员行贿或采用其他不正当手段谋取成交；</w:t>
      </w:r>
    </w:p>
    <w:p w14:paraId="5F52BA58">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三、不捏造事实或借用他人名义进行虚假、恶意质疑和投诉，不以质疑或投诉为名排挤竞争对手，干扰政府采购秩序；</w:t>
      </w:r>
    </w:p>
    <w:p w14:paraId="787072D5">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77C5B16E">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若有违反以上承诺内容的行为，我公司自愿接受取消投标资格、记入信用档案、没收磋商保证金、媒体通报、1～3年内禁止参与政府采购活动等处罚；如已成交的，自动放弃成交资格，并承担全部法律责任；给采购人造成损失的，依法承担赔偿责任。</w:t>
      </w:r>
    </w:p>
    <w:p w14:paraId="41BBBA7F">
      <w:pPr>
        <w:spacing w:line="360" w:lineRule="auto"/>
        <w:ind w:right="480"/>
        <w:jc w:val="left"/>
        <w:rPr>
          <w:rFonts w:asciiTheme="minorEastAsia" w:hAnsiTheme="minorEastAsia" w:eastAsiaTheme="minorEastAsia"/>
          <w:color w:val="auto"/>
          <w:sz w:val="24"/>
        </w:rPr>
      </w:pPr>
      <w:r>
        <w:rPr>
          <w:rFonts w:hint="eastAsia" w:asciiTheme="minorEastAsia" w:hAnsiTheme="minorEastAsia" w:eastAsiaTheme="minorEastAsia"/>
          <w:bCs/>
          <w:color w:val="auto"/>
          <w:sz w:val="24"/>
        </w:rPr>
        <w:t xml:space="preserve">                 </w:t>
      </w:r>
      <w:r>
        <w:rPr>
          <w:rFonts w:hint="eastAsia" w:asciiTheme="minorEastAsia" w:hAnsiTheme="minorEastAsia" w:eastAsiaTheme="minorEastAsia"/>
          <w:color w:val="auto"/>
          <w:sz w:val="24"/>
        </w:rPr>
        <w:t xml:space="preserve">            </w:t>
      </w:r>
    </w:p>
    <w:p w14:paraId="1F746E7F">
      <w:pPr>
        <w:spacing w:line="360" w:lineRule="auto"/>
        <w:ind w:right="480"/>
        <w:jc w:val="left"/>
        <w:rPr>
          <w:rFonts w:asciiTheme="minorEastAsia" w:hAnsiTheme="minorEastAsia" w:eastAsiaTheme="minorEastAsia"/>
          <w:color w:val="auto"/>
          <w:sz w:val="24"/>
        </w:rPr>
      </w:pPr>
    </w:p>
    <w:p w14:paraId="47724B6D">
      <w:pPr>
        <w:spacing w:line="360" w:lineRule="auto"/>
        <w:ind w:right="480" w:firstLine="3600" w:firstLineChars="15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（盖单位章）</w:t>
      </w:r>
    </w:p>
    <w:p w14:paraId="7BDA568B">
      <w:pPr>
        <w:spacing w:line="360" w:lineRule="auto"/>
        <w:ind w:right="48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法定代表人或其委托代理人：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（签字或盖章）</w:t>
      </w:r>
    </w:p>
    <w:p w14:paraId="71D96BA7">
      <w:pPr>
        <w:spacing w:line="360" w:lineRule="auto"/>
        <w:jc w:val="right"/>
        <w:rPr>
          <w:rFonts w:asciiTheme="minorEastAsia" w:hAnsiTheme="minorEastAsia" w:eastAsiaTheme="minorEastAsia"/>
          <w:color w:val="auto"/>
          <w:sz w:val="24"/>
        </w:rPr>
      </w:pPr>
    </w:p>
    <w:p w14:paraId="73912413">
      <w:pPr>
        <w:spacing w:line="360" w:lineRule="auto"/>
        <w:ind w:right="48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7FB084CC">
      <w:pPr>
        <w:spacing w:line="360" w:lineRule="auto"/>
        <w:ind w:firstLine="1506" w:firstLineChars="500"/>
        <w:rPr>
          <w:rFonts w:asciiTheme="minorEastAsia" w:hAnsiTheme="minorEastAsia" w:eastAsiaTheme="minorEastAsia"/>
          <w:b/>
          <w:color w:val="auto"/>
          <w:sz w:val="30"/>
          <w:szCs w:val="30"/>
        </w:rPr>
      </w:pPr>
    </w:p>
    <w:p w14:paraId="01F4B155">
      <w:pPr>
        <w:rPr>
          <w:rFonts w:asciiTheme="minorEastAsia" w:hAnsiTheme="minorEastAsia" w:eastAsiaTheme="minorEastAsia"/>
          <w:color w:val="auto"/>
        </w:rPr>
      </w:pPr>
    </w:p>
    <w:p w14:paraId="76AF587B">
      <w:pPr>
        <w:rPr>
          <w:rFonts w:asciiTheme="minorEastAsia" w:hAnsiTheme="minorEastAsia" w:eastAsiaTheme="minorEastAsia"/>
          <w:color w:val="auto"/>
        </w:rPr>
      </w:pPr>
    </w:p>
    <w:p w14:paraId="1A85FDCE">
      <w:pPr>
        <w:rPr>
          <w:rFonts w:asciiTheme="minorEastAsia" w:hAnsiTheme="minorEastAsia" w:eastAsiaTheme="minorEastAsia"/>
          <w:color w:val="auto"/>
        </w:rPr>
      </w:pPr>
    </w:p>
    <w:p w14:paraId="7B866358">
      <w:pPr>
        <w:widowControl/>
        <w:snapToGrid w:val="0"/>
        <w:jc w:val="center"/>
        <w:textAlignment w:val="baseline"/>
        <w:rPr>
          <w:rFonts w:ascii="宋体" w:hAnsi="宋体"/>
          <w:b/>
          <w:color w:val="auto"/>
          <w:sz w:val="44"/>
          <w:szCs w:val="44"/>
          <w:lang w:val="zh-CN"/>
        </w:rPr>
      </w:pPr>
      <w:r>
        <w:rPr>
          <w:rFonts w:hint="eastAsia" w:ascii="宋体" w:hAnsi="宋体"/>
          <w:b/>
          <w:color w:val="auto"/>
          <w:sz w:val="44"/>
          <w:szCs w:val="44"/>
          <w:lang w:val="zh-CN"/>
        </w:rPr>
        <w:t>九</w:t>
      </w:r>
      <w:r>
        <w:rPr>
          <w:rFonts w:ascii="宋体" w:hAnsi="宋体"/>
          <w:b/>
          <w:color w:val="auto"/>
          <w:sz w:val="44"/>
          <w:szCs w:val="44"/>
          <w:lang w:val="zh-CN"/>
        </w:rPr>
        <w:t>、开标一览表</w:t>
      </w:r>
    </w:p>
    <w:p w14:paraId="27259D55">
      <w:pPr>
        <w:widowControl/>
        <w:snapToGrid w:val="0"/>
        <w:textAlignment w:val="baseline"/>
        <w:rPr>
          <w:rFonts w:ascii="宋体" w:hAnsi="宋体"/>
          <w:color w:val="auto"/>
          <w:kern w:val="0"/>
          <w:szCs w:val="21"/>
        </w:rPr>
      </w:pPr>
    </w:p>
    <w:p w14:paraId="3F79D5EA">
      <w:pPr>
        <w:widowControl/>
        <w:snapToGrid w:val="0"/>
        <w:textAlignment w:val="baseline"/>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项目名称：</w:t>
      </w:r>
    </w:p>
    <w:p w14:paraId="008AC3F3">
      <w:pPr>
        <w:widowControl/>
        <w:snapToGrid w:val="0"/>
        <w:textAlignment w:val="baseline"/>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项目编号：</w:t>
      </w:r>
    </w:p>
    <w:p w14:paraId="0BC1498B">
      <w:pPr>
        <w:widowControl/>
        <w:snapToGrid w:val="0"/>
        <w:jc w:val="left"/>
        <w:textAlignment w:val="baseline"/>
        <w:rPr>
          <w:rFonts w:asciiTheme="minorEastAsia" w:hAnsiTheme="minorEastAsia" w:eastAsiaTheme="minorEastAsia"/>
          <w:color w:val="auto"/>
          <w:kern w:val="0"/>
          <w:szCs w:val="21"/>
          <w:highlight w:val="none"/>
        </w:rPr>
      </w:pPr>
    </w:p>
    <w:tbl>
      <w:tblPr>
        <w:tblStyle w:val="33"/>
        <w:tblpPr w:leftFromText="180" w:rightFromText="180" w:vertAnchor="text" w:horzAnchor="page" w:tblpX="1240" w:tblpY="188"/>
        <w:tblOverlap w:val="never"/>
        <w:tblW w:w="9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9"/>
        <w:gridCol w:w="2641"/>
        <w:gridCol w:w="2294"/>
        <w:gridCol w:w="2965"/>
      </w:tblGrid>
      <w:tr w14:paraId="6F47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71AD9A0C">
            <w:pPr>
              <w:widowControl/>
              <w:snapToGrid w:val="0"/>
              <w:jc w:val="center"/>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0E9F81C8">
            <w:pPr>
              <w:widowControl/>
              <w:snapToGrid w:val="0"/>
              <w:jc w:val="center"/>
              <w:textAlignment w:val="baseline"/>
              <w:rPr>
                <w:rFonts w:asciiTheme="minorEastAsia" w:hAnsiTheme="minorEastAsia" w:eastAsiaTheme="minorEastAsia"/>
                <w:bCs/>
                <w:color w:val="auto"/>
                <w:szCs w:val="21"/>
                <w:highlight w:val="none"/>
              </w:rPr>
            </w:pPr>
          </w:p>
        </w:tc>
      </w:tr>
      <w:tr w14:paraId="6C8E2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377DB2CD">
            <w:pPr>
              <w:widowControl/>
              <w:snapToGrid w:val="0"/>
              <w:jc w:val="center"/>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磋商</w:t>
            </w:r>
            <w:r>
              <w:rPr>
                <w:rFonts w:asciiTheme="minorEastAsia" w:hAnsiTheme="minorEastAsia" w:eastAsiaTheme="minorEastAsia"/>
                <w:bCs/>
                <w:color w:val="auto"/>
                <w:szCs w:val="21"/>
                <w:highlight w:val="none"/>
              </w:rPr>
              <w:t>报价</w:t>
            </w:r>
            <w:r>
              <w:rPr>
                <w:rFonts w:hint="eastAsia" w:asciiTheme="minorEastAsia" w:hAnsiTheme="minorEastAsia" w:eastAsiaTheme="minorEastAsia"/>
                <w:bCs/>
                <w:color w:val="auto"/>
                <w:szCs w:val="21"/>
                <w:highlight w:val="none"/>
              </w:rPr>
              <w:t>（元）</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735DAC02">
            <w:pPr>
              <w:widowControl/>
              <w:snapToGrid w:val="0"/>
              <w:spacing w:line="400" w:lineRule="exact"/>
              <w:jc w:val="left"/>
              <w:textAlignment w:val="baseline"/>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大写：</w:t>
            </w:r>
          </w:p>
          <w:p w14:paraId="7B620DFE">
            <w:pPr>
              <w:widowControl/>
              <w:snapToGrid w:val="0"/>
              <w:spacing w:line="400" w:lineRule="exact"/>
              <w:jc w:val="left"/>
              <w:textAlignment w:val="baseline"/>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小写：</w:t>
            </w:r>
          </w:p>
        </w:tc>
      </w:tr>
      <w:tr w14:paraId="3A59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17E3CCA0">
            <w:pPr>
              <w:widowControl/>
              <w:snapToGrid w:val="0"/>
              <w:jc w:val="center"/>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磋商</w:t>
            </w:r>
            <w:r>
              <w:rPr>
                <w:rFonts w:asciiTheme="minorEastAsia" w:hAnsiTheme="minorEastAsia" w:eastAsiaTheme="minorEastAsia"/>
                <w:bCs/>
                <w:color w:val="auto"/>
                <w:szCs w:val="21"/>
                <w:highlight w:val="none"/>
              </w:rPr>
              <w:t>保证金</w:t>
            </w:r>
          </w:p>
        </w:tc>
        <w:tc>
          <w:tcPr>
            <w:tcW w:w="2641" w:type="dxa"/>
            <w:tcBorders>
              <w:top w:val="single" w:color="000000" w:sz="4" w:space="0"/>
              <w:left w:val="single" w:color="000000" w:sz="4" w:space="0"/>
              <w:bottom w:val="single" w:color="000000" w:sz="4" w:space="0"/>
              <w:right w:val="single" w:color="000000" w:sz="4" w:space="0"/>
            </w:tcBorders>
            <w:vAlign w:val="center"/>
          </w:tcPr>
          <w:p w14:paraId="6E09F382">
            <w:pPr>
              <w:widowControl/>
              <w:snapToGrid w:val="0"/>
              <w:jc w:val="center"/>
              <w:textAlignment w:val="baseline"/>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有/无</w:t>
            </w:r>
          </w:p>
        </w:tc>
        <w:tc>
          <w:tcPr>
            <w:tcW w:w="2294" w:type="dxa"/>
            <w:tcBorders>
              <w:top w:val="single" w:color="000000" w:sz="4" w:space="0"/>
              <w:left w:val="single" w:color="000000" w:sz="4" w:space="0"/>
              <w:bottom w:val="single" w:color="000000" w:sz="4" w:space="0"/>
              <w:right w:val="single" w:color="000000" w:sz="4" w:space="0"/>
            </w:tcBorders>
            <w:vAlign w:val="center"/>
          </w:tcPr>
          <w:p w14:paraId="4DBAF96B">
            <w:pPr>
              <w:widowControl/>
              <w:snapToGrid w:val="0"/>
              <w:jc w:val="center"/>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合同履行</w:t>
            </w:r>
            <w:r>
              <w:rPr>
                <w:rFonts w:asciiTheme="minorEastAsia" w:hAnsiTheme="minorEastAsia" w:eastAsiaTheme="minorEastAsia"/>
                <w:bCs/>
                <w:color w:val="auto"/>
                <w:szCs w:val="21"/>
                <w:highlight w:val="none"/>
              </w:rPr>
              <w:t>期限</w:t>
            </w:r>
          </w:p>
        </w:tc>
        <w:tc>
          <w:tcPr>
            <w:tcW w:w="2965" w:type="dxa"/>
            <w:tcBorders>
              <w:top w:val="single" w:color="000000" w:sz="4" w:space="0"/>
              <w:left w:val="single" w:color="000000" w:sz="4" w:space="0"/>
              <w:bottom w:val="single" w:color="000000" w:sz="4" w:space="0"/>
              <w:right w:val="single" w:color="000000" w:sz="4" w:space="0"/>
            </w:tcBorders>
            <w:vAlign w:val="center"/>
          </w:tcPr>
          <w:p w14:paraId="4DE185D3">
            <w:pPr>
              <w:widowControl/>
              <w:snapToGrid w:val="0"/>
              <w:jc w:val="center"/>
              <w:textAlignment w:val="baseline"/>
              <w:rPr>
                <w:rFonts w:asciiTheme="minorEastAsia" w:hAnsiTheme="minorEastAsia" w:eastAsiaTheme="minorEastAsia"/>
                <w:b/>
                <w:bCs/>
                <w:color w:val="auto"/>
                <w:szCs w:val="21"/>
                <w:highlight w:val="none"/>
              </w:rPr>
            </w:pPr>
          </w:p>
        </w:tc>
      </w:tr>
      <w:tr w14:paraId="1BEA2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46CE3F2B">
            <w:pPr>
              <w:widowControl/>
              <w:snapToGrid w:val="0"/>
              <w:jc w:val="center"/>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项目负责人</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3EBE11BE">
            <w:pPr>
              <w:widowControl/>
              <w:snapToGrid w:val="0"/>
              <w:jc w:val="center"/>
              <w:textAlignment w:val="baseline"/>
              <w:rPr>
                <w:rFonts w:asciiTheme="minorEastAsia" w:hAnsiTheme="minorEastAsia" w:eastAsiaTheme="minorEastAsia"/>
                <w:b/>
                <w:bCs/>
                <w:color w:val="auto"/>
                <w:szCs w:val="21"/>
                <w:highlight w:val="none"/>
              </w:rPr>
            </w:pPr>
          </w:p>
        </w:tc>
      </w:tr>
      <w:tr w14:paraId="21FD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110E9866">
            <w:pPr>
              <w:widowControl/>
              <w:snapToGrid w:val="0"/>
              <w:jc w:val="center"/>
              <w:textAlignment w:val="baseline"/>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服务标准</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082DAC8D">
            <w:pPr>
              <w:widowControl/>
              <w:snapToGrid w:val="0"/>
              <w:jc w:val="center"/>
              <w:textAlignment w:val="baseline"/>
              <w:rPr>
                <w:rFonts w:asciiTheme="minorEastAsia" w:hAnsiTheme="minorEastAsia" w:eastAsiaTheme="minorEastAsia"/>
                <w:b/>
                <w:bCs/>
                <w:color w:val="auto"/>
                <w:szCs w:val="21"/>
                <w:highlight w:val="none"/>
              </w:rPr>
            </w:pPr>
          </w:p>
        </w:tc>
      </w:tr>
      <w:tr w14:paraId="34053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0796CB64">
            <w:pPr>
              <w:widowControl/>
              <w:snapToGrid w:val="0"/>
              <w:jc w:val="center"/>
              <w:textAlignment w:val="baseline"/>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优惠条件</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790652F8">
            <w:pPr>
              <w:widowControl/>
              <w:snapToGrid w:val="0"/>
              <w:textAlignment w:val="baseline"/>
              <w:rPr>
                <w:rFonts w:asciiTheme="minorEastAsia" w:hAnsiTheme="minorEastAsia" w:eastAsiaTheme="minorEastAsia"/>
                <w:bCs/>
                <w:color w:val="auto"/>
                <w:szCs w:val="21"/>
                <w:highlight w:val="none"/>
              </w:rPr>
            </w:pPr>
          </w:p>
        </w:tc>
      </w:tr>
      <w:tr w14:paraId="25741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22F9322B">
            <w:pPr>
              <w:widowControl/>
              <w:snapToGrid w:val="0"/>
              <w:jc w:val="center"/>
              <w:textAlignment w:val="baseline"/>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服务承诺</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44FB8DC1">
            <w:pPr>
              <w:widowControl/>
              <w:snapToGrid w:val="0"/>
              <w:jc w:val="center"/>
              <w:textAlignment w:val="baseline"/>
              <w:rPr>
                <w:rFonts w:asciiTheme="minorEastAsia" w:hAnsiTheme="minorEastAsia" w:eastAsiaTheme="minorEastAsia"/>
                <w:bCs/>
                <w:color w:val="auto"/>
                <w:szCs w:val="21"/>
                <w:highlight w:val="none"/>
              </w:rPr>
            </w:pPr>
          </w:p>
        </w:tc>
      </w:tr>
      <w:tr w14:paraId="21AB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839" w:type="dxa"/>
            <w:vMerge w:val="restart"/>
            <w:tcBorders>
              <w:top w:val="single" w:color="000000" w:sz="4" w:space="0"/>
              <w:left w:val="single" w:color="000000" w:sz="4" w:space="0"/>
              <w:bottom w:val="single" w:color="000000" w:sz="4" w:space="0"/>
              <w:right w:val="single" w:color="000000" w:sz="4" w:space="0"/>
            </w:tcBorders>
            <w:vAlign w:val="center"/>
          </w:tcPr>
          <w:p w14:paraId="1BA084F6">
            <w:pPr>
              <w:widowControl/>
              <w:snapToGrid w:val="0"/>
              <w:jc w:val="center"/>
              <w:textAlignment w:val="baseline"/>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备注</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699040B3">
            <w:pPr>
              <w:tabs>
                <w:tab w:val="left" w:pos="360"/>
              </w:tabs>
              <w:snapToGrid w:val="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本表只做唱标时使用，但本表的一切内容均具有法律效力，不得更改。</w:t>
            </w:r>
          </w:p>
        </w:tc>
      </w:tr>
      <w:tr w14:paraId="2430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839" w:type="dxa"/>
            <w:vMerge w:val="continue"/>
            <w:tcBorders>
              <w:top w:val="single" w:color="000000" w:sz="4" w:space="0"/>
              <w:left w:val="single" w:color="000000" w:sz="4" w:space="0"/>
              <w:bottom w:val="single" w:color="000000" w:sz="4" w:space="0"/>
              <w:right w:val="single" w:color="000000" w:sz="4" w:space="0"/>
            </w:tcBorders>
            <w:vAlign w:val="center"/>
          </w:tcPr>
          <w:p w14:paraId="1799C9C5">
            <w:pPr>
              <w:widowControl/>
              <w:snapToGrid w:val="0"/>
              <w:jc w:val="center"/>
              <w:textAlignment w:val="baseline"/>
              <w:rPr>
                <w:rFonts w:asciiTheme="minorEastAsia" w:hAnsiTheme="minorEastAsia" w:eastAsiaTheme="minorEastAsia"/>
                <w:bCs/>
                <w:color w:val="auto"/>
                <w:szCs w:val="21"/>
                <w:highlight w:val="none"/>
              </w:rPr>
            </w:pP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248793D4">
            <w:pPr>
              <w:tabs>
                <w:tab w:val="left" w:pos="360"/>
              </w:tabs>
              <w:snapToGrid w:val="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本表内容须与响应文件中正本内容一致。</w:t>
            </w:r>
          </w:p>
        </w:tc>
      </w:tr>
      <w:tr w14:paraId="284D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839" w:type="dxa"/>
            <w:vMerge w:val="continue"/>
            <w:tcBorders>
              <w:top w:val="single" w:color="000000" w:sz="4" w:space="0"/>
              <w:left w:val="single" w:color="000000" w:sz="4" w:space="0"/>
              <w:bottom w:val="single" w:color="000000" w:sz="4" w:space="0"/>
              <w:right w:val="single" w:color="000000" w:sz="4" w:space="0"/>
            </w:tcBorders>
            <w:vAlign w:val="center"/>
          </w:tcPr>
          <w:p w14:paraId="77065302">
            <w:pPr>
              <w:widowControl/>
              <w:snapToGrid w:val="0"/>
              <w:jc w:val="center"/>
              <w:textAlignment w:val="baseline"/>
              <w:rPr>
                <w:rFonts w:asciiTheme="minorEastAsia" w:hAnsiTheme="minorEastAsia" w:eastAsiaTheme="minorEastAsia"/>
                <w:bCs/>
                <w:color w:val="auto"/>
                <w:szCs w:val="21"/>
                <w:highlight w:val="none"/>
              </w:rPr>
            </w:pP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11CFEC42">
            <w:pPr>
              <w:tabs>
                <w:tab w:val="left" w:pos="360"/>
              </w:tabs>
              <w:snapToGrid w:val="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优惠条件、服务承诺两项，详细内容必须在投标书中载明，</w:t>
            </w:r>
            <w:r>
              <w:rPr>
                <w:rFonts w:asciiTheme="minorEastAsia" w:hAnsiTheme="minorEastAsia" w:eastAsiaTheme="minorEastAsia"/>
                <w:b/>
                <w:bCs/>
                <w:color w:val="auto"/>
                <w:szCs w:val="21"/>
                <w:highlight w:val="none"/>
              </w:rPr>
              <w:t>如内容较多，本表只填写“有”“无”即可，详细内容写入响应文件“其他材料”一章内。</w:t>
            </w:r>
          </w:p>
        </w:tc>
      </w:tr>
      <w:tr w14:paraId="3F25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9739" w:type="dxa"/>
            <w:gridSpan w:val="4"/>
            <w:tcBorders>
              <w:top w:val="single" w:color="000000" w:sz="4" w:space="0"/>
              <w:left w:val="single" w:color="000000" w:sz="4" w:space="0"/>
              <w:bottom w:val="single" w:color="000000" w:sz="4" w:space="0"/>
              <w:right w:val="single" w:color="000000" w:sz="4" w:space="0"/>
            </w:tcBorders>
            <w:vAlign w:val="center"/>
          </w:tcPr>
          <w:p w14:paraId="2D09B310">
            <w:pPr>
              <w:widowControl/>
              <w:snapToGrid w:val="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asciiTheme="minorEastAsia" w:hAnsiTheme="minorEastAsia" w:eastAsiaTheme="minorEastAsia"/>
                <w:bCs/>
                <w:color w:val="auto"/>
                <w:szCs w:val="21"/>
                <w:highlight w:val="none"/>
              </w:rPr>
              <w:t>：（盖章）</w:t>
            </w:r>
          </w:p>
          <w:p w14:paraId="6F3A3711">
            <w:pPr>
              <w:widowControl/>
              <w:snapToGrid w:val="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法定代表人或授权委托人</w:t>
            </w:r>
            <w:r>
              <w:rPr>
                <w:rFonts w:asciiTheme="minorEastAsia" w:hAnsiTheme="minorEastAsia" w:eastAsiaTheme="minorEastAsia"/>
                <w:bCs/>
                <w:color w:val="auto"/>
                <w:szCs w:val="21"/>
                <w:highlight w:val="none"/>
              </w:rPr>
              <w:t>：（签字或盖章）</w:t>
            </w:r>
          </w:p>
        </w:tc>
      </w:tr>
    </w:tbl>
    <w:p w14:paraId="18964B30">
      <w:pPr>
        <w:widowControl/>
        <w:snapToGrid w:val="0"/>
        <w:ind w:left="871" w:leftChars="218" w:hanging="413"/>
        <w:textAlignment w:val="baseline"/>
        <w:rPr>
          <w:rFonts w:cs="宋体-18030" w:asciiTheme="minorEastAsia" w:hAnsiTheme="minorEastAsia" w:eastAsiaTheme="minorEastAsia"/>
          <w:b/>
          <w:bCs/>
          <w:color w:val="auto"/>
          <w:sz w:val="30"/>
          <w:szCs w:val="30"/>
          <w:highlight w:val="none"/>
        </w:rPr>
      </w:pPr>
      <w:r>
        <w:rPr>
          <w:rFonts w:asciiTheme="minorEastAsia" w:hAnsiTheme="minorEastAsia" w:eastAsiaTheme="minorEastAsia"/>
          <w:b/>
          <w:bCs/>
          <w:color w:val="auto"/>
          <w:szCs w:val="21"/>
          <w:highlight w:val="none"/>
        </w:rPr>
        <w:t>注：本开标一览表除附在此处以外，还应另用小信封密封二份（不密封在大密封袋中），用于开标时唱标。</w:t>
      </w:r>
    </w:p>
    <w:p w14:paraId="6ECD5898">
      <w:pPr>
        <w:widowControl/>
        <w:snapToGrid w:val="0"/>
        <w:spacing w:line="400" w:lineRule="exact"/>
        <w:jc w:val="center"/>
        <w:textAlignment w:val="baseline"/>
        <w:rPr>
          <w:rFonts w:ascii="宋体" w:hAnsi="宋体"/>
          <w:b/>
          <w:color w:val="auto"/>
          <w:kern w:val="0"/>
          <w:sz w:val="32"/>
          <w:szCs w:val="18"/>
          <w:lang w:val="zh-CN"/>
        </w:rPr>
      </w:pPr>
    </w:p>
    <w:p w14:paraId="2AE22B16">
      <w:pPr>
        <w:widowControl/>
        <w:snapToGrid w:val="0"/>
        <w:spacing w:line="400" w:lineRule="exact"/>
        <w:jc w:val="center"/>
        <w:textAlignment w:val="baseline"/>
        <w:rPr>
          <w:rFonts w:ascii="宋体" w:hAnsi="宋体"/>
          <w:b/>
          <w:color w:val="auto"/>
          <w:kern w:val="0"/>
          <w:sz w:val="32"/>
          <w:szCs w:val="18"/>
          <w:lang w:val="zh-CN"/>
        </w:rPr>
      </w:pPr>
    </w:p>
    <w:p w14:paraId="6ADB117D">
      <w:pPr>
        <w:rPr>
          <w:rFonts w:asciiTheme="minorEastAsia" w:hAnsiTheme="minorEastAsia" w:eastAsiaTheme="minorEastAsia"/>
          <w:color w:val="auto"/>
          <w:sz w:val="47"/>
        </w:rPr>
      </w:pPr>
      <w:r>
        <w:rPr>
          <w:rFonts w:hint="eastAsia" w:asciiTheme="minorEastAsia" w:hAnsiTheme="minorEastAsia" w:eastAsiaTheme="minorEastAsia"/>
          <w:color w:val="auto"/>
          <w:sz w:val="47"/>
        </w:rPr>
        <w:t xml:space="preserve">                   </w:t>
      </w:r>
    </w:p>
    <w:p w14:paraId="0557E7E0">
      <w:pPr>
        <w:numPr>
          <w:ilvl w:val="0"/>
          <w:numId w:val="2"/>
        </w:numPr>
        <w:jc w:val="center"/>
        <w:rPr>
          <w:rFonts w:hint="eastAsia" w:ascii="宋体" w:hAnsi="宋体"/>
          <w:b/>
          <w:color w:val="auto"/>
          <w:sz w:val="32"/>
          <w:szCs w:val="32"/>
          <w:lang w:val="zh-CN"/>
        </w:rPr>
      </w:pPr>
      <w:r>
        <w:rPr>
          <w:rFonts w:hint="eastAsia" w:ascii="宋体" w:hAnsi="宋体"/>
          <w:b/>
          <w:color w:val="auto"/>
          <w:sz w:val="32"/>
          <w:szCs w:val="32"/>
          <w:lang w:val="zh-CN"/>
        </w:rPr>
        <w:t>供应商认为需提供的其他材料</w:t>
      </w:r>
    </w:p>
    <w:p w14:paraId="1FE40C18">
      <w:pPr>
        <w:widowControl w:val="0"/>
        <w:numPr>
          <w:ilvl w:val="0"/>
          <w:numId w:val="0"/>
        </w:numPr>
        <w:jc w:val="center"/>
        <w:rPr>
          <w:rFonts w:hint="eastAsia" w:ascii="宋体" w:hAnsi="宋体"/>
          <w:b/>
          <w:color w:val="auto"/>
          <w:sz w:val="32"/>
          <w:szCs w:val="32"/>
          <w:lang w:val="zh-CN"/>
        </w:rPr>
      </w:pPr>
    </w:p>
    <w:p w14:paraId="40E81052">
      <w:pPr>
        <w:widowControl w:val="0"/>
        <w:numPr>
          <w:ilvl w:val="0"/>
          <w:numId w:val="0"/>
        </w:numPr>
        <w:jc w:val="center"/>
        <w:rPr>
          <w:rFonts w:hint="eastAsia" w:ascii="宋体" w:hAnsi="宋体"/>
          <w:b/>
          <w:color w:val="auto"/>
          <w:sz w:val="32"/>
          <w:szCs w:val="32"/>
          <w:lang w:val="zh-CN"/>
        </w:rPr>
      </w:pPr>
    </w:p>
    <w:p w14:paraId="2A816DD1">
      <w:pPr>
        <w:widowControl w:val="0"/>
        <w:numPr>
          <w:ilvl w:val="0"/>
          <w:numId w:val="0"/>
        </w:numPr>
        <w:jc w:val="center"/>
        <w:rPr>
          <w:rFonts w:hint="eastAsia" w:ascii="宋体" w:hAnsi="宋体"/>
          <w:b/>
          <w:color w:val="auto"/>
          <w:sz w:val="32"/>
          <w:szCs w:val="32"/>
          <w:lang w:val="zh-CN"/>
        </w:rPr>
      </w:pPr>
    </w:p>
    <w:p w14:paraId="26F7C147">
      <w:pPr>
        <w:widowControl w:val="0"/>
        <w:numPr>
          <w:ilvl w:val="0"/>
          <w:numId w:val="0"/>
        </w:numPr>
        <w:jc w:val="center"/>
        <w:rPr>
          <w:rFonts w:hint="eastAsia" w:ascii="宋体" w:hAnsi="宋体"/>
          <w:b/>
          <w:color w:val="auto"/>
          <w:sz w:val="32"/>
          <w:szCs w:val="32"/>
          <w:lang w:val="zh-CN"/>
        </w:rPr>
      </w:pPr>
    </w:p>
    <w:p w14:paraId="04AB4561">
      <w:pPr>
        <w:widowControl w:val="0"/>
        <w:numPr>
          <w:ilvl w:val="0"/>
          <w:numId w:val="0"/>
        </w:numPr>
        <w:jc w:val="center"/>
        <w:rPr>
          <w:rFonts w:hint="eastAsia" w:ascii="宋体" w:hAnsi="宋体"/>
          <w:b/>
          <w:color w:val="auto"/>
          <w:sz w:val="32"/>
          <w:szCs w:val="32"/>
          <w:lang w:val="zh-CN"/>
        </w:rPr>
      </w:pPr>
    </w:p>
    <w:p w14:paraId="1E95C3E5">
      <w:pPr>
        <w:widowControl w:val="0"/>
        <w:numPr>
          <w:ilvl w:val="0"/>
          <w:numId w:val="0"/>
        </w:numPr>
        <w:jc w:val="center"/>
        <w:rPr>
          <w:rFonts w:hint="eastAsia" w:ascii="宋体" w:hAnsi="宋体"/>
          <w:b/>
          <w:color w:val="auto"/>
          <w:sz w:val="32"/>
          <w:szCs w:val="32"/>
          <w:lang w:val="zh-CN"/>
        </w:rPr>
      </w:pPr>
    </w:p>
    <w:p w14:paraId="17CDBEBE">
      <w:pPr>
        <w:widowControl w:val="0"/>
        <w:numPr>
          <w:ilvl w:val="0"/>
          <w:numId w:val="0"/>
        </w:numPr>
        <w:jc w:val="center"/>
        <w:rPr>
          <w:rFonts w:hint="eastAsia" w:ascii="宋体" w:hAnsi="宋体"/>
          <w:b/>
          <w:color w:val="auto"/>
          <w:sz w:val="32"/>
          <w:szCs w:val="32"/>
          <w:lang w:val="zh-CN"/>
        </w:rPr>
      </w:pPr>
    </w:p>
    <w:p w14:paraId="19243DC9">
      <w:pPr>
        <w:widowControl w:val="0"/>
        <w:numPr>
          <w:ilvl w:val="0"/>
          <w:numId w:val="0"/>
        </w:numPr>
        <w:jc w:val="center"/>
        <w:rPr>
          <w:rFonts w:hint="eastAsia" w:ascii="宋体" w:hAnsi="宋体"/>
          <w:b/>
          <w:color w:val="auto"/>
          <w:sz w:val="32"/>
          <w:szCs w:val="32"/>
          <w:lang w:val="zh-CN"/>
        </w:rPr>
      </w:pPr>
    </w:p>
    <w:p w14:paraId="1DA912BF">
      <w:pPr>
        <w:widowControl w:val="0"/>
        <w:numPr>
          <w:ilvl w:val="0"/>
          <w:numId w:val="0"/>
        </w:numPr>
        <w:jc w:val="center"/>
        <w:rPr>
          <w:rFonts w:hint="eastAsia" w:ascii="宋体" w:hAnsi="宋体"/>
          <w:b/>
          <w:color w:val="auto"/>
          <w:sz w:val="32"/>
          <w:szCs w:val="32"/>
          <w:lang w:val="zh-CN"/>
        </w:rPr>
      </w:pPr>
    </w:p>
    <w:p w14:paraId="69C51DF7">
      <w:pPr>
        <w:widowControl w:val="0"/>
        <w:numPr>
          <w:ilvl w:val="0"/>
          <w:numId w:val="0"/>
        </w:numPr>
        <w:jc w:val="center"/>
        <w:rPr>
          <w:rFonts w:hint="eastAsia" w:ascii="宋体" w:hAnsi="宋体"/>
          <w:b/>
          <w:color w:val="auto"/>
          <w:sz w:val="32"/>
          <w:szCs w:val="32"/>
          <w:lang w:val="zh-CN"/>
        </w:rPr>
      </w:pPr>
    </w:p>
    <w:p w14:paraId="25D8E32A">
      <w:pPr>
        <w:widowControl w:val="0"/>
        <w:numPr>
          <w:ilvl w:val="0"/>
          <w:numId w:val="0"/>
        </w:numPr>
        <w:jc w:val="center"/>
        <w:rPr>
          <w:rFonts w:hint="eastAsia" w:ascii="宋体" w:hAnsi="宋体"/>
          <w:b/>
          <w:color w:val="auto"/>
          <w:sz w:val="32"/>
          <w:szCs w:val="32"/>
          <w:lang w:val="zh-CN"/>
        </w:rPr>
      </w:pPr>
    </w:p>
    <w:p w14:paraId="67BD9ABF">
      <w:pPr>
        <w:widowControl w:val="0"/>
        <w:numPr>
          <w:ilvl w:val="0"/>
          <w:numId w:val="0"/>
        </w:numPr>
        <w:jc w:val="center"/>
        <w:rPr>
          <w:rFonts w:hint="eastAsia" w:ascii="宋体" w:hAnsi="宋体"/>
          <w:b/>
          <w:color w:val="auto"/>
          <w:sz w:val="32"/>
          <w:szCs w:val="32"/>
          <w:lang w:val="zh-CN"/>
        </w:rPr>
      </w:pPr>
    </w:p>
    <w:p w14:paraId="23425DA9">
      <w:pPr>
        <w:widowControl w:val="0"/>
        <w:numPr>
          <w:ilvl w:val="0"/>
          <w:numId w:val="0"/>
        </w:numPr>
        <w:jc w:val="center"/>
        <w:rPr>
          <w:rFonts w:hint="eastAsia" w:ascii="宋体" w:hAnsi="宋体"/>
          <w:b/>
          <w:color w:val="auto"/>
          <w:sz w:val="32"/>
          <w:szCs w:val="32"/>
          <w:lang w:val="zh-CN"/>
        </w:rPr>
      </w:pPr>
    </w:p>
    <w:p w14:paraId="1D9E0A77">
      <w:pPr>
        <w:widowControl w:val="0"/>
        <w:numPr>
          <w:ilvl w:val="0"/>
          <w:numId w:val="0"/>
        </w:numPr>
        <w:jc w:val="center"/>
        <w:rPr>
          <w:rFonts w:hint="eastAsia" w:ascii="宋体" w:hAnsi="宋体"/>
          <w:b/>
          <w:color w:val="auto"/>
          <w:sz w:val="32"/>
          <w:szCs w:val="32"/>
          <w:lang w:val="zh-CN"/>
        </w:rPr>
      </w:pPr>
    </w:p>
    <w:p w14:paraId="35C40E5E">
      <w:pPr>
        <w:widowControl w:val="0"/>
        <w:numPr>
          <w:ilvl w:val="0"/>
          <w:numId w:val="0"/>
        </w:numPr>
        <w:jc w:val="center"/>
        <w:rPr>
          <w:rFonts w:hint="eastAsia" w:ascii="宋体" w:hAnsi="宋体"/>
          <w:b/>
          <w:color w:val="auto"/>
          <w:sz w:val="32"/>
          <w:szCs w:val="32"/>
          <w:lang w:val="zh-CN"/>
        </w:rPr>
      </w:pPr>
    </w:p>
    <w:p w14:paraId="26233D7D">
      <w:pPr>
        <w:widowControl w:val="0"/>
        <w:numPr>
          <w:ilvl w:val="0"/>
          <w:numId w:val="0"/>
        </w:numPr>
        <w:jc w:val="center"/>
        <w:rPr>
          <w:rFonts w:hint="eastAsia" w:ascii="宋体" w:hAnsi="宋体"/>
          <w:b/>
          <w:color w:val="auto"/>
          <w:sz w:val="32"/>
          <w:szCs w:val="32"/>
          <w:lang w:val="zh-CN"/>
        </w:rPr>
      </w:pPr>
    </w:p>
    <w:p w14:paraId="7564849A">
      <w:pPr>
        <w:widowControl w:val="0"/>
        <w:numPr>
          <w:ilvl w:val="0"/>
          <w:numId w:val="0"/>
        </w:numPr>
        <w:jc w:val="center"/>
        <w:rPr>
          <w:rFonts w:hint="eastAsia" w:ascii="宋体" w:hAnsi="宋体"/>
          <w:b/>
          <w:color w:val="auto"/>
          <w:sz w:val="32"/>
          <w:szCs w:val="32"/>
          <w:lang w:val="zh-CN"/>
        </w:rPr>
      </w:pPr>
    </w:p>
    <w:p w14:paraId="1770816D">
      <w:pPr>
        <w:widowControl w:val="0"/>
        <w:numPr>
          <w:ilvl w:val="0"/>
          <w:numId w:val="0"/>
        </w:numPr>
        <w:jc w:val="center"/>
        <w:rPr>
          <w:rFonts w:hint="eastAsia" w:ascii="宋体" w:hAnsi="宋体"/>
          <w:b/>
          <w:color w:val="auto"/>
          <w:sz w:val="32"/>
          <w:szCs w:val="32"/>
          <w:lang w:val="zh-CN"/>
        </w:rPr>
      </w:pPr>
    </w:p>
    <w:p w14:paraId="67A21AF1">
      <w:pPr>
        <w:widowControl w:val="0"/>
        <w:numPr>
          <w:ilvl w:val="0"/>
          <w:numId w:val="0"/>
        </w:numPr>
        <w:jc w:val="center"/>
        <w:rPr>
          <w:rFonts w:hint="eastAsia" w:ascii="宋体" w:hAnsi="宋体"/>
          <w:b/>
          <w:color w:val="auto"/>
          <w:sz w:val="32"/>
          <w:szCs w:val="32"/>
          <w:lang w:val="zh-CN"/>
        </w:rPr>
      </w:pPr>
    </w:p>
    <w:p w14:paraId="39D4FCB8">
      <w:pPr>
        <w:widowControl w:val="0"/>
        <w:numPr>
          <w:ilvl w:val="0"/>
          <w:numId w:val="0"/>
        </w:numPr>
        <w:jc w:val="center"/>
        <w:rPr>
          <w:rFonts w:hint="eastAsia" w:ascii="宋体" w:hAnsi="宋体"/>
          <w:b/>
          <w:color w:val="auto"/>
          <w:sz w:val="32"/>
          <w:szCs w:val="32"/>
          <w:lang w:val="zh-CN"/>
        </w:rPr>
      </w:pPr>
    </w:p>
    <w:p w14:paraId="3F4489F1">
      <w:pPr>
        <w:widowControl w:val="0"/>
        <w:numPr>
          <w:ilvl w:val="0"/>
          <w:numId w:val="0"/>
        </w:numPr>
        <w:jc w:val="center"/>
        <w:rPr>
          <w:rFonts w:hint="eastAsia" w:ascii="宋体" w:hAnsi="宋体"/>
          <w:b/>
          <w:color w:val="auto"/>
          <w:sz w:val="32"/>
          <w:szCs w:val="32"/>
          <w:lang w:val="zh-CN"/>
        </w:rPr>
      </w:pPr>
    </w:p>
    <w:p w14:paraId="575DDF6D">
      <w:pPr>
        <w:keepNext w:val="0"/>
        <w:keepLines w:val="0"/>
        <w:pageBreakBefore w:val="0"/>
        <w:kinsoku/>
        <w:wordWrap/>
        <w:topLinePunct w:val="0"/>
        <w:bidi w:val="0"/>
        <w:snapToGrid w:val="0"/>
        <w:spacing w:line="240" w:lineRule="auto"/>
        <w:jc w:val="center"/>
        <w:textAlignment w:val="baseline"/>
        <w:rPr>
          <w:rFonts w:hint="eastAsia" w:ascii="宋体" w:hAnsi="宋体" w:eastAsia="宋体" w:cs="宋体"/>
          <w:b/>
          <w:bCs/>
          <w:color w:val="auto"/>
          <w:kern w:val="0"/>
          <w:sz w:val="31"/>
          <w:szCs w:val="31"/>
          <w:lang w:val="en-US" w:eastAsia="zh-CN" w:bidi="ar"/>
        </w:rPr>
      </w:pPr>
      <w:r>
        <w:rPr>
          <w:rFonts w:hint="eastAsia" w:ascii="宋体" w:hAnsi="宋体" w:eastAsia="宋体" w:cs="宋体"/>
          <w:b/>
          <w:bCs/>
          <w:color w:val="auto"/>
          <w:kern w:val="0"/>
          <w:sz w:val="31"/>
          <w:szCs w:val="31"/>
          <w:lang w:val="en-US" w:eastAsia="zh-CN" w:bidi="ar"/>
        </w:rPr>
        <w:t>最终报价承诺书</w:t>
      </w:r>
    </w:p>
    <w:p w14:paraId="5710C272">
      <w:pPr>
        <w:keepNext w:val="0"/>
        <w:keepLines w:val="0"/>
        <w:pageBreakBefore w:val="0"/>
        <w:kinsoku/>
        <w:wordWrap/>
        <w:topLinePunct w:val="0"/>
        <w:bidi w:val="0"/>
        <w:snapToGrid w:val="0"/>
        <w:spacing w:line="240" w:lineRule="auto"/>
        <w:jc w:val="left"/>
        <w:textAlignment w:val="baseline"/>
        <w:rPr>
          <w:rFonts w:hint="eastAsia" w:ascii="宋体" w:hAnsi="宋体" w:eastAsia="宋体" w:cs="宋体"/>
          <w:color w:val="auto"/>
          <w:kern w:val="0"/>
          <w:sz w:val="21"/>
          <w:szCs w:val="21"/>
          <w:lang w:val="en-US" w:eastAsia="zh-CN" w:bidi="ar"/>
        </w:rPr>
      </w:pPr>
    </w:p>
    <w:p w14:paraId="4AF48331">
      <w:pPr>
        <w:keepNext w:val="0"/>
        <w:keepLines w:val="0"/>
        <w:pageBreakBefore w:val="0"/>
        <w:kinsoku/>
        <w:wordWrap/>
        <w:topLinePunct w:val="0"/>
        <w:bidi w:val="0"/>
        <w:snapToGrid w:val="0"/>
        <w:spacing w:line="240" w:lineRule="auto"/>
        <w:jc w:val="left"/>
        <w:textAlignment w:val="baseline"/>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项目名称：        </w:t>
      </w:r>
    </w:p>
    <w:p w14:paraId="001D5E13">
      <w:pPr>
        <w:keepNext w:val="0"/>
        <w:keepLines w:val="0"/>
        <w:pageBreakBefore w:val="0"/>
        <w:kinsoku/>
        <w:wordWrap/>
        <w:topLinePunct w:val="0"/>
        <w:bidi w:val="0"/>
        <w:snapToGrid w:val="0"/>
        <w:spacing w:line="240" w:lineRule="auto"/>
        <w:jc w:val="left"/>
        <w:textAlignment w:val="baseline"/>
        <w:rPr>
          <w:color w:val="auto"/>
          <w:sz w:val="21"/>
          <w:szCs w:val="21"/>
        </w:rPr>
      </w:pPr>
      <w:r>
        <w:rPr>
          <w:rFonts w:hint="eastAsia" w:ascii="宋体" w:hAnsi="宋体" w:eastAsia="宋体" w:cs="宋体"/>
          <w:color w:val="auto"/>
          <w:kern w:val="0"/>
          <w:sz w:val="21"/>
          <w:szCs w:val="21"/>
          <w:lang w:val="en-US" w:eastAsia="zh-CN" w:bidi="ar"/>
        </w:rPr>
        <w:t>项目编号：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7349"/>
      </w:tblGrid>
      <w:tr w14:paraId="6E37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210" w:type="dxa"/>
            <w:noWrap w:val="0"/>
            <w:vAlign w:val="center"/>
          </w:tcPr>
          <w:p w14:paraId="0552B043">
            <w:pPr>
              <w:keepNext w:val="0"/>
              <w:keepLines w:val="0"/>
              <w:widowControl/>
              <w:suppressLineNumbers w:val="0"/>
              <w:spacing w:line="360" w:lineRule="auto"/>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供应商名称</w:t>
            </w:r>
          </w:p>
        </w:tc>
        <w:tc>
          <w:tcPr>
            <w:tcW w:w="7349" w:type="dxa"/>
            <w:noWrap w:val="0"/>
            <w:vAlign w:val="top"/>
          </w:tcPr>
          <w:p w14:paraId="43C8E3CC">
            <w:pPr>
              <w:keepNext w:val="0"/>
              <w:keepLines w:val="0"/>
              <w:widowControl/>
              <w:suppressLineNumbers w:val="0"/>
              <w:spacing w:line="360" w:lineRule="auto"/>
              <w:jc w:val="left"/>
              <w:rPr>
                <w:rFonts w:hint="eastAsia" w:ascii="宋体" w:hAnsi="宋体" w:eastAsia="宋体" w:cs="宋体"/>
                <w:color w:val="auto"/>
                <w:kern w:val="0"/>
                <w:sz w:val="21"/>
                <w:szCs w:val="21"/>
                <w:vertAlign w:val="baseline"/>
                <w:lang w:val="en-US" w:eastAsia="zh-CN" w:bidi="ar"/>
              </w:rPr>
            </w:pPr>
          </w:p>
        </w:tc>
      </w:tr>
      <w:tr w14:paraId="546E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210" w:type="dxa"/>
            <w:noWrap w:val="0"/>
            <w:vAlign w:val="center"/>
          </w:tcPr>
          <w:p w14:paraId="62E7145D">
            <w:pPr>
              <w:keepNext w:val="0"/>
              <w:keepLines w:val="0"/>
              <w:widowControl/>
              <w:suppressLineNumbers w:val="0"/>
              <w:spacing w:line="360" w:lineRule="auto"/>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最终报价</w:t>
            </w:r>
          </w:p>
        </w:tc>
        <w:tc>
          <w:tcPr>
            <w:tcW w:w="7349" w:type="dxa"/>
            <w:noWrap w:val="0"/>
            <w:vAlign w:val="top"/>
          </w:tcPr>
          <w:p w14:paraId="6878896B">
            <w:pPr>
              <w:keepNext w:val="0"/>
              <w:keepLines w:val="0"/>
              <w:widowControl/>
              <w:suppressLineNumbers w:val="0"/>
              <w:spacing w:line="360" w:lineRule="auto"/>
              <w:jc w:val="left"/>
              <w:rPr>
                <w:rFonts w:hint="eastAsia" w:ascii="宋体" w:hAnsi="宋体" w:eastAsia="宋体" w:cs="宋体"/>
                <w:color w:val="auto"/>
                <w:kern w:val="0"/>
                <w:sz w:val="21"/>
                <w:szCs w:val="21"/>
                <w:vertAlign w:val="baseline"/>
                <w:lang w:val="en-US" w:eastAsia="zh-CN" w:bidi="ar"/>
              </w:rPr>
            </w:pPr>
          </w:p>
        </w:tc>
      </w:tr>
      <w:tr w14:paraId="1CD2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2210" w:type="dxa"/>
            <w:noWrap w:val="0"/>
            <w:vAlign w:val="center"/>
          </w:tcPr>
          <w:p w14:paraId="6440EBBA">
            <w:pPr>
              <w:keepNext w:val="0"/>
              <w:keepLines w:val="0"/>
              <w:widowControl/>
              <w:suppressLineNumbers w:val="0"/>
              <w:spacing w:line="360" w:lineRule="auto"/>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备注说明</w:t>
            </w:r>
          </w:p>
        </w:tc>
        <w:tc>
          <w:tcPr>
            <w:tcW w:w="7349" w:type="dxa"/>
            <w:noWrap w:val="0"/>
            <w:vAlign w:val="top"/>
          </w:tcPr>
          <w:p w14:paraId="24C24263">
            <w:pPr>
              <w:keepNext w:val="0"/>
              <w:keepLines w:val="0"/>
              <w:widowControl/>
              <w:suppressLineNumbers w:val="0"/>
              <w:spacing w:line="360" w:lineRule="auto"/>
              <w:jc w:val="left"/>
              <w:rPr>
                <w:rFonts w:hint="eastAsia" w:ascii="宋体" w:hAnsi="宋体" w:eastAsia="宋体" w:cs="宋体"/>
                <w:color w:val="auto"/>
                <w:kern w:val="0"/>
                <w:sz w:val="21"/>
                <w:szCs w:val="21"/>
                <w:vertAlign w:val="baseline"/>
                <w:lang w:val="en-US" w:eastAsia="zh-CN" w:bidi="ar"/>
              </w:rPr>
            </w:pPr>
          </w:p>
        </w:tc>
      </w:tr>
    </w:tbl>
    <w:p w14:paraId="7E5DB385">
      <w:pPr>
        <w:pStyle w:val="32"/>
        <w:spacing w:line="360" w:lineRule="auto"/>
        <w:ind w:left="0" w:leftChars="0" w:firstLine="0"/>
        <w:rPr>
          <w:rFonts w:hint="eastAsia" w:ascii="宋体" w:hAnsi="宋体" w:eastAsia="宋体" w:cs="宋体"/>
          <w:color w:val="auto"/>
          <w:szCs w:val="21"/>
          <w:lang w:val="zh-CN"/>
        </w:rPr>
      </w:pPr>
    </w:p>
    <w:p w14:paraId="398FF6B4">
      <w:pPr>
        <w:pStyle w:val="32"/>
        <w:spacing w:line="360" w:lineRule="auto"/>
        <w:ind w:left="0" w:leftChars="0" w:firstLine="0"/>
        <w:rPr>
          <w:rFonts w:hint="eastAsia" w:ascii="宋体" w:hAnsi="宋体" w:eastAsia="宋体" w:cs="宋体"/>
          <w:color w:val="auto"/>
          <w:szCs w:val="21"/>
          <w:lang w:val="zh-CN"/>
        </w:rPr>
      </w:pPr>
      <w:r>
        <w:rPr>
          <w:rFonts w:hint="eastAsia" w:ascii="宋体" w:hAnsi="宋体" w:eastAsia="宋体" w:cs="宋体"/>
          <w:color w:val="auto"/>
          <w:szCs w:val="21"/>
          <w:lang w:val="zh-CN"/>
        </w:rPr>
        <w:t>法定代表人或其委托代理人：</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(签字</w:t>
      </w:r>
      <w:r>
        <w:rPr>
          <w:rFonts w:hint="eastAsia" w:ascii="宋体" w:hAnsi="宋体" w:cs="宋体"/>
          <w:color w:val="auto"/>
          <w:szCs w:val="21"/>
          <w:lang w:val="zh-CN"/>
        </w:rPr>
        <w:t>或盖章</w:t>
      </w:r>
      <w:r>
        <w:rPr>
          <w:rFonts w:hint="eastAsia" w:ascii="宋体" w:hAnsi="宋体" w:eastAsia="宋体" w:cs="宋体"/>
          <w:color w:val="auto"/>
          <w:szCs w:val="21"/>
          <w:lang w:val="zh-CN"/>
        </w:rPr>
        <w:t>)</w:t>
      </w:r>
    </w:p>
    <w:p w14:paraId="726EE028">
      <w:pPr>
        <w:autoSpaceDE w:val="0"/>
        <w:autoSpaceDN w:val="0"/>
        <w:adjustRightInd w:val="0"/>
        <w:spacing w:line="400" w:lineRule="exact"/>
        <w:ind w:firstLine="1575" w:firstLineChars="75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 xml:space="preserve">  </w:t>
      </w:r>
      <w:r>
        <w:rPr>
          <w:rFonts w:hint="eastAsia" w:ascii="宋体" w:hAnsi="宋体" w:eastAsia="宋体" w:cs="宋体"/>
          <w:color w:val="auto"/>
          <w:kern w:val="2"/>
          <w:sz w:val="21"/>
          <w:szCs w:val="21"/>
          <w:u w:val="single"/>
          <w:lang w:val="zh-CN" w:eastAsia="zh-CN" w:bidi="ar-SA"/>
        </w:rPr>
        <w:t xml:space="preserve">        </w:t>
      </w:r>
      <w:r>
        <w:rPr>
          <w:rFonts w:hint="eastAsia" w:ascii="宋体" w:hAnsi="宋体" w:eastAsia="宋体" w:cs="宋体"/>
          <w:color w:val="auto"/>
          <w:kern w:val="2"/>
          <w:sz w:val="21"/>
          <w:szCs w:val="21"/>
          <w:lang w:val="zh-CN" w:eastAsia="zh-CN" w:bidi="ar-SA"/>
        </w:rPr>
        <w:t>年</w:t>
      </w:r>
      <w:r>
        <w:rPr>
          <w:rFonts w:hint="eastAsia" w:ascii="宋体" w:hAnsi="宋体" w:eastAsia="宋体" w:cs="宋体"/>
          <w:color w:val="auto"/>
          <w:kern w:val="2"/>
          <w:sz w:val="21"/>
          <w:szCs w:val="21"/>
          <w:u w:val="single"/>
          <w:lang w:val="zh-CN" w:eastAsia="zh-CN" w:bidi="ar-SA"/>
        </w:rPr>
        <w:t xml:space="preserve">    </w:t>
      </w:r>
      <w:r>
        <w:rPr>
          <w:rFonts w:hint="eastAsia" w:ascii="宋体" w:hAnsi="宋体" w:eastAsia="宋体" w:cs="宋体"/>
          <w:color w:val="auto"/>
          <w:kern w:val="2"/>
          <w:sz w:val="21"/>
          <w:szCs w:val="21"/>
          <w:lang w:val="zh-CN" w:eastAsia="zh-CN" w:bidi="ar-SA"/>
        </w:rPr>
        <w:t>月</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zh-CN" w:eastAsia="zh-CN" w:bidi="ar-SA"/>
        </w:rPr>
        <w:t>日</w:t>
      </w:r>
    </w:p>
    <w:p w14:paraId="32DDBEEC">
      <w:pPr>
        <w:keepNext w:val="0"/>
        <w:keepLines w:val="0"/>
        <w:widowControl/>
        <w:suppressLineNumbers w:val="0"/>
        <w:spacing w:line="360" w:lineRule="auto"/>
        <w:jc w:val="left"/>
        <w:rPr>
          <w:rFonts w:hint="eastAsia" w:ascii="宋体" w:hAnsi="宋体" w:eastAsia="宋体" w:cs="宋体"/>
          <w:color w:val="auto"/>
          <w:kern w:val="2"/>
          <w:sz w:val="21"/>
          <w:szCs w:val="21"/>
          <w:lang w:val="en-US" w:eastAsia="zh-CN" w:bidi="ar-SA"/>
        </w:rPr>
      </w:pPr>
    </w:p>
    <w:p w14:paraId="66135CAD">
      <w:pPr>
        <w:numPr>
          <w:ilvl w:val="0"/>
          <w:numId w:val="3"/>
        </w:num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通过初步评审的供应商将被要求提供最终报价承诺书，本最终报价承诺书（最终报价），</w:t>
      </w:r>
      <w:r>
        <w:rPr>
          <w:rFonts w:hint="eastAsia" w:ascii="宋体" w:hAnsi="宋体" w:eastAsia="宋体" w:cs="宋体"/>
          <w:b/>
          <w:bCs/>
          <w:color w:val="auto"/>
          <w:kern w:val="2"/>
          <w:sz w:val="21"/>
          <w:szCs w:val="21"/>
          <w:lang w:val="en-US" w:eastAsia="zh-CN" w:bidi="ar-SA"/>
        </w:rPr>
        <w:t>不附在响应文件内，磋商供应商应依据磋商情况进行本表格的填报</w:t>
      </w:r>
      <w:r>
        <w:rPr>
          <w:rFonts w:hint="eastAsia" w:ascii="宋体" w:hAnsi="宋体" w:eastAsia="宋体" w:cs="宋体"/>
          <w:color w:val="auto"/>
          <w:kern w:val="2"/>
          <w:sz w:val="21"/>
          <w:szCs w:val="21"/>
          <w:lang w:val="en-US" w:eastAsia="zh-CN" w:bidi="ar-SA"/>
        </w:rPr>
        <w:t>。</w:t>
      </w:r>
    </w:p>
    <w:p w14:paraId="4A40F7EA">
      <w:pPr>
        <w:numPr>
          <w:ilvl w:val="0"/>
          <w:numId w:val="0"/>
        </w:num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2.参与磋商的供应商应提前准备第二轮最终报价承诺书，最终报价作为响应文件的组成部分。</w:t>
      </w:r>
    </w:p>
    <w:p w14:paraId="2BFA0A5B">
      <w:pPr>
        <w:widowControl w:val="0"/>
        <w:numPr>
          <w:ilvl w:val="0"/>
          <w:numId w:val="0"/>
        </w:numPr>
        <w:jc w:val="center"/>
        <w:rPr>
          <w:rFonts w:hint="eastAsia" w:ascii="宋体" w:hAnsi="宋体"/>
          <w:b/>
          <w:color w:val="auto"/>
          <w:sz w:val="32"/>
          <w:szCs w:val="32"/>
          <w:lang w:val="zh-CN"/>
        </w:rPr>
      </w:pPr>
    </w:p>
    <w:bookmarkEnd w:id="161"/>
    <w:sectPr>
      <w:headerReference r:id="rId13" w:type="default"/>
      <w:footerReference r:id="rId14" w:type="default"/>
      <w:pgSz w:w="11906" w:h="16838"/>
      <w:pgMar w:top="1418" w:right="92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F801">
    <w:pPr>
      <w:pStyle w:val="21"/>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1E06B34">
                <w:pPr>
                  <w:pStyle w:val="21"/>
                </w:pPr>
                <w:r>
                  <w:fldChar w:fldCharType="begin"/>
                </w:r>
                <w:r>
                  <w:instrText xml:space="preserve"> PAGE  \* MERGEFORMAT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3EF5">
    <w:pPr>
      <w:pStyle w:val="21"/>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994F16F">
                <w:pPr>
                  <w:pStyle w:val="21"/>
                </w:pPr>
                <w:r>
                  <w:fldChar w:fldCharType="begin"/>
                </w:r>
                <w:r>
                  <w:instrText xml:space="preserve"> PAGE  \* MERGEFORMAT </w:instrText>
                </w:r>
                <w:r>
                  <w:fldChar w:fldCharType="separate"/>
                </w:r>
                <w:r>
                  <w:t>28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7210">
    <w:pPr>
      <w:pStyle w:val="21"/>
      <w:jc w:val="center"/>
    </w:pPr>
    <w:r>
      <w:rPr>
        <w:sz w:val="18"/>
      </w:rP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14:paraId="44D23D84">
                <w:pPr>
                  <w:pStyle w:val="21"/>
                  <w:jc w:val="center"/>
                </w:pPr>
                <w:r>
                  <w:fldChar w:fldCharType="begin"/>
                </w:r>
                <w:r>
                  <w:instrText xml:space="preserve"> PAGE   \* MERGEFORMAT </w:instrText>
                </w:r>
                <w:r>
                  <w:fldChar w:fldCharType="separate"/>
                </w:r>
                <w:r>
                  <w:rPr>
                    <w:lang w:val="zh-CN"/>
                  </w:rPr>
                  <w:t>27</w:t>
                </w:r>
                <w:r>
                  <w:rPr>
                    <w:lang w:val="zh-CN"/>
                  </w:rPr>
                  <w:fldChar w:fldCharType="end"/>
                </w:r>
              </w:p>
              <w:p w14:paraId="315C80F1">
                <w:pPr>
                  <w:pStyle w:val="28"/>
                </w:pPr>
              </w:p>
            </w:txbxContent>
          </v:textbox>
        </v:shape>
      </w:pict>
    </w:r>
  </w:p>
  <w:p w14:paraId="030F7E4A">
    <w:pPr>
      <w:pStyle w:val="1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2FD2">
    <w:pPr>
      <w:pStyle w:val="21"/>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FF8BF37">
                <w:pPr>
                  <w:pStyle w:val="21"/>
                </w:pPr>
                <w:r>
                  <w:fldChar w:fldCharType="begin"/>
                </w:r>
                <w:r>
                  <w:instrText xml:space="preserve"> PAGE  \* MERGEFORMAT </w:instrText>
                </w:r>
                <w:r>
                  <w:fldChar w:fldCharType="separate"/>
                </w:r>
                <w:r>
                  <w:t>75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5462">
    <w:pPr>
      <w:pStyle w:val="21"/>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16CD638E">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5020">
    <w:pPr>
      <w:pStyle w:val="21"/>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5FAB02F6">
                <w:pPr>
                  <w:pStyle w:val="21"/>
                </w:pPr>
                <w:r>
                  <w:fldChar w:fldCharType="begin"/>
                </w:r>
                <w:r>
                  <w:instrText xml:space="preserve"> PAGE  \* MERGEFORMAT </w:instrText>
                </w:r>
                <w:r>
                  <w:fldChar w:fldCharType="separate"/>
                </w:r>
                <w:r>
                  <w:t>51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44A8449">
      <w:pPr>
        <w:pStyle w:val="24"/>
        <w:rPr>
          <w:sz w:val="21"/>
          <w:szCs w:val="21"/>
        </w:rPr>
      </w:pPr>
      <w:r>
        <w:rPr>
          <w:rFonts w:hint="eastAsia"/>
          <w:sz w:val="21"/>
          <w:szCs w:val="21"/>
        </w:rPr>
        <w:t>备注：1、属于中小微企业的供应商填写此表。</w:t>
      </w:r>
    </w:p>
    <w:p w14:paraId="0E663DDA">
      <w:pPr>
        <w:pStyle w:val="24"/>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75B6">
    <w:pPr>
      <w:pStyle w:val="22"/>
      <w:rPr>
        <w:rFonts w:hint="eastAsia"/>
        <w:lang w:val="en-US" w:eastAsia="zh-CN"/>
      </w:rPr>
    </w:pPr>
    <w:r>
      <w:rPr>
        <w:rFonts w:hint="eastAsia"/>
        <w:lang w:val="en-US" w:eastAsia="zh-CN"/>
      </w:rPr>
      <w:t>吉林泓远项目管理有限公司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3DAD">
    <w:pPr>
      <w:pStyle w:val="22"/>
      <w:rPr>
        <w:rFonts w:hint="eastAsia" w:eastAsia="宋体"/>
        <w:lang w:val="en-US" w:eastAsia="zh-CN"/>
      </w:rPr>
    </w:pPr>
    <w:r>
      <w:rPr>
        <w:rFonts w:hint="eastAsia"/>
        <w:lang w:val="en-US" w:eastAsia="zh-CN"/>
      </w:rPr>
      <w:t>吉林泓远项目管理有限公司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5481">
    <w:pPr>
      <w:pStyle w:val="22"/>
      <w:rPr>
        <w:rFonts w:hint="eastAsia" w:eastAsia="宋体"/>
        <w:lang w:eastAsia="zh-CN"/>
      </w:rPr>
    </w:pPr>
    <w:r>
      <w:rPr>
        <w:rFonts w:hint="eastAsia"/>
        <w:lang w:eastAsia="zh-CN"/>
      </w:rPr>
      <w:t>吉林泓远项目管理有限公司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6722">
    <w:pPr>
      <w:pStyle w:val="22"/>
      <w:rPr>
        <w:rFonts w:hint="eastAsia" w:eastAsia="宋体"/>
        <w:lang w:eastAsia="zh-CN"/>
      </w:rPr>
    </w:pPr>
    <w:r>
      <w:rPr>
        <w:rFonts w:hint="eastAsia"/>
        <w:lang w:eastAsia="zh-CN"/>
      </w:rPr>
      <w:t>吉林泓远项目管理有限公司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E541">
    <w:pPr>
      <w:pStyle w:val="22"/>
      <w:rPr>
        <w:rFonts w:hint="eastAsia" w:eastAsia="宋体"/>
        <w:lang w:eastAsia="zh-CN"/>
      </w:rPr>
    </w:pPr>
    <w:r>
      <w:rPr>
        <w:rFonts w:hint="eastAsia"/>
        <w:lang w:eastAsia="zh-CN"/>
      </w:rPr>
      <w:t>吉林泓远项目管理有限公司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2ABE5"/>
    <w:multiLevelType w:val="singleLevel"/>
    <w:tmpl w:val="4802ABE5"/>
    <w:lvl w:ilvl="0" w:tentative="0">
      <w:start w:val="10"/>
      <w:numFmt w:val="chineseCounting"/>
      <w:suff w:val="nothing"/>
      <w:lvlText w:val="%1、"/>
      <w:lvlJc w:val="left"/>
      <w:rPr>
        <w:rFonts w:hint="eastAsia"/>
      </w:rPr>
    </w:lvl>
  </w:abstractNum>
  <w:abstractNum w:abstractNumId="1">
    <w:nsid w:val="5D88DE5D"/>
    <w:multiLevelType w:val="singleLevel"/>
    <w:tmpl w:val="5D88DE5D"/>
    <w:lvl w:ilvl="0" w:tentative="0">
      <w:start w:val="1"/>
      <w:numFmt w:val="decimal"/>
      <w:suff w:val="space"/>
      <w:lvlText w:val="%1."/>
      <w:lvlJc w:val="left"/>
    </w:lvl>
  </w:abstractNum>
  <w:abstractNum w:abstractNumId="2">
    <w:nsid w:val="603D9D7D"/>
    <w:multiLevelType w:val="singleLevel"/>
    <w:tmpl w:val="603D9D7D"/>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FmMWJhYTMzY2FkNjBlOWE0ZTk1M2ViNDVmZTg5MTQifQ=="/>
  </w:docVars>
  <w:rsids>
    <w:rsidRoot w:val="00E84E06"/>
    <w:rsid w:val="00004CDE"/>
    <w:rsid w:val="000066FC"/>
    <w:rsid w:val="00006FA6"/>
    <w:rsid w:val="000078E5"/>
    <w:rsid w:val="00010306"/>
    <w:rsid w:val="00010D7C"/>
    <w:rsid w:val="0001241F"/>
    <w:rsid w:val="00021B6E"/>
    <w:rsid w:val="00023D7D"/>
    <w:rsid w:val="00024333"/>
    <w:rsid w:val="00024E6D"/>
    <w:rsid w:val="000326DE"/>
    <w:rsid w:val="000409A2"/>
    <w:rsid w:val="0004146A"/>
    <w:rsid w:val="00045570"/>
    <w:rsid w:val="00046834"/>
    <w:rsid w:val="00053389"/>
    <w:rsid w:val="00054322"/>
    <w:rsid w:val="000545D0"/>
    <w:rsid w:val="00055B8B"/>
    <w:rsid w:val="000600CC"/>
    <w:rsid w:val="00061156"/>
    <w:rsid w:val="00065157"/>
    <w:rsid w:val="00067B15"/>
    <w:rsid w:val="0007027F"/>
    <w:rsid w:val="00073A79"/>
    <w:rsid w:val="00074848"/>
    <w:rsid w:val="00074DAD"/>
    <w:rsid w:val="00076504"/>
    <w:rsid w:val="00077794"/>
    <w:rsid w:val="0008191F"/>
    <w:rsid w:val="00081B0E"/>
    <w:rsid w:val="00084E90"/>
    <w:rsid w:val="00087A91"/>
    <w:rsid w:val="000904BE"/>
    <w:rsid w:val="00090E3E"/>
    <w:rsid w:val="00092241"/>
    <w:rsid w:val="000932AE"/>
    <w:rsid w:val="00094E6B"/>
    <w:rsid w:val="000972ED"/>
    <w:rsid w:val="000A12CB"/>
    <w:rsid w:val="000A1673"/>
    <w:rsid w:val="000A22FF"/>
    <w:rsid w:val="000A2653"/>
    <w:rsid w:val="000B3812"/>
    <w:rsid w:val="000C2389"/>
    <w:rsid w:val="000C2A84"/>
    <w:rsid w:val="000C456D"/>
    <w:rsid w:val="000C4D92"/>
    <w:rsid w:val="000C5AA9"/>
    <w:rsid w:val="000D15D7"/>
    <w:rsid w:val="000D1F36"/>
    <w:rsid w:val="000E74A9"/>
    <w:rsid w:val="000F0AA7"/>
    <w:rsid w:val="00102F6F"/>
    <w:rsid w:val="001040E5"/>
    <w:rsid w:val="00104118"/>
    <w:rsid w:val="00105317"/>
    <w:rsid w:val="0011402B"/>
    <w:rsid w:val="001167A7"/>
    <w:rsid w:val="00116D77"/>
    <w:rsid w:val="00120D20"/>
    <w:rsid w:val="001216B0"/>
    <w:rsid w:val="00122A74"/>
    <w:rsid w:val="001248DC"/>
    <w:rsid w:val="00126763"/>
    <w:rsid w:val="00131E75"/>
    <w:rsid w:val="001373D7"/>
    <w:rsid w:val="00137CE3"/>
    <w:rsid w:val="00141CEB"/>
    <w:rsid w:val="00143C82"/>
    <w:rsid w:val="00143E56"/>
    <w:rsid w:val="00143E62"/>
    <w:rsid w:val="00150E74"/>
    <w:rsid w:val="00154640"/>
    <w:rsid w:val="00155E70"/>
    <w:rsid w:val="00156175"/>
    <w:rsid w:val="00157EC7"/>
    <w:rsid w:val="00164BAC"/>
    <w:rsid w:val="00166A4F"/>
    <w:rsid w:val="00167699"/>
    <w:rsid w:val="001714A5"/>
    <w:rsid w:val="00172E84"/>
    <w:rsid w:val="00174401"/>
    <w:rsid w:val="00176913"/>
    <w:rsid w:val="001829EE"/>
    <w:rsid w:val="001859D5"/>
    <w:rsid w:val="00192053"/>
    <w:rsid w:val="00193A97"/>
    <w:rsid w:val="00193C7B"/>
    <w:rsid w:val="001973C3"/>
    <w:rsid w:val="001A067F"/>
    <w:rsid w:val="001A0685"/>
    <w:rsid w:val="001A1F63"/>
    <w:rsid w:val="001A54EF"/>
    <w:rsid w:val="001A569D"/>
    <w:rsid w:val="001A6A30"/>
    <w:rsid w:val="001A6CC1"/>
    <w:rsid w:val="001B13DA"/>
    <w:rsid w:val="001B22A1"/>
    <w:rsid w:val="001B2388"/>
    <w:rsid w:val="001B2395"/>
    <w:rsid w:val="001B453D"/>
    <w:rsid w:val="001C2E95"/>
    <w:rsid w:val="001C4C1B"/>
    <w:rsid w:val="001C6DFC"/>
    <w:rsid w:val="001C74AA"/>
    <w:rsid w:val="001D032B"/>
    <w:rsid w:val="001D0574"/>
    <w:rsid w:val="001D57C3"/>
    <w:rsid w:val="001E0D95"/>
    <w:rsid w:val="001E16EF"/>
    <w:rsid w:val="001E3D06"/>
    <w:rsid w:val="001E4735"/>
    <w:rsid w:val="001E4D64"/>
    <w:rsid w:val="001E73C5"/>
    <w:rsid w:val="001F4B7C"/>
    <w:rsid w:val="001F4E0B"/>
    <w:rsid w:val="001F6221"/>
    <w:rsid w:val="002014F2"/>
    <w:rsid w:val="002014F5"/>
    <w:rsid w:val="0020410A"/>
    <w:rsid w:val="00206D8A"/>
    <w:rsid w:val="00207E24"/>
    <w:rsid w:val="002128EE"/>
    <w:rsid w:val="00215A0A"/>
    <w:rsid w:val="00220475"/>
    <w:rsid w:val="002220F5"/>
    <w:rsid w:val="00224648"/>
    <w:rsid w:val="00231550"/>
    <w:rsid w:val="002317AE"/>
    <w:rsid w:val="00232934"/>
    <w:rsid w:val="00233041"/>
    <w:rsid w:val="002362FF"/>
    <w:rsid w:val="002372B3"/>
    <w:rsid w:val="00241AEA"/>
    <w:rsid w:val="00244EA8"/>
    <w:rsid w:val="00247548"/>
    <w:rsid w:val="00253EBB"/>
    <w:rsid w:val="002578E1"/>
    <w:rsid w:val="00260161"/>
    <w:rsid w:val="00260B12"/>
    <w:rsid w:val="002634F1"/>
    <w:rsid w:val="002647D9"/>
    <w:rsid w:val="00270A6D"/>
    <w:rsid w:val="00272732"/>
    <w:rsid w:val="00272B98"/>
    <w:rsid w:val="002751DC"/>
    <w:rsid w:val="00275C5B"/>
    <w:rsid w:val="00276979"/>
    <w:rsid w:val="00283FD8"/>
    <w:rsid w:val="00286A65"/>
    <w:rsid w:val="0029130F"/>
    <w:rsid w:val="00292B25"/>
    <w:rsid w:val="002934A9"/>
    <w:rsid w:val="00296F4D"/>
    <w:rsid w:val="002A206D"/>
    <w:rsid w:val="002A3389"/>
    <w:rsid w:val="002A5017"/>
    <w:rsid w:val="002A6BFF"/>
    <w:rsid w:val="002B0DA6"/>
    <w:rsid w:val="002B4B5C"/>
    <w:rsid w:val="002B5959"/>
    <w:rsid w:val="002C079D"/>
    <w:rsid w:val="002C228A"/>
    <w:rsid w:val="002C360E"/>
    <w:rsid w:val="002C57BC"/>
    <w:rsid w:val="002C606D"/>
    <w:rsid w:val="002D22DF"/>
    <w:rsid w:val="002D3A77"/>
    <w:rsid w:val="002D49C5"/>
    <w:rsid w:val="002E0AA5"/>
    <w:rsid w:val="002E25F7"/>
    <w:rsid w:val="002E74B7"/>
    <w:rsid w:val="002F3F37"/>
    <w:rsid w:val="002F6140"/>
    <w:rsid w:val="002F6ADE"/>
    <w:rsid w:val="00305F2F"/>
    <w:rsid w:val="00306079"/>
    <w:rsid w:val="00306538"/>
    <w:rsid w:val="00306B4F"/>
    <w:rsid w:val="00313C10"/>
    <w:rsid w:val="00317EF8"/>
    <w:rsid w:val="003224F3"/>
    <w:rsid w:val="00323E24"/>
    <w:rsid w:val="00324B2C"/>
    <w:rsid w:val="00324E41"/>
    <w:rsid w:val="00326DA5"/>
    <w:rsid w:val="00331B1C"/>
    <w:rsid w:val="00332C34"/>
    <w:rsid w:val="00336607"/>
    <w:rsid w:val="003519CC"/>
    <w:rsid w:val="00355ADF"/>
    <w:rsid w:val="00357A4C"/>
    <w:rsid w:val="00361836"/>
    <w:rsid w:val="003705CF"/>
    <w:rsid w:val="0037197F"/>
    <w:rsid w:val="003735B0"/>
    <w:rsid w:val="00375226"/>
    <w:rsid w:val="0037636B"/>
    <w:rsid w:val="003800EB"/>
    <w:rsid w:val="0038059F"/>
    <w:rsid w:val="00390DDF"/>
    <w:rsid w:val="00393028"/>
    <w:rsid w:val="00393CDF"/>
    <w:rsid w:val="003951A6"/>
    <w:rsid w:val="00395AD0"/>
    <w:rsid w:val="00397658"/>
    <w:rsid w:val="003A2F42"/>
    <w:rsid w:val="003A4306"/>
    <w:rsid w:val="003B0973"/>
    <w:rsid w:val="003B2A4C"/>
    <w:rsid w:val="003B364D"/>
    <w:rsid w:val="003B3837"/>
    <w:rsid w:val="003B7F1E"/>
    <w:rsid w:val="003C0915"/>
    <w:rsid w:val="003C1AE1"/>
    <w:rsid w:val="003C5C92"/>
    <w:rsid w:val="003D0E98"/>
    <w:rsid w:val="003D1150"/>
    <w:rsid w:val="003D2EE1"/>
    <w:rsid w:val="003D462A"/>
    <w:rsid w:val="003D496D"/>
    <w:rsid w:val="003D683F"/>
    <w:rsid w:val="003E3AD4"/>
    <w:rsid w:val="003E6DF1"/>
    <w:rsid w:val="003E71CB"/>
    <w:rsid w:val="003F10C7"/>
    <w:rsid w:val="003F1977"/>
    <w:rsid w:val="003F1C9B"/>
    <w:rsid w:val="003F569D"/>
    <w:rsid w:val="003F5F42"/>
    <w:rsid w:val="003F6489"/>
    <w:rsid w:val="003F6E54"/>
    <w:rsid w:val="00400885"/>
    <w:rsid w:val="004035EC"/>
    <w:rsid w:val="00404D76"/>
    <w:rsid w:val="0040536F"/>
    <w:rsid w:val="004057C4"/>
    <w:rsid w:val="004143CF"/>
    <w:rsid w:val="00417559"/>
    <w:rsid w:val="0042305D"/>
    <w:rsid w:val="00423323"/>
    <w:rsid w:val="0042497C"/>
    <w:rsid w:val="00431B22"/>
    <w:rsid w:val="004325B1"/>
    <w:rsid w:val="00434644"/>
    <w:rsid w:val="00434D9E"/>
    <w:rsid w:val="0043636D"/>
    <w:rsid w:val="00437A21"/>
    <w:rsid w:val="0044409F"/>
    <w:rsid w:val="00445E12"/>
    <w:rsid w:val="00446234"/>
    <w:rsid w:val="004467A3"/>
    <w:rsid w:val="00451BBF"/>
    <w:rsid w:val="00452AAB"/>
    <w:rsid w:val="00452BD5"/>
    <w:rsid w:val="004535B4"/>
    <w:rsid w:val="004578B2"/>
    <w:rsid w:val="004603C8"/>
    <w:rsid w:val="00461308"/>
    <w:rsid w:val="004616CE"/>
    <w:rsid w:val="0046292A"/>
    <w:rsid w:val="0046505B"/>
    <w:rsid w:val="00465792"/>
    <w:rsid w:val="00471F73"/>
    <w:rsid w:val="004723C4"/>
    <w:rsid w:val="0047251D"/>
    <w:rsid w:val="00475477"/>
    <w:rsid w:val="00476835"/>
    <w:rsid w:val="004774F6"/>
    <w:rsid w:val="004777A1"/>
    <w:rsid w:val="004870BE"/>
    <w:rsid w:val="00490E78"/>
    <w:rsid w:val="00491F6E"/>
    <w:rsid w:val="00494986"/>
    <w:rsid w:val="0049549E"/>
    <w:rsid w:val="004970F1"/>
    <w:rsid w:val="00497280"/>
    <w:rsid w:val="004972AA"/>
    <w:rsid w:val="004A014C"/>
    <w:rsid w:val="004A14B7"/>
    <w:rsid w:val="004A2447"/>
    <w:rsid w:val="004A5236"/>
    <w:rsid w:val="004A6724"/>
    <w:rsid w:val="004B119C"/>
    <w:rsid w:val="004B1F75"/>
    <w:rsid w:val="004B7031"/>
    <w:rsid w:val="004B7214"/>
    <w:rsid w:val="004C1964"/>
    <w:rsid w:val="004C3A2E"/>
    <w:rsid w:val="004C4689"/>
    <w:rsid w:val="004C48E6"/>
    <w:rsid w:val="004C518C"/>
    <w:rsid w:val="004C572D"/>
    <w:rsid w:val="004D3A46"/>
    <w:rsid w:val="004D5E0C"/>
    <w:rsid w:val="004D7D70"/>
    <w:rsid w:val="004E7937"/>
    <w:rsid w:val="004F545A"/>
    <w:rsid w:val="004F6F26"/>
    <w:rsid w:val="0050082D"/>
    <w:rsid w:val="00500B91"/>
    <w:rsid w:val="00500E1F"/>
    <w:rsid w:val="00501F76"/>
    <w:rsid w:val="00503635"/>
    <w:rsid w:val="0050401E"/>
    <w:rsid w:val="00504B0E"/>
    <w:rsid w:val="00511F90"/>
    <w:rsid w:val="00512CCE"/>
    <w:rsid w:val="00516AF4"/>
    <w:rsid w:val="00516E85"/>
    <w:rsid w:val="00517361"/>
    <w:rsid w:val="005179F3"/>
    <w:rsid w:val="00525199"/>
    <w:rsid w:val="00525B9C"/>
    <w:rsid w:val="00530679"/>
    <w:rsid w:val="00530F54"/>
    <w:rsid w:val="00531792"/>
    <w:rsid w:val="00531DF0"/>
    <w:rsid w:val="005335CE"/>
    <w:rsid w:val="005340C1"/>
    <w:rsid w:val="00546C48"/>
    <w:rsid w:val="00547D53"/>
    <w:rsid w:val="00550B03"/>
    <w:rsid w:val="00551360"/>
    <w:rsid w:val="00552115"/>
    <w:rsid w:val="00554F6B"/>
    <w:rsid w:val="00564D84"/>
    <w:rsid w:val="0056543E"/>
    <w:rsid w:val="00565A3A"/>
    <w:rsid w:val="005704C0"/>
    <w:rsid w:val="00571CE8"/>
    <w:rsid w:val="00572955"/>
    <w:rsid w:val="00577E68"/>
    <w:rsid w:val="00581C88"/>
    <w:rsid w:val="00585275"/>
    <w:rsid w:val="005859E5"/>
    <w:rsid w:val="00595123"/>
    <w:rsid w:val="00596341"/>
    <w:rsid w:val="005B1481"/>
    <w:rsid w:val="005B34FB"/>
    <w:rsid w:val="005B4471"/>
    <w:rsid w:val="005B73FA"/>
    <w:rsid w:val="005C0B4F"/>
    <w:rsid w:val="005C1FE0"/>
    <w:rsid w:val="005C3572"/>
    <w:rsid w:val="005C4380"/>
    <w:rsid w:val="005C6048"/>
    <w:rsid w:val="005D0661"/>
    <w:rsid w:val="005D272A"/>
    <w:rsid w:val="005D2A98"/>
    <w:rsid w:val="005D3FB3"/>
    <w:rsid w:val="005E22C4"/>
    <w:rsid w:val="005E4E71"/>
    <w:rsid w:val="005E64FD"/>
    <w:rsid w:val="005E65B9"/>
    <w:rsid w:val="005F0AB8"/>
    <w:rsid w:val="005F2A4A"/>
    <w:rsid w:val="005F2E6D"/>
    <w:rsid w:val="005F303F"/>
    <w:rsid w:val="005F53E3"/>
    <w:rsid w:val="005F5E69"/>
    <w:rsid w:val="00600788"/>
    <w:rsid w:val="00600925"/>
    <w:rsid w:val="0060181C"/>
    <w:rsid w:val="00603C6E"/>
    <w:rsid w:val="006049C8"/>
    <w:rsid w:val="006057B6"/>
    <w:rsid w:val="0061119B"/>
    <w:rsid w:val="006119BB"/>
    <w:rsid w:val="00611DF4"/>
    <w:rsid w:val="0061611F"/>
    <w:rsid w:val="0062208E"/>
    <w:rsid w:val="0062230B"/>
    <w:rsid w:val="006224BE"/>
    <w:rsid w:val="00623ACE"/>
    <w:rsid w:val="00624B2A"/>
    <w:rsid w:val="00625C12"/>
    <w:rsid w:val="00625C70"/>
    <w:rsid w:val="00627041"/>
    <w:rsid w:val="00627889"/>
    <w:rsid w:val="00633141"/>
    <w:rsid w:val="00634A04"/>
    <w:rsid w:val="00636CE9"/>
    <w:rsid w:val="00640DA5"/>
    <w:rsid w:val="00652192"/>
    <w:rsid w:val="006562AC"/>
    <w:rsid w:val="006607AD"/>
    <w:rsid w:val="006610B0"/>
    <w:rsid w:val="00661DE3"/>
    <w:rsid w:val="00661F3E"/>
    <w:rsid w:val="006626A7"/>
    <w:rsid w:val="00662DAF"/>
    <w:rsid w:val="00672952"/>
    <w:rsid w:val="006738B7"/>
    <w:rsid w:val="0067486E"/>
    <w:rsid w:val="0067609F"/>
    <w:rsid w:val="006811A0"/>
    <w:rsid w:val="00682959"/>
    <w:rsid w:val="00685588"/>
    <w:rsid w:val="00685736"/>
    <w:rsid w:val="006904FD"/>
    <w:rsid w:val="006909E7"/>
    <w:rsid w:val="00690AB1"/>
    <w:rsid w:val="00694C7E"/>
    <w:rsid w:val="00697871"/>
    <w:rsid w:val="006A0274"/>
    <w:rsid w:val="006A2A43"/>
    <w:rsid w:val="006B0435"/>
    <w:rsid w:val="006B121F"/>
    <w:rsid w:val="006B235D"/>
    <w:rsid w:val="006B5CD1"/>
    <w:rsid w:val="006B5E55"/>
    <w:rsid w:val="006C1492"/>
    <w:rsid w:val="006C42E6"/>
    <w:rsid w:val="006D079C"/>
    <w:rsid w:val="006D0FC8"/>
    <w:rsid w:val="006D39B2"/>
    <w:rsid w:val="006D525E"/>
    <w:rsid w:val="006E0D6F"/>
    <w:rsid w:val="006E3CAE"/>
    <w:rsid w:val="006F0220"/>
    <w:rsid w:val="006F1BB4"/>
    <w:rsid w:val="006F2334"/>
    <w:rsid w:val="006F58F0"/>
    <w:rsid w:val="006F5B77"/>
    <w:rsid w:val="006F65F1"/>
    <w:rsid w:val="007000F6"/>
    <w:rsid w:val="00700612"/>
    <w:rsid w:val="007006DF"/>
    <w:rsid w:val="00702A34"/>
    <w:rsid w:val="007074A6"/>
    <w:rsid w:val="00715046"/>
    <w:rsid w:val="00715310"/>
    <w:rsid w:val="00715AB3"/>
    <w:rsid w:val="00721BCE"/>
    <w:rsid w:val="00722B37"/>
    <w:rsid w:val="007231CA"/>
    <w:rsid w:val="007246E9"/>
    <w:rsid w:val="0072772D"/>
    <w:rsid w:val="00730234"/>
    <w:rsid w:val="00735A77"/>
    <w:rsid w:val="00737085"/>
    <w:rsid w:val="0074059C"/>
    <w:rsid w:val="00740F27"/>
    <w:rsid w:val="00744C71"/>
    <w:rsid w:val="00746451"/>
    <w:rsid w:val="007470FD"/>
    <w:rsid w:val="007617FD"/>
    <w:rsid w:val="007620ED"/>
    <w:rsid w:val="00763049"/>
    <w:rsid w:val="007631B3"/>
    <w:rsid w:val="0076710A"/>
    <w:rsid w:val="00767B3B"/>
    <w:rsid w:val="00772135"/>
    <w:rsid w:val="007741FF"/>
    <w:rsid w:val="007762ED"/>
    <w:rsid w:val="007770FC"/>
    <w:rsid w:val="0078128E"/>
    <w:rsid w:val="00783F84"/>
    <w:rsid w:val="00786061"/>
    <w:rsid w:val="00786581"/>
    <w:rsid w:val="007902C3"/>
    <w:rsid w:val="007915A9"/>
    <w:rsid w:val="007915E3"/>
    <w:rsid w:val="00792CC5"/>
    <w:rsid w:val="00793560"/>
    <w:rsid w:val="00795B98"/>
    <w:rsid w:val="00795BB1"/>
    <w:rsid w:val="0079785A"/>
    <w:rsid w:val="007A437A"/>
    <w:rsid w:val="007A7F39"/>
    <w:rsid w:val="007B0BF9"/>
    <w:rsid w:val="007B374A"/>
    <w:rsid w:val="007B3D97"/>
    <w:rsid w:val="007B4C19"/>
    <w:rsid w:val="007B7327"/>
    <w:rsid w:val="007C0A4A"/>
    <w:rsid w:val="007C3488"/>
    <w:rsid w:val="007C39DC"/>
    <w:rsid w:val="007C3A83"/>
    <w:rsid w:val="007C53BF"/>
    <w:rsid w:val="007D1671"/>
    <w:rsid w:val="007D413B"/>
    <w:rsid w:val="007E0813"/>
    <w:rsid w:val="007E2F6C"/>
    <w:rsid w:val="007E37DC"/>
    <w:rsid w:val="007E44AB"/>
    <w:rsid w:val="007E525E"/>
    <w:rsid w:val="007E5D21"/>
    <w:rsid w:val="007E6462"/>
    <w:rsid w:val="007F3F15"/>
    <w:rsid w:val="00802A79"/>
    <w:rsid w:val="00802EED"/>
    <w:rsid w:val="0080323D"/>
    <w:rsid w:val="00810A04"/>
    <w:rsid w:val="00811BE3"/>
    <w:rsid w:val="00811DC6"/>
    <w:rsid w:val="0081256C"/>
    <w:rsid w:val="00812F37"/>
    <w:rsid w:val="008150D5"/>
    <w:rsid w:val="00815578"/>
    <w:rsid w:val="008209EE"/>
    <w:rsid w:val="0082115C"/>
    <w:rsid w:val="00821183"/>
    <w:rsid w:val="00821FCB"/>
    <w:rsid w:val="008268E5"/>
    <w:rsid w:val="008279E2"/>
    <w:rsid w:val="00831EA0"/>
    <w:rsid w:val="008320E5"/>
    <w:rsid w:val="0083262A"/>
    <w:rsid w:val="00835FFE"/>
    <w:rsid w:val="008448CA"/>
    <w:rsid w:val="008458C8"/>
    <w:rsid w:val="00847602"/>
    <w:rsid w:val="00847778"/>
    <w:rsid w:val="00851153"/>
    <w:rsid w:val="00851DB0"/>
    <w:rsid w:val="00852394"/>
    <w:rsid w:val="00852DD8"/>
    <w:rsid w:val="00853306"/>
    <w:rsid w:val="00853935"/>
    <w:rsid w:val="0085411F"/>
    <w:rsid w:val="008556F0"/>
    <w:rsid w:val="00856775"/>
    <w:rsid w:val="00860DB0"/>
    <w:rsid w:val="00861212"/>
    <w:rsid w:val="00861ABF"/>
    <w:rsid w:val="00861F04"/>
    <w:rsid w:val="00862443"/>
    <w:rsid w:val="00865D60"/>
    <w:rsid w:val="00871EC1"/>
    <w:rsid w:val="00873AB6"/>
    <w:rsid w:val="00874FC7"/>
    <w:rsid w:val="00875367"/>
    <w:rsid w:val="00875EEA"/>
    <w:rsid w:val="00876117"/>
    <w:rsid w:val="00876B74"/>
    <w:rsid w:val="0088013F"/>
    <w:rsid w:val="00881E3D"/>
    <w:rsid w:val="008832E3"/>
    <w:rsid w:val="00884496"/>
    <w:rsid w:val="008870D8"/>
    <w:rsid w:val="00887D8D"/>
    <w:rsid w:val="00892006"/>
    <w:rsid w:val="0089582E"/>
    <w:rsid w:val="00897076"/>
    <w:rsid w:val="008A51EA"/>
    <w:rsid w:val="008A5495"/>
    <w:rsid w:val="008A7027"/>
    <w:rsid w:val="008B34F2"/>
    <w:rsid w:val="008B3705"/>
    <w:rsid w:val="008B4555"/>
    <w:rsid w:val="008B54D6"/>
    <w:rsid w:val="008C1E0E"/>
    <w:rsid w:val="008C3D58"/>
    <w:rsid w:val="008C53F0"/>
    <w:rsid w:val="008C65E9"/>
    <w:rsid w:val="008C7930"/>
    <w:rsid w:val="008D11AD"/>
    <w:rsid w:val="008D13F4"/>
    <w:rsid w:val="008D2531"/>
    <w:rsid w:val="008E0E36"/>
    <w:rsid w:val="008E0F38"/>
    <w:rsid w:val="008F0F7D"/>
    <w:rsid w:val="008F1360"/>
    <w:rsid w:val="008F2C0F"/>
    <w:rsid w:val="008F3CFF"/>
    <w:rsid w:val="008F671B"/>
    <w:rsid w:val="00902A9D"/>
    <w:rsid w:val="0090709B"/>
    <w:rsid w:val="009131D8"/>
    <w:rsid w:val="00916019"/>
    <w:rsid w:val="00916671"/>
    <w:rsid w:val="00920D98"/>
    <w:rsid w:val="00922785"/>
    <w:rsid w:val="00923CBE"/>
    <w:rsid w:val="00925043"/>
    <w:rsid w:val="00925A0B"/>
    <w:rsid w:val="0092690D"/>
    <w:rsid w:val="00926CCC"/>
    <w:rsid w:val="009318C3"/>
    <w:rsid w:val="00932314"/>
    <w:rsid w:val="00932795"/>
    <w:rsid w:val="009402ED"/>
    <w:rsid w:val="009408B2"/>
    <w:rsid w:val="00940E32"/>
    <w:rsid w:val="00941287"/>
    <w:rsid w:val="0094417D"/>
    <w:rsid w:val="00947317"/>
    <w:rsid w:val="0095012E"/>
    <w:rsid w:val="0095196E"/>
    <w:rsid w:val="009522E8"/>
    <w:rsid w:val="0095293E"/>
    <w:rsid w:val="00952E3A"/>
    <w:rsid w:val="00953D7B"/>
    <w:rsid w:val="009659FC"/>
    <w:rsid w:val="00966940"/>
    <w:rsid w:val="00966DCF"/>
    <w:rsid w:val="00970526"/>
    <w:rsid w:val="009706D6"/>
    <w:rsid w:val="00971022"/>
    <w:rsid w:val="00973E40"/>
    <w:rsid w:val="00973F22"/>
    <w:rsid w:val="00977665"/>
    <w:rsid w:val="009779F0"/>
    <w:rsid w:val="00980DD3"/>
    <w:rsid w:val="009813D2"/>
    <w:rsid w:val="00984BFD"/>
    <w:rsid w:val="00990308"/>
    <w:rsid w:val="009910BF"/>
    <w:rsid w:val="00992AD5"/>
    <w:rsid w:val="00995414"/>
    <w:rsid w:val="009955AE"/>
    <w:rsid w:val="00997707"/>
    <w:rsid w:val="009A1431"/>
    <w:rsid w:val="009A2B95"/>
    <w:rsid w:val="009A43C6"/>
    <w:rsid w:val="009B29DC"/>
    <w:rsid w:val="009B3210"/>
    <w:rsid w:val="009B50D7"/>
    <w:rsid w:val="009B66CA"/>
    <w:rsid w:val="009C4E7A"/>
    <w:rsid w:val="009C50C4"/>
    <w:rsid w:val="009C6776"/>
    <w:rsid w:val="009D2CE8"/>
    <w:rsid w:val="009D44F0"/>
    <w:rsid w:val="009E0181"/>
    <w:rsid w:val="009E1A58"/>
    <w:rsid w:val="009E26DE"/>
    <w:rsid w:val="009E2EEE"/>
    <w:rsid w:val="009E42FD"/>
    <w:rsid w:val="009E59BB"/>
    <w:rsid w:val="009E6362"/>
    <w:rsid w:val="009F1A5F"/>
    <w:rsid w:val="009F2125"/>
    <w:rsid w:val="009F3CAA"/>
    <w:rsid w:val="009F4149"/>
    <w:rsid w:val="009F5253"/>
    <w:rsid w:val="00A0022B"/>
    <w:rsid w:val="00A002CB"/>
    <w:rsid w:val="00A00D06"/>
    <w:rsid w:val="00A01514"/>
    <w:rsid w:val="00A046B9"/>
    <w:rsid w:val="00A04C1E"/>
    <w:rsid w:val="00A060BA"/>
    <w:rsid w:val="00A109F4"/>
    <w:rsid w:val="00A15000"/>
    <w:rsid w:val="00A16403"/>
    <w:rsid w:val="00A17A3F"/>
    <w:rsid w:val="00A2045F"/>
    <w:rsid w:val="00A20EDC"/>
    <w:rsid w:val="00A22637"/>
    <w:rsid w:val="00A24C18"/>
    <w:rsid w:val="00A27C78"/>
    <w:rsid w:val="00A27E77"/>
    <w:rsid w:val="00A315FC"/>
    <w:rsid w:val="00A3176B"/>
    <w:rsid w:val="00A33990"/>
    <w:rsid w:val="00A3651A"/>
    <w:rsid w:val="00A4515A"/>
    <w:rsid w:val="00A45D73"/>
    <w:rsid w:val="00A50D75"/>
    <w:rsid w:val="00A51F72"/>
    <w:rsid w:val="00A52A19"/>
    <w:rsid w:val="00A55A2D"/>
    <w:rsid w:val="00A55F88"/>
    <w:rsid w:val="00A560F6"/>
    <w:rsid w:val="00A60B0D"/>
    <w:rsid w:val="00A63F36"/>
    <w:rsid w:val="00A643A0"/>
    <w:rsid w:val="00A70BAA"/>
    <w:rsid w:val="00A75FFE"/>
    <w:rsid w:val="00A82263"/>
    <w:rsid w:val="00A90663"/>
    <w:rsid w:val="00A91969"/>
    <w:rsid w:val="00A93CE7"/>
    <w:rsid w:val="00A95EAB"/>
    <w:rsid w:val="00A9606C"/>
    <w:rsid w:val="00A9679F"/>
    <w:rsid w:val="00AA1219"/>
    <w:rsid w:val="00AA2857"/>
    <w:rsid w:val="00AA7CBB"/>
    <w:rsid w:val="00AB1802"/>
    <w:rsid w:val="00AB551E"/>
    <w:rsid w:val="00AC0DDA"/>
    <w:rsid w:val="00AC3270"/>
    <w:rsid w:val="00AC4B18"/>
    <w:rsid w:val="00AC50ED"/>
    <w:rsid w:val="00AC524F"/>
    <w:rsid w:val="00AC717C"/>
    <w:rsid w:val="00AD2E80"/>
    <w:rsid w:val="00AE3F4F"/>
    <w:rsid w:val="00AE5D12"/>
    <w:rsid w:val="00AF0873"/>
    <w:rsid w:val="00AF1A61"/>
    <w:rsid w:val="00AF2883"/>
    <w:rsid w:val="00AF479F"/>
    <w:rsid w:val="00AF49EB"/>
    <w:rsid w:val="00AF6296"/>
    <w:rsid w:val="00AF6E51"/>
    <w:rsid w:val="00B01BEC"/>
    <w:rsid w:val="00B02EA2"/>
    <w:rsid w:val="00B04561"/>
    <w:rsid w:val="00B0470D"/>
    <w:rsid w:val="00B056B5"/>
    <w:rsid w:val="00B0674D"/>
    <w:rsid w:val="00B07530"/>
    <w:rsid w:val="00B13B57"/>
    <w:rsid w:val="00B13E98"/>
    <w:rsid w:val="00B14135"/>
    <w:rsid w:val="00B14190"/>
    <w:rsid w:val="00B15B10"/>
    <w:rsid w:val="00B16531"/>
    <w:rsid w:val="00B17249"/>
    <w:rsid w:val="00B22C28"/>
    <w:rsid w:val="00B23535"/>
    <w:rsid w:val="00B2451A"/>
    <w:rsid w:val="00B24CAB"/>
    <w:rsid w:val="00B27B2D"/>
    <w:rsid w:val="00B31710"/>
    <w:rsid w:val="00B319EA"/>
    <w:rsid w:val="00B337F1"/>
    <w:rsid w:val="00B35C05"/>
    <w:rsid w:val="00B36E63"/>
    <w:rsid w:val="00B37A98"/>
    <w:rsid w:val="00B41630"/>
    <w:rsid w:val="00B418D2"/>
    <w:rsid w:val="00B42151"/>
    <w:rsid w:val="00B455F7"/>
    <w:rsid w:val="00B6072E"/>
    <w:rsid w:val="00B62988"/>
    <w:rsid w:val="00B62A9C"/>
    <w:rsid w:val="00B66093"/>
    <w:rsid w:val="00B7249E"/>
    <w:rsid w:val="00B7393C"/>
    <w:rsid w:val="00B7729A"/>
    <w:rsid w:val="00B80B7F"/>
    <w:rsid w:val="00B81857"/>
    <w:rsid w:val="00B8244F"/>
    <w:rsid w:val="00B826D0"/>
    <w:rsid w:val="00B8357C"/>
    <w:rsid w:val="00B84C52"/>
    <w:rsid w:val="00B92287"/>
    <w:rsid w:val="00B92A57"/>
    <w:rsid w:val="00B94B98"/>
    <w:rsid w:val="00B96483"/>
    <w:rsid w:val="00B96715"/>
    <w:rsid w:val="00B9709D"/>
    <w:rsid w:val="00B97794"/>
    <w:rsid w:val="00BA166D"/>
    <w:rsid w:val="00BA1BA8"/>
    <w:rsid w:val="00BA36AA"/>
    <w:rsid w:val="00BB05E7"/>
    <w:rsid w:val="00BB15B5"/>
    <w:rsid w:val="00BB266A"/>
    <w:rsid w:val="00BB38AB"/>
    <w:rsid w:val="00BC1F62"/>
    <w:rsid w:val="00BC3C62"/>
    <w:rsid w:val="00BC42C2"/>
    <w:rsid w:val="00BC6B30"/>
    <w:rsid w:val="00BD49AC"/>
    <w:rsid w:val="00BD77C8"/>
    <w:rsid w:val="00BD7BC5"/>
    <w:rsid w:val="00BE132F"/>
    <w:rsid w:val="00BE21E0"/>
    <w:rsid w:val="00BE4C09"/>
    <w:rsid w:val="00BE6BCC"/>
    <w:rsid w:val="00BF1916"/>
    <w:rsid w:val="00BF1E6A"/>
    <w:rsid w:val="00BF2246"/>
    <w:rsid w:val="00BF4CFF"/>
    <w:rsid w:val="00C00CAE"/>
    <w:rsid w:val="00C01138"/>
    <w:rsid w:val="00C011F2"/>
    <w:rsid w:val="00C066A2"/>
    <w:rsid w:val="00C079E2"/>
    <w:rsid w:val="00C1049F"/>
    <w:rsid w:val="00C1185E"/>
    <w:rsid w:val="00C13F71"/>
    <w:rsid w:val="00C16B3F"/>
    <w:rsid w:val="00C17705"/>
    <w:rsid w:val="00C23807"/>
    <w:rsid w:val="00C26117"/>
    <w:rsid w:val="00C33E9B"/>
    <w:rsid w:val="00C33F65"/>
    <w:rsid w:val="00C41BCE"/>
    <w:rsid w:val="00C4667C"/>
    <w:rsid w:val="00C54059"/>
    <w:rsid w:val="00C63CE0"/>
    <w:rsid w:val="00C661B1"/>
    <w:rsid w:val="00C72F14"/>
    <w:rsid w:val="00C74A72"/>
    <w:rsid w:val="00C76B8E"/>
    <w:rsid w:val="00C81723"/>
    <w:rsid w:val="00C827E4"/>
    <w:rsid w:val="00C8374A"/>
    <w:rsid w:val="00C90E59"/>
    <w:rsid w:val="00C91312"/>
    <w:rsid w:val="00C92169"/>
    <w:rsid w:val="00C92728"/>
    <w:rsid w:val="00C930E9"/>
    <w:rsid w:val="00C94423"/>
    <w:rsid w:val="00C97D86"/>
    <w:rsid w:val="00CA18D4"/>
    <w:rsid w:val="00CA2361"/>
    <w:rsid w:val="00CA6867"/>
    <w:rsid w:val="00CB032D"/>
    <w:rsid w:val="00CB0B8D"/>
    <w:rsid w:val="00CB282B"/>
    <w:rsid w:val="00CC2F72"/>
    <w:rsid w:val="00CD2515"/>
    <w:rsid w:val="00CD58BC"/>
    <w:rsid w:val="00CD5F86"/>
    <w:rsid w:val="00CD735E"/>
    <w:rsid w:val="00CE0E3C"/>
    <w:rsid w:val="00CE7522"/>
    <w:rsid w:val="00CF1B45"/>
    <w:rsid w:val="00CF24BB"/>
    <w:rsid w:val="00CF35D0"/>
    <w:rsid w:val="00CF65C8"/>
    <w:rsid w:val="00D002DD"/>
    <w:rsid w:val="00D02A49"/>
    <w:rsid w:val="00D0428C"/>
    <w:rsid w:val="00D0596C"/>
    <w:rsid w:val="00D06CD3"/>
    <w:rsid w:val="00D07C9C"/>
    <w:rsid w:val="00D157E0"/>
    <w:rsid w:val="00D15853"/>
    <w:rsid w:val="00D222F6"/>
    <w:rsid w:val="00D22ADE"/>
    <w:rsid w:val="00D258B0"/>
    <w:rsid w:val="00D33693"/>
    <w:rsid w:val="00D353B4"/>
    <w:rsid w:val="00D3724E"/>
    <w:rsid w:val="00D378F2"/>
    <w:rsid w:val="00D37D75"/>
    <w:rsid w:val="00D40C65"/>
    <w:rsid w:val="00D42352"/>
    <w:rsid w:val="00D50DFB"/>
    <w:rsid w:val="00D51E0B"/>
    <w:rsid w:val="00D5254D"/>
    <w:rsid w:val="00D560A1"/>
    <w:rsid w:val="00D56D74"/>
    <w:rsid w:val="00D64DAA"/>
    <w:rsid w:val="00D67859"/>
    <w:rsid w:val="00D67B95"/>
    <w:rsid w:val="00D727E5"/>
    <w:rsid w:val="00D756A5"/>
    <w:rsid w:val="00D757E7"/>
    <w:rsid w:val="00D75E8D"/>
    <w:rsid w:val="00D8030B"/>
    <w:rsid w:val="00D90BA9"/>
    <w:rsid w:val="00D91634"/>
    <w:rsid w:val="00D91B16"/>
    <w:rsid w:val="00D92B67"/>
    <w:rsid w:val="00D93941"/>
    <w:rsid w:val="00D94FC2"/>
    <w:rsid w:val="00D96983"/>
    <w:rsid w:val="00DA04B9"/>
    <w:rsid w:val="00DA6CD7"/>
    <w:rsid w:val="00DB1094"/>
    <w:rsid w:val="00DB2655"/>
    <w:rsid w:val="00DB75B5"/>
    <w:rsid w:val="00DC309A"/>
    <w:rsid w:val="00DC4D0F"/>
    <w:rsid w:val="00DC7394"/>
    <w:rsid w:val="00DD15FB"/>
    <w:rsid w:val="00DD2C92"/>
    <w:rsid w:val="00DD3052"/>
    <w:rsid w:val="00DD4325"/>
    <w:rsid w:val="00DD4A48"/>
    <w:rsid w:val="00DD4CDF"/>
    <w:rsid w:val="00DD5839"/>
    <w:rsid w:val="00DD6F5D"/>
    <w:rsid w:val="00DD7282"/>
    <w:rsid w:val="00DE154B"/>
    <w:rsid w:val="00DE1BEE"/>
    <w:rsid w:val="00DE355B"/>
    <w:rsid w:val="00DE35F1"/>
    <w:rsid w:val="00DE3C95"/>
    <w:rsid w:val="00DE45F7"/>
    <w:rsid w:val="00DE49BE"/>
    <w:rsid w:val="00DE5E69"/>
    <w:rsid w:val="00DF0C94"/>
    <w:rsid w:val="00DF0D24"/>
    <w:rsid w:val="00DF1ADA"/>
    <w:rsid w:val="00DF2C6C"/>
    <w:rsid w:val="00DF3B46"/>
    <w:rsid w:val="00DF4CC2"/>
    <w:rsid w:val="00DF53D0"/>
    <w:rsid w:val="00DF709F"/>
    <w:rsid w:val="00DF7F94"/>
    <w:rsid w:val="00E023C5"/>
    <w:rsid w:val="00E03A22"/>
    <w:rsid w:val="00E042DA"/>
    <w:rsid w:val="00E0464B"/>
    <w:rsid w:val="00E124C2"/>
    <w:rsid w:val="00E14AF5"/>
    <w:rsid w:val="00E233E8"/>
    <w:rsid w:val="00E2371D"/>
    <w:rsid w:val="00E246EE"/>
    <w:rsid w:val="00E24C0A"/>
    <w:rsid w:val="00E3144E"/>
    <w:rsid w:val="00E339F1"/>
    <w:rsid w:val="00E358F1"/>
    <w:rsid w:val="00E359DA"/>
    <w:rsid w:val="00E375B1"/>
    <w:rsid w:val="00E40AE6"/>
    <w:rsid w:val="00E40E0A"/>
    <w:rsid w:val="00E410F8"/>
    <w:rsid w:val="00E42C7D"/>
    <w:rsid w:val="00E4310B"/>
    <w:rsid w:val="00E445D1"/>
    <w:rsid w:val="00E475F5"/>
    <w:rsid w:val="00E47776"/>
    <w:rsid w:val="00E51BEC"/>
    <w:rsid w:val="00E54C98"/>
    <w:rsid w:val="00E57EEB"/>
    <w:rsid w:val="00E72216"/>
    <w:rsid w:val="00E733B7"/>
    <w:rsid w:val="00E76EFB"/>
    <w:rsid w:val="00E8106A"/>
    <w:rsid w:val="00E84E06"/>
    <w:rsid w:val="00E95E36"/>
    <w:rsid w:val="00EA294B"/>
    <w:rsid w:val="00EA50C1"/>
    <w:rsid w:val="00EA57F0"/>
    <w:rsid w:val="00EB2E47"/>
    <w:rsid w:val="00EC06EF"/>
    <w:rsid w:val="00EC12B7"/>
    <w:rsid w:val="00EC6B7C"/>
    <w:rsid w:val="00ED3973"/>
    <w:rsid w:val="00ED7AA7"/>
    <w:rsid w:val="00ED7B1E"/>
    <w:rsid w:val="00EE0353"/>
    <w:rsid w:val="00EE08F4"/>
    <w:rsid w:val="00EE16EA"/>
    <w:rsid w:val="00EE2416"/>
    <w:rsid w:val="00EF086E"/>
    <w:rsid w:val="00EF3007"/>
    <w:rsid w:val="00EF3935"/>
    <w:rsid w:val="00EF5314"/>
    <w:rsid w:val="00EF7D00"/>
    <w:rsid w:val="00F02421"/>
    <w:rsid w:val="00F045F8"/>
    <w:rsid w:val="00F068FC"/>
    <w:rsid w:val="00F101CF"/>
    <w:rsid w:val="00F10D19"/>
    <w:rsid w:val="00F13736"/>
    <w:rsid w:val="00F149C4"/>
    <w:rsid w:val="00F15077"/>
    <w:rsid w:val="00F2178F"/>
    <w:rsid w:val="00F25A83"/>
    <w:rsid w:val="00F26580"/>
    <w:rsid w:val="00F267B8"/>
    <w:rsid w:val="00F3036B"/>
    <w:rsid w:val="00F3479D"/>
    <w:rsid w:val="00F3528A"/>
    <w:rsid w:val="00F35ED0"/>
    <w:rsid w:val="00F37649"/>
    <w:rsid w:val="00F4093E"/>
    <w:rsid w:val="00F429ED"/>
    <w:rsid w:val="00F43DBF"/>
    <w:rsid w:val="00F45472"/>
    <w:rsid w:val="00F46571"/>
    <w:rsid w:val="00F4702A"/>
    <w:rsid w:val="00F507B9"/>
    <w:rsid w:val="00F5252D"/>
    <w:rsid w:val="00F555C0"/>
    <w:rsid w:val="00F565AB"/>
    <w:rsid w:val="00F61BB7"/>
    <w:rsid w:val="00F6296B"/>
    <w:rsid w:val="00F6561F"/>
    <w:rsid w:val="00F67373"/>
    <w:rsid w:val="00F71C6A"/>
    <w:rsid w:val="00F72136"/>
    <w:rsid w:val="00F72BB1"/>
    <w:rsid w:val="00F73355"/>
    <w:rsid w:val="00F73C44"/>
    <w:rsid w:val="00F763D6"/>
    <w:rsid w:val="00F77507"/>
    <w:rsid w:val="00F8073C"/>
    <w:rsid w:val="00F81F29"/>
    <w:rsid w:val="00F83C6A"/>
    <w:rsid w:val="00F9181F"/>
    <w:rsid w:val="00F929D5"/>
    <w:rsid w:val="00F9428B"/>
    <w:rsid w:val="00FA05B9"/>
    <w:rsid w:val="00FA3B8B"/>
    <w:rsid w:val="00FB1F57"/>
    <w:rsid w:val="00FB241B"/>
    <w:rsid w:val="00FB364D"/>
    <w:rsid w:val="00FB3A8B"/>
    <w:rsid w:val="00FB5677"/>
    <w:rsid w:val="00FC3598"/>
    <w:rsid w:val="00FC61CB"/>
    <w:rsid w:val="00FD6634"/>
    <w:rsid w:val="00FE0569"/>
    <w:rsid w:val="00FE1383"/>
    <w:rsid w:val="00FE2A1F"/>
    <w:rsid w:val="00FE4D70"/>
    <w:rsid w:val="00FE6191"/>
    <w:rsid w:val="00FF07C5"/>
    <w:rsid w:val="00FF1292"/>
    <w:rsid w:val="00FF1D20"/>
    <w:rsid w:val="00FF2BD2"/>
    <w:rsid w:val="00FF6D45"/>
    <w:rsid w:val="00FF702F"/>
    <w:rsid w:val="01201D17"/>
    <w:rsid w:val="014E2256"/>
    <w:rsid w:val="03323773"/>
    <w:rsid w:val="03767EB5"/>
    <w:rsid w:val="038D1535"/>
    <w:rsid w:val="03E6407F"/>
    <w:rsid w:val="04E5462B"/>
    <w:rsid w:val="04E9291D"/>
    <w:rsid w:val="051D0528"/>
    <w:rsid w:val="063F3643"/>
    <w:rsid w:val="06B82C29"/>
    <w:rsid w:val="070677A2"/>
    <w:rsid w:val="07076820"/>
    <w:rsid w:val="075D1C34"/>
    <w:rsid w:val="090D6632"/>
    <w:rsid w:val="0A283ED3"/>
    <w:rsid w:val="0A476BF9"/>
    <w:rsid w:val="0C3E5F1C"/>
    <w:rsid w:val="0C5D5081"/>
    <w:rsid w:val="0F0F7410"/>
    <w:rsid w:val="0FDD12BC"/>
    <w:rsid w:val="105C0E9C"/>
    <w:rsid w:val="107A6397"/>
    <w:rsid w:val="11A245C9"/>
    <w:rsid w:val="12323B41"/>
    <w:rsid w:val="129D0C3C"/>
    <w:rsid w:val="12F867E5"/>
    <w:rsid w:val="140E7292"/>
    <w:rsid w:val="14760003"/>
    <w:rsid w:val="14AD608B"/>
    <w:rsid w:val="16936C78"/>
    <w:rsid w:val="16DF43FD"/>
    <w:rsid w:val="17613FC5"/>
    <w:rsid w:val="181E1CFC"/>
    <w:rsid w:val="18CC0A12"/>
    <w:rsid w:val="19255746"/>
    <w:rsid w:val="1BE23189"/>
    <w:rsid w:val="1E297E7C"/>
    <w:rsid w:val="1E2B71DE"/>
    <w:rsid w:val="1E635500"/>
    <w:rsid w:val="2180267D"/>
    <w:rsid w:val="22BC7ED8"/>
    <w:rsid w:val="23670E16"/>
    <w:rsid w:val="23DA231E"/>
    <w:rsid w:val="23E36CB0"/>
    <w:rsid w:val="25056A23"/>
    <w:rsid w:val="2521096C"/>
    <w:rsid w:val="25FE1F57"/>
    <w:rsid w:val="268F3578"/>
    <w:rsid w:val="269D7CD8"/>
    <w:rsid w:val="27532138"/>
    <w:rsid w:val="278C196B"/>
    <w:rsid w:val="28FB7A3D"/>
    <w:rsid w:val="29D47BDA"/>
    <w:rsid w:val="2A0A64AC"/>
    <w:rsid w:val="2AA73E6A"/>
    <w:rsid w:val="2B3F79D3"/>
    <w:rsid w:val="2D327631"/>
    <w:rsid w:val="2D7D5A9E"/>
    <w:rsid w:val="30D06622"/>
    <w:rsid w:val="31EB2EA2"/>
    <w:rsid w:val="31EF72C7"/>
    <w:rsid w:val="32FB63CD"/>
    <w:rsid w:val="3346071F"/>
    <w:rsid w:val="33E854CD"/>
    <w:rsid w:val="34515C51"/>
    <w:rsid w:val="353E0868"/>
    <w:rsid w:val="357D5FD6"/>
    <w:rsid w:val="371C4AF9"/>
    <w:rsid w:val="373056A1"/>
    <w:rsid w:val="37734130"/>
    <w:rsid w:val="37A86F97"/>
    <w:rsid w:val="37BB2F32"/>
    <w:rsid w:val="38CF04B2"/>
    <w:rsid w:val="3B6778B0"/>
    <w:rsid w:val="3BD51026"/>
    <w:rsid w:val="3CB5496A"/>
    <w:rsid w:val="3D0D152A"/>
    <w:rsid w:val="3D232155"/>
    <w:rsid w:val="3E3C3120"/>
    <w:rsid w:val="3EE7052F"/>
    <w:rsid w:val="3F633B4D"/>
    <w:rsid w:val="3F6953E5"/>
    <w:rsid w:val="401851E4"/>
    <w:rsid w:val="41095EB9"/>
    <w:rsid w:val="41341D84"/>
    <w:rsid w:val="41F540C0"/>
    <w:rsid w:val="42877F96"/>
    <w:rsid w:val="428E4877"/>
    <w:rsid w:val="43E77A38"/>
    <w:rsid w:val="43EC2415"/>
    <w:rsid w:val="441804C3"/>
    <w:rsid w:val="446A514E"/>
    <w:rsid w:val="45951EF6"/>
    <w:rsid w:val="463351B6"/>
    <w:rsid w:val="46C50389"/>
    <w:rsid w:val="47E06B4D"/>
    <w:rsid w:val="486A5EB9"/>
    <w:rsid w:val="488501C8"/>
    <w:rsid w:val="495C0A9C"/>
    <w:rsid w:val="4B3A5E39"/>
    <w:rsid w:val="4C885228"/>
    <w:rsid w:val="4DF1059C"/>
    <w:rsid w:val="4E2118E3"/>
    <w:rsid w:val="4EB33021"/>
    <w:rsid w:val="4F7115F1"/>
    <w:rsid w:val="50CA5036"/>
    <w:rsid w:val="53BA1CB2"/>
    <w:rsid w:val="53D625BF"/>
    <w:rsid w:val="543A7A5D"/>
    <w:rsid w:val="54496605"/>
    <w:rsid w:val="55266B59"/>
    <w:rsid w:val="56270168"/>
    <w:rsid w:val="56450519"/>
    <w:rsid w:val="572E6AA7"/>
    <w:rsid w:val="579B2074"/>
    <w:rsid w:val="57B00A2F"/>
    <w:rsid w:val="585A16BE"/>
    <w:rsid w:val="58E25576"/>
    <w:rsid w:val="5A063D7A"/>
    <w:rsid w:val="5A1C28A5"/>
    <w:rsid w:val="5B8C0195"/>
    <w:rsid w:val="5C827AAB"/>
    <w:rsid w:val="5C9F493E"/>
    <w:rsid w:val="5E607BFD"/>
    <w:rsid w:val="5F4E4A48"/>
    <w:rsid w:val="5FB40562"/>
    <w:rsid w:val="60771CEC"/>
    <w:rsid w:val="61F0459C"/>
    <w:rsid w:val="6220576C"/>
    <w:rsid w:val="64632B14"/>
    <w:rsid w:val="66300ABC"/>
    <w:rsid w:val="667E3989"/>
    <w:rsid w:val="699848FB"/>
    <w:rsid w:val="6C55790A"/>
    <w:rsid w:val="6DA856A8"/>
    <w:rsid w:val="6DFA0AEE"/>
    <w:rsid w:val="702A28D7"/>
    <w:rsid w:val="703F46DD"/>
    <w:rsid w:val="71BE0A10"/>
    <w:rsid w:val="73005551"/>
    <w:rsid w:val="74846FFC"/>
    <w:rsid w:val="75355108"/>
    <w:rsid w:val="7608131E"/>
    <w:rsid w:val="76C53359"/>
    <w:rsid w:val="771C243F"/>
    <w:rsid w:val="779A1029"/>
    <w:rsid w:val="78536B10"/>
    <w:rsid w:val="7A107B2C"/>
    <w:rsid w:val="7A6E5401"/>
    <w:rsid w:val="7C99506C"/>
    <w:rsid w:val="7CD2235D"/>
    <w:rsid w:val="7D1A55D2"/>
    <w:rsid w:val="7E171E3C"/>
    <w:rsid w:val="7EC64656"/>
    <w:rsid w:val="7F3C7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0" w:name="table of figures"/>
    <w:lsdException w:uiPriority="99" w:name="envelope address"/>
    <w:lsdException w:uiPriority="99" w:name="envelope return"/>
    <w:lsdException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1"/>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42"/>
    <w:autoRedefine/>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43"/>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4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45"/>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4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4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0">
    <w:name w:val="Normal Indent"/>
    <w:basedOn w:val="1"/>
    <w:autoRedefine/>
    <w:qFormat/>
    <w:uiPriority w:val="0"/>
    <w:pPr>
      <w:widowControl/>
      <w:ind w:firstLine="420"/>
      <w:jc w:val="left"/>
    </w:pPr>
    <w:rPr>
      <w:kern w:val="0"/>
      <w:sz w:val="20"/>
      <w:szCs w:val="20"/>
    </w:rPr>
  </w:style>
  <w:style w:type="paragraph" w:styleId="11">
    <w:name w:val="Document Map"/>
    <w:basedOn w:val="1"/>
    <w:link w:val="51"/>
    <w:autoRedefine/>
    <w:qFormat/>
    <w:uiPriority w:val="0"/>
    <w:pPr>
      <w:shd w:val="clear" w:color="auto" w:fill="000080"/>
    </w:pPr>
    <w:rPr>
      <w:kern w:val="0"/>
      <w:sz w:val="20"/>
    </w:rPr>
  </w:style>
  <w:style w:type="paragraph" w:styleId="12">
    <w:name w:val="annotation text"/>
    <w:basedOn w:val="1"/>
    <w:link w:val="52"/>
    <w:autoRedefine/>
    <w:unhideWhenUsed/>
    <w:qFormat/>
    <w:uiPriority w:val="0"/>
    <w:pPr>
      <w:jc w:val="left"/>
    </w:pPr>
    <w:rPr>
      <w:kern w:val="0"/>
      <w:sz w:val="20"/>
    </w:rPr>
  </w:style>
  <w:style w:type="paragraph" w:styleId="13">
    <w:name w:val="Body Text 3"/>
    <w:basedOn w:val="1"/>
    <w:link w:val="59"/>
    <w:autoRedefine/>
    <w:qFormat/>
    <w:uiPriority w:val="0"/>
    <w:rPr>
      <w:rFonts w:ascii="宋体"/>
      <w:kern w:val="0"/>
      <w:sz w:val="24"/>
      <w:szCs w:val="20"/>
    </w:rPr>
  </w:style>
  <w:style w:type="paragraph" w:styleId="14">
    <w:name w:val="Body Text"/>
    <w:basedOn w:val="1"/>
    <w:next w:val="15"/>
    <w:link w:val="60"/>
    <w:autoRedefine/>
    <w:qFormat/>
    <w:uiPriority w:val="0"/>
    <w:pPr>
      <w:spacing w:after="120"/>
    </w:pPr>
    <w:rPr>
      <w:kern w:val="0"/>
      <w:sz w:val="20"/>
    </w:rPr>
  </w:style>
  <w:style w:type="paragraph" w:customStyle="1" w:styleId="1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Body Text Indent"/>
    <w:basedOn w:val="1"/>
    <w:next w:val="1"/>
    <w:link w:val="55"/>
    <w:autoRedefine/>
    <w:qFormat/>
    <w:uiPriority w:val="0"/>
    <w:pPr>
      <w:spacing w:after="120"/>
      <w:ind w:left="420" w:leftChars="200"/>
    </w:pPr>
    <w:rPr>
      <w:kern w:val="0"/>
      <w:sz w:val="20"/>
    </w:rPr>
  </w:style>
  <w:style w:type="paragraph" w:styleId="17">
    <w:name w:val="toc 3"/>
    <w:basedOn w:val="1"/>
    <w:next w:val="1"/>
    <w:autoRedefine/>
    <w:qFormat/>
    <w:uiPriority w:val="0"/>
    <w:pPr>
      <w:ind w:left="420"/>
      <w:jc w:val="left"/>
    </w:pPr>
    <w:rPr>
      <w:i/>
      <w:iCs/>
      <w:sz w:val="20"/>
      <w:szCs w:val="20"/>
    </w:rPr>
  </w:style>
  <w:style w:type="paragraph" w:styleId="18">
    <w:name w:val="Plain Text"/>
    <w:basedOn w:val="1"/>
    <w:next w:val="1"/>
    <w:link w:val="62"/>
    <w:autoRedefine/>
    <w:qFormat/>
    <w:uiPriority w:val="0"/>
    <w:rPr>
      <w:rFonts w:ascii="Courier New" w:hAnsi="Courier New"/>
      <w:kern w:val="0"/>
      <w:sz w:val="20"/>
      <w:szCs w:val="20"/>
    </w:rPr>
  </w:style>
  <w:style w:type="paragraph" w:styleId="19">
    <w:name w:val="Date"/>
    <w:basedOn w:val="1"/>
    <w:next w:val="1"/>
    <w:link w:val="49"/>
    <w:autoRedefine/>
    <w:qFormat/>
    <w:uiPriority w:val="0"/>
    <w:rPr>
      <w:kern w:val="0"/>
      <w:sz w:val="24"/>
      <w:szCs w:val="20"/>
    </w:rPr>
  </w:style>
  <w:style w:type="paragraph" w:styleId="20">
    <w:name w:val="Balloon Text"/>
    <w:basedOn w:val="1"/>
    <w:link w:val="57"/>
    <w:autoRedefine/>
    <w:qFormat/>
    <w:uiPriority w:val="0"/>
    <w:rPr>
      <w:kern w:val="0"/>
      <w:sz w:val="18"/>
      <w:szCs w:val="18"/>
    </w:rPr>
  </w:style>
  <w:style w:type="paragraph" w:styleId="21">
    <w:name w:val="footer"/>
    <w:basedOn w:val="1"/>
    <w:link w:val="54"/>
    <w:autoRedefine/>
    <w:qFormat/>
    <w:uiPriority w:val="0"/>
    <w:pPr>
      <w:tabs>
        <w:tab w:val="center" w:pos="4153"/>
        <w:tab w:val="right" w:pos="8306"/>
      </w:tabs>
      <w:snapToGrid w:val="0"/>
      <w:jc w:val="left"/>
    </w:pPr>
    <w:rPr>
      <w:kern w:val="0"/>
      <w:sz w:val="18"/>
      <w:szCs w:val="18"/>
    </w:rPr>
  </w:style>
  <w:style w:type="paragraph" w:styleId="22">
    <w:name w:val="header"/>
    <w:basedOn w:val="1"/>
    <w:next w:val="14"/>
    <w:link w:val="56"/>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0"/>
    <w:pPr>
      <w:spacing w:before="120" w:after="120"/>
      <w:jc w:val="left"/>
    </w:pPr>
    <w:rPr>
      <w:b/>
      <w:bCs/>
      <w:caps/>
      <w:sz w:val="20"/>
      <w:szCs w:val="20"/>
    </w:rPr>
  </w:style>
  <w:style w:type="paragraph" w:styleId="24">
    <w:name w:val="footnote text"/>
    <w:basedOn w:val="1"/>
    <w:link w:val="58"/>
    <w:autoRedefine/>
    <w:qFormat/>
    <w:uiPriority w:val="0"/>
    <w:rPr>
      <w:kern w:val="0"/>
      <w:sz w:val="20"/>
      <w:szCs w:val="20"/>
    </w:rPr>
  </w:style>
  <w:style w:type="paragraph" w:styleId="25">
    <w:name w:val="Body Text Indent 3"/>
    <w:basedOn w:val="1"/>
    <w:link w:val="48"/>
    <w:autoRedefine/>
    <w:qFormat/>
    <w:uiPriority w:val="0"/>
    <w:pPr>
      <w:spacing w:after="120"/>
      <w:ind w:left="420" w:leftChars="200"/>
    </w:pPr>
    <w:rPr>
      <w:kern w:val="0"/>
      <w:sz w:val="16"/>
      <w:szCs w:val="16"/>
    </w:rPr>
  </w:style>
  <w:style w:type="paragraph" w:styleId="26">
    <w:name w:val="toc 2"/>
    <w:basedOn w:val="1"/>
    <w:next w:val="1"/>
    <w:autoRedefine/>
    <w:qFormat/>
    <w:uiPriority w:val="0"/>
    <w:pPr>
      <w:ind w:left="210"/>
      <w:jc w:val="left"/>
    </w:pPr>
    <w:rPr>
      <w:smallCaps/>
      <w:sz w:val="20"/>
      <w:szCs w:val="20"/>
    </w:rPr>
  </w:style>
  <w:style w:type="paragraph" w:styleId="27">
    <w:name w:val="Body Text 2"/>
    <w:basedOn w:val="1"/>
    <w:qFormat/>
    <w:uiPriority w:val="0"/>
    <w:pPr>
      <w:spacing w:after="120" w:afterLines="0" w:line="480" w:lineRule="auto"/>
    </w:pPr>
    <w:rPr>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link w:val="5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0">
    <w:name w:val="annotation subject"/>
    <w:basedOn w:val="12"/>
    <w:next w:val="12"/>
    <w:link w:val="53"/>
    <w:autoRedefine/>
    <w:qFormat/>
    <w:uiPriority w:val="0"/>
    <w:rPr>
      <w:b/>
      <w:bCs/>
    </w:rPr>
  </w:style>
  <w:style w:type="paragraph" w:styleId="31">
    <w:name w:val="Body Text First Indent"/>
    <w:basedOn w:val="1"/>
    <w:link w:val="63"/>
    <w:autoRedefine/>
    <w:qFormat/>
    <w:uiPriority w:val="0"/>
    <w:pPr>
      <w:spacing w:line="312" w:lineRule="auto"/>
      <w:ind w:firstLine="420"/>
    </w:pPr>
    <w:rPr>
      <w:rFonts w:ascii="Calibri" w:hAnsi="Calibri"/>
    </w:rPr>
  </w:style>
  <w:style w:type="paragraph" w:styleId="32">
    <w:name w:val="Body Text First Indent 2"/>
    <w:basedOn w:val="16"/>
    <w:next w:val="1"/>
    <w:autoRedefine/>
    <w:qFormat/>
    <w:uiPriority w:val="0"/>
    <w:pPr>
      <w:tabs>
        <w:tab w:val="left" w:pos="5580"/>
      </w:tabs>
      <w:ind w:firstLine="42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22"/>
    <w:rPr>
      <w:b/>
      <w:bCs/>
    </w:rPr>
  </w:style>
  <w:style w:type="character" w:styleId="37">
    <w:name w:val="page number"/>
    <w:basedOn w:val="35"/>
    <w:autoRedefine/>
    <w:qFormat/>
    <w:uiPriority w:val="0"/>
  </w:style>
  <w:style w:type="character" w:styleId="38">
    <w:name w:val="Hyperlink"/>
    <w:autoRedefine/>
    <w:qFormat/>
    <w:uiPriority w:val="0"/>
    <w:rPr>
      <w:color w:val="0000FF"/>
      <w:u w:val="single"/>
    </w:rPr>
  </w:style>
  <w:style w:type="character" w:styleId="39">
    <w:name w:val="annotation reference"/>
    <w:autoRedefine/>
    <w:semiHidden/>
    <w:qFormat/>
    <w:uiPriority w:val="0"/>
    <w:rPr>
      <w:sz w:val="21"/>
      <w:szCs w:val="21"/>
    </w:rPr>
  </w:style>
  <w:style w:type="character" w:customStyle="1" w:styleId="40">
    <w:name w:val="标题 1 Char"/>
    <w:link w:val="2"/>
    <w:autoRedefine/>
    <w:qFormat/>
    <w:uiPriority w:val="0"/>
    <w:rPr>
      <w:rFonts w:ascii="Times New Roman" w:hAnsi="Times New Roman" w:eastAsia="宋体" w:cs="Times New Roman"/>
      <w:b/>
      <w:bCs/>
      <w:kern w:val="44"/>
      <w:sz w:val="44"/>
      <w:szCs w:val="44"/>
    </w:rPr>
  </w:style>
  <w:style w:type="character" w:customStyle="1" w:styleId="41">
    <w:name w:val="标题 2 Char"/>
    <w:basedOn w:val="35"/>
    <w:link w:val="3"/>
    <w:autoRedefine/>
    <w:qFormat/>
    <w:uiPriority w:val="0"/>
    <w:rPr>
      <w:rFonts w:ascii="Arial" w:hAnsi="Arial" w:eastAsia="黑体" w:cs="Times New Roman"/>
      <w:b/>
      <w:bCs/>
      <w:sz w:val="32"/>
      <w:szCs w:val="32"/>
    </w:rPr>
  </w:style>
  <w:style w:type="character" w:customStyle="1" w:styleId="42">
    <w:name w:val="标题 3 Char"/>
    <w:link w:val="4"/>
    <w:autoRedefine/>
    <w:qFormat/>
    <w:uiPriority w:val="0"/>
    <w:rPr>
      <w:rFonts w:ascii="Times New Roman" w:hAnsi="Times New Roman" w:eastAsia="宋体" w:cs="Times New Roman"/>
      <w:b/>
      <w:bCs/>
      <w:sz w:val="32"/>
      <w:szCs w:val="32"/>
    </w:rPr>
  </w:style>
  <w:style w:type="character" w:customStyle="1" w:styleId="43">
    <w:name w:val="标题 4 Char"/>
    <w:link w:val="5"/>
    <w:autoRedefine/>
    <w:qFormat/>
    <w:uiPriority w:val="0"/>
    <w:rPr>
      <w:rFonts w:ascii="Arial" w:hAnsi="Arial" w:eastAsia="黑体" w:cs="Times New Roman"/>
      <w:b/>
      <w:bCs/>
      <w:sz w:val="28"/>
      <w:szCs w:val="28"/>
    </w:rPr>
  </w:style>
  <w:style w:type="character" w:customStyle="1" w:styleId="44">
    <w:name w:val="标题 6 Char"/>
    <w:link w:val="6"/>
    <w:autoRedefine/>
    <w:qFormat/>
    <w:uiPriority w:val="0"/>
    <w:rPr>
      <w:rFonts w:ascii="Arial" w:hAnsi="Arial" w:eastAsia="黑体" w:cs="Times New Roman"/>
      <w:b/>
      <w:bCs/>
      <w:kern w:val="0"/>
      <w:sz w:val="24"/>
      <w:szCs w:val="24"/>
    </w:rPr>
  </w:style>
  <w:style w:type="character" w:customStyle="1" w:styleId="45">
    <w:name w:val="标题 7 Char"/>
    <w:link w:val="7"/>
    <w:autoRedefine/>
    <w:qFormat/>
    <w:uiPriority w:val="0"/>
    <w:rPr>
      <w:rFonts w:ascii="Times New Roman" w:hAnsi="Times New Roman" w:eastAsia="宋体" w:cs="Times New Roman"/>
      <w:b/>
      <w:bCs/>
      <w:kern w:val="0"/>
      <w:sz w:val="24"/>
      <w:szCs w:val="24"/>
    </w:rPr>
  </w:style>
  <w:style w:type="character" w:customStyle="1" w:styleId="46">
    <w:name w:val="标题 8 Char"/>
    <w:link w:val="8"/>
    <w:autoRedefine/>
    <w:qFormat/>
    <w:uiPriority w:val="0"/>
    <w:rPr>
      <w:rFonts w:ascii="Arial" w:hAnsi="Arial" w:eastAsia="黑体" w:cs="Times New Roman"/>
      <w:kern w:val="0"/>
      <w:sz w:val="24"/>
      <w:szCs w:val="24"/>
    </w:rPr>
  </w:style>
  <w:style w:type="character" w:customStyle="1" w:styleId="47">
    <w:name w:val="标题 9 Char"/>
    <w:link w:val="9"/>
    <w:autoRedefine/>
    <w:qFormat/>
    <w:uiPriority w:val="0"/>
    <w:rPr>
      <w:rFonts w:ascii="Arial" w:hAnsi="Arial" w:eastAsia="黑体" w:cs="Times New Roman"/>
      <w:kern w:val="0"/>
      <w:szCs w:val="21"/>
    </w:rPr>
  </w:style>
  <w:style w:type="character" w:customStyle="1" w:styleId="48">
    <w:name w:val="正文文本缩进 3 Char"/>
    <w:link w:val="25"/>
    <w:autoRedefine/>
    <w:qFormat/>
    <w:uiPriority w:val="0"/>
    <w:rPr>
      <w:rFonts w:ascii="Times New Roman" w:hAnsi="Times New Roman" w:eastAsia="宋体" w:cs="Times New Roman"/>
      <w:sz w:val="16"/>
      <w:szCs w:val="16"/>
    </w:rPr>
  </w:style>
  <w:style w:type="character" w:customStyle="1" w:styleId="49">
    <w:name w:val="日期 Char"/>
    <w:link w:val="19"/>
    <w:autoRedefine/>
    <w:qFormat/>
    <w:uiPriority w:val="0"/>
    <w:rPr>
      <w:rFonts w:ascii="Times New Roman" w:hAnsi="Times New Roman" w:eastAsia="宋体" w:cs="Times New Roman"/>
      <w:sz w:val="24"/>
      <w:szCs w:val="20"/>
    </w:rPr>
  </w:style>
  <w:style w:type="character" w:customStyle="1" w:styleId="50">
    <w:name w:val="标题 Char"/>
    <w:link w:val="29"/>
    <w:autoRedefine/>
    <w:qFormat/>
    <w:uiPriority w:val="0"/>
    <w:rPr>
      <w:rFonts w:ascii="Arial" w:hAnsi="Arial" w:eastAsia="宋体" w:cs="Times New Roman"/>
      <w:b/>
      <w:kern w:val="0"/>
      <w:sz w:val="32"/>
      <w:szCs w:val="20"/>
    </w:rPr>
  </w:style>
  <w:style w:type="character" w:customStyle="1" w:styleId="51">
    <w:name w:val="文档结构图 Char"/>
    <w:link w:val="11"/>
    <w:autoRedefine/>
    <w:qFormat/>
    <w:uiPriority w:val="0"/>
    <w:rPr>
      <w:rFonts w:ascii="Times New Roman" w:hAnsi="Times New Roman" w:eastAsia="宋体" w:cs="Times New Roman"/>
      <w:szCs w:val="24"/>
      <w:shd w:val="clear" w:color="auto" w:fill="000080"/>
    </w:rPr>
  </w:style>
  <w:style w:type="character" w:customStyle="1" w:styleId="52">
    <w:name w:val="批注文字 Char"/>
    <w:link w:val="12"/>
    <w:autoRedefine/>
    <w:qFormat/>
    <w:uiPriority w:val="0"/>
    <w:rPr>
      <w:rFonts w:ascii="Times New Roman" w:hAnsi="Times New Roman" w:eastAsia="宋体" w:cs="Times New Roman"/>
      <w:szCs w:val="24"/>
    </w:rPr>
  </w:style>
  <w:style w:type="character" w:customStyle="1" w:styleId="53">
    <w:name w:val="批注主题 Char"/>
    <w:link w:val="30"/>
    <w:autoRedefine/>
    <w:qFormat/>
    <w:uiPriority w:val="0"/>
    <w:rPr>
      <w:rFonts w:ascii="Times New Roman" w:hAnsi="Times New Roman" w:eastAsia="宋体" w:cs="Times New Roman"/>
      <w:b/>
      <w:bCs/>
      <w:szCs w:val="24"/>
    </w:rPr>
  </w:style>
  <w:style w:type="character" w:customStyle="1" w:styleId="54">
    <w:name w:val="页脚 Char"/>
    <w:link w:val="21"/>
    <w:autoRedefine/>
    <w:qFormat/>
    <w:uiPriority w:val="0"/>
    <w:rPr>
      <w:rFonts w:ascii="Times New Roman" w:hAnsi="Times New Roman" w:eastAsia="宋体" w:cs="Times New Roman"/>
      <w:sz w:val="18"/>
      <w:szCs w:val="18"/>
    </w:rPr>
  </w:style>
  <w:style w:type="character" w:customStyle="1" w:styleId="55">
    <w:name w:val="正文文本缩进 Char"/>
    <w:link w:val="16"/>
    <w:autoRedefine/>
    <w:qFormat/>
    <w:uiPriority w:val="0"/>
    <w:rPr>
      <w:rFonts w:ascii="Times New Roman" w:hAnsi="Times New Roman" w:eastAsia="宋体" w:cs="Times New Roman"/>
      <w:szCs w:val="24"/>
    </w:rPr>
  </w:style>
  <w:style w:type="character" w:customStyle="1" w:styleId="56">
    <w:name w:val="页眉 Char"/>
    <w:link w:val="22"/>
    <w:autoRedefine/>
    <w:qFormat/>
    <w:uiPriority w:val="99"/>
    <w:rPr>
      <w:rFonts w:ascii="Times New Roman" w:hAnsi="Times New Roman" w:eastAsia="宋体" w:cs="Times New Roman"/>
      <w:sz w:val="18"/>
      <w:szCs w:val="18"/>
    </w:rPr>
  </w:style>
  <w:style w:type="character" w:customStyle="1" w:styleId="57">
    <w:name w:val="批注框文本 Char"/>
    <w:link w:val="20"/>
    <w:autoRedefine/>
    <w:qFormat/>
    <w:uiPriority w:val="0"/>
    <w:rPr>
      <w:rFonts w:ascii="Times New Roman" w:hAnsi="Times New Roman" w:eastAsia="宋体" w:cs="Times New Roman"/>
      <w:sz w:val="18"/>
      <w:szCs w:val="18"/>
    </w:rPr>
  </w:style>
  <w:style w:type="character" w:customStyle="1" w:styleId="58">
    <w:name w:val="脚注文本 Char"/>
    <w:link w:val="24"/>
    <w:autoRedefine/>
    <w:qFormat/>
    <w:uiPriority w:val="0"/>
    <w:rPr>
      <w:rFonts w:ascii="Times New Roman" w:hAnsi="Times New Roman" w:eastAsia="宋体" w:cs="Times New Roman"/>
      <w:sz w:val="20"/>
      <w:szCs w:val="20"/>
    </w:rPr>
  </w:style>
  <w:style w:type="character" w:customStyle="1" w:styleId="59">
    <w:name w:val="正文文本 3 Char"/>
    <w:link w:val="13"/>
    <w:autoRedefine/>
    <w:qFormat/>
    <w:uiPriority w:val="0"/>
    <w:rPr>
      <w:rFonts w:ascii="宋体" w:hAnsi="Times New Roman" w:eastAsia="宋体" w:cs="Times New Roman"/>
      <w:sz w:val="24"/>
      <w:szCs w:val="20"/>
    </w:rPr>
  </w:style>
  <w:style w:type="character" w:customStyle="1" w:styleId="60">
    <w:name w:val="正文文本 Char1"/>
    <w:link w:val="14"/>
    <w:autoRedefine/>
    <w:qFormat/>
    <w:uiPriority w:val="0"/>
    <w:rPr>
      <w:rFonts w:ascii="Times New Roman" w:hAnsi="Times New Roman" w:eastAsia="宋体" w:cs="Times New Roman"/>
      <w:szCs w:val="24"/>
    </w:rPr>
  </w:style>
  <w:style w:type="character" w:customStyle="1" w:styleId="61">
    <w:name w:val="正文文本 Char"/>
    <w:autoRedefine/>
    <w:qFormat/>
    <w:uiPriority w:val="0"/>
    <w:rPr>
      <w:rFonts w:ascii="Times New Roman" w:hAnsi="Times New Roman" w:eastAsia="宋体" w:cs="Times New Roman"/>
      <w:szCs w:val="24"/>
    </w:rPr>
  </w:style>
  <w:style w:type="character" w:customStyle="1" w:styleId="62">
    <w:name w:val="纯文本 Char"/>
    <w:link w:val="18"/>
    <w:autoRedefine/>
    <w:qFormat/>
    <w:uiPriority w:val="0"/>
    <w:rPr>
      <w:rFonts w:ascii="Courier New" w:hAnsi="Courier New" w:eastAsia="宋体" w:cs="Times New Roman"/>
      <w:szCs w:val="20"/>
    </w:rPr>
  </w:style>
  <w:style w:type="character" w:customStyle="1" w:styleId="63">
    <w:name w:val="正文首行缩进 Char"/>
    <w:basedOn w:val="61"/>
    <w:link w:val="31"/>
    <w:autoRedefine/>
    <w:qFormat/>
    <w:uiPriority w:val="0"/>
    <w:rPr>
      <w:rFonts w:ascii="Times New Roman" w:hAnsi="Times New Roman" w:eastAsia="宋体" w:cs="Times New Roman"/>
      <w:szCs w:val="24"/>
    </w:rPr>
  </w:style>
  <w:style w:type="paragraph" w:customStyle="1" w:styleId="64">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65">
    <w:name w:val="正文首行缩进 Char1"/>
    <w:basedOn w:val="61"/>
    <w:autoRedefine/>
    <w:qFormat/>
    <w:uiPriority w:val="0"/>
    <w:rPr>
      <w:rFonts w:ascii="Times New Roman" w:hAnsi="Times New Roman" w:eastAsia="宋体" w:cs="Times New Roman"/>
      <w:szCs w:val="24"/>
    </w:rPr>
  </w:style>
  <w:style w:type="paragraph" w:customStyle="1" w:styleId="66">
    <w:name w:val="刊登"/>
    <w:basedOn w:val="1"/>
    <w:autoRedefine/>
    <w:qFormat/>
    <w:uiPriority w:val="0"/>
    <w:pPr>
      <w:ind w:firstLine="588"/>
    </w:pPr>
    <w:rPr>
      <w:sz w:val="30"/>
    </w:rPr>
  </w:style>
  <w:style w:type="character" w:customStyle="1" w:styleId="67">
    <w:name w:val="textcontents"/>
    <w:basedOn w:val="35"/>
    <w:autoRedefine/>
    <w:qFormat/>
    <w:uiPriority w:val="0"/>
  </w:style>
  <w:style w:type="character" w:customStyle="1" w:styleId="68">
    <w:name w:val="NormalCharacter"/>
    <w:autoRedefine/>
    <w:qFormat/>
    <w:uiPriority w:val="0"/>
  </w:style>
  <w:style w:type="paragraph" w:customStyle="1" w:styleId="69">
    <w:name w:val="Heading3"/>
    <w:basedOn w:val="1"/>
    <w:next w:val="1"/>
    <w:autoRedefine/>
    <w:qFormat/>
    <w:uiPriority w:val="0"/>
    <w:pPr>
      <w:keepNext/>
      <w:keepLines/>
      <w:spacing w:before="260" w:after="260" w:line="415" w:lineRule="auto"/>
    </w:pPr>
    <w:rPr>
      <w:kern w:val="0"/>
      <w:sz w:val="32"/>
      <w:szCs w:val="32"/>
    </w:rPr>
  </w:style>
  <w:style w:type="paragraph" w:customStyle="1" w:styleId="70">
    <w:name w:val="Heading2"/>
    <w:basedOn w:val="1"/>
    <w:next w:val="1"/>
    <w:autoRedefine/>
    <w:qFormat/>
    <w:uiPriority w:val="0"/>
    <w:pPr>
      <w:keepNext/>
      <w:keepLines/>
      <w:spacing w:before="260" w:after="260" w:line="415" w:lineRule="auto"/>
    </w:pPr>
    <w:rPr>
      <w:rFonts w:ascii="Arial" w:hAnsi="Arial" w:eastAsia="黑体"/>
      <w:kern w:val="0"/>
      <w:sz w:val="32"/>
      <w:szCs w:val="32"/>
    </w:rPr>
  </w:style>
  <w:style w:type="paragraph" w:customStyle="1" w:styleId="71">
    <w:name w:val="Table Text"/>
    <w:basedOn w:val="1"/>
    <w:autoRedefine/>
    <w:semiHidden/>
    <w:qFormat/>
    <w:uiPriority w:val="0"/>
    <w:rPr>
      <w:rFonts w:ascii="宋体" w:hAnsi="宋体" w:cs="宋体"/>
      <w:szCs w:val="21"/>
      <w:lang w:eastAsia="en-US"/>
    </w:rPr>
  </w:style>
  <w:style w:type="paragraph" w:customStyle="1" w:styleId="72">
    <w:name w:val="Heading4"/>
    <w:basedOn w:val="1"/>
    <w:next w:val="1"/>
    <w:autoRedefine/>
    <w:qFormat/>
    <w:uiPriority w:val="0"/>
    <w:pPr>
      <w:keepNext/>
      <w:keepLines/>
      <w:spacing w:before="280" w:after="290" w:line="374" w:lineRule="auto"/>
    </w:pPr>
    <w:rPr>
      <w:rFonts w:ascii="Arial" w:hAnsi="Arial" w:eastAsia="黑体"/>
      <w:kern w:val="0"/>
      <w:sz w:val="28"/>
      <w:szCs w:val="28"/>
    </w:rPr>
  </w:style>
  <w:style w:type="table" w:customStyle="1" w:styleId="7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5" textRotate="1"/>
    <customShpInfo spid="_x0000_s2054"/>
    <customShpInfo spid="_x0000_s205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16997</Words>
  <Characters>18462</Characters>
  <Lines>164</Lines>
  <Paragraphs>46</Paragraphs>
  <TotalTime>20</TotalTime>
  <ScaleCrop>false</ScaleCrop>
  <LinksUpToDate>false</LinksUpToDate>
  <CharactersWithSpaces>18867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2018-03-30T03:08:00Z</dcterms:created>
  <dc:creator>Administrator</dc:creator>
  <cp:lastModifiedBy>Administrator</cp:lastModifiedBy>
  <cp:lastPrinted>2025-05-14T04:14:00Z</cp:lastPrinted>
  <dcterms:modified xsi:type="dcterms:W3CDTF">2025-06-23T07:04:56Z</dcterms:modified>
  <dc:title>项目编号：GHY2016-009</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60A25E5FB80F40CE8EEE39744ACD66DE_12</vt:lpwstr>
  </property>
  <property fmtid="{D5CDD505-2E9C-101B-9397-08002B2CF9AE}" pid="4" name="KSOTemplateDocerSaveRecord">
    <vt:lpwstr>eyJoZGlkIjoiMWFmMWJhYTMzY2FkNjBlOWE0ZTk1M2ViNDVmZTg5MTQiLCJ1c2VySWQiOiIzNzI1MjQ3MTkifQ==</vt:lpwstr>
  </property>
</Properties>
</file>