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2025年敦化市江南镇宝泉灌渠水毁修复工程</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采购计划-[2025]-00134号</w:t>
      </w:r>
      <w:r>
        <w:rPr>
          <w:rFonts w:hint="eastAsia" w:ascii="宋体" w:hAnsi="宋体" w:eastAsia="宋体" w:cs="宋体"/>
          <w:color w:val="auto"/>
          <w:spacing w:val="-13"/>
          <w:sz w:val="32"/>
          <w:szCs w:val="32"/>
          <w:highlight w:val="none"/>
          <w:lang w:val="en-US" w:eastAsia="zh-CN"/>
          <w14:textOutline w14:w="5793" w14:cap="sq" w14:cmpd="sng">
            <w14:solidFill>
              <w14:srgbClr w14:val="000000"/>
            </w14:solidFill>
            <w14:prstDash w14:val="solid"/>
            <w14:bevel/>
          </w14:textOutline>
        </w:rPr>
        <w:t>-</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 xml:space="preserve">ZMW-2025-DHZC183 </w:t>
      </w:r>
    </w:p>
    <w:p w14:paraId="0B4E0394">
      <w:pPr>
        <w:spacing w:line="245" w:lineRule="auto"/>
        <w:rPr>
          <w:rFonts w:ascii="宋体"/>
          <w:color w:val="auto"/>
          <w:sz w:val="21"/>
          <w:highlight w:val="none"/>
        </w:rPr>
      </w:pPr>
    </w:p>
    <w:p w14:paraId="3C8E083D">
      <w:pPr>
        <w:spacing w:line="245" w:lineRule="auto"/>
        <w:rPr>
          <w:rFonts w:ascii="宋体"/>
          <w:color w:val="auto"/>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敦化市江南镇人民政府（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FF0000"/>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2025年敦化市江南镇宝泉灌渠水毁修复工程</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2025年07月16日14点00分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FF0000"/>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采购计划-[2025]-00134号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ZMW-2025-DHZC183 </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2025年敦化市江南镇宝泉灌渠水毁修复工程</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人民币75.264721万元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人民币75.264721万元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2025年敦化市江南镇宝泉灌渠水毁修复工程，</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签订合同后30天内完成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w:t>
      </w:r>
      <w:r>
        <w:rPr>
          <w:rFonts w:hint="eastAsia" w:ascii="宋体" w:hAnsi="宋体" w:eastAsia="宋体" w:cs="宋体"/>
          <w:b w:val="0"/>
          <w:bCs w:val="0"/>
          <w:color w:val="auto"/>
          <w:sz w:val="21"/>
          <w:szCs w:val="21"/>
          <w:highlight w:val="none"/>
          <w:lang w:val="en-US" w:eastAsia="zh-CN"/>
        </w:rPr>
        <w:t>全部</w:t>
      </w:r>
      <w:r>
        <w:rPr>
          <w:rFonts w:hint="eastAsia" w:ascii="宋体" w:hAnsi="宋体" w:eastAsia="宋体" w:cs="宋体"/>
          <w:b w:val="0"/>
          <w:bCs w:val="0"/>
          <w:color w:val="auto"/>
          <w:sz w:val="21"/>
          <w:szCs w:val="21"/>
          <w:highlight w:val="none"/>
          <w:lang w:eastAsia="zh-CN"/>
        </w:rPr>
        <w:t>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水利水电工程施工总承包二级（含二级）及以上资质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水利水电工程专业二级（含）及以上</w:t>
      </w:r>
      <w:r>
        <w:rPr>
          <w:rFonts w:hint="eastAsia" w:ascii="宋体" w:hAnsi="宋体" w:eastAsia="宋体" w:cs="宋体"/>
          <w:color w:val="auto"/>
          <w:sz w:val="21"/>
          <w:szCs w:val="21"/>
          <w:highlight w:val="none"/>
        </w:rPr>
        <w:t>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1、时间：2025年07月04日至2025年07月10</w:t>
      </w:r>
      <w:bookmarkStart w:id="86" w:name="_GoBack"/>
      <w:bookmarkEnd w:id="86"/>
      <w:r>
        <w:rPr>
          <w:rFonts w:hint="eastAsia" w:ascii="宋体" w:hAnsi="宋体" w:eastAsia="宋体" w:cs="宋体"/>
          <w:color w:val="auto"/>
          <w:sz w:val="21"/>
          <w:szCs w:val="21"/>
          <w:highlight w:val="none"/>
          <w:lang w:val="en-US" w:eastAsia="zh-CN"/>
        </w:rPr>
        <w:t>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16</w:t>
      </w:r>
      <w:r>
        <w:rPr>
          <w:rFonts w:hint="eastAsia"/>
          <w:color w:val="auto"/>
          <w:highlight w:val="none"/>
        </w:rPr>
        <w:t>日</w:t>
      </w:r>
      <w:r>
        <w:rPr>
          <w:rFonts w:hint="eastAsia" w:eastAsia="宋体"/>
          <w:color w:val="auto"/>
          <w:highlight w:val="none"/>
          <w:lang w:val="en-US" w:eastAsia="zh-CN"/>
        </w:rPr>
        <w:t>14</w:t>
      </w:r>
      <w:r>
        <w:rPr>
          <w:rFonts w:hint="eastAsia"/>
          <w:color w:val="auto"/>
          <w:highlight w:val="none"/>
        </w:rPr>
        <w:t>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敦化市江南镇人民政府</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邱明星</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0433-6265022</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6D89AF48">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采购人：敦化市江南镇人民政府</w:t>
            </w:r>
          </w:p>
          <w:p w14:paraId="492E32C8">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w:t>
            </w:r>
          </w:p>
          <w:p w14:paraId="144FD00C">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邱明星</w:t>
            </w:r>
          </w:p>
          <w:p w14:paraId="6548468C">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0433-6265022</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2025年敦化市江南镇宝泉灌渠水毁修复工程</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采购计划-[2025]-00134号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ZMW-2025-DHZC183 </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184" w:lineRule="auto"/>
              <w:ind w:firstLine="141"/>
              <w:rPr>
                <w:rFonts w:hint="eastAsia" w:ascii="宋体" w:hAnsi="宋体" w:eastAsia="宋体" w:cs="宋体"/>
                <w:color w:val="auto"/>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2025年敦化市江南镇宝泉灌渠水毁修复工程（</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签订合同后30天内完成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w:t>
            </w:r>
            <w:r>
              <w:rPr>
                <w:rFonts w:hint="eastAsia" w:ascii="宋体" w:hAnsi="宋体" w:eastAsia="宋体" w:cs="宋体"/>
                <w:b w:val="0"/>
                <w:bCs w:val="0"/>
                <w:color w:val="auto"/>
                <w:sz w:val="21"/>
                <w:szCs w:val="21"/>
                <w:highlight w:val="none"/>
                <w:lang w:val="en-US" w:eastAsia="zh-CN"/>
              </w:rPr>
              <w:t>全部</w:t>
            </w:r>
            <w:r>
              <w:rPr>
                <w:rFonts w:hint="eastAsia" w:ascii="宋体" w:hAnsi="宋体" w:eastAsia="宋体" w:cs="宋体"/>
                <w:b w:val="0"/>
                <w:bCs w:val="0"/>
                <w:color w:val="auto"/>
                <w:sz w:val="21"/>
                <w:szCs w:val="21"/>
                <w:highlight w:val="none"/>
                <w:lang w:eastAsia="zh-CN"/>
              </w:rPr>
              <w:t>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水利水电工程施工总承包二级（含二级）及以上资质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水利水电工程专业二级（含）及以上</w:t>
            </w:r>
            <w:r>
              <w:rPr>
                <w:rFonts w:hint="eastAsia" w:ascii="宋体" w:hAnsi="宋体" w:eastAsia="宋体" w:cs="宋体"/>
                <w:color w:val="auto"/>
                <w:sz w:val="21"/>
                <w:szCs w:val="21"/>
                <w:highlight w:val="none"/>
              </w:rPr>
              <w:t>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7000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75.264721万元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rPr>
              <w:t>合同</w:t>
            </w:r>
          </w:p>
        </w:tc>
      </w:tr>
      <w:tr w14:paraId="6853C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59A62CC">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10.4</w:t>
            </w:r>
          </w:p>
        </w:tc>
        <w:tc>
          <w:tcPr>
            <w:tcW w:w="1999" w:type="dxa"/>
            <w:vAlign w:val="center"/>
          </w:tcPr>
          <w:p w14:paraId="029E4EC6">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w:t>
            </w:r>
          </w:p>
        </w:tc>
        <w:tc>
          <w:tcPr>
            <w:tcW w:w="7040" w:type="dxa"/>
            <w:vAlign w:val="center"/>
          </w:tcPr>
          <w:p w14:paraId="1E71319A">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一年</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日</w:t>
      </w:r>
    </w:p>
    <w:p w14:paraId="7033EC91">
      <w:pPr>
        <w:rPr>
          <w:color w:val="FF0000"/>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44D53F1E">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1951A01">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水利水电工程施工总承包二级（含二级）及以上资质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水利水电</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签订合同后30天内完成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FF0000"/>
          <w:sz w:val="18"/>
          <w:szCs w:val="18"/>
          <w:highlight w:val="none"/>
        </w:rPr>
      </w:pP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FF0000"/>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FF0000"/>
          <w:sz w:val="18"/>
          <w:szCs w:val="18"/>
          <w:highlight w:val="none"/>
        </w:rPr>
      </w:pPr>
      <w:r>
        <w:rPr>
          <w:rFonts w:ascii="宋体" w:hAnsi="宋体" w:eastAsia="宋体" w:cs="宋体"/>
          <w:color w:val="FF0000"/>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FF0000"/>
          <w:sz w:val="18"/>
          <w:szCs w:val="18"/>
          <w:highlight w:val="none"/>
        </w:rPr>
      </w:pPr>
      <w:r>
        <w:rPr>
          <w:rFonts w:hint="eastAsia" w:ascii="宋体" w:hAnsi="宋体" w:eastAsia="宋体" w:cs="宋体"/>
          <w:color w:val="FF0000"/>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FF0000"/>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FF0000"/>
          <w:sz w:val="18"/>
          <w:szCs w:val="18"/>
          <w:highlight w:val="none"/>
        </w:rPr>
      </w:pPr>
      <w:r>
        <w:rPr>
          <w:rFonts w:hint="eastAsia" w:ascii="宋体" w:hAnsi="宋体" w:eastAsia="宋体" w:cs="宋体"/>
          <w:color w:val="FF0000"/>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FF0000"/>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FF0000"/>
          <w:sz w:val="18"/>
          <w:szCs w:val="18"/>
          <w:highlight w:val="none"/>
        </w:rPr>
      </w:pPr>
      <w:r>
        <w:rPr>
          <w:rFonts w:hint="eastAsia" w:ascii="宋体" w:hAnsi="宋体" w:eastAsia="宋体" w:cs="宋体"/>
          <w:color w:val="FF0000"/>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FF0000"/>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FF0000"/>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color w:val="auto"/>
                <w:highlight w:val="none"/>
              </w:rPr>
            </w:pPr>
            <w:r>
              <w:rPr>
                <w:color w:val="auto"/>
                <w:highlight w:val="none"/>
              </w:rPr>
              <w:t>条款号</w:t>
            </w:r>
          </w:p>
        </w:tc>
        <w:tc>
          <w:tcPr>
            <w:tcW w:w="1869" w:type="dxa"/>
            <w:vAlign w:val="center"/>
          </w:tcPr>
          <w:p w14:paraId="0A4D631A">
            <w:pPr>
              <w:jc w:val="center"/>
              <w:rPr>
                <w:color w:val="auto"/>
                <w:highlight w:val="none"/>
              </w:rPr>
            </w:pPr>
            <w:r>
              <w:rPr>
                <w:color w:val="auto"/>
                <w:highlight w:val="none"/>
              </w:rPr>
              <w:t>条款内容</w:t>
            </w:r>
          </w:p>
        </w:tc>
        <w:tc>
          <w:tcPr>
            <w:tcW w:w="6123" w:type="dxa"/>
            <w:vAlign w:val="center"/>
          </w:tcPr>
          <w:p w14:paraId="162DAE79">
            <w:pPr>
              <w:jc w:val="center"/>
              <w:rPr>
                <w:color w:val="auto"/>
                <w:highlight w:val="none"/>
              </w:rPr>
            </w:pPr>
            <w:r>
              <w:rPr>
                <w:color w:val="auto"/>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color w:val="auto"/>
                <w:highlight w:val="none"/>
              </w:rPr>
            </w:pPr>
            <w:r>
              <w:rPr>
                <w:color w:val="auto"/>
                <w:highlight w:val="none"/>
              </w:rPr>
              <w:t>2.2.1</w:t>
            </w:r>
          </w:p>
        </w:tc>
        <w:tc>
          <w:tcPr>
            <w:tcW w:w="1869" w:type="dxa"/>
            <w:vAlign w:val="center"/>
          </w:tcPr>
          <w:p w14:paraId="16139D36">
            <w:pPr>
              <w:jc w:val="center"/>
              <w:rPr>
                <w:color w:val="auto"/>
                <w:highlight w:val="none"/>
              </w:rPr>
            </w:pPr>
            <w:r>
              <w:rPr>
                <w:color w:val="auto"/>
                <w:highlight w:val="none"/>
              </w:rPr>
              <w:t>分值构成（总分100分）</w:t>
            </w:r>
          </w:p>
        </w:tc>
        <w:tc>
          <w:tcPr>
            <w:tcW w:w="6123" w:type="dxa"/>
            <w:vAlign w:val="top"/>
          </w:tcPr>
          <w:p w14:paraId="24D3AB91">
            <w:pPr>
              <w:rPr>
                <w:color w:val="auto"/>
                <w:highlight w:val="none"/>
              </w:rPr>
            </w:pPr>
            <w:r>
              <w:rPr>
                <w:color w:val="auto"/>
                <w:highlight w:val="none"/>
              </w:rPr>
              <w:t>施工组织设计</w:t>
            </w:r>
            <w:r>
              <w:rPr>
                <w:rFonts w:hint="eastAsia" w:eastAsia="宋体"/>
                <w:color w:val="auto"/>
                <w:highlight w:val="none"/>
                <w:lang w:eastAsia="zh-CN"/>
              </w:rPr>
              <w:t>：</w:t>
            </w:r>
            <w:r>
              <w:rPr>
                <w:color w:val="auto"/>
                <w:highlight w:val="none"/>
              </w:rPr>
              <w:t>4</w:t>
            </w:r>
            <w:r>
              <w:rPr>
                <w:rFonts w:hint="eastAsia" w:eastAsia="宋体"/>
                <w:color w:val="auto"/>
                <w:highlight w:val="none"/>
                <w:lang w:val="en-US" w:eastAsia="zh-CN"/>
              </w:rPr>
              <w:t>4</w:t>
            </w:r>
            <w:r>
              <w:rPr>
                <w:color w:val="auto"/>
                <w:highlight w:val="none"/>
              </w:rPr>
              <w:t>分</w:t>
            </w:r>
          </w:p>
          <w:p w14:paraId="199977F8">
            <w:pPr>
              <w:rPr>
                <w:color w:val="auto"/>
                <w:highlight w:val="none"/>
              </w:rPr>
            </w:pPr>
            <w:r>
              <w:rPr>
                <w:color w:val="auto"/>
                <w:highlight w:val="none"/>
              </w:rPr>
              <w:t>项目管理机构：</w:t>
            </w:r>
            <w:r>
              <w:rPr>
                <w:rFonts w:hint="eastAsia" w:eastAsia="宋体"/>
                <w:color w:val="auto"/>
                <w:highlight w:val="none"/>
                <w:lang w:val="en-US" w:eastAsia="zh-CN"/>
              </w:rPr>
              <w:t>10</w:t>
            </w:r>
            <w:r>
              <w:rPr>
                <w:color w:val="auto"/>
                <w:highlight w:val="none"/>
              </w:rPr>
              <w:t>分</w:t>
            </w:r>
          </w:p>
          <w:p w14:paraId="25C8BE04">
            <w:pPr>
              <w:rPr>
                <w:color w:val="auto"/>
                <w:highlight w:val="none"/>
              </w:rPr>
            </w:pPr>
            <w:r>
              <w:rPr>
                <w:color w:val="auto"/>
                <w:highlight w:val="none"/>
              </w:rPr>
              <w:t>磋商报价：30分</w:t>
            </w:r>
          </w:p>
          <w:p w14:paraId="14358AFC">
            <w:pPr>
              <w:rPr>
                <w:color w:val="auto"/>
                <w:highlight w:val="none"/>
              </w:rPr>
            </w:pPr>
            <w:r>
              <w:rPr>
                <w:color w:val="auto"/>
                <w:highlight w:val="none"/>
              </w:rPr>
              <w:t>其他因素</w:t>
            </w:r>
            <w:r>
              <w:rPr>
                <w:rFonts w:hint="eastAsia" w:eastAsia="宋体"/>
                <w:color w:val="auto"/>
                <w:highlight w:val="none"/>
                <w:lang w:eastAsia="zh-CN"/>
              </w:rPr>
              <w:t>：</w:t>
            </w:r>
            <w:r>
              <w:rPr>
                <w:color w:val="auto"/>
                <w:highlight w:val="none"/>
              </w:rPr>
              <w:t>1</w:t>
            </w:r>
            <w:r>
              <w:rPr>
                <w:rFonts w:hint="eastAsia" w:eastAsia="宋体"/>
                <w:color w:val="auto"/>
                <w:highlight w:val="none"/>
                <w:lang w:val="en-US" w:eastAsia="zh-CN"/>
              </w:rPr>
              <w:t>6</w:t>
            </w:r>
            <w:r>
              <w:rPr>
                <w:color w:val="auto"/>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color w:val="auto"/>
                <w:highlight w:val="none"/>
              </w:rPr>
            </w:pPr>
            <w:r>
              <w:rPr>
                <w:color w:val="auto"/>
                <w:highlight w:val="none"/>
              </w:rPr>
              <w:t>2.2.2</w:t>
            </w:r>
          </w:p>
        </w:tc>
        <w:tc>
          <w:tcPr>
            <w:tcW w:w="1869" w:type="dxa"/>
            <w:vAlign w:val="center"/>
          </w:tcPr>
          <w:p w14:paraId="3220B4C7">
            <w:pPr>
              <w:jc w:val="center"/>
              <w:rPr>
                <w:color w:val="auto"/>
                <w:highlight w:val="none"/>
              </w:rPr>
            </w:pPr>
            <w:r>
              <w:rPr>
                <w:color w:val="auto"/>
                <w:highlight w:val="none"/>
              </w:rPr>
              <w:t>基准价计算方法</w:t>
            </w:r>
          </w:p>
        </w:tc>
        <w:tc>
          <w:tcPr>
            <w:tcW w:w="6123" w:type="dxa"/>
            <w:vAlign w:val="top"/>
          </w:tcPr>
          <w:p w14:paraId="7C7D9734">
            <w:pPr>
              <w:rPr>
                <w:color w:val="auto"/>
                <w:highlight w:val="none"/>
              </w:rPr>
            </w:pPr>
            <w:r>
              <w:rPr>
                <w:color w:val="auto"/>
                <w:highlight w:val="none"/>
              </w:rPr>
              <w:t>价格分统一采用低价优先法计算，即满足磋商文件要求且最</w:t>
            </w:r>
            <w:r>
              <w:rPr>
                <w:rFonts w:hint="eastAsia" w:eastAsia="宋体"/>
                <w:color w:val="auto"/>
                <w:highlight w:val="none"/>
                <w:lang w:val="en-US" w:eastAsia="zh-CN"/>
              </w:rPr>
              <w:t>终</w:t>
            </w:r>
            <w:r>
              <w:rPr>
                <w:color w:val="auto"/>
                <w:highlight w:val="none"/>
              </w:rPr>
              <w:t>报价最低的供应商的价格为磋商基准价，其价格分为满分。</w:t>
            </w:r>
          </w:p>
          <w:p w14:paraId="14C71597">
            <w:pPr>
              <w:rPr>
                <w:color w:val="auto"/>
                <w:highlight w:val="none"/>
              </w:rPr>
            </w:pPr>
            <w:r>
              <w:rPr>
                <w:color w:val="auto"/>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color w:val="auto"/>
                <w:highlight w:val="none"/>
              </w:rPr>
            </w:pPr>
            <w:r>
              <w:rPr>
                <w:color w:val="auto"/>
                <w:highlight w:val="none"/>
              </w:rPr>
              <w:t>条款号</w:t>
            </w:r>
          </w:p>
        </w:tc>
        <w:tc>
          <w:tcPr>
            <w:tcW w:w="1869" w:type="dxa"/>
            <w:vAlign w:val="center"/>
          </w:tcPr>
          <w:p w14:paraId="10B49B95">
            <w:pPr>
              <w:jc w:val="center"/>
              <w:rPr>
                <w:color w:val="auto"/>
                <w:highlight w:val="none"/>
              </w:rPr>
            </w:pPr>
            <w:r>
              <w:rPr>
                <w:color w:val="auto"/>
                <w:highlight w:val="none"/>
              </w:rPr>
              <w:t>评分因素</w:t>
            </w:r>
          </w:p>
        </w:tc>
        <w:tc>
          <w:tcPr>
            <w:tcW w:w="6123" w:type="dxa"/>
            <w:vAlign w:val="center"/>
          </w:tcPr>
          <w:p w14:paraId="537AD4EE">
            <w:pPr>
              <w:jc w:val="center"/>
              <w:rPr>
                <w:color w:val="auto"/>
                <w:highlight w:val="none"/>
              </w:rPr>
            </w:pPr>
            <w:r>
              <w:rPr>
                <w:color w:val="auto"/>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color w:val="auto"/>
                <w:highlight w:val="none"/>
              </w:rPr>
            </w:pPr>
          </w:p>
          <w:p w14:paraId="5BCE0651">
            <w:pPr>
              <w:jc w:val="both"/>
              <w:rPr>
                <w:color w:val="auto"/>
                <w:highlight w:val="none"/>
              </w:rPr>
            </w:pPr>
          </w:p>
          <w:p w14:paraId="0A569B4F">
            <w:pPr>
              <w:jc w:val="center"/>
              <w:rPr>
                <w:color w:val="auto"/>
                <w:highlight w:val="none"/>
              </w:rPr>
            </w:pPr>
            <w:r>
              <w:rPr>
                <w:color w:val="auto"/>
                <w:highlight w:val="none"/>
              </w:rPr>
              <w:t>2.2.3(1)</w:t>
            </w:r>
          </w:p>
        </w:tc>
        <w:tc>
          <w:tcPr>
            <w:tcW w:w="937" w:type="dxa"/>
            <w:vMerge w:val="restart"/>
            <w:tcBorders>
              <w:bottom w:val="nil"/>
            </w:tcBorders>
            <w:vAlign w:val="center"/>
          </w:tcPr>
          <w:p w14:paraId="3CC77A3E">
            <w:pPr>
              <w:jc w:val="both"/>
              <w:rPr>
                <w:color w:val="auto"/>
                <w:highlight w:val="none"/>
              </w:rPr>
            </w:pPr>
          </w:p>
          <w:p w14:paraId="17AE5757">
            <w:pPr>
              <w:jc w:val="center"/>
              <w:rPr>
                <w:color w:val="auto"/>
                <w:highlight w:val="none"/>
              </w:rPr>
            </w:pPr>
            <w:r>
              <w:rPr>
                <w:color w:val="auto"/>
                <w:highlight w:val="none"/>
              </w:rPr>
              <w:t>施工</w:t>
            </w:r>
          </w:p>
          <w:p w14:paraId="2256CE11">
            <w:pPr>
              <w:jc w:val="center"/>
              <w:rPr>
                <w:color w:val="auto"/>
                <w:highlight w:val="none"/>
              </w:rPr>
            </w:pPr>
            <w:r>
              <w:rPr>
                <w:color w:val="auto"/>
                <w:highlight w:val="none"/>
              </w:rPr>
              <w:t>组织</w:t>
            </w:r>
          </w:p>
          <w:p w14:paraId="6F096452">
            <w:pPr>
              <w:jc w:val="center"/>
              <w:rPr>
                <w:color w:val="auto"/>
                <w:highlight w:val="none"/>
              </w:rPr>
            </w:pPr>
            <w:r>
              <w:rPr>
                <w:color w:val="auto"/>
                <w:highlight w:val="none"/>
              </w:rPr>
              <w:t>设计</w:t>
            </w:r>
          </w:p>
          <w:p w14:paraId="71E869E1">
            <w:pPr>
              <w:jc w:val="center"/>
              <w:rPr>
                <w:color w:val="auto"/>
                <w:highlight w:val="none"/>
              </w:rPr>
            </w:pPr>
            <w:r>
              <w:rPr>
                <w:color w:val="auto"/>
                <w:highlight w:val="none"/>
              </w:rPr>
              <w:t>评分</w:t>
            </w:r>
          </w:p>
          <w:p w14:paraId="63F1A56D">
            <w:pPr>
              <w:jc w:val="center"/>
              <w:rPr>
                <w:color w:val="auto"/>
                <w:highlight w:val="none"/>
              </w:rPr>
            </w:pPr>
            <w:r>
              <w:rPr>
                <w:color w:val="auto"/>
                <w:highlight w:val="none"/>
              </w:rPr>
              <w:t>标准</w:t>
            </w:r>
          </w:p>
        </w:tc>
        <w:tc>
          <w:tcPr>
            <w:tcW w:w="1869" w:type="dxa"/>
            <w:tcBorders>
              <w:bottom w:val="nil"/>
            </w:tcBorders>
            <w:vAlign w:val="center"/>
          </w:tcPr>
          <w:p w14:paraId="1FCAE07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内容完整性和编制水平</w:t>
            </w:r>
          </w:p>
          <w:p w14:paraId="440913DA">
            <w:pPr>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center"/>
          </w:tcPr>
          <w:p w14:paraId="222BCDCA">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6EEB9E41">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6EB97870">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68A059AC">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7543A11">
            <w:pPr>
              <w:pStyle w:val="14"/>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color w:val="auto"/>
                <w:highlight w:val="none"/>
              </w:rPr>
            </w:pPr>
          </w:p>
        </w:tc>
        <w:tc>
          <w:tcPr>
            <w:tcW w:w="937" w:type="dxa"/>
            <w:vMerge w:val="continue"/>
            <w:tcBorders>
              <w:top w:val="nil"/>
              <w:bottom w:val="nil"/>
            </w:tcBorders>
            <w:vAlign w:val="center"/>
          </w:tcPr>
          <w:p w14:paraId="7DA1BFD8">
            <w:pPr>
              <w:jc w:val="center"/>
              <w:rPr>
                <w:color w:val="auto"/>
                <w:highlight w:val="none"/>
              </w:rPr>
            </w:pPr>
          </w:p>
        </w:tc>
        <w:tc>
          <w:tcPr>
            <w:tcW w:w="1869" w:type="dxa"/>
            <w:vAlign w:val="center"/>
          </w:tcPr>
          <w:p w14:paraId="46E7DA06">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施工总布置</w:t>
            </w:r>
          </w:p>
          <w:p w14:paraId="18021EFB">
            <w:pPr>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2</w:t>
            </w:r>
            <w:r>
              <w:rPr>
                <w:rFonts w:hint="eastAsia" w:ascii="宋体" w:hAnsi="宋体" w:eastAsia="宋体" w:cs="宋体"/>
                <w:bCs/>
                <w:color w:val="000000"/>
                <w:spacing w:val="-6"/>
                <w:sz w:val="21"/>
                <w:szCs w:val="21"/>
                <w:highlight w:val="none"/>
              </w:rPr>
              <w:t>分)</w:t>
            </w:r>
          </w:p>
        </w:tc>
        <w:tc>
          <w:tcPr>
            <w:tcW w:w="6123" w:type="dxa"/>
            <w:vAlign w:val="top"/>
          </w:tcPr>
          <w:p w14:paraId="3BF945FA">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根据本项目实际需求编制的施工总布置进行评审，包含但不限于以下几个方面；</w:t>
            </w:r>
          </w:p>
          <w:p w14:paraId="248A7EDA">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1、施工现场总体布置原则、要点。</w:t>
            </w:r>
          </w:p>
          <w:p w14:paraId="7FB4CD5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2、施工人员、工种（班组）、机械设备、主要材料的总体布置情况，以及布置原则、要点。</w:t>
            </w:r>
          </w:p>
          <w:p w14:paraId="26455000">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2</w:t>
            </w:r>
            <w:r>
              <w:rPr>
                <w:rStyle w:val="40"/>
                <w:rFonts w:hint="eastAsia" w:ascii="宋体" w:hAnsi="宋体" w:eastAsia="宋体" w:cs="宋体"/>
                <w:sz w:val="21"/>
                <w:szCs w:val="21"/>
                <w:highlight w:val="none"/>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color w:val="auto"/>
                <w:highlight w:val="none"/>
              </w:rPr>
            </w:pPr>
          </w:p>
        </w:tc>
        <w:tc>
          <w:tcPr>
            <w:tcW w:w="937" w:type="dxa"/>
            <w:vMerge w:val="continue"/>
            <w:tcBorders>
              <w:top w:val="nil"/>
              <w:bottom w:val="nil"/>
            </w:tcBorders>
            <w:vAlign w:val="top"/>
          </w:tcPr>
          <w:p w14:paraId="504EB7DC">
            <w:pPr>
              <w:rPr>
                <w:color w:val="auto"/>
                <w:highlight w:val="none"/>
              </w:rPr>
            </w:pPr>
          </w:p>
        </w:tc>
        <w:tc>
          <w:tcPr>
            <w:tcW w:w="1869" w:type="dxa"/>
            <w:vAlign w:val="center"/>
          </w:tcPr>
          <w:p w14:paraId="08B29B01">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施工方案与技术措施</w:t>
            </w:r>
          </w:p>
          <w:p w14:paraId="3F90EDD8">
            <w:pPr>
              <w:autoSpaceDE w:val="0"/>
              <w:autoSpaceDN w:val="0"/>
              <w:adjustRightInd w:val="0"/>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8</w:t>
            </w:r>
            <w:r>
              <w:rPr>
                <w:rFonts w:hint="eastAsia" w:ascii="宋体" w:hAnsi="宋体" w:eastAsia="宋体" w:cs="宋体"/>
                <w:bCs/>
                <w:color w:val="000000"/>
                <w:spacing w:val="-6"/>
                <w:sz w:val="21"/>
                <w:szCs w:val="21"/>
                <w:highlight w:val="none"/>
              </w:rPr>
              <w:t>分)</w:t>
            </w:r>
          </w:p>
        </w:tc>
        <w:tc>
          <w:tcPr>
            <w:tcW w:w="6123" w:type="dxa"/>
            <w:vAlign w:val="top"/>
          </w:tcPr>
          <w:p w14:paraId="779BB0E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根据本项目实际需求编制的施工方案与技术措施进行评审，包含但不限于以下几个方面；</w:t>
            </w:r>
          </w:p>
          <w:p w14:paraId="71A3EF2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1、施工方案</w:t>
            </w:r>
          </w:p>
          <w:p w14:paraId="04D2A57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2、技术措施</w:t>
            </w:r>
          </w:p>
          <w:p w14:paraId="76D3F51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3、施工工艺及流程</w:t>
            </w:r>
          </w:p>
          <w:p w14:paraId="2DB10FF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4、施工组织管理</w:t>
            </w:r>
          </w:p>
          <w:p w14:paraId="77F6560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5、施工人员管理</w:t>
            </w:r>
          </w:p>
          <w:p w14:paraId="1970F82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6、施工机械设备管理</w:t>
            </w:r>
          </w:p>
          <w:p w14:paraId="239510A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7、施工材料管理</w:t>
            </w:r>
          </w:p>
          <w:p w14:paraId="347EAF3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8、施工重点难点分析</w:t>
            </w:r>
          </w:p>
          <w:p w14:paraId="49A94AAC">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8</w:t>
            </w:r>
            <w:r>
              <w:rPr>
                <w:rStyle w:val="40"/>
                <w:rFonts w:hint="eastAsia" w:ascii="宋体" w:hAnsi="宋体" w:eastAsia="宋体" w:cs="宋体"/>
                <w:sz w:val="21"/>
                <w:szCs w:val="21"/>
                <w:highlight w:val="none"/>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color w:val="auto"/>
                <w:highlight w:val="none"/>
              </w:rPr>
            </w:pPr>
          </w:p>
        </w:tc>
        <w:tc>
          <w:tcPr>
            <w:tcW w:w="937" w:type="dxa"/>
            <w:vMerge w:val="continue"/>
            <w:tcBorders>
              <w:top w:val="nil"/>
              <w:bottom w:val="nil"/>
            </w:tcBorders>
            <w:vAlign w:val="top"/>
          </w:tcPr>
          <w:p w14:paraId="18575EAF">
            <w:pPr>
              <w:rPr>
                <w:color w:val="auto"/>
                <w:highlight w:val="none"/>
              </w:rPr>
            </w:pPr>
          </w:p>
        </w:tc>
        <w:tc>
          <w:tcPr>
            <w:tcW w:w="1869" w:type="dxa"/>
            <w:vAlign w:val="center"/>
          </w:tcPr>
          <w:p w14:paraId="4DC06BD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质量管理体系与措施</w:t>
            </w:r>
          </w:p>
          <w:p w14:paraId="51EBF557">
            <w:pPr>
              <w:autoSpaceDE w:val="0"/>
              <w:autoSpaceDN w:val="0"/>
              <w:adjustRightInd w:val="0"/>
              <w:jc w:val="center"/>
              <w:rPr>
                <w:color w:val="auto"/>
                <w:highlight w:val="none"/>
              </w:rPr>
            </w:pPr>
            <w:r>
              <w:rPr>
                <w:rFonts w:hint="eastAsia" w:ascii="宋体" w:hAnsi="宋体" w:eastAsia="宋体" w:cs="宋体"/>
                <w:bCs/>
                <w:color w:val="000000"/>
                <w:spacing w:val="-6"/>
                <w:sz w:val="21"/>
                <w:szCs w:val="21"/>
                <w:highlight w:val="none"/>
              </w:rPr>
              <w:t>(9分)</w:t>
            </w:r>
          </w:p>
        </w:tc>
        <w:tc>
          <w:tcPr>
            <w:tcW w:w="6123" w:type="dxa"/>
            <w:vAlign w:val="top"/>
          </w:tcPr>
          <w:p w14:paraId="7725843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根据本项目实际需求编制的质量管理体系与措施进行评审，包含但不限于以下几个方面；</w:t>
            </w:r>
          </w:p>
          <w:p w14:paraId="2E1B575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1、质量管理目标</w:t>
            </w:r>
          </w:p>
          <w:p w14:paraId="7E4C44F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2、质量管理体系</w:t>
            </w:r>
          </w:p>
          <w:p w14:paraId="1AE95C3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3、质量管理措施</w:t>
            </w:r>
          </w:p>
          <w:p w14:paraId="0D52E31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4、质量保证体系</w:t>
            </w:r>
          </w:p>
          <w:p w14:paraId="4B1B8FF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5、质量保证措施</w:t>
            </w:r>
          </w:p>
          <w:p w14:paraId="6F2B01F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6、施工质量控制措施</w:t>
            </w:r>
          </w:p>
          <w:p w14:paraId="3A4D4942">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7、施工技术标准控制措施</w:t>
            </w:r>
          </w:p>
          <w:p w14:paraId="6BE2BB8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8、施工质量通病防治措施</w:t>
            </w:r>
          </w:p>
          <w:p w14:paraId="73D30E6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9、施工质量检验检测标准及措施</w:t>
            </w:r>
          </w:p>
          <w:p w14:paraId="0DCE3482">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color w:val="auto"/>
                <w:highlight w:val="none"/>
              </w:rPr>
            </w:pPr>
          </w:p>
        </w:tc>
        <w:tc>
          <w:tcPr>
            <w:tcW w:w="937" w:type="dxa"/>
            <w:vMerge w:val="continue"/>
            <w:tcBorders>
              <w:top w:val="nil"/>
              <w:bottom w:val="nil"/>
            </w:tcBorders>
            <w:vAlign w:val="top"/>
          </w:tcPr>
          <w:p w14:paraId="15202D33">
            <w:pPr>
              <w:rPr>
                <w:color w:val="auto"/>
                <w:highlight w:val="none"/>
              </w:rPr>
            </w:pPr>
          </w:p>
        </w:tc>
        <w:tc>
          <w:tcPr>
            <w:tcW w:w="1869" w:type="dxa"/>
            <w:vAlign w:val="center"/>
          </w:tcPr>
          <w:p w14:paraId="7594F917">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安全管理体系与措施</w:t>
            </w:r>
          </w:p>
          <w:p w14:paraId="5B7396D4">
            <w:pPr>
              <w:autoSpaceDE w:val="0"/>
              <w:autoSpaceDN w:val="0"/>
              <w:adjustRightInd w:val="0"/>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8</w:t>
            </w:r>
            <w:r>
              <w:rPr>
                <w:rFonts w:hint="eastAsia" w:ascii="宋体" w:hAnsi="宋体" w:eastAsia="宋体" w:cs="宋体"/>
                <w:bCs/>
                <w:color w:val="000000"/>
                <w:spacing w:val="-6"/>
                <w:sz w:val="21"/>
                <w:szCs w:val="21"/>
                <w:highlight w:val="none"/>
              </w:rPr>
              <w:t>分)</w:t>
            </w:r>
          </w:p>
        </w:tc>
        <w:tc>
          <w:tcPr>
            <w:tcW w:w="6123" w:type="dxa"/>
            <w:vAlign w:val="center"/>
          </w:tcPr>
          <w:p w14:paraId="2958B10C">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根据本项目实际需求编制的安全管理体系与措施进行评审，包含但不限于以下几个方面；</w:t>
            </w:r>
          </w:p>
          <w:p w14:paraId="0C10A68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1、安全管理目标</w:t>
            </w:r>
          </w:p>
          <w:p w14:paraId="36E07531">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2、安全管理体系</w:t>
            </w:r>
          </w:p>
          <w:p w14:paraId="1461196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3、安全管理措施</w:t>
            </w:r>
          </w:p>
          <w:p w14:paraId="442035A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4、安全生产责任制</w:t>
            </w:r>
          </w:p>
          <w:p w14:paraId="78FD4F0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5、安全生产机构设置和职责</w:t>
            </w:r>
          </w:p>
          <w:p w14:paraId="7E88D38C">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6、安全管理应急救援预案</w:t>
            </w:r>
          </w:p>
          <w:p w14:paraId="3D2ACFE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7、安全施工技术措施及人员交底措施</w:t>
            </w:r>
          </w:p>
          <w:p w14:paraId="4B72E27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8、安全设施配备方案</w:t>
            </w:r>
          </w:p>
          <w:p w14:paraId="06DC1EEB">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w:t>
            </w:r>
            <w:r>
              <w:rPr>
                <w:rStyle w:val="40"/>
                <w:rFonts w:hint="eastAsia" w:ascii="宋体" w:hAnsi="宋体" w:eastAsia="宋体" w:cs="宋体"/>
                <w:sz w:val="21"/>
                <w:szCs w:val="21"/>
                <w:highlight w:val="none"/>
                <w:lang w:val="en-US" w:eastAsia="zh-CN"/>
              </w:rPr>
              <w:t>8</w:t>
            </w:r>
            <w:r>
              <w:rPr>
                <w:rStyle w:val="40"/>
                <w:rFonts w:hint="eastAsia" w:ascii="宋体" w:hAnsi="宋体" w:eastAsia="宋体" w:cs="宋体"/>
                <w:sz w:val="21"/>
                <w:szCs w:val="21"/>
                <w:highlight w:val="none"/>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color w:val="auto"/>
                <w:highlight w:val="none"/>
              </w:rPr>
            </w:pPr>
          </w:p>
        </w:tc>
        <w:tc>
          <w:tcPr>
            <w:tcW w:w="937" w:type="dxa"/>
            <w:vMerge w:val="continue"/>
            <w:tcBorders>
              <w:top w:val="nil"/>
              <w:bottom w:val="nil"/>
            </w:tcBorders>
            <w:vAlign w:val="top"/>
          </w:tcPr>
          <w:p w14:paraId="48CBC583">
            <w:pPr>
              <w:rPr>
                <w:color w:val="auto"/>
                <w:highlight w:val="none"/>
              </w:rPr>
            </w:pPr>
          </w:p>
        </w:tc>
        <w:tc>
          <w:tcPr>
            <w:tcW w:w="1869" w:type="dxa"/>
            <w:vAlign w:val="center"/>
          </w:tcPr>
          <w:p w14:paraId="7EB5109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环境保护管理体系与措施</w:t>
            </w:r>
          </w:p>
          <w:p w14:paraId="024F41CB">
            <w:pPr>
              <w:autoSpaceDE w:val="0"/>
              <w:autoSpaceDN w:val="0"/>
              <w:adjustRightInd w:val="0"/>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top"/>
          </w:tcPr>
          <w:p w14:paraId="5DBF4B1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根据本项目实际需求编制的环境保护管理体系与措施进行评审，包含但不限于以下几个方面；</w:t>
            </w:r>
          </w:p>
          <w:p w14:paraId="3AB0245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1、环境保护管理目标</w:t>
            </w:r>
          </w:p>
          <w:p w14:paraId="522441A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2、环境保护管理体系</w:t>
            </w:r>
          </w:p>
          <w:p w14:paraId="7F96D70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3、环境保护管理措施</w:t>
            </w:r>
          </w:p>
          <w:p w14:paraId="3135D8A1">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3</w:t>
            </w:r>
            <w:r>
              <w:rPr>
                <w:rStyle w:val="40"/>
                <w:rFonts w:hint="eastAsia" w:ascii="宋体" w:hAnsi="宋体" w:eastAsia="宋体" w:cs="宋体"/>
                <w:sz w:val="21"/>
                <w:szCs w:val="21"/>
                <w:highlight w:val="none"/>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color w:val="auto"/>
                <w:highlight w:val="none"/>
              </w:rPr>
            </w:pPr>
          </w:p>
        </w:tc>
        <w:tc>
          <w:tcPr>
            <w:tcW w:w="937" w:type="dxa"/>
            <w:vMerge w:val="continue"/>
            <w:tcBorders>
              <w:top w:val="nil"/>
              <w:bottom w:val="nil"/>
            </w:tcBorders>
            <w:vAlign w:val="top"/>
          </w:tcPr>
          <w:p w14:paraId="73F10F47">
            <w:pPr>
              <w:rPr>
                <w:color w:val="auto"/>
                <w:highlight w:val="none"/>
              </w:rPr>
            </w:pPr>
          </w:p>
        </w:tc>
        <w:tc>
          <w:tcPr>
            <w:tcW w:w="1869" w:type="dxa"/>
            <w:vAlign w:val="center"/>
          </w:tcPr>
          <w:p w14:paraId="0BAE89F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工程进度计划与措施</w:t>
            </w:r>
          </w:p>
          <w:p w14:paraId="1CDF5F2F">
            <w:pPr>
              <w:autoSpaceDE w:val="0"/>
              <w:autoSpaceDN w:val="0"/>
              <w:adjustRightInd w:val="0"/>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4</w:t>
            </w:r>
            <w:r>
              <w:rPr>
                <w:rFonts w:hint="eastAsia" w:ascii="宋体" w:hAnsi="宋体" w:eastAsia="宋体" w:cs="宋体"/>
                <w:bCs/>
                <w:color w:val="000000"/>
                <w:spacing w:val="-6"/>
                <w:sz w:val="21"/>
                <w:szCs w:val="21"/>
                <w:highlight w:val="none"/>
              </w:rPr>
              <w:t>分)</w:t>
            </w:r>
          </w:p>
        </w:tc>
        <w:tc>
          <w:tcPr>
            <w:tcW w:w="6123" w:type="dxa"/>
            <w:vAlign w:val="top"/>
          </w:tcPr>
          <w:p w14:paraId="096B07E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根据本项目实际需求编制的工程进度计划与措施进行评审，包含但不限于以下几个方面；</w:t>
            </w:r>
          </w:p>
          <w:p w14:paraId="6F1B536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1、工程进度计划目标</w:t>
            </w:r>
          </w:p>
          <w:p w14:paraId="50BC9E6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2、总体工程计划</w:t>
            </w:r>
          </w:p>
          <w:p w14:paraId="2DB7FC7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3、工程进度计划组织管理体系</w:t>
            </w:r>
          </w:p>
          <w:p w14:paraId="401CC5DB">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4、工程进度计划保证措施</w:t>
            </w:r>
          </w:p>
          <w:p w14:paraId="6D2C6BF9">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4</w:t>
            </w:r>
            <w:r>
              <w:rPr>
                <w:rStyle w:val="40"/>
                <w:rFonts w:hint="eastAsia" w:ascii="宋体" w:hAnsi="宋体" w:eastAsia="宋体" w:cs="宋体"/>
                <w:sz w:val="21"/>
                <w:szCs w:val="21"/>
                <w:highlight w:val="none"/>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color w:val="auto"/>
                <w:highlight w:val="none"/>
              </w:rPr>
            </w:pPr>
          </w:p>
        </w:tc>
        <w:tc>
          <w:tcPr>
            <w:tcW w:w="937" w:type="dxa"/>
            <w:vMerge w:val="continue"/>
            <w:tcBorders>
              <w:top w:val="nil"/>
              <w:bottom w:val="nil"/>
            </w:tcBorders>
            <w:vAlign w:val="top"/>
          </w:tcPr>
          <w:p w14:paraId="18983519">
            <w:pPr>
              <w:rPr>
                <w:color w:val="auto"/>
                <w:highlight w:val="none"/>
              </w:rPr>
            </w:pPr>
          </w:p>
        </w:tc>
        <w:tc>
          <w:tcPr>
            <w:tcW w:w="1869" w:type="dxa"/>
            <w:vAlign w:val="center"/>
          </w:tcPr>
          <w:p w14:paraId="1CDB9D2B">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Style w:val="40"/>
                <w:rFonts w:hint="eastAsia" w:ascii="宋体" w:hAnsi="宋体" w:eastAsia="宋体" w:cs="宋体"/>
                <w:sz w:val="21"/>
                <w:szCs w:val="21"/>
                <w:highlight w:val="none"/>
              </w:rPr>
              <w:t>资源配备计划</w:t>
            </w:r>
          </w:p>
          <w:p w14:paraId="19FC8AAD">
            <w:pPr>
              <w:jc w:val="center"/>
              <w:rPr>
                <w:color w:val="auto"/>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top"/>
          </w:tcPr>
          <w:p w14:paraId="30B48EC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根据本项目实际需求编制的资源配备计划进行评审，包含但不限于以下几个方面；</w:t>
            </w:r>
          </w:p>
          <w:p w14:paraId="365500D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1、劳动力配备计划</w:t>
            </w:r>
          </w:p>
          <w:p w14:paraId="5B26E1A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2、材料设备进场计划</w:t>
            </w:r>
          </w:p>
          <w:p w14:paraId="0B0CD06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3、施工机械、设备配置计划</w:t>
            </w:r>
          </w:p>
          <w:p w14:paraId="67C59C5D">
            <w:pPr>
              <w:jc w:val="left"/>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w:t>
            </w:r>
            <w:r>
              <w:rPr>
                <w:rStyle w:val="40"/>
                <w:rFonts w:hint="eastAsia" w:ascii="宋体" w:hAnsi="宋体" w:eastAsia="宋体" w:cs="宋体"/>
                <w:sz w:val="21"/>
                <w:szCs w:val="21"/>
                <w:highlight w:val="none"/>
                <w:lang w:val="en-US" w:eastAsia="zh-CN"/>
              </w:rPr>
              <w:t>3</w:t>
            </w:r>
            <w:r>
              <w:rPr>
                <w:rStyle w:val="40"/>
                <w:rFonts w:hint="eastAsia" w:ascii="宋体" w:hAnsi="宋体" w:eastAsia="宋体" w:cs="宋体"/>
                <w:sz w:val="21"/>
                <w:szCs w:val="21"/>
                <w:highlight w:val="none"/>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color w:val="auto"/>
                <w:highlight w:val="none"/>
              </w:rPr>
            </w:pPr>
          </w:p>
        </w:tc>
        <w:tc>
          <w:tcPr>
            <w:tcW w:w="937" w:type="dxa"/>
            <w:vMerge w:val="continue"/>
            <w:tcBorders>
              <w:top w:val="nil"/>
              <w:bottom w:val="nil"/>
            </w:tcBorders>
            <w:vAlign w:val="top"/>
          </w:tcPr>
          <w:p w14:paraId="6509BDB6">
            <w:pPr>
              <w:rPr>
                <w:color w:val="auto"/>
                <w:highlight w:val="none"/>
              </w:rPr>
            </w:pPr>
          </w:p>
        </w:tc>
        <w:tc>
          <w:tcPr>
            <w:tcW w:w="1869" w:type="dxa"/>
            <w:vAlign w:val="center"/>
          </w:tcPr>
          <w:p w14:paraId="7103FB60">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Style w:val="40"/>
                <w:rFonts w:hint="eastAsia" w:ascii="宋体" w:hAnsi="宋体" w:eastAsia="宋体" w:cs="宋体"/>
                <w:sz w:val="21"/>
                <w:szCs w:val="21"/>
                <w:highlight w:val="none"/>
              </w:rPr>
              <w:t>紧急情况的处理措施、预案以及抵抗风险的措施</w:t>
            </w:r>
          </w:p>
          <w:p w14:paraId="483CD6A8">
            <w:pPr>
              <w:jc w:val="center"/>
              <w:rPr>
                <w:color w:val="auto"/>
                <w:highlight w:val="none"/>
              </w:rPr>
            </w:pPr>
            <w:r>
              <w:rPr>
                <w:rFonts w:hint="eastAsia" w:ascii="宋体" w:hAnsi="宋体" w:eastAsia="宋体" w:cs="宋体"/>
                <w:bCs/>
                <w:color w:val="000000"/>
                <w:spacing w:val="-6"/>
                <w:sz w:val="21"/>
                <w:szCs w:val="21"/>
                <w:highlight w:val="none"/>
              </w:rPr>
              <w:t>(4分)</w:t>
            </w:r>
          </w:p>
        </w:tc>
        <w:tc>
          <w:tcPr>
            <w:tcW w:w="6123" w:type="dxa"/>
            <w:vAlign w:val="top"/>
          </w:tcPr>
          <w:p w14:paraId="4BFCA7C2">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根据本项目实际需求编制的紧急情况的处理措施、预案以及抵抗风险的措施进行评审，包含但不限于以下几个方面；</w:t>
            </w:r>
          </w:p>
          <w:p w14:paraId="7A699696">
            <w:pPr>
              <w:autoSpaceDE w:val="0"/>
              <w:autoSpaceDN w:val="0"/>
              <w:adjustRightInd w:val="0"/>
              <w:rPr>
                <w:rFonts w:hint="eastAsia" w:ascii="宋体" w:hAnsi="宋体" w:eastAsia="宋体" w:cs="宋体"/>
                <w:sz w:val="21"/>
                <w:szCs w:val="21"/>
                <w:highlight w:val="none"/>
              </w:rPr>
            </w:pPr>
            <w:r>
              <w:rPr>
                <w:rStyle w:val="40"/>
                <w:rFonts w:hint="eastAsia" w:ascii="宋体" w:hAnsi="宋体" w:eastAsia="宋体" w:cs="宋体"/>
                <w:sz w:val="21"/>
                <w:szCs w:val="21"/>
                <w:highlight w:val="none"/>
              </w:rPr>
              <w:t>1、</w:t>
            </w:r>
            <w:r>
              <w:rPr>
                <w:rFonts w:hint="eastAsia" w:ascii="宋体" w:hAnsi="宋体" w:eastAsia="宋体" w:cs="宋体"/>
                <w:sz w:val="21"/>
                <w:szCs w:val="21"/>
                <w:highlight w:val="none"/>
              </w:rPr>
              <w:t>施工期间可能发生的突发性事件及突发性事故处理措施</w:t>
            </w:r>
          </w:p>
          <w:p w14:paraId="5F19C3FE">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bCs/>
                <w:sz w:val="21"/>
                <w:szCs w:val="21"/>
                <w:highlight w:val="none"/>
              </w:rPr>
              <w:t>2、施工期间潜在的</w:t>
            </w:r>
            <w:r>
              <w:rPr>
                <w:rFonts w:hint="eastAsia" w:ascii="宋体" w:hAnsi="宋体" w:eastAsia="宋体" w:cs="宋体"/>
                <w:sz w:val="21"/>
                <w:szCs w:val="21"/>
                <w:highlight w:val="none"/>
              </w:rPr>
              <w:t>有毒有害和易燃易爆等危险物质处置措施</w:t>
            </w:r>
          </w:p>
          <w:p w14:paraId="01D2F2F4">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3、针对潜在的人身安全与环境影响预案</w:t>
            </w:r>
          </w:p>
          <w:p w14:paraId="53971FFC">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4、抵抗潜在风险的措施</w:t>
            </w:r>
          </w:p>
          <w:p w14:paraId="29151B2B">
            <w:pPr>
              <w:autoSpaceDE w:val="0"/>
              <w:autoSpaceDN w:val="0"/>
              <w:adjustRightInd w:val="0"/>
              <w:rPr>
                <w:color w:val="auto"/>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ascii="宋体"/>
                <w:color w:val="auto"/>
                <w:sz w:val="21"/>
                <w:highlight w:val="none"/>
              </w:rPr>
            </w:pPr>
          </w:p>
          <w:p w14:paraId="7AC214FF">
            <w:pPr>
              <w:spacing w:line="261" w:lineRule="auto"/>
              <w:rPr>
                <w:rFonts w:ascii="宋体"/>
                <w:color w:val="auto"/>
                <w:sz w:val="21"/>
                <w:highlight w:val="none"/>
              </w:rPr>
            </w:pPr>
          </w:p>
          <w:p w14:paraId="30A9BE34">
            <w:pPr>
              <w:spacing w:line="261" w:lineRule="auto"/>
              <w:rPr>
                <w:rFonts w:ascii="宋体"/>
                <w:color w:val="auto"/>
                <w:sz w:val="21"/>
                <w:highlight w:val="none"/>
              </w:rPr>
            </w:pPr>
          </w:p>
          <w:p w14:paraId="13C7011C">
            <w:pPr>
              <w:spacing w:line="261" w:lineRule="auto"/>
              <w:rPr>
                <w:rFonts w:ascii="宋体"/>
                <w:color w:val="auto"/>
                <w:sz w:val="21"/>
                <w:highlight w:val="none"/>
              </w:rPr>
            </w:pPr>
          </w:p>
          <w:p w14:paraId="1647E821">
            <w:pPr>
              <w:spacing w:line="262" w:lineRule="auto"/>
              <w:rPr>
                <w:rFonts w:ascii="宋体"/>
                <w:color w:val="auto"/>
                <w:sz w:val="21"/>
                <w:highlight w:val="none"/>
              </w:rPr>
            </w:pPr>
          </w:p>
          <w:p w14:paraId="242111E4">
            <w:pPr>
              <w:spacing w:before="69"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ascii="宋体"/>
                <w:color w:val="auto"/>
                <w:sz w:val="21"/>
                <w:highlight w:val="none"/>
              </w:rPr>
            </w:pPr>
          </w:p>
          <w:p w14:paraId="615BEFB9">
            <w:pPr>
              <w:spacing w:line="285" w:lineRule="auto"/>
              <w:rPr>
                <w:rFonts w:ascii="宋体"/>
                <w:color w:val="auto"/>
                <w:sz w:val="21"/>
                <w:highlight w:val="none"/>
              </w:rPr>
            </w:pPr>
          </w:p>
          <w:p w14:paraId="61A76E70">
            <w:pPr>
              <w:spacing w:line="285" w:lineRule="auto"/>
              <w:rPr>
                <w:rFonts w:ascii="宋体"/>
                <w:color w:val="auto"/>
                <w:sz w:val="21"/>
                <w:highlight w:val="none"/>
              </w:rPr>
            </w:pPr>
          </w:p>
          <w:p w14:paraId="229B8A78">
            <w:pPr>
              <w:spacing w:before="69" w:line="319" w:lineRule="exact"/>
              <w:ind w:firstLine="261"/>
              <w:rPr>
                <w:rFonts w:ascii="宋体" w:hAnsi="宋体" w:eastAsia="宋体" w:cs="宋体"/>
                <w:color w:val="auto"/>
                <w:sz w:val="21"/>
                <w:szCs w:val="21"/>
                <w:highlight w:val="none"/>
              </w:rPr>
            </w:pPr>
            <w:r>
              <w:rPr>
                <w:rFonts w:ascii="宋体" w:hAnsi="宋体" w:eastAsia="宋体" w:cs="宋体"/>
                <w:color w:val="auto"/>
                <w:spacing w:val="-7"/>
                <w:position w:val="7"/>
                <w:sz w:val="21"/>
                <w:szCs w:val="21"/>
                <w:highlight w:val="none"/>
              </w:rPr>
              <w:t>项目</w:t>
            </w:r>
          </w:p>
          <w:p w14:paraId="11547302">
            <w:pPr>
              <w:spacing w:line="204" w:lineRule="auto"/>
              <w:ind w:firstLine="26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管理</w:t>
            </w:r>
          </w:p>
          <w:p w14:paraId="077A7E30">
            <w:pPr>
              <w:spacing w:before="88"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机构</w:t>
            </w:r>
          </w:p>
          <w:p w14:paraId="2CBC7023">
            <w:pPr>
              <w:spacing w:before="109"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4B20A3A0">
            <w:pPr>
              <w:spacing w:before="110"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ascii="宋体"/>
                <w:color w:val="auto"/>
                <w:sz w:val="21"/>
                <w:highlight w:val="none"/>
              </w:rPr>
            </w:pPr>
          </w:p>
          <w:p w14:paraId="6CD7DBD4">
            <w:pPr>
              <w:spacing w:line="255" w:lineRule="auto"/>
              <w:rPr>
                <w:rFonts w:ascii="宋体"/>
                <w:color w:val="auto"/>
                <w:sz w:val="21"/>
                <w:highlight w:val="none"/>
              </w:rPr>
            </w:pPr>
          </w:p>
          <w:p w14:paraId="5EF9B548">
            <w:pPr>
              <w:spacing w:line="255" w:lineRule="auto"/>
              <w:rPr>
                <w:rFonts w:ascii="宋体"/>
                <w:color w:val="auto"/>
                <w:sz w:val="21"/>
                <w:highlight w:val="none"/>
              </w:rPr>
            </w:pPr>
          </w:p>
          <w:p w14:paraId="23DF9D29">
            <w:pPr>
              <w:spacing w:line="255" w:lineRule="auto"/>
              <w:rPr>
                <w:rFonts w:ascii="宋体"/>
                <w:color w:val="auto"/>
                <w:sz w:val="21"/>
                <w:highlight w:val="none"/>
              </w:rPr>
            </w:pPr>
          </w:p>
          <w:p w14:paraId="34C64BFC">
            <w:pPr>
              <w:spacing w:line="256" w:lineRule="auto"/>
              <w:rPr>
                <w:rFonts w:ascii="宋体"/>
                <w:color w:val="auto"/>
                <w:sz w:val="21"/>
                <w:highlight w:val="none"/>
              </w:rPr>
            </w:pPr>
          </w:p>
          <w:p w14:paraId="158948EA">
            <w:pPr>
              <w:spacing w:before="69" w:line="281" w:lineRule="auto"/>
              <w:ind w:left="485" w:leftChars="0" w:right="79" w:rightChars="0" w:hanging="367" w:firstLineChars="0"/>
              <w:rPr>
                <w:color w:val="auto"/>
                <w:highlight w:val="none"/>
              </w:rPr>
            </w:pPr>
            <w:r>
              <w:rPr>
                <w:rFonts w:ascii="宋体" w:hAnsi="宋体" w:eastAsia="宋体" w:cs="宋体"/>
                <w:color w:val="auto"/>
                <w:spacing w:val="-2"/>
                <w:sz w:val="21"/>
                <w:szCs w:val="21"/>
                <w:highlight w:val="none"/>
              </w:rPr>
              <w:t>项目管理机构配置</w:t>
            </w:r>
            <w:r>
              <w:rPr>
                <w:rFonts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ascii="宋体" w:hAnsi="宋体" w:eastAsia="宋体" w:cs="宋体"/>
                <w:color w:val="auto"/>
                <w:spacing w:val="-7"/>
                <w:sz w:val="21"/>
                <w:szCs w:val="21"/>
                <w:highlight w:val="none"/>
              </w:rPr>
              <w:t>分</w:t>
            </w:r>
          </w:p>
        </w:tc>
        <w:tc>
          <w:tcPr>
            <w:tcW w:w="6123" w:type="dxa"/>
            <w:vAlign w:val="top"/>
          </w:tcPr>
          <w:p w14:paraId="5848C2F3">
            <w:pPr>
              <w:spacing w:before="110" w:line="232" w:lineRule="auto"/>
              <w:ind w:left="8" w:leftChars="0" w:right="122" w:rightChars="0" w:firstLine="59" w:firstLine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项目经理、技术负责人、施工员、质量员、安全员人员齐全，有相应人员有职称证书或上岗证书复印件，满足施工要求基本满足施工要求得5分；每增加1人加1分，满分10分。</w:t>
            </w:r>
          </w:p>
          <w:p w14:paraId="553B7B80">
            <w:pPr>
              <w:spacing w:before="110" w:line="232" w:lineRule="auto"/>
              <w:ind w:left="8" w:leftChars="0" w:right="122" w:rightChars="0" w:firstLine="59" w:firstLine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提供项目管理机构人员职称证书或岗位证书复印件或电子证书加盖公章（鲜章）的复印件及人员社保证明复印件，响应文件中附复印件加盖公章，否则本项不计分。对于启用安全生产考核合格证电子证书的，响应文件内附电子证书复印件加盖投标单位公章，信息的真伪由评标委员会通过登录“吉林省建设工程安管人员管理系统”</w:t>
            </w:r>
          </w:p>
          <w:p w14:paraId="442C4332">
            <w:pPr>
              <w:spacing w:before="110" w:line="232" w:lineRule="auto"/>
              <w:ind w:left="8" w:leftChars="0" w:right="122" w:rightChars="0" w:firstLine="59" w:firstLineChars="0"/>
              <w:rPr>
                <w:color w:val="auto"/>
                <w:highlight w:val="none"/>
              </w:rPr>
            </w:pPr>
            <w:r>
              <w:rPr>
                <w:rFonts w:hint="eastAsia" w:ascii="宋体" w:hAnsi="宋体" w:eastAsia="宋体" w:cs="宋体"/>
                <w:color w:val="auto"/>
                <w:spacing w:val="-1"/>
                <w:sz w:val="21"/>
                <w:szCs w:val="21"/>
                <w:highlight w:val="none"/>
                <w:lang w:val="en-US" w:eastAsia="zh-CN"/>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ascii="宋体"/>
                <w:color w:val="auto"/>
                <w:sz w:val="21"/>
                <w:highlight w:val="none"/>
              </w:rPr>
            </w:pPr>
          </w:p>
          <w:p w14:paraId="74BF0995">
            <w:pPr>
              <w:spacing w:line="305" w:lineRule="auto"/>
              <w:rPr>
                <w:rFonts w:ascii="宋体"/>
                <w:color w:val="auto"/>
                <w:sz w:val="21"/>
                <w:highlight w:val="none"/>
              </w:rPr>
            </w:pPr>
          </w:p>
          <w:p w14:paraId="23A95747">
            <w:pPr>
              <w:spacing w:line="306" w:lineRule="auto"/>
              <w:rPr>
                <w:rFonts w:ascii="宋体"/>
                <w:color w:val="auto"/>
                <w:sz w:val="21"/>
                <w:highlight w:val="none"/>
              </w:rPr>
            </w:pPr>
          </w:p>
          <w:p w14:paraId="4C6B0F0F">
            <w:pPr>
              <w:spacing w:before="68" w:line="281"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ascii="宋体"/>
                <w:color w:val="auto"/>
                <w:sz w:val="21"/>
                <w:highlight w:val="none"/>
              </w:rPr>
            </w:pPr>
          </w:p>
          <w:p w14:paraId="5928DFB7">
            <w:pPr>
              <w:spacing w:line="295" w:lineRule="auto"/>
              <w:rPr>
                <w:rFonts w:ascii="宋体"/>
                <w:color w:val="auto"/>
                <w:sz w:val="21"/>
                <w:highlight w:val="none"/>
              </w:rPr>
            </w:pPr>
          </w:p>
          <w:p w14:paraId="7A29F3F7">
            <w:pPr>
              <w:spacing w:line="296" w:lineRule="auto"/>
              <w:rPr>
                <w:rFonts w:ascii="宋体"/>
                <w:color w:val="auto"/>
                <w:sz w:val="21"/>
                <w:highlight w:val="none"/>
              </w:rPr>
            </w:pPr>
          </w:p>
          <w:p w14:paraId="77419E67">
            <w:pPr>
              <w:spacing w:before="68" w:line="283" w:lineRule="auto"/>
              <w:ind w:left="4" w:leftChars="0" w:right="91" w:rightChars="0"/>
              <w:rPr>
                <w:color w:val="auto"/>
                <w:highlight w:val="none"/>
              </w:rPr>
            </w:pPr>
            <w:r>
              <w:rPr>
                <w:rFonts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ascii="宋体"/>
                <w:color w:val="auto"/>
                <w:sz w:val="21"/>
                <w:highlight w:val="none"/>
              </w:rPr>
            </w:pPr>
          </w:p>
          <w:p w14:paraId="3D97CDF3">
            <w:pPr>
              <w:spacing w:line="295" w:lineRule="auto"/>
              <w:rPr>
                <w:rFonts w:ascii="宋体"/>
                <w:color w:val="auto"/>
                <w:sz w:val="21"/>
                <w:highlight w:val="none"/>
              </w:rPr>
            </w:pPr>
          </w:p>
          <w:p w14:paraId="19960754">
            <w:pPr>
              <w:spacing w:line="296" w:lineRule="auto"/>
              <w:rPr>
                <w:rFonts w:ascii="宋体"/>
                <w:color w:val="auto"/>
                <w:sz w:val="21"/>
                <w:highlight w:val="none"/>
              </w:rPr>
            </w:pPr>
          </w:p>
          <w:p w14:paraId="73AD458C">
            <w:pPr>
              <w:spacing w:before="68" w:line="283" w:lineRule="auto"/>
              <w:ind w:right="290" w:rightChars="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color w:val="auto"/>
                <w:highlight w:val="none"/>
              </w:rPr>
            </w:pPr>
            <w:r>
              <w:rPr>
                <w:rFonts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color w:val="auto"/>
                <w:highlight w:val="none"/>
              </w:rPr>
            </w:pPr>
            <w:r>
              <w:rPr>
                <w:rFonts w:hint="eastAsia"/>
                <w:color w:val="auto"/>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color w:val="auto"/>
                <w:szCs w:val="21"/>
                <w:highlight w:val="none"/>
              </w:rPr>
            </w:pPr>
            <w:r>
              <w:rPr>
                <w:rFonts w:hint="eastAsia"/>
                <w:color w:val="auto"/>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color w:val="auto"/>
                <w:highlight w:val="none"/>
              </w:rPr>
            </w:pPr>
            <w:r>
              <w:rPr>
                <w:rFonts w:hint="eastAsia" w:ascii="宋体" w:hAnsi="宋体"/>
                <w:color w:val="auto"/>
                <w:szCs w:val="21"/>
                <w:highlight w:val="none"/>
              </w:rPr>
              <w:t>磋商报价得分=（磋商基准价/最后磋商报价）×</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ascii="宋体"/>
                <w:color w:val="auto"/>
                <w:sz w:val="21"/>
                <w:highlight w:val="none"/>
              </w:rPr>
            </w:pPr>
          </w:p>
          <w:p w14:paraId="6E14CBF4">
            <w:pPr>
              <w:spacing w:line="259" w:lineRule="auto"/>
              <w:rPr>
                <w:rFonts w:ascii="宋体"/>
                <w:color w:val="auto"/>
                <w:sz w:val="21"/>
                <w:highlight w:val="none"/>
              </w:rPr>
            </w:pPr>
          </w:p>
          <w:p w14:paraId="115B0572">
            <w:pPr>
              <w:spacing w:line="260" w:lineRule="auto"/>
              <w:rPr>
                <w:rFonts w:ascii="宋体"/>
                <w:color w:val="auto"/>
                <w:sz w:val="21"/>
                <w:highlight w:val="none"/>
              </w:rPr>
            </w:pPr>
          </w:p>
          <w:p w14:paraId="74757C48">
            <w:pPr>
              <w:spacing w:line="260" w:lineRule="auto"/>
              <w:rPr>
                <w:rFonts w:ascii="宋体"/>
                <w:color w:val="auto"/>
                <w:sz w:val="21"/>
                <w:highlight w:val="none"/>
              </w:rPr>
            </w:pPr>
          </w:p>
          <w:p w14:paraId="40ADB579">
            <w:pPr>
              <w:spacing w:before="68"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ascii="宋体"/>
                <w:color w:val="auto"/>
                <w:sz w:val="21"/>
                <w:highlight w:val="none"/>
              </w:rPr>
            </w:pPr>
          </w:p>
          <w:p w14:paraId="7C00AADC">
            <w:pPr>
              <w:spacing w:line="243" w:lineRule="auto"/>
              <w:rPr>
                <w:rFonts w:ascii="宋体"/>
                <w:color w:val="auto"/>
                <w:sz w:val="21"/>
                <w:highlight w:val="none"/>
              </w:rPr>
            </w:pPr>
          </w:p>
          <w:p w14:paraId="6B0539E3">
            <w:pPr>
              <w:spacing w:line="243" w:lineRule="auto"/>
              <w:rPr>
                <w:rFonts w:ascii="宋体"/>
                <w:color w:val="auto"/>
                <w:sz w:val="21"/>
                <w:highlight w:val="none"/>
              </w:rPr>
            </w:pPr>
          </w:p>
          <w:p w14:paraId="58316490">
            <w:pPr>
              <w:spacing w:before="69" w:line="319" w:lineRule="exact"/>
              <w:ind w:firstLine="258"/>
              <w:rPr>
                <w:rFonts w:ascii="宋体" w:hAnsi="宋体" w:eastAsia="宋体" w:cs="宋体"/>
                <w:color w:val="auto"/>
                <w:sz w:val="21"/>
                <w:szCs w:val="21"/>
                <w:highlight w:val="none"/>
              </w:rPr>
            </w:pPr>
            <w:r>
              <w:rPr>
                <w:rFonts w:ascii="宋体" w:hAnsi="宋体" w:eastAsia="宋体" w:cs="宋体"/>
                <w:color w:val="auto"/>
                <w:spacing w:val="-5"/>
                <w:position w:val="7"/>
                <w:sz w:val="21"/>
                <w:szCs w:val="21"/>
                <w:highlight w:val="none"/>
              </w:rPr>
              <w:t>其他</w:t>
            </w:r>
          </w:p>
          <w:p w14:paraId="52C6E425">
            <w:pPr>
              <w:spacing w:line="204" w:lineRule="auto"/>
              <w:ind w:firstLine="27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因素</w:t>
            </w:r>
          </w:p>
          <w:p w14:paraId="6943C62C">
            <w:pPr>
              <w:spacing w:before="85"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71E5C286">
            <w:pPr>
              <w:spacing w:before="112"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ascii="宋体"/>
                <w:color w:val="auto"/>
                <w:sz w:val="21"/>
                <w:highlight w:val="none"/>
              </w:rPr>
            </w:pPr>
          </w:p>
          <w:p w14:paraId="67856714">
            <w:pPr>
              <w:spacing w:before="68" w:line="184" w:lineRule="auto"/>
              <w:ind w:firstLine="323" w:firstLineChars="0"/>
              <w:rPr>
                <w:color w:val="auto"/>
                <w:highlight w:val="none"/>
              </w:rPr>
            </w:pPr>
            <w:r>
              <w:rPr>
                <w:rFonts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color w:val="auto"/>
                <w:highlight w:val="none"/>
              </w:rPr>
            </w:pPr>
            <w:r>
              <w:rPr>
                <w:rFonts w:hint="eastAsia"/>
                <w:color w:val="auto"/>
                <w:highlight w:val="none"/>
              </w:rPr>
              <w:t>根据本项目需求，供应商依据自身条件做出的、与本项目有关的、有利于采购人的实质性优惠条件。每有承诺一项得1分。满分5分。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color w:val="auto"/>
                <w:highlight w:val="none"/>
              </w:rPr>
            </w:pPr>
          </w:p>
        </w:tc>
        <w:tc>
          <w:tcPr>
            <w:tcW w:w="937" w:type="dxa"/>
            <w:vMerge w:val="continue"/>
            <w:vAlign w:val="top"/>
          </w:tcPr>
          <w:p w14:paraId="308CF8ED">
            <w:pPr>
              <w:rPr>
                <w:color w:val="auto"/>
                <w:highlight w:val="none"/>
              </w:rPr>
            </w:pPr>
          </w:p>
        </w:tc>
        <w:tc>
          <w:tcPr>
            <w:tcW w:w="1869" w:type="dxa"/>
            <w:vAlign w:val="top"/>
          </w:tcPr>
          <w:p w14:paraId="03F5A801">
            <w:pPr>
              <w:spacing w:line="294" w:lineRule="auto"/>
              <w:rPr>
                <w:rFonts w:ascii="宋体"/>
                <w:color w:val="auto"/>
                <w:sz w:val="21"/>
                <w:highlight w:val="none"/>
              </w:rPr>
            </w:pPr>
          </w:p>
          <w:p w14:paraId="10BEE47C">
            <w:pPr>
              <w:spacing w:before="68" w:line="184" w:lineRule="auto"/>
              <w:ind w:firstLine="271" w:firstLineChars="0"/>
              <w:rPr>
                <w:color w:val="auto"/>
                <w:highlight w:val="none"/>
              </w:rPr>
            </w:pPr>
            <w:r>
              <w:rPr>
                <w:rFonts w:hint="eastAsia" w:ascii="宋体" w:hAnsi="宋体" w:eastAsia="宋体" w:cs="宋体"/>
                <w:color w:val="auto"/>
                <w:spacing w:val="-5"/>
                <w:sz w:val="21"/>
                <w:szCs w:val="21"/>
                <w:highlight w:val="none"/>
                <w:lang w:val="en-US" w:eastAsia="zh-CN"/>
              </w:rPr>
              <w:t>保修服务承诺5</w:t>
            </w:r>
            <w:r>
              <w:rPr>
                <w:rFonts w:ascii="宋体" w:hAnsi="宋体" w:eastAsia="宋体" w:cs="宋体"/>
                <w:color w:val="auto"/>
                <w:spacing w:val="-5"/>
                <w:sz w:val="21"/>
                <w:szCs w:val="21"/>
                <w:highlight w:val="none"/>
              </w:rPr>
              <w:t>分</w:t>
            </w:r>
          </w:p>
        </w:tc>
        <w:tc>
          <w:tcPr>
            <w:tcW w:w="6123" w:type="dxa"/>
            <w:vAlign w:val="top"/>
          </w:tcPr>
          <w:p w14:paraId="2E7CE93B">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根据本项目实际需求以供应商做出的以下保修服务承诺内容进行评审，包含但不限于以下项目：</w:t>
            </w:r>
          </w:p>
          <w:p w14:paraId="2AB091E3">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1、在国家相关规定及招标文件要求基础上延长保修期1个月以上的。</w:t>
            </w:r>
          </w:p>
          <w:p w14:paraId="6ED01818">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2、保修服务体系、保修服务人员、流程。</w:t>
            </w:r>
          </w:p>
          <w:p w14:paraId="5DD83183">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3、保修响应时间及准备措施。</w:t>
            </w:r>
          </w:p>
          <w:p w14:paraId="1B36B51C">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4、保修方案、重点难点。</w:t>
            </w:r>
          </w:p>
          <w:p w14:paraId="197D5C43">
            <w:pPr>
              <w:spacing w:before="81" w:line="249" w:lineRule="auto"/>
              <w:ind w:left="12" w:leftChars="0" w:right="84" w:rightChars="0" w:firstLine="51"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5、紧急情况下的保修措施。</w:t>
            </w:r>
          </w:p>
          <w:p w14:paraId="35EBE6F2">
            <w:pPr>
              <w:spacing w:before="81" w:line="249" w:lineRule="auto"/>
              <w:ind w:left="12" w:leftChars="0" w:right="84" w:rightChars="0" w:firstLine="51" w:firstLineChars="0"/>
              <w:rPr>
                <w:color w:val="auto"/>
                <w:highlight w:val="none"/>
              </w:rPr>
            </w:pPr>
            <w:r>
              <w:rPr>
                <w:rFonts w:hint="eastAsia" w:ascii="宋体" w:hAnsi="宋体" w:eastAsia="宋体" w:cs="宋体"/>
                <w:color w:val="auto"/>
                <w:spacing w:val="1"/>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color w:val="auto"/>
                <w:highlight w:val="none"/>
              </w:rPr>
            </w:pPr>
          </w:p>
        </w:tc>
        <w:tc>
          <w:tcPr>
            <w:tcW w:w="937" w:type="dxa"/>
            <w:vMerge w:val="continue"/>
            <w:vAlign w:val="top"/>
          </w:tcPr>
          <w:p w14:paraId="45C0E5E6">
            <w:pPr>
              <w:rPr>
                <w:color w:val="auto"/>
                <w:highlight w:val="none"/>
              </w:rPr>
            </w:pPr>
          </w:p>
        </w:tc>
        <w:tc>
          <w:tcPr>
            <w:tcW w:w="1869" w:type="dxa"/>
            <w:vAlign w:val="top"/>
          </w:tcPr>
          <w:p w14:paraId="4075D66A">
            <w:pPr>
              <w:spacing w:line="294" w:lineRule="auto"/>
              <w:rPr>
                <w:rFonts w:ascii="宋体"/>
                <w:color w:val="auto"/>
                <w:sz w:val="21"/>
                <w:highlight w:val="none"/>
              </w:rPr>
            </w:pPr>
          </w:p>
          <w:p w14:paraId="354674EA">
            <w:pPr>
              <w:spacing w:before="68" w:line="184" w:lineRule="auto"/>
              <w:ind w:firstLine="327" w:firstLineChars="0"/>
              <w:rPr>
                <w:color w:val="auto"/>
                <w:highlight w:val="none"/>
              </w:rPr>
            </w:pPr>
            <w:r>
              <w:rPr>
                <w:rFonts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color w:val="auto"/>
                <w:highlight w:val="none"/>
              </w:rPr>
            </w:pPr>
            <w:r>
              <w:rPr>
                <w:rFonts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ascii="宋体" w:hAnsi="宋体" w:eastAsia="宋体" w:cs="宋体"/>
                <w:color w:val="auto"/>
                <w:spacing w:val="-4"/>
                <w:sz w:val="21"/>
                <w:szCs w:val="21"/>
                <w:highlight w:val="none"/>
              </w:rPr>
              <w:t>年至今完成类似项目业绩，每有一项加2分，最高得6分</w:t>
            </w: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12AD75C1">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891265"/>
      <w:bookmarkEnd w:id="20"/>
      <w:bookmarkStart w:id="21" w:name="_Toc267261692"/>
      <w:bookmarkEnd w:id="21"/>
      <w:bookmarkStart w:id="22" w:name="_Toc296347224"/>
      <w:bookmarkEnd w:id="22"/>
      <w:bookmarkStart w:id="23" w:name="_Toc296346726"/>
      <w:bookmarkEnd w:id="23"/>
      <w:bookmarkStart w:id="24" w:name="_Toc296891053"/>
      <w:bookmarkEnd w:id="24"/>
      <w:bookmarkStart w:id="25" w:name="_Toc296503225"/>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266"/>
      <w:bookmarkEnd w:id="27"/>
      <w:bookmarkStart w:id="28" w:name="_Toc296346727"/>
      <w:bookmarkEnd w:id="28"/>
      <w:bookmarkStart w:id="29" w:name="_Toc296347225"/>
      <w:bookmarkEnd w:id="29"/>
      <w:bookmarkStart w:id="30" w:name="_Toc296503226"/>
      <w:bookmarkEnd w:id="30"/>
      <w:bookmarkStart w:id="31" w:name="_Toc296891054"/>
      <w:bookmarkEnd w:id="31"/>
      <w:bookmarkStart w:id="32" w:name="_Toc267261693"/>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891055"/>
      <w:bookmarkEnd w:id="34"/>
      <w:bookmarkStart w:id="35" w:name="_Toc296346728"/>
      <w:bookmarkEnd w:id="35"/>
      <w:bookmarkStart w:id="36" w:name="_Toc296347226"/>
      <w:bookmarkEnd w:id="36"/>
      <w:bookmarkStart w:id="37" w:name="_Toc296503227"/>
      <w:bookmarkEnd w:id="37"/>
      <w:bookmarkStart w:id="38" w:name="_Toc296891267"/>
      <w:bookmarkEnd w:id="38"/>
      <w:bookmarkStart w:id="39" w:name="_Toc267261698"/>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yellow"/>
        </w:rPr>
        <w:br w:type="page"/>
      </w:r>
      <w:r>
        <w:rPr>
          <w:rFonts w:ascii="仿宋_GB2312" w:hAnsi="Times New Roman" w:eastAsia="仿宋_GB2312" w:cs="Times New Roman"/>
          <w:color w:val="auto"/>
          <w:sz w:val="22"/>
          <w:szCs w:val="22"/>
          <w:highlight w:val="none"/>
        </w:rPr>
        <w:t>附</w:t>
      </w:r>
      <w:bookmarkStart w:id="41" w:name="_Toc296503228"/>
      <w:bookmarkEnd w:id="41"/>
      <w:bookmarkStart w:id="42" w:name="_Toc296346729"/>
      <w:bookmarkEnd w:id="42"/>
      <w:bookmarkStart w:id="43" w:name="_Toc267261699"/>
      <w:bookmarkEnd w:id="43"/>
      <w:bookmarkStart w:id="44" w:name="_Toc296347227"/>
      <w:bookmarkEnd w:id="44"/>
      <w:bookmarkStart w:id="45" w:name="_Toc296891268"/>
      <w:bookmarkEnd w:id="45"/>
      <w:bookmarkStart w:id="46" w:name="_Toc296891056"/>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503229"/>
      <w:bookmarkEnd w:id="48"/>
      <w:bookmarkStart w:id="49" w:name="_Toc296346730"/>
      <w:bookmarkEnd w:id="49"/>
      <w:bookmarkStart w:id="50" w:name="_Toc296347228"/>
      <w:bookmarkEnd w:id="50"/>
      <w:bookmarkStart w:id="51" w:name="_Toc296891057"/>
      <w:bookmarkEnd w:id="51"/>
      <w:bookmarkStart w:id="52" w:name="_Toc296891269"/>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891059"/>
      <w:bookmarkEnd w:id="55"/>
      <w:bookmarkStart w:id="56" w:name="_Toc296891271"/>
      <w:bookmarkEnd w:id="56"/>
      <w:bookmarkStart w:id="57" w:name="_Toc296347230"/>
      <w:bookmarkEnd w:id="57"/>
      <w:bookmarkStart w:id="58" w:name="_Toc296503231"/>
      <w:bookmarkEnd w:id="58"/>
      <w:bookmarkStart w:id="59" w:name="_Toc296346732"/>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96891272"/>
      <w:bookmarkEnd w:id="61"/>
      <w:bookmarkStart w:id="62" w:name="_Toc267261702"/>
      <w:bookmarkEnd w:id="62"/>
      <w:bookmarkStart w:id="63" w:name="_Toc296346733"/>
      <w:bookmarkEnd w:id="63"/>
      <w:bookmarkStart w:id="64" w:name="_Toc296347231"/>
      <w:bookmarkEnd w:id="64"/>
      <w:bookmarkStart w:id="65" w:name="_Toc296891060"/>
      <w:bookmarkEnd w:id="65"/>
      <w:bookmarkStart w:id="66" w:name="_Toc29650323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503233"/>
      <w:bookmarkEnd w:id="68"/>
      <w:bookmarkStart w:id="69" w:name="_Toc296346734"/>
      <w:bookmarkEnd w:id="69"/>
      <w:bookmarkStart w:id="70" w:name="_Toc296891273"/>
      <w:bookmarkEnd w:id="70"/>
      <w:bookmarkStart w:id="71" w:name="_Toc296891061"/>
      <w:bookmarkEnd w:id="71"/>
      <w:bookmarkStart w:id="72" w:name="_Toc296347232"/>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FF0000"/>
          <w:sz w:val="21"/>
          <w:highlight w:val="none"/>
        </w:rPr>
      </w:pPr>
    </w:p>
    <w:p w14:paraId="3A8DB329">
      <w:pPr>
        <w:spacing w:line="251" w:lineRule="auto"/>
        <w:rPr>
          <w:rFonts w:ascii="宋体"/>
          <w:color w:val="FF0000"/>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19277441">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6337F014">
      <w:pPr>
        <w:tabs>
          <w:tab w:val="left" w:pos="3197"/>
        </w:tabs>
        <w:spacing w:before="344" w:line="411" w:lineRule="auto"/>
        <w:ind w:left="2065" w:right="685" w:hanging="1387"/>
        <w:rPr>
          <w:rFonts w:ascii="宋体" w:hAnsi="宋体" w:eastAsia="宋体" w:cs="宋体"/>
          <w:color w:val="auto"/>
          <w:sz w:val="28"/>
          <w:szCs w:val="28"/>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
          <w:sz w:val="28"/>
          <w:szCs w:val="28"/>
          <w:highlight w:val="none"/>
        </w:rPr>
        <w:t>年</w:t>
      </w:r>
      <w:r>
        <w:rPr>
          <w:rFonts w:hint="eastAsia" w:ascii="宋体" w:hAnsi="宋体" w:eastAsia="宋体" w:cs="宋体"/>
          <w:color w:val="auto"/>
          <w:spacing w:val="-9"/>
          <w:sz w:val="28"/>
          <w:szCs w:val="28"/>
          <w:highlight w:val="none"/>
          <w:u w:val="single"/>
          <w:lang w:val="en-US" w:eastAsia="zh-CN"/>
        </w:rPr>
        <w:t xml:space="preserve">       </w:t>
      </w:r>
      <w:r>
        <w:rPr>
          <w:rFonts w:ascii="宋体" w:hAnsi="宋体" w:eastAsia="宋体" w:cs="宋体"/>
          <w:color w:val="auto"/>
          <w:spacing w:val="-9"/>
          <w:sz w:val="28"/>
          <w:szCs w:val="28"/>
          <w:highlight w:val="none"/>
        </w:rPr>
        <w:t>月</w:t>
      </w:r>
      <w:r>
        <w:rPr>
          <w:rFonts w:hint="eastAsia" w:ascii="宋体" w:hAnsi="宋体" w:eastAsia="宋体" w:cs="宋体"/>
          <w:color w:val="auto"/>
          <w:spacing w:val="-9"/>
          <w:sz w:val="28"/>
          <w:szCs w:val="28"/>
          <w:highlight w:val="none"/>
          <w:u w:val="single"/>
          <w:lang w:val="en-US" w:eastAsia="zh-CN"/>
        </w:rPr>
        <w:t xml:space="preserve">       </w:t>
      </w:r>
      <w:r>
        <w:rPr>
          <w:rFonts w:ascii="宋体" w:hAnsi="宋体" w:eastAsia="宋体" w:cs="宋体"/>
          <w:color w:val="auto"/>
          <w:spacing w:val="-9"/>
          <w:sz w:val="28"/>
          <w:szCs w:val="28"/>
          <w:highlight w:val="none"/>
        </w:rPr>
        <w:t>日</w:t>
      </w:r>
    </w:p>
    <w:p w14:paraId="5A8D7751">
      <w:pPr>
        <w:rPr>
          <w:color w:val="auto"/>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磋商有效期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2F66720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FF9F083">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签订合同后30天内完成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18872A8A">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68F94F83">
      <w:pPr>
        <w:spacing w:before="240" w:line="184" w:lineRule="auto"/>
        <w:ind w:firstLine="817"/>
        <w:outlineLvl w:val="0"/>
        <w:rPr>
          <w:rFonts w:ascii="宋体" w:hAnsi="宋体" w:eastAsia="宋体" w:cs="宋体"/>
          <w:color w:val="auto"/>
          <w:sz w:val="24"/>
          <w:szCs w:val="24"/>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22"/>
          <w:w w:val="94"/>
          <w:sz w:val="24"/>
          <w:szCs w:val="24"/>
          <w:highlight w:val="none"/>
        </w:rPr>
        <w:t>年</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22"/>
          <w:w w:val="94"/>
          <w:sz w:val="24"/>
          <w:szCs w:val="24"/>
          <w:highlight w:val="none"/>
        </w:rPr>
        <w:t>月</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22"/>
          <w:w w:val="94"/>
          <w:sz w:val="24"/>
          <w:szCs w:val="24"/>
          <w:highlight w:val="none"/>
        </w:rPr>
        <w:t>日</w:t>
      </w: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661CC845">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28485A1">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52570A">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11D2E493">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35AAF650">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21246895">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47020EE">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5A14DFE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3E0B011A">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20161E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1BA3A77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5FA83E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7631435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5D0CB1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0ACA65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72F2E4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71A0A1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32777A8">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EA489CE">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FF0000"/>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BB6EB1"/>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736255"/>
    <w:rsid w:val="0FC67502"/>
    <w:rsid w:val="10210AFC"/>
    <w:rsid w:val="10BD35C7"/>
    <w:rsid w:val="10EA2DAC"/>
    <w:rsid w:val="11AB6E91"/>
    <w:rsid w:val="12C81773"/>
    <w:rsid w:val="12D2261E"/>
    <w:rsid w:val="14012901"/>
    <w:rsid w:val="157479A5"/>
    <w:rsid w:val="18CC3221"/>
    <w:rsid w:val="195A724C"/>
    <w:rsid w:val="196813D1"/>
    <w:rsid w:val="1B3B1E61"/>
    <w:rsid w:val="1B6C37E6"/>
    <w:rsid w:val="1B8619AF"/>
    <w:rsid w:val="1BE16125"/>
    <w:rsid w:val="1C0B010F"/>
    <w:rsid w:val="1C17673A"/>
    <w:rsid w:val="1C60278F"/>
    <w:rsid w:val="1C9658B2"/>
    <w:rsid w:val="1CEE4B08"/>
    <w:rsid w:val="1D85140C"/>
    <w:rsid w:val="1DA33B45"/>
    <w:rsid w:val="1DA7787E"/>
    <w:rsid w:val="1F4679AA"/>
    <w:rsid w:val="1F5074C5"/>
    <w:rsid w:val="1F887176"/>
    <w:rsid w:val="1FD227F1"/>
    <w:rsid w:val="20831A0C"/>
    <w:rsid w:val="20964936"/>
    <w:rsid w:val="20EF4561"/>
    <w:rsid w:val="21331BAA"/>
    <w:rsid w:val="21681348"/>
    <w:rsid w:val="22031F06"/>
    <w:rsid w:val="22B2000F"/>
    <w:rsid w:val="22E96949"/>
    <w:rsid w:val="234F603A"/>
    <w:rsid w:val="24007DBC"/>
    <w:rsid w:val="24453B95"/>
    <w:rsid w:val="253C48E1"/>
    <w:rsid w:val="255C2D4F"/>
    <w:rsid w:val="26E23A9A"/>
    <w:rsid w:val="271251B0"/>
    <w:rsid w:val="27496295"/>
    <w:rsid w:val="27843D3D"/>
    <w:rsid w:val="27875542"/>
    <w:rsid w:val="29846F5F"/>
    <w:rsid w:val="2AEF2177"/>
    <w:rsid w:val="2B265DEC"/>
    <w:rsid w:val="2D6277DA"/>
    <w:rsid w:val="2FB263F4"/>
    <w:rsid w:val="2FE200C7"/>
    <w:rsid w:val="31775837"/>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403D24F9"/>
    <w:rsid w:val="40976A99"/>
    <w:rsid w:val="410F1684"/>
    <w:rsid w:val="41320BB8"/>
    <w:rsid w:val="420A5691"/>
    <w:rsid w:val="42731726"/>
    <w:rsid w:val="444104BA"/>
    <w:rsid w:val="446D49A3"/>
    <w:rsid w:val="448F0A08"/>
    <w:rsid w:val="46564474"/>
    <w:rsid w:val="473754D3"/>
    <w:rsid w:val="476F2CD1"/>
    <w:rsid w:val="47982DE7"/>
    <w:rsid w:val="47E93337"/>
    <w:rsid w:val="483A6854"/>
    <w:rsid w:val="49D6642F"/>
    <w:rsid w:val="4AA64075"/>
    <w:rsid w:val="4AAF3876"/>
    <w:rsid w:val="4AC23076"/>
    <w:rsid w:val="4BB353E0"/>
    <w:rsid w:val="4BBF5E23"/>
    <w:rsid w:val="4D0D01CB"/>
    <w:rsid w:val="4D3F49A9"/>
    <w:rsid w:val="4DCB0A17"/>
    <w:rsid w:val="50317837"/>
    <w:rsid w:val="51C55131"/>
    <w:rsid w:val="51DC5832"/>
    <w:rsid w:val="52E53CDC"/>
    <w:rsid w:val="52F1442F"/>
    <w:rsid w:val="52F33EED"/>
    <w:rsid w:val="53461BC8"/>
    <w:rsid w:val="538057B3"/>
    <w:rsid w:val="544E6D1F"/>
    <w:rsid w:val="54751090"/>
    <w:rsid w:val="548427EB"/>
    <w:rsid w:val="55170F83"/>
    <w:rsid w:val="566000C6"/>
    <w:rsid w:val="56CB31E9"/>
    <w:rsid w:val="57AA72A2"/>
    <w:rsid w:val="593E1402"/>
    <w:rsid w:val="597E20B3"/>
    <w:rsid w:val="59B76B54"/>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F45F39"/>
    <w:rsid w:val="702363D8"/>
    <w:rsid w:val="70FA499F"/>
    <w:rsid w:val="71175A49"/>
    <w:rsid w:val="725A3FEF"/>
    <w:rsid w:val="727B6131"/>
    <w:rsid w:val="73ED79B5"/>
    <w:rsid w:val="741778CC"/>
    <w:rsid w:val="77796A6A"/>
    <w:rsid w:val="793863C2"/>
    <w:rsid w:val="794011C2"/>
    <w:rsid w:val="79F878A6"/>
    <w:rsid w:val="7AE06196"/>
    <w:rsid w:val="7C1F25C8"/>
    <w:rsid w:val="7CB85994"/>
    <w:rsid w:val="7E75623E"/>
    <w:rsid w:val="7F895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8122</Words>
  <Characters>11033</Characters>
  <TotalTime>17</TotalTime>
  <ScaleCrop>false</ScaleCrop>
  <LinksUpToDate>false</LinksUpToDate>
  <CharactersWithSpaces>11055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2025-07-03T08:49:57Z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