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auto"/>
          <w:sz w:val="21"/>
          <w:highlight w:val="none"/>
        </w:rPr>
      </w:pPr>
      <w:r>
        <w:rPr>
          <w:rFonts w:ascii="宋体" w:hAnsi="宋体" w:cs="宋体"/>
          <w:b/>
          <w:color w:val="auto"/>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auto"/>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大蒲柴河镇腰岔村主街路提升项目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yellow"/>
        </w:rPr>
      </w:pPr>
    </w:p>
    <w:p w14:paraId="40608BAD">
      <w:pPr>
        <w:spacing w:line="253" w:lineRule="auto"/>
        <w:rPr>
          <w:rFonts w:ascii="宋体"/>
          <w:color w:val="auto"/>
          <w:sz w:val="21"/>
          <w:highlight w:val="yellow"/>
        </w:rPr>
      </w:pPr>
    </w:p>
    <w:p w14:paraId="7B4C0540">
      <w:pPr>
        <w:spacing w:line="254" w:lineRule="auto"/>
        <w:rPr>
          <w:rFonts w:ascii="宋体"/>
          <w:color w:val="auto"/>
          <w:sz w:val="21"/>
          <w:highlight w:val="yellow"/>
        </w:rPr>
      </w:pPr>
    </w:p>
    <w:p w14:paraId="5E5200E1">
      <w:pPr>
        <w:spacing w:line="254" w:lineRule="auto"/>
        <w:rPr>
          <w:rFonts w:ascii="宋体"/>
          <w:color w:val="auto"/>
          <w:sz w:val="21"/>
          <w:highlight w:val="yellow"/>
        </w:rPr>
      </w:pPr>
    </w:p>
    <w:p w14:paraId="2ADCFFB0">
      <w:pPr>
        <w:spacing w:line="254" w:lineRule="auto"/>
        <w:rPr>
          <w:rFonts w:ascii="宋体"/>
          <w:color w:val="auto"/>
          <w:sz w:val="21"/>
          <w:highlight w:val="yellow"/>
        </w:rPr>
      </w:pPr>
    </w:p>
    <w:p w14:paraId="49574C4E">
      <w:pPr>
        <w:spacing w:line="254" w:lineRule="auto"/>
        <w:rPr>
          <w:rFonts w:ascii="宋体"/>
          <w:color w:val="auto"/>
          <w:sz w:val="21"/>
          <w:highlight w:val="yellow"/>
        </w:rPr>
      </w:pPr>
    </w:p>
    <w:p w14:paraId="0B4E0394">
      <w:pPr>
        <w:spacing w:line="245" w:lineRule="auto"/>
        <w:rPr>
          <w:rFonts w:ascii="宋体"/>
          <w:color w:val="auto"/>
          <w:sz w:val="21"/>
          <w:highlight w:val="yellow"/>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采购计划-[2025]-00154号-ZMW-2025-DHZC223</w:t>
      </w:r>
    </w:p>
    <w:p w14:paraId="3C8E083D">
      <w:pPr>
        <w:spacing w:line="245" w:lineRule="auto"/>
        <w:rPr>
          <w:rFonts w:ascii="宋体"/>
          <w:color w:val="auto"/>
          <w:sz w:val="21"/>
          <w:highlight w:val="yellow"/>
        </w:rPr>
      </w:pPr>
    </w:p>
    <w:p w14:paraId="7CF35EF6">
      <w:pPr>
        <w:spacing w:line="245" w:lineRule="auto"/>
        <w:rPr>
          <w:rFonts w:ascii="宋体"/>
          <w:color w:val="auto"/>
          <w:sz w:val="21"/>
          <w:highlight w:val="yellow"/>
        </w:rPr>
      </w:pPr>
    </w:p>
    <w:p w14:paraId="06E17D77">
      <w:pPr>
        <w:spacing w:line="245" w:lineRule="auto"/>
        <w:rPr>
          <w:rFonts w:ascii="宋体"/>
          <w:color w:val="auto"/>
          <w:sz w:val="21"/>
          <w:highlight w:val="yellow"/>
        </w:rPr>
      </w:pPr>
    </w:p>
    <w:p w14:paraId="69BFCA22">
      <w:pPr>
        <w:spacing w:line="246" w:lineRule="auto"/>
        <w:rPr>
          <w:rFonts w:ascii="宋体"/>
          <w:color w:val="auto"/>
          <w:sz w:val="21"/>
          <w:highlight w:val="yellow"/>
        </w:rPr>
      </w:pPr>
    </w:p>
    <w:p w14:paraId="1CDB09ED">
      <w:pPr>
        <w:spacing w:line="246" w:lineRule="auto"/>
        <w:rPr>
          <w:rFonts w:ascii="宋体"/>
          <w:color w:val="auto"/>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敦化市大蒲柴河镇人民政府（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大蒲柴河镇腰岔村主街路提升项目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2025年07月24日14点00分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yellow"/>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采购计划-[2025]-00154号-ZMW-2025-DHZC223</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大蒲柴河镇腰岔村主街路提升项目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人民币95.00万元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人民币95.00万元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大蒲柴河镇腰岔村主街路提升项目，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大蒲柴河镇腰岔村</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签订合同后90日内完成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市政公用工程专业二级（含）及以上注册建造师执业资格</w:t>
      </w:r>
      <w:r>
        <w:rPr>
          <w:rFonts w:hint="eastAsia" w:ascii="宋体" w:hAnsi="宋体" w:eastAsia="宋体" w:cs="宋体"/>
          <w:color w:val="auto"/>
          <w:sz w:val="21"/>
          <w:szCs w:val="21"/>
          <w:highlight w:val="none"/>
        </w:rPr>
        <w:t>，且具备有效的安全生产考核合格证书(B类)，且未担任其他在建工程项目的项目经理。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1、时间：2025年07月14日至2025年07月18日16:00止。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asciiTheme="majorEastAsia" w:hAnsiTheme="majorEastAsia" w:eastAsiaTheme="majorEastAsia" w:cstheme="majorEastAsia"/>
          <w:color w:val="auto"/>
          <w:highlight w:val="none"/>
        </w:rPr>
        <w:t>截止时间：</w:t>
      </w:r>
      <w:r>
        <w:rPr>
          <w:rFonts w:hint="eastAsia" w:asciiTheme="minorEastAsia" w:hAnsiTheme="minorEastAsia" w:eastAsiaTheme="minorEastAsia" w:cstheme="minorEastAsia"/>
          <w:color w:val="auto"/>
          <w:sz w:val="21"/>
          <w:szCs w:val="21"/>
          <w:highlight w:val="none"/>
          <w:u w:val="none"/>
          <w:lang w:val="en-US" w:eastAsia="zh-CN"/>
        </w:rPr>
        <w:t>2025年07月24日14点00分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yellow"/>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1.公告发布媒体：“政采云”平台（http://www.zcygov.cn），同步推送到吉林省政府采购网（http://www.ccgp-jilin.gov.cn/），及中国政府采购网；</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254AB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敦化市大蒲柴河镇人民政府</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吉林省敦化市大蒲柴河镇</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郭伟</w:t>
      </w:r>
    </w:p>
    <w:p w14:paraId="4D39CF4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13844753222</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auto"/>
          <w:highlight w:val="none"/>
        </w:rPr>
      </w:pPr>
    </w:p>
    <w:p w14:paraId="032A3E0C">
      <w:pPr>
        <w:spacing w:line="137" w:lineRule="exact"/>
        <w:rPr>
          <w:color w:val="auto"/>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3A3516C7">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采购人：敦化市大蒲柴河镇人民政府</w:t>
            </w:r>
          </w:p>
          <w:p w14:paraId="7DFAAD6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址：吉林省敦化市大蒲柴河镇</w:t>
            </w:r>
          </w:p>
          <w:p w14:paraId="2CC81F55">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郭伟</w:t>
            </w:r>
          </w:p>
          <w:p w14:paraId="29154C49">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13844753222</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240"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大蒲柴河镇腰岔村主街路提升项目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采购计划-[2025]-00154号-ZMW-2025-DHZC223</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大蒲柴河镇腰岔村</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大蒲柴河镇腰岔村主街路提升项目（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签订合同后90日内完成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市政公用工程专业二级（含）及以上注册建造师执业资格</w:t>
            </w:r>
            <w:r>
              <w:rPr>
                <w:rFonts w:hint="eastAsia" w:ascii="宋体" w:hAnsi="宋体" w:eastAsia="宋体" w:cs="宋体"/>
                <w:color w:val="auto"/>
                <w:sz w:val="21"/>
                <w:szCs w:val="21"/>
                <w:highlight w:val="none"/>
              </w:rPr>
              <w:t>，且具备有效的安全生产考核合格证书(B类)，且未担任其他在建工程项目的项目经理。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9500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2025年07月</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95.00万元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lang w:eastAsia="zh-CN"/>
              </w:rPr>
              <w:t>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auto"/>
          <w:sz w:val="21"/>
          <w:highlight w:val="yellow"/>
        </w:rPr>
      </w:pPr>
    </w:p>
    <w:p w14:paraId="2850867A">
      <w:pPr>
        <w:rPr>
          <w:color w:val="auto"/>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市政公用工程专业二级及以上</w:t>
            </w:r>
            <w:r>
              <w:rPr>
                <w:rFonts w:hint="eastAsia" w:ascii="宋体" w:hAnsi="宋体" w:eastAsia="宋体" w:cs="宋体"/>
                <w:color w:val="auto"/>
                <w:sz w:val="21"/>
                <w:szCs w:val="21"/>
                <w:highlight w:val="none"/>
              </w:rPr>
              <w:t>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auto"/>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r>
              <w:rPr>
                <w:rFonts w:hint="eastAsia" w:ascii="宋体" w:hAnsi="宋体" w:eastAsia="宋体" w:cs="宋体"/>
                <w:color w:val="auto"/>
                <w:sz w:val="21"/>
                <w:szCs w:val="21"/>
                <w:highlight w:val="none"/>
                <w:lang w:eastAsia="zh-CN"/>
              </w:rPr>
              <w:t>。</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auto"/>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auto"/>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auto"/>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auto"/>
          <w:sz w:val="18"/>
          <w:szCs w:val="18"/>
          <w:highlight w:val="none"/>
        </w:rPr>
      </w:pPr>
    </w:p>
    <w:p w14:paraId="5D1E3B28">
      <w:pPr>
        <w:rPr>
          <w:color w:val="auto"/>
          <w:highlight w:val="none"/>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none"/>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none"/>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none"/>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签订合同后90日内完成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auto"/>
                <w:highlight w:val="none"/>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auto"/>
                <w:highlight w:val="none"/>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none"/>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none"/>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none"/>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none"/>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内容完整性和编制水平</w:t>
            </w:r>
          </w:p>
          <w:p w14:paraId="305464E7">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auto"/>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auto"/>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施工总布置</w:t>
            </w:r>
          </w:p>
          <w:p w14:paraId="22A54EED">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分)</w:t>
            </w:r>
          </w:p>
        </w:tc>
        <w:tc>
          <w:tcPr>
            <w:tcW w:w="6123" w:type="dxa"/>
            <w:vAlign w:val="top"/>
          </w:tcPr>
          <w:p w14:paraId="16CE3D2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根据本项目实际需求编制的施工总布置进行评审，包含但不限于以下几个方面；</w:t>
            </w:r>
          </w:p>
          <w:p w14:paraId="4922521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1、施工现场总体布置原则、要点。</w:t>
            </w:r>
          </w:p>
          <w:p w14:paraId="64AA7F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2、施工人员、工种（班组）、机械设备、主要材料的总体布置情况，以及布置原则、要点。</w:t>
            </w:r>
          </w:p>
          <w:p w14:paraId="6629824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2</w:t>
            </w:r>
            <w:r>
              <w:rPr>
                <w:rStyle w:val="40"/>
                <w:rFonts w:hint="eastAsia" w:ascii="宋体" w:hAnsi="宋体" w:eastAsia="宋体" w:cs="宋体"/>
                <w:color w:val="auto"/>
                <w:sz w:val="21"/>
                <w:szCs w:val="21"/>
                <w:highlight w:val="none"/>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auto"/>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施工方案与技术措施</w:t>
            </w:r>
          </w:p>
          <w:p w14:paraId="3A51498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top"/>
          </w:tcPr>
          <w:p w14:paraId="28A0E21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根据本项目实际需求编制的施工方案与技术措施进行评审，包含但不限于以下几个方面；</w:t>
            </w:r>
          </w:p>
          <w:p w14:paraId="058A41C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1、施工方案</w:t>
            </w:r>
          </w:p>
          <w:p w14:paraId="5BE4C9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2、技术措施</w:t>
            </w:r>
          </w:p>
          <w:p w14:paraId="6418B2B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3、施工工艺及流程</w:t>
            </w:r>
          </w:p>
          <w:p w14:paraId="2E2657C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4、施工组织管理</w:t>
            </w:r>
          </w:p>
          <w:p w14:paraId="2341F9A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5、施工人员管理</w:t>
            </w:r>
          </w:p>
          <w:p w14:paraId="02452D3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6、施工机械设备管理</w:t>
            </w:r>
          </w:p>
          <w:p w14:paraId="2A7511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7、施工材料管理</w:t>
            </w:r>
          </w:p>
          <w:p w14:paraId="09EB31E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8、施工重点难点分析</w:t>
            </w:r>
          </w:p>
          <w:p w14:paraId="68E37E08">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auto"/>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质量管理体系与措施</w:t>
            </w:r>
          </w:p>
          <w:p w14:paraId="34B82DD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(9分)</w:t>
            </w:r>
          </w:p>
        </w:tc>
        <w:tc>
          <w:tcPr>
            <w:tcW w:w="6123" w:type="dxa"/>
            <w:vAlign w:val="top"/>
          </w:tcPr>
          <w:p w14:paraId="52DD2A4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根据本项目实际需求编制的质量管理体系与措施进行评审，包含但不限于以下几个方面；</w:t>
            </w:r>
          </w:p>
          <w:p w14:paraId="60A35A5B">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1、质量管理目标</w:t>
            </w:r>
          </w:p>
          <w:p w14:paraId="0DD3A38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2、质量管理体系</w:t>
            </w:r>
          </w:p>
          <w:p w14:paraId="26ED96D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3、质量管理措施</w:t>
            </w:r>
          </w:p>
          <w:p w14:paraId="70CC882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4、质量保证体系</w:t>
            </w:r>
          </w:p>
          <w:p w14:paraId="6F51F2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5、质量保证措施</w:t>
            </w:r>
          </w:p>
          <w:p w14:paraId="3B708821">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6、施工质量控制措施</w:t>
            </w:r>
          </w:p>
          <w:p w14:paraId="6785A1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7、施工技术标准控制措施</w:t>
            </w:r>
          </w:p>
          <w:p w14:paraId="17E890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8、施工质量通病防治措施</w:t>
            </w:r>
          </w:p>
          <w:p w14:paraId="3AA45D7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9、施工质量检验检测标准及措施</w:t>
            </w:r>
          </w:p>
          <w:p w14:paraId="512260F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auto"/>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安全管理体系与措施</w:t>
            </w:r>
          </w:p>
          <w:p w14:paraId="5AEA3901">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center"/>
          </w:tcPr>
          <w:p w14:paraId="0366ED1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根据本项目实际需求编制的安全管理体系与措施进行评审，包含但不限于以下几个方面；</w:t>
            </w:r>
          </w:p>
          <w:p w14:paraId="7D77F69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1、安全管理目标</w:t>
            </w:r>
          </w:p>
          <w:p w14:paraId="680FD8E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2、安全管理体系</w:t>
            </w:r>
          </w:p>
          <w:p w14:paraId="7B752E2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3、安全管理措施</w:t>
            </w:r>
          </w:p>
          <w:p w14:paraId="697885F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4、安全生产责任制</w:t>
            </w:r>
          </w:p>
          <w:p w14:paraId="1067E29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5、安全生产机构设置和职责</w:t>
            </w:r>
          </w:p>
          <w:p w14:paraId="68F93EA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6、安全管理应急救援预案</w:t>
            </w:r>
          </w:p>
          <w:p w14:paraId="286D73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7、安全施工技术措施及人员交底措施</w:t>
            </w:r>
          </w:p>
          <w:p w14:paraId="05F4AFEC">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8、安全设施配备方案</w:t>
            </w:r>
          </w:p>
          <w:p w14:paraId="174A996C">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auto"/>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环境保护管理体系与措施</w:t>
            </w:r>
          </w:p>
          <w:p w14:paraId="4AD37B9E">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1B87DE7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根据本项目实际需求编制的环境保护管理体系与措施进行评审，包含但不限于以下几个方面；</w:t>
            </w:r>
          </w:p>
          <w:p w14:paraId="7166055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1、环境保护管理目标</w:t>
            </w:r>
          </w:p>
          <w:p w14:paraId="1DF51FB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2、环境保护管理体系</w:t>
            </w:r>
          </w:p>
          <w:p w14:paraId="2E4CB80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3、环境保护管理措施</w:t>
            </w:r>
          </w:p>
          <w:p w14:paraId="51349155">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auto"/>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工程进度计</w:t>
            </w:r>
            <w:bookmarkStart w:id="86" w:name="_GoBack"/>
            <w:bookmarkEnd w:id="86"/>
            <w:r>
              <w:rPr>
                <w:rFonts w:hint="eastAsia" w:ascii="宋体" w:hAnsi="宋体" w:eastAsia="宋体" w:cs="宋体"/>
                <w:bCs/>
                <w:color w:val="auto"/>
                <w:sz w:val="21"/>
                <w:szCs w:val="21"/>
                <w:highlight w:val="none"/>
                <w:lang w:val="zh-CN"/>
              </w:rPr>
              <w:t>划与措施</w:t>
            </w:r>
          </w:p>
          <w:p w14:paraId="38896FE3">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4</w:t>
            </w:r>
            <w:r>
              <w:rPr>
                <w:rFonts w:hint="eastAsia" w:ascii="宋体" w:hAnsi="宋体" w:eastAsia="宋体" w:cs="宋体"/>
                <w:bCs/>
                <w:color w:val="auto"/>
                <w:spacing w:val="-6"/>
                <w:sz w:val="21"/>
                <w:szCs w:val="21"/>
                <w:highlight w:val="none"/>
              </w:rPr>
              <w:t>分)</w:t>
            </w:r>
          </w:p>
        </w:tc>
        <w:tc>
          <w:tcPr>
            <w:tcW w:w="6123" w:type="dxa"/>
            <w:vAlign w:val="top"/>
          </w:tcPr>
          <w:p w14:paraId="7B792F7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根据本项目实际需求编制的工程进度计划与措施进行评审，包含但不限于以下几个方面；</w:t>
            </w:r>
          </w:p>
          <w:p w14:paraId="26791A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1、工程进度计划目标</w:t>
            </w:r>
          </w:p>
          <w:p w14:paraId="2EB5159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2、总体工程计划</w:t>
            </w:r>
          </w:p>
          <w:p w14:paraId="08589B4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3、工程进度计划组织管理体系</w:t>
            </w:r>
          </w:p>
          <w:p w14:paraId="7E2487AE">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4、工程进度计划保证措施</w:t>
            </w:r>
          </w:p>
          <w:p w14:paraId="4A29AA77">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4</w:t>
            </w:r>
            <w:r>
              <w:rPr>
                <w:rStyle w:val="40"/>
                <w:rFonts w:hint="eastAsia" w:ascii="宋体" w:hAnsi="宋体" w:eastAsia="宋体" w:cs="宋体"/>
                <w:color w:val="auto"/>
                <w:sz w:val="21"/>
                <w:szCs w:val="21"/>
                <w:highlight w:val="none"/>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auto"/>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资源配备计划</w:t>
            </w:r>
          </w:p>
          <w:p w14:paraId="4FA83E45">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6F71C1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根据本项目实际需求编制的资源配备计划进行评审，包含但不限于以下几个方面；</w:t>
            </w:r>
          </w:p>
          <w:p w14:paraId="10DD506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1、劳动力配备计划</w:t>
            </w:r>
          </w:p>
          <w:p w14:paraId="53E2B8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2、材料设备进场计划</w:t>
            </w:r>
          </w:p>
          <w:p w14:paraId="2463D68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3、施工机械、设备配置计划</w:t>
            </w:r>
          </w:p>
          <w:p w14:paraId="7A516A34">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auto"/>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紧急情况的处理措施、预案以及抵抗风险的措施</w:t>
            </w:r>
          </w:p>
          <w:p w14:paraId="1D7E98A0">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(4分)</w:t>
            </w:r>
          </w:p>
        </w:tc>
        <w:tc>
          <w:tcPr>
            <w:tcW w:w="6123" w:type="dxa"/>
            <w:vAlign w:val="top"/>
          </w:tcPr>
          <w:p w14:paraId="6F99724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施工期间可能发生的突发性事件及突发性事故处理措施</w:t>
            </w:r>
          </w:p>
          <w:p w14:paraId="5F6E439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2、施工期间潜在的</w:t>
            </w:r>
            <w:r>
              <w:rPr>
                <w:rFonts w:hint="eastAsia" w:ascii="宋体" w:hAnsi="宋体" w:eastAsia="宋体" w:cs="宋体"/>
                <w:color w:val="auto"/>
                <w:sz w:val="21"/>
                <w:szCs w:val="21"/>
                <w:highlight w:val="none"/>
              </w:rPr>
              <w:t>有毒有害和易燃易爆等危险物质处置措施</w:t>
            </w:r>
          </w:p>
          <w:p w14:paraId="4A6EE22F">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3、针对潜在的人身安全与环境影响预案</w:t>
            </w:r>
          </w:p>
          <w:p w14:paraId="0A022A20">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4、抵抗潜在风险的措施</w:t>
            </w:r>
          </w:p>
          <w:p w14:paraId="126A3DF2">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highlight w:val="none"/>
                <w:lang w:val="en-US" w:eastAsia="zh-CN"/>
              </w:rPr>
              <w:t>项目经理、技术负责人、</w:t>
            </w:r>
            <w:r>
              <w:rPr>
                <w:rFonts w:hint="eastAsia" w:ascii="宋体" w:hAnsi="宋体" w:eastAsia="宋体" w:cs="宋体"/>
                <w:bCs/>
                <w:color w:val="auto"/>
                <w:spacing w:val="-6"/>
                <w:szCs w:val="21"/>
                <w:highlight w:val="none"/>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none"/>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敦化市大蒲柴河镇人民政府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大蒲柴河镇腰岔村主街路提升项目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大蒲柴河镇腰岔村主街路提升项目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67261692"/>
      <w:bookmarkEnd w:id="20"/>
      <w:bookmarkStart w:id="21" w:name="_Toc296503225"/>
      <w:bookmarkEnd w:id="21"/>
      <w:bookmarkStart w:id="22" w:name="_Toc296891265"/>
      <w:bookmarkEnd w:id="22"/>
      <w:bookmarkStart w:id="23" w:name="_Toc296891053"/>
      <w:bookmarkEnd w:id="23"/>
      <w:bookmarkStart w:id="24" w:name="_Toc296346726"/>
      <w:bookmarkEnd w:id="24"/>
      <w:bookmarkStart w:id="25" w:name="_Toc296347224"/>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503226"/>
      <w:bookmarkEnd w:id="27"/>
      <w:bookmarkStart w:id="28" w:name="_Toc296347225"/>
      <w:bookmarkEnd w:id="28"/>
      <w:bookmarkStart w:id="29" w:name="_Toc296891054"/>
      <w:bookmarkEnd w:id="29"/>
      <w:bookmarkStart w:id="30" w:name="_Toc296346727"/>
      <w:bookmarkEnd w:id="30"/>
      <w:bookmarkStart w:id="31" w:name="_Toc267261693"/>
      <w:bookmarkEnd w:id="31"/>
      <w:bookmarkStart w:id="32" w:name="_Toc296891266"/>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346728"/>
      <w:bookmarkEnd w:id="34"/>
      <w:bookmarkStart w:id="35" w:name="_Toc267261698"/>
      <w:bookmarkEnd w:id="35"/>
      <w:bookmarkStart w:id="36" w:name="_Toc296347226"/>
      <w:bookmarkEnd w:id="36"/>
      <w:bookmarkStart w:id="37" w:name="_Toc296503227"/>
      <w:bookmarkEnd w:id="37"/>
      <w:bookmarkStart w:id="38" w:name="_Toc296891267"/>
      <w:bookmarkEnd w:id="38"/>
      <w:bookmarkStart w:id="39" w:name="_Toc296891055"/>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1" w:name="_Toc267261699"/>
      <w:bookmarkEnd w:id="41"/>
      <w:bookmarkStart w:id="42" w:name="_Toc296346729"/>
      <w:bookmarkEnd w:id="42"/>
      <w:bookmarkStart w:id="43" w:name="_Toc296503228"/>
      <w:bookmarkEnd w:id="43"/>
      <w:bookmarkStart w:id="44" w:name="_Toc296891056"/>
      <w:bookmarkEnd w:id="44"/>
      <w:bookmarkStart w:id="45" w:name="_Toc296347227"/>
      <w:bookmarkEnd w:id="45"/>
      <w:bookmarkStart w:id="46" w:name="_Toc29689126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346730"/>
      <w:bookmarkEnd w:id="48"/>
      <w:bookmarkStart w:id="49" w:name="_Toc296503229"/>
      <w:bookmarkEnd w:id="49"/>
      <w:bookmarkStart w:id="50" w:name="_Toc296891057"/>
      <w:bookmarkEnd w:id="50"/>
      <w:bookmarkStart w:id="51" w:name="_Toc296891269"/>
      <w:bookmarkEnd w:id="51"/>
      <w:bookmarkStart w:id="52" w:name="_Toc296347228"/>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891059"/>
      <w:bookmarkEnd w:id="55"/>
      <w:bookmarkStart w:id="56" w:name="_Toc296347230"/>
      <w:bookmarkEnd w:id="56"/>
      <w:bookmarkStart w:id="57" w:name="_Toc296503231"/>
      <w:bookmarkEnd w:id="57"/>
      <w:bookmarkStart w:id="58" w:name="_Toc296891271"/>
      <w:bookmarkEnd w:id="58"/>
      <w:bookmarkStart w:id="59" w:name="_Toc296346732"/>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67261702"/>
      <w:bookmarkEnd w:id="61"/>
      <w:bookmarkStart w:id="62" w:name="_Toc296346733"/>
      <w:bookmarkEnd w:id="62"/>
      <w:bookmarkStart w:id="63" w:name="_Toc296347231"/>
      <w:bookmarkEnd w:id="63"/>
      <w:bookmarkStart w:id="64" w:name="_Toc296891272"/>
      <w:bookmarkEnd w:id="64"/>
      <w:bookmarkStart w:id="65" w:name="_Toc296891060"/>
      <w:bookmarkEnd w:id="65"/>
      <w:bookmarkStart w:id="66" w:name="_Toc29650323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891273"/>
      <w:bookmarkEnd w:id="68"/>
      <w:bookmarkStart w:id="69" w:name="_Toc296347232"/>
      <w:bookmarkEnd w:id="69"/>
      <w:bookmarkStart w:id="70" w:name="_Toc296346734"/>
      <w:bookmarkEnd w:id="70"/>
      <w:bookmarkStart w:id="71" w:name="_Toc296503233"/>
      <w:bookmarkEnd w:id="71"/>
      <w:bookmarkStart w:id="72" w:name="_Toc296891061"/>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ascii="宋体" w:hAnsi="宋体" w:eastAsia="宋体" w:cs="宋体"/>
          <w:color w:val="auto"/>
          <w:spacing w:val="-1"/>
          <w:sz w:val="21"/>
          <w:szCs w:val="21"/>
          <w:highlight w:val="none"/>
        </w:rPr>
        <w:t>磋商有限期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签订合同后90日内完成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auto"/>
          <w:sz w:val="24"/>
          <w:szCs w:val="24"/>
          <w:highlight w:val="none"/>
        </w:rPr>
      </w:pP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3CC2E8A4">
      <w:pPr>
        <w:spacing w:line="204" w:lineRule="auto"/>
        <w:ind w:firstLine="82"/>
        <w:rPr>
          <w:color w:val="auto"/>
          <w:highlight w:val="none"/>
        </w:rPr>
      </w:pPr>
      <w:r>
        <w:rPr>
          <w:rFonts w:ascii="宋体" w:hAnsi="宋体" w:eastAsia="宋体" w:cs="宋体"/>
          <w:color w:val="auto"/>
          <w:spacing w:val="-3"/>
          <w:sz w:val="28"/>
          <w:szCs w:val="28"/>
          <w:highlight w:val="none"/>
        </w:rPr>
        <w:t>项目编号：</w:t>
      </w:r>
    </w:p>
    <w:p w14:paraId="266058D3">
      <w:pPr>
        <w:spacing w:line="31" w:lineRule="exact"/>
        <w:rPr>
          <w:color w:val="auto"/>
          <w:highlight w:val="none"/>
        </w:rPr>
      </w:pPr>
    </w:p>
    <w:tbl>
      <w:tblPr>
        <w:tblStyle w:val="33"/>
        <w:tblW w:w="10000" w:type="dxa"/>
        <w:tblInd w:w="-6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217"/>
        <w:gridCol w:w="1250"/>
        <w:gridCol w:w="1085"/>
        <w:gridCol w:w="1565"/>
        <w:gridCol w:w="666"/>
        <w:gridCol w:w="1109"/>
        <w:gridCol w:w="1109"/>
        <w:gridCol w:w="1349"/>
      </w:tblGrid>
      <w:tr w14:paraId="4880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650" w:type="dxa"/>
            <w:vAlign w:val="center"/>
          </w:tcPr>
          <w:p w14:paraId="726835CE">
            <w:pPr>
              <w:spacing w:before="241" w:line="19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17" w:type="dxa"/>
            <w:vAlign w:val="center"/>
          </w:tcPr>
          <w:p w14:paraId="36630E6E">
            <w:pPr>
              <w:spacing w:before="78" w:line="184"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响应人</w:t>
            </w:r>
            <w:r>
              <w:rPr>
                <w:rFonts w:hint="eastAsia" w:asciiTheme="minorEastAsia" w:hAnsiTheme="minorEastAsia" w:eastAsiaTheme="minorEastAsia" w:cstheme="minorEastAsia"/>
                <w:color w:val="auto"/>
                <w:spacing w:val="-2"/>
                <w:sz w:val="24"/>
                <w:szCs w:val="24"/>
                <w:highlight w:val="none"/>
              </w:rPr>
              <w:t>名称</w:t>
            </w:r>
          </w:p>
        </w:tc>
        <w:tc>
          <w:tcPr>
            <w:tcW w:w="1250" w:type="dxa"/>
            <w:vAlign w:val="center"/>
          </w:tcPr>
          <w:p w14:paraId="20460C6A">
            <w:pPr>
              <w:spacing w:before="276" w:line="231" w:lineRule="auto"/>
              <w:ind w:right="13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企业施工资</w:t>
            </w:r>
            <w:r>
              <w:rPr>
                <w:rFonts w:hint="eastAsia" w:asciiTheme="minorEastAsia" w:hAnsiTheme="minorEastAsia" w:eastAsiaTheme="minorEastAsia" w:cstheme="minorEastAsia"/>
                <w:color w:val="auto"/>
                <w:spacing w:val="-4"/>
                <w:sz w:val="24"/>
                <w:szCs w:val="24"/>
                <w:highlight w:val="none"/>
              </w:rPr>
              <w:t>质等级</w:t>
            </w:r>
          </w:p>
        </w:tc>
        <w:tc>
          <w:tcPr>
            <w:tcW w:w="1085" w:type="dxa"/>
            <w:vAlign w:val="center"/>
          </w:tcPr>
          <w:p w14:paraId="32426885">
            <w:pPr>
              <w:spacing w:before="276" w:line="231" w:lineRule="auto"/>
              <w:ind w:right="1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r>
              <w:rPr>
                <w:rFonts w:hint="eastAsia" w:asciiTheme="minorEastAsia" w:hAnsiTheme="minorEastAsia" w:eastAsiaTheme="minorEastAsia" w:cstheme="minorEastAsia"/>
                <w:color w:val="auto"/>
                <w:spacing w:val="-4"/>
                <w:sz w:val="24"/>
                <w:szCs w:val="24"/>
                <w:highlight w:val="none"/>
              </w:rPr>
              <w:t>（万元）</w:t>
            </w:r>
          </w:p>
        </w:tc>
        <w:tc>
          <w:tcPr>
            <w:tcW w:w="1565" w:type="dxa"/>
            <w:vAlign w:val="center"/>
          </w:tcPr>
          <w:p w14:paraId="0F6797B9">
            <w:pPr>
              <w:spacing w:before="276" w:line="231" w:lineRule="auto"/>
              <w:ind w:right="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磋商保证金</w:t>
            </w:r>
            <w:r>
              <w:rPr>
                <w:rFonts w:hint="eastAsia" w:asciiTheme="minorEastAsia" w:hAnsiTheme="minorEastAsia" w:eastAsiaTheme="minorEastAsia" w:cstheme="minorEastAsia"/>
                <w:color w:val="auto"/>
                <w:spacing w:val="-4"/>
                <w:sz w:val="24"/>
                <w:szCs w:val="24"/>
                <w:highlight w:val="none"/>
              </w:rPr>
              <w:t>（有/无）</w:t>
            </w:r>
          </w:p>
        </w:tc>
        <w:tc>
          <w:tcPr>
            <w:tcW w:w="666" w:type="dxa"/>
            <w:vAlign w:val="center"/>
          </w:tcPr>
          <w:p w14:paraId="39566B8D">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工期</w:t>
            </w:r>
          </w:p>
        </w:tc>
        <w:tc>
          <w:tcPr>
            <w:tcW w:w="1109" w:type="dxa"/>
            <w:vAlign w:val="center"/>
          </w:tcPr>
          <w:p w14:paraId="7143C22F">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质量标准</w:t>
            </w:r>
          </w:p>
        </w:tc>
        <w:tc>
          <w:tcPr>
            <w:tcW w:w="1109" w:type="dxa"/>
            <w:vAlign w:val="center"/>
          </w:tcPr>
          <w:p w14:paraId="5700BAF1">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项目经理姓名</w:t>
            </w:r>
          </w:p>
        </w:tc>
        <w:tc>
          <w:tcPr>
            <w:tcW w:w="1349" w:type="dxa"/>
            <w:vAlign w:val="center"/>
          </w:tcPr>
          <w:p w14:paraId="6B632ED9">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项目经理注册证书编号</w:t>
            </w:r>
          </w:p>
        </w:tc>
      </w:tr>
      <w:tr w14:paraId="350F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50" w:type="dxa"/>
            <w:vAlign w:val="top"/>
          </w:tcPr>
          <w:p w14:paraId="25E6E87B">
            <w:pPr>
              <w:rPr>
                <w:rFonts w:ascii="宋体"/>
                <w:color w:val="auto"/>
                <w:sz w:val="21"/>
                <w:highlight w:val="none"/>
              </w:rPr>
            </w:pPr>
          </w:p>
        </w:tc>
        <w:tc>
          <w:tcPr>
            <w:tcW w:w="1217" w:type="dxa"/>
            <w:vAlign w:val="top"/>
          </w:tcPr>
          <w:p w14:paraId="534F0005">
            <w:pPr>
              <w:rPr>
                <w:rFonts w:ascii="宋体"/>
                <w:color w:val="auto"/>
                <w:sz w:val="21"/>
                <w:highlight w:val="none"/>
              </w:rPr>
            </w:pPr>
          </w:p>
        </w:tc>
        <w:tc>
          <w:tcPr>
            <w:tcW w:w="1250" w:type="dxa"/>
            <w:vAlign w:val="top"/>
          </w:tcPr>
          <w:p w14:paraId="1795A782">
            <w:pPr>
              <w:rPr>
                <w:rFonts w:ascii="宋体"/>
                <w:color w:val="auto"/>
                <w:sz w:val="21"/>
                <w:highlight w:val="none"/>
              </w:rPr>
            </w:pPr>
          </w:p>
        </w:tc>
        <w:tc>
          <w:tcPr>
            <w:tcW w:w="1085" w:type="dxa"/>
            <w:vAlign w:val="top"/>
          </w:tcPr>
          <w:p w14:paraId="1DFE6FA5">
            <w:pPr>
              <w:rPr>
                <w:rFonts w:ascii="宋体"/>
                <w:color w:val="auto"/>
                <w:sz w:val="21"/>
                <w:highlight w:val="none"/>
              </w:rPr>
            </w:pPr>
          </w:p>
        </w:tc>
        <w:tc>
          <w:tcPr>
            <w:tcW w:w="1565" w:type="dxa"/>
            <w:vAlign w:val="top"/>
          </w:tcPr>
          <w:p w14:paraId="6372A500">
            <w:pPr>
              <w:rPr>
                <w:rFonts w:ascii="宋体"/>
                <w:color w:val="auto"/>
                <w:sz w:val="21"/>
                <w:highlight w:val="none"/>
              </w:rPr>
            </w:pPr>
          </w:p>
        </w:tc>
        <w:tc>
          <w:tcPr>
            <w:tcW w:w="666" w:type="dxa"/>
            <w:vAlign w:val="top"/>
          </w:tcPr>
          <w:p w14:paraId="70A725DF">
            <w:pPr>
              <w:rPr>
                <w:rFonts w:ascii="宋体"/>
                <w:color w:val="auto"/>
                <w:sz w:val="21"/>
                <w:highlight w:val="none"/>
              </w:rPr>
            </w:pPr>
          </w:p>
        </w:tc>
        <w:tc>
          <w:tcPr>
            <w:tcW w:w="1109" w:type="dxa"/>
            <w:vAlign w:val="top"/>
          </w:tcPr>
          <w:p w14:paraId="6D1D0D12">
            <w:pPr>
              <w:rPr>
                <w:rFonts w:ascii="宋体"/>
                <w:color w:val="auto"/>
                <w:sz w:val="21"/>
                <w:highlight w:val="none"/>
              </w:rPr>
            </w:pPr>
          </w:p>
        </w:tc>
        <w:tc>
          <w:tcPr>
            <w:tcW w:w="1109" w:type="dxa"/>
            <w:vAlign w:val="top"/>
          </w:tcPr>
          <w:p w14:paraId="1399C108">
            <w:pPr>
              <w:rPr>
                <w:rFonts w:ascii="宋体"/>
                <w:color w:val="auto"/>
                <w:sz w:val="21"/>
                <w:highlight w:val="none"/>
              </w:rPr>
            </w:pPr>
          </w:p>
        </w:tc>
        <w:tc>
          <w:tcPr>
            <w:tcW w:w="1349" w:type="dxa"/>
            <w:vAlign w:val="top"/>
          </w:tcPr>
          <w:p w14:paraId="1EF479F5">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r>
        <w:rPr>
          <w:rFonts w:hint="eastAsia" w:ascii="宋体" w:hAnsi="宋体" w:eastAsia="宋体" w:cs="宋体"/>
          <w:color w:val="auto"/>
          <w:spacing w:val="-9"/>
          <w:sz w:val="30"/>
          <w:szCs w:val="30"/>
          <w:highlight w:val="none"/>
          <w:lang w:val="en-US" w:eastAsia="zh-CN"/>
          <w14:textOutline w14:w="5448" w14:cap="sq" w14:cmpd="sng">
            <w14:solidFill>
              <w14:srgbClr w14:val="000000"/>
            </w14:solidFill>
            <w14:prstDash w14:val="solid"/>
            <w14:bevel/>
          </w14:textOutline>
        </w:rPr>
        <w:t>并加盖公章</w:t>
      </w: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2316D3"/>
    <w:rsid w:val="016631A5"/>
    <w:rsid w:val="024E7861"/>
    <w:rsid w:val="02525107"/>
    <w:rsid w:val="028D7421"/>
    <w:rsid w:val="02BB6EB1"/>
    <w:rsid w:val="03764359"/>
    <w:rsid w:val="060D2532"/>
    <w:rsid w:val="07043A2A"/>
    <w:rsid w:val="076D1528"/>
    <w:rsid w:val="079D0404"/>
    <w:rsid w:val="08C144A2"/>
    <w:rsid w:val="09775197"/>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3BA1BA3"/>
    <w:rsid w:val="14012901"/>
    <w:rsid w:val="157479A5"/>
    <w:rsid w:val="16D721DE"/>
    <w:rsid w:val="17E74E85"/>
    <w:rsid w:val="18CC3221"/>
    <w:rsid w:val="195A724C"/>
    <w:rsid w:val="196813D1"/>
    <w:rsid w:val="19E70CDD"/>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713890"/>
    <w:rsid w:val="22E96949"/>
    <w:rsid w:val="234F603A"/>
    <w:rsid w:val="23FF13A9"/>
    <w:rsid w:val="24007DBC"/>
    <w:rsid w:val="24453B95"/>
    <w:rsid w:val="253C48E1"/>
    <w:rsid w:val="255C2D4F"/>
    <w:rsid w:val="26D32E06"/>
    <w:rsid w:val="26E23A9A"/>
    <w:rsid w:val="271251B0"/>
    <w:rsid w:val="27843D3D"/>
    <w:rsid w:val="27875542"/>
    <w:rsid w:val="29846F5F"/>
    <w:rsid w:val="2AEF2177"/>
    <w:rsid w:val="2B265DEC"/>
    <w:rsid w:val="2D6277DA"/>
    <w:rsid w:val="2EFA6479"/>
    <w:rsid w:val="2FB263F4"/>
    <w:rsid w:val="2FE200C7"/>
    <w:rsid w:val="30C55FCE"/>
    <w:rsid w:val="31775837"/>
    <w:rsid w:val="31F97D80"/>
    <w:rsid w:val="326276D3"/>
    <w:rsid w:val="338336DE"/>
    <w:rsid w:val="348B6F28"/>
    <w:rsid w:val="34B0259D"/>
    <w:rsid w:val="34B95FA8"/>
    <w:rsid w:val="35C97487"/>
    <w:rsid w:val="36F54D10"/>
    <w:rsid w:val="374D2DE0"/>
    <w:rsid w:val="376477E4"/>
    <w:rsid w:val="37F07C25"/>
    <w:rsid w:val="37F15B18"/>
    <w:rsid w:val="38C22C79"/>
    <w:rsid w:val="38F149A7"/>
    <w:rsid w:val="39BC0814"/>
    <w:rsid w:val="39F5707E"/>
    <w:rsid w:val="3A323E2F"/>
    <w:rsid w:val="3A5E391E"/>
    <w:rsid w:val="3B101743"/>
    <w:rsid w:val="3B6E1E75"/>
    <w:rsid w:val="3B7C7A57"/>
    <w:rsid w:val="3BA0297D"/>
    <w:rsid w:val="3D0F0457"/>
    <w:rsid w:val="3D1141E0"/>
    <w:rsid w:val="3E9A44C1"/>
    <w:rsid w:val="3F182229"/>
    <w:rsid w:val="403D24F9"/>
    <w:rsid w:val="40976A99"/>
    <w:rsid w:val="410F1684"/>
    <w:rsid w:val="41320BB8"/>
    <w:rsid w:val="420A5691"/>
    <w:rsid w:val="42731726"/>
    <w:rsid w:val="42845230"/>
    <w:rsid w:val="43EA7064"/>
    <w:rsid w:val="444104BA"/>
    <w:rsid w:val="446D49A3"/>
    <w:rsid w:val="448F0A08"/>
    <w:rsid w:val="45154176"/>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4F963179"/>
    <w:rsid w:val="50317837"/>
    <w:rsid w:val="506863A4"/>
    <w:rsid w:val="51C55131"/>
    <w:rsid w:val="51DC5832"/>
    <w:rsid w:val="51E35B77"/>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B41F4C"/>
    <w:rsid w:val="5BCD1EEB"/>
    <w:rsid w:val="5BD0116F"/>
    <w:rsid w:val="5C7D5361"/>
    <w:rsid w:val="5CA75896"/>
    <w:rsid w:val="5D74360C"/>
    <w:rsid w:val="5DAE168A"/>
    <w:rsid w:val="5DB7095E"/>
    <w:rsid w:val="5EBD3BEB"/>
    <w:rsid w:val="5F5E72E1"/>
    <w:rsid w:val="6016342D"/>
    <w:rsid w:val="60A5756B"/>
    <w:rsid w:val="62317981"/>
    <w:rsid w:val="62A12443"/>
    <w:rsid w:val="651B53AC"/>
    <w:rsid w:val="652653ED"/>
    <w:rsid w:val="65BD4309"/>
    <w:rsid w:val="6613230B"/>
    <w:rsid w:val="67F2573E"/>
    <w:rsid w:val="691A0B80"/>
    <w:rsid w:val="693C2834"/>
    <w:rsid w:val="6AC83870"/>
    <w:rsid w:val="6AD77F57"/>
    <w:rsid w:val="6BF77F2C"/>
    <w:rsid w:val="6C991ED2"/>
    <w:rsid w:val="6CEF59BC"/>
    <w:rsid w:val="6D353531"/>
    <w:rsid w:val="6E6F4D5B"/>
    <w:rsid w:val="6FB25EDF"/>
    <w:rsid w:val="6FF45F39"/>
    <w:rsid w:val="702363D8"/>
    <w:rsid w:val="70CB230C"/>
    <w:rsid w:val="70E3107F"/>
    <w:rsid w:val="70FA499F"/>
    <w:rsid w:val="71175A49"/>
    <w:rsid w:val="725A3FEF"/>
    <w:rsid w:val="727B6131"/>
    <w:rsid w:val="73ED79B5"/>
    <w:rsid w:val="741778CC"/>
    <w:rsid w:val="77796A6A"/>
    <w:rsid w:val="77DD0550"/>
    <w:rsid w:val="78132BE4"/>
    <w:rsid w:val="793863C2"/>
    <w:rsid w:val="794011C2"/>
    <w:rsid w:val="79F878A6"/>
    <w:rsid w:val="7AE06196"/>
    <w:rsid w:val="7C1F25C8"/>
    <w:rsid w:val="7E75623E"/>
    <w:rsid w:val="7EC3500B"/>
    <w:rsid w:val="7F424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10064</Words>
  <Characters>13088</Characters>
  <TotalTime>63</TotalTime>
  <ScaleCrop>false</ScaleCrop>
  <LinksUpToDate>false</LinksUpToDate>
  <CharactersWithSpaces>13107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2025-07-11T04:01:02Z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2052-12.1.0.21915</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