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90A0A">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吉林省人民医院绩效管理咨询服务机配套软件系统</w:t>
      </w:r>
    </w:p>
    <w:p w14:paraId="4759CBBB">
      <w:pPr>
        <w:pStyle w:val="3"/>
        <w:rPr>
          <w:rFonts w:hint="eastAsia"/>
          <w:color w:val="auto"/>
          <w:highlight w:val="none"/>
          <w:lang w:eastAsia="zh-CN"/>
        </w:rPr>
      </w:pPr>
    </w:p>
    <w:p w14:paraId="074A71C4">
      <w:pPr>
        <w:rPr>
          <w:rFonts w:hint="eastAsia"/>
          <w:color w:val="auto"/>
          <w:highlight w:val="none"/>
          <w:lang w:eastAsia="zh-CN"/>
        </w:rPr>
      </w:pPr>
    </w:p>
    <w:p w14:paraId="0816BD36">
      <w:pPr>
        <w:spacing w:line="240" w:lineRule="auto"/>
        <w:jc w:val="center"/>
        <w:rPr>
          <w:rFonts w:hint="eastAsia" w:ascii="宋体" w:hAnsi="宋体" w:eastAsia="宋体" w:cs="宋体"/>
          <w:b/>
          <w:color w:val="auto"/>
          <w:sz w:val="84"/>
          <w:szCs w:val="84"/>
          <w:highlight w:val="none"/>
        </w:rPr>
      </w:pPr>
    </w:p>
    <w:p w14:paraId="05023916">
      <w:pPr>
        <w:spacing w:line="24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招 标 文 件</w:t>
      </w:r>
    </w:p>
    <w:p w14:paraId="30028677">
      <w:pPr>
        <w:spacing w:line="240" w:lineRule="auto"/>
        <w:jc w:val="both"/>
        <w:rPr>
          <w:rFonts w:hint="eastAsia" w:ascii="宋体" w:hAnsi="宋体" w:eastAsia="宋体" w:cs="宋体"/>
          <w:b/>
          <w:color w:val="auto"/>
          <w:sz w:val="36"/>
          <w:szCs w:val="36"/>
          <w:highlight w:val="none"/>
        </w:rPr>
      </w:pPr>
    </w:p>
    <w:p w14:paraId="3575AE0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eastAsia="zh-CN"/>
        </w:rPr>
        <w:t>ZYGJZB2025-129</w:t>
      </w:r>
    </w:p>
    <w:p w14:paraId="34B808A3">
      <w:pPr>
        <w:rPr>
          <w:rFonts w:hint="eastAsia" w:ascii="宋体" w:hAnsi="宋体" w:eastAsia="宋体" w:cs="宋体"/>
          <w:b/>
          <w:color w:val="auto"/>
          <w:sz w:val="28"/>
          <w:szCs w:val="28"/>
          <w:highlight w:val="none"/>
        </w:rPr>
      </w:pPr>
    </w:p>
    <w:p w14:paraId="27749987">
      <w:pPr>
        <w:pStyle w:val="3"/>
        <w:rPr>
          <w:rFonts w:hint="eastAsia"/>
          <w:color w:val="auto"/>
          <w:highlight w:val="none"/>
        </w:rPr>
      </w:pPr>
    </w:p>
    <w:p w14:paraId="77DCCC61">
      <w:pPr>
        <w:rPr>
          <w:rFonts w:hint="eastAsia" w:ascii="宋体" w:hAnsi="宋体" w:eastAsia="宋体" w:cs="宋体"/>
          <w:b/>
          <w:color w:val="auto"/>
          <w:sz w:val="28"/>
          <w:szCs w:val="28"/>
          <w:highlight w:val="none"/>
        </w:rPr>
      </w:pPr>
    </w:p>
    <w:p w14:paraId="27F8E3D4">
      <w:pPr>
        <w:rPr>
          <w:rFonts w:hint="eastAsia" w:ascii="宋体" w:hAnsi="宋体" w:eastAsia="宋体" w:cs="宋体"/>
          <w:b/>
          <w:color w:val="auto"/>
          <w:sz w:val="28"/>
          <w:szCs w:val="28"/>
          <w:highlight w:val="none"/>
        </w:rPr>
      </w:pPr>
    </w:p>
    <w:p w14:paraId="11F7ABA3">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采购</w:t>
      </w:r>
      <w:r>
        <w:rPr>
          <w:rFonts w:hint="eastAsia" w:ascii="宋体" w:hAnsi="宋体" w:eastAsia="宋体" w:cs="宋体"/>
          <w:b/>
          <w:color w:val="auto"/>
          <w:sz w:val="28"/>
          <w:szCs w:val="28"/>
          <w:highlight w:val="none"/>
        </w:rPr>
        <w:t>人：</w:t>
      </w:r>
      <w:r>
        <w:rPr>
          <w:rFonts w:hint="eastAsia" w:ascii="宋体" w:hAnsi="宋体" w:cs="宋体"/>
          <w:b/>
          <w:color w:val="auto"/>
          <w:sz w:val="28"/>
          <w:szCs w:val="28"/>
          <w:highlight w:val="none"/>
          <w:lang w:eastAsia="zh-CN"/>
        </w:rPr>
        <w:t>吉林省人民医院</w:t>
      </w:r>
    </w:p>
    <w:p w14:paraId="4B82B5C8">
      <w:pPr>
        <w:spacing w:line="360" w:lineRule="auto"/>
        <w:rPr>
          <w:rFonts w:hint="eastAsia" w:ascii="宋体" w:hAnsi="宋体" w:eastAsia="宋体" w:cs="宋体"/>
          <w:b/>
          <w:bCs/>
          <w:color w:val="auto"/>
          <w:sz w:val="28"/>
          <w:szCs w:val="28"/>
          <w:highlight w:val="none"/>
          <w:lang w:eastAsia="zh-CN"/>
        </w:rPr>
      </w:pPr>
      <w:r>
        <w:rPr>
          <w:rFonts w:hint="eastAsia" w:ascii="宋体" w:hAnsi="宋体" w:eastAsia="宋体" w:cs="宋体"/>
          <w:b/>
          <w:color w:val="auto"/>
          <w:sz w:val="28"/>
          <w:szCs w:val="28"/>
          <w:highlight w:val="none"/>
        </w:rPr>
        <w:t>代理机构：</w:t>
      </w:r>
      <w:r>
        <w:rPr>
          <w:rFonts w:hint="eastAsia" w:ascii="宋体" w:hAnsi="宋体" w:cs="宋体"/>
          <w:b/>
          <w:bCs/>
          <w:color w:val="auto"/>
          <w:sz w:val="28"/>
          <w:szCs w:val="28"/>
          <w:highlight w:val="none"/>
          <w:lang w:eastAsia="zh-CN"/>
        </w:rPr>
        <w:t>中源国际招标有限公司</w:t>
      </w:r>
    </w:p>
    <w:p w14:paraId="7F187E20">
      <w:pPr>
        <w:spacing w:line="360" w:lineRule="auto"/>
        <w:rPr>
          <w:rFonts w:hint="eastAsia" w:ascii="宋体" w:hAnsi="宋体" w:eastAsia="宋体" w:cs="宋体"/>
          <w:b/>
          <w:bCs/>
          <w:color w:val="auto"/>
          <w:sz w:val="28"/>
          <w:szCs w:val="28"/>
          <w:highlight w:val="none"/>
        </w:rPr>
      </w:pPr>
    </w:p>
    <w:p w14:paraId="540AA8EA">
      <w:pPr>
        <w:autoSpaceDE w:val="0"/>
        <w:autoSpaceDN w:val="0"/>
        <w:adjustRightInd w:val="0"/>
        <w:spacing w:line="520" w:lineRule="exact"/>
        <w:jc w:val="center"/>
        <w:rPr>
          <w:rFonts w:hint="eastAsia" w:ascii="宋体" w:hAnsi="宋体" w:eastAsia="宋体" w:cs="宋体"/>
          <w:b/>
          <w:color w:val="auto"/>
          <w:sz w:val="28"/>
          <w:szCs w:val="13"/>
          <w:highlight w:val="none"/>
          <w:lang w:val="zh-CN" w:eastAsia="zh-CN"/>
        </w:rPr>
      </w:pPr>
      <w:r>
        <w:rPr>
          <w:rFonts w:hint="eastAsia" w:ascii="宋体" w:hAnsi="宋体" w:eastAsia="宋体" w:cs="宋体"/>
          <w:b/>
          <w:color w:val="auto"/>
          <w:sz w:val="28"/>
          <w:szCs w:val="13"/>
          <w:highlight w:val="none"/>
          <w:lang w:val="zh-CN" w:eastAsia="zh-CN"/>
        </w:rPr>
        <w:t>二〇二</w:t>
      </w:r>
      <w:r>
        <w:rPr>
          <w:rFonts w:hint="eastAsia" w:ascii="宋体" w:hAnsi="宋体" w:cs="宋体"/>
          <w:b/>
          <w:color w:val="auto"/>
          <w:sz w:val="28"/>
          <w:szCs w:val="13"/>
          <w:highlight w:val="none"/>
          <w:lang w:val="zh-CN" w:eastAsia="zh-CN"/>
        </w:rPr>
        <w:t>五</w:t>
      </w:r>
      <w:r>
        <w:rPr>
          <w:rFonts w:hint="eastAsia" w:ascii="宋体" w:hAnsi="宋体" w:eastAsia="宋体" w:cs="宋体"/>
          <w:b/>
          <w:color w:val="auto"/>
          <w:sz w:val="28"/>
          <w:szCs w:val="13"/>
          <w:highlight w:val="none"/>
          <w:lang w:val="zh-CN" w:eastAsia="zh-CN"/>
        </w:rPr>
        <w:t>年</w:t>
      </w:r>
      <w:r>
        <w:rPr>
          <w:rFonts w:hint="eastAsia" w:ascii="宋体" w:hAnsi="宋体" w:cs="宋体"/>
          <w:b/>
          <w:color w:val="auto"/>
          <w:sz w:val="28"/>
          <w:szCs w:val="13"/>
          <w:highlight w:val="none"/>
          <w:lang w:val="en-US" w:eastAsia="zh-CN"/>
        </w:rPr>
        <w:t>七</w:t>
      </w:r>
      <w:r>
        <w:rPr>
          <w:rFonts w:hint="eastAsia" w:ascii="宋体" w:hAnsi="宋体" w:eastAsia="宋体" w:cs="宋体"/>
          <w:b/>
          <w:color w:val="auto"/>
          <w:sz w:val="28"/>
          <w:szCs w:val="13"/>
          <w:highlight w:val="none"/>
          <w:lang w:val="zh-CN" w:eastAsia="zh-CN"/>
        </w:rPr>
        <w:t>月</w:t>
      </w:r>
    </w:p>
    <w:p w14:paraId="2CB6E60E">
      <w:pPr>
        <w:pStyle w:val="7"/>
        <w:rPr>
          <w:rFonts w:hint="eastAsia"/>
          <w:highlight w:val="none"/>
          <w:lang w:val="zh-CN" w:eastAsia="zh-CN"/>
        </w:rPr>
      </w:pPr>
    </w:p>
    <w:p w14:paraId="2E64E628">
      <w:pPr>
        <w:pStyle w:val="33"/>
        <w:tabs>
          <w:tab w:val="right" w:leader="dot" w:pos="9072"/>
        </w:tabs>
        <w:spacing w:line="480" w:lineRule="auto"/>
        <w:jc w:val="center"/>
        <w:rPr>
          <w:rFonts w:hint="eastAsia" w:ascii="宋体" w:hAnsi="宋体" w:eastAsia="宋体" w:cs="宋体"/>
          <w:b/>
          <w:bCs/>
          <w:color w:val="auto"/>
          <w:sz w:val="40"/>
          <w:szCs w:val="40"/>
          <w:highlight w:val="none"/>
          <w:lang w:val="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_Toc24626 </w:instrText>
      </w:r>
      <w:r>
        <w:rPr>
          <w:rFonts w:hint="eastAsia" w:ascii="宋体" w:hAnsi="宋体" w:eastAsia="宋体" w:cs="宋体"/>
          <w:color w:val="auto"/>
          <w:sz w:val="28"/>
          <w:szCs w:val="28"/>
          <w:highlight w:val="none"/>
        </w:rPr>
        <w:fldChar w:fldCharType="separate"/>
      </w:r>
      <w:bookmarkStart w:id="0" w:name="_Toc13624_WPSOffice_Type1"/>
      <w:r>
        <w:rPr>
          <w:rFonts w:hint="eastAsia" w:ascii="宋体" w:hAnsi="宋体" w:eastAsia="宋体" w:cs="宋体"/>
          <w:b/>
          <w:bCs/>
          <w:color w:val="auto"/>
          <w:sz w:val="40"/>
          <w:szCs w:val="40"/>
          <w:highlight w:val="none"/>
          <w:lang w:val="zh-CN"/>
        </w:rPr>
        <w:t>目</w:t>
      </w:r>
      <w:r>
        <w:rPr>
          <w:rFonts w:hint="eastAsia" w:ascii="宋体" w:hAnsi="宋体" w:eastAsia="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lang w:val="zh-CN"/>
        </w:rPr>
        <w:t>录</w:t>
      </w:r>
    </w:p>
    <w:bookmarkEnd w:id="0"/>
    <w:p w14:paraId="07348C98">
      <w:pPr>
        <w:pStyle w:val="33"/>
        <w:tabs>
          <w:tab w:val="right" w:leader="dot" w:pos="882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TOC \o "1-1" \h \u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_Toc24198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zh-CN"/>
        </w:rPr>
        <w:t xml:space="preserve">第一章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_Toc24198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146CD20B">
      <w:pPr>
        <w:pStyle w:val="12"/>
        <w:tabs>
          <w:tab w:val="right" w:leader="dot" w:pos="8788"/>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_Toc3886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zh-CN"/>
        </w:rPr>
        <w:t>第二章  投标人须知及前附表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_Toc3886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1CFD72E6">
      <w:pPr>
        <w:pStyle w:val="12"/>
        <w:tabs>
          <w:tab w:val="right" w:leader="dot" w:pos="8788"/>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_Toc24446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rPr>
        <w:t xml:space="preserve">第三章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_Toc24446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77B59CC1">
      <w:pPr>
        <w:pStyle w:val="12"/>
        <w:tabs>
          <w:tab w:val="right" w:leader="dot" w:pos="8788"/>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_Toc7589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bCs/>
          <w:color w:val="auto"/>
          <w:sz w:val="28"/>
          <w:szCs w:val="28"/>
          <w:highlight w:val="none"/>
        </w:rPr>
        <w:t xml:space="preserve">第四章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采购合同书格式</w:t>
      </w:r>
      <w:r>
        <w:rPr>
          <w:rFonts w:hint="eastAsia" w:ascii="宋体" w:hAnsi="宋体" w:eastAsia="宋体" w:cs="宋体"/>
          <w:bCs/>
          <w:color w:val="auto"/>
          <w:sz w:val="28"/>
          <w:szCs w:val="28"/>
          <w:highlight w:val="none"/>
          <w:lang w:eastAsia="zh-CN"/>
        </w:rPr>
        <w:t>（供参考）</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_Toc7589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13ABF2F4">
      <w:pPr>
        <w:pStyle w:val="12"/>
        <w:tabs>
          <w:tab w:val="right" w:leader="dot" w:pos="8788"/>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_Toc28506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bCs/>
          <w:color w:val="auto"/>
          <w:sz w:val="28"/>
          <w:szCs w:val="28"/>
          <w:highlight w:val="none"/>
          <w:lang w:eastAsia="zh-CN"/>
        </w:rPr>
        <w:t xml:space="preserve">第五章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lang w:val="zh-CN"/>
        </w:rPr>
        <w:t>服务需求及相关技术标准要求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_Toc28506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3F22A012">
      <w:pPr>
        <w:pStyle w:val="12"/>
        <w:tabs>
          <w:tab w:val="right" w:leader="dot" w:pos="8788"/>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_Toc18800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bCs w:val="0"/>
          <w:color w:val="auto"/>
          <w:sz w:val="28"/>
          <w:szCs w:val="28"/>
          <w:highlight w:val="none"/>
        </w:rPr>
        <w:t>第六章  投标文件构成、要求及格式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_Toc18800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443B722E">
      <w:pPr>
        <w:pStyle w:val="12"/>
        <w:tabs>
          <w:tab w:val="right" w:leader="dot" w:pos="8788"/>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_Toc12929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七章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评审办法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_Toc12929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65AD51B6">
      <w:pPr>
        <w:pStyle w:val="12"/>
        <w:tabs>
          <w:tab w:val="right" w:leader="dot" w:pos="8788"/>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_Toc8837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八章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_Toc8837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510D7775">
      <w:pPr>
        <w:pStyle w:val="33"/>
        <w:tabs>
          <w:tab w:val="right" w:leader="dot" w:pos="8820"/>
        </w:tabs>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fldChar w:fldCharType="end"/>
      </w:r>
    </w:p>
    <w:p w14:paraId="30A8C55D">
      <w:pPr>
        <w:pStyle w:val="33"/>
        <w:tabs>
          <w:tab w:val="right" w:leader="dot" w:pos="9072"/>
        </w:tabs>
        <w:rPr>
          <w:rFonts w:hint="eastAsia" w:ascii="宋体" w:hAnsi="宋体" w:eastAsia="宋体" w:cs="宋体"/>
          <w:color w:val="auto"/>
          <w:highlight w:val="none"/>
          <w:lang w:val="zh-CN"/>
        </w:rPr>
      </w:pPr>
    </w:p>
    <w:p w14:paraId="61DCF404">
      <w:pPr>
        <w:autoSpaceDE w:val="0"/>
        <w:autoSpaceDN w:val="0"/>
        <w:adjustRightInd w:val="0"/>
        <w:spacing w:line="520" w:lineRule="exact"/>
        <w:jc w:val="center"/>
        <w:rPr>
          <w:rFonts w:hint="eastAsia" w:ascii="宋体" w:hAnsi="宋体" w:eastAsia="宋体" w:cs="宋体"/>
          <w:b/>
          <w:color w:val="auto"/>
          <w:highlight w:val="none"/>
          <w:lang w:val="zh-CN"/>
        </w:rPr>
      </w:pPr>
    </w:p>
    <w:p w14:paraId="1F61B015">
      <w:pPr>
        <w:autoSpaceDE w:val="0"/>
        <w:autoSpaceDN w:val="0"/>
        <w:adjustRightInd w:val="0"/>
        <w:spacing w:line="520" w:lineRule="exact"/>
        <w:rPr>
          <w:rFonts w:hint="eastAsia" w:ascii="宋体" w:hAnsi="宋体" w:eastAsia="宋体" w:cs="宋体"/>
          <w:b/>
          <w:color w:val="auto"/>
          <w:highlight w:val="none"/>
          <w:lang w:val="zh-CN"/>
        </w:rPr>
      </w:pPr>
    </w:p>
    <w:p w14:paraId="40D54F88">
      <w:pPr>
        <w:autoSpaceDE w:val="0"/>
        <w:autoSpaceDN w:val="0"/>
        <w:adjustRightInd w:val="0"/>
        <w:spacing w:line="520" w:lineRule="exact"/>
        <w:rPr>
          <w:rFonts w:hint="eastAsia" w:ascii="宋体" w:hAnsi="宋体" w:eastAsia="宋体" w:cs="宋体"/>
          <w:b/>
          <w:color w:val="auto"/>
          <w:highlight w:val="none"/>
          <w:lang w:val="zh-CN"/>
        </w:rPr>
      </w:pPr>
    </w:p>
    <w:p w14:paraId="781A1945">
      <w:pPr>
        <w:autoSpaceDE w:val="0"/>
        <w:autoSpaceDN w:val="0"/>
        <w:adjustRightInd w:val="0"/>
        <w:spacing w:line="520" w:lineRule="exact"/>
        <w:rPr>
          <w:rFonts w:hint="eastAsia" w:ascii="宋体" w:hAnsi="宋体" w:eastAsia="宋体" w:cs="宋体"/>
          <w:b/>
          <w:color w:val="auto"/>
          <w:highlight w:val="none"/>
          <w:lang w:val="zh-CN"/>
        </w:rPr>
      </w:pPr>
    </w:p>
    <w:p w14:paraId="13E71F42">
      <w:pPr>
        <w:pStyle w:val="2"/>
        <w:spacing w:line="240" w:lineRule="auto"/>
        <w:jc w:val="center"/>
        <w:rPr>
          <w:rFonts w:hint="eastAsia" w:ascii="宋体" w:hAnsi="宋体" w:eastAsia="宋体" w:cs="宋体"/>
          <w:color w:val="auto"/>
          <w:sz w:val="36"/>
          <w:szCs w:val="36"/>
          <w:highlight w:val="none"/>
          <w:lang w:val="zh-CN"/>
        </w:rPr>
        <w:sectPr>
          <w:headerReference r:id="rId4" w:type="first"/>
          <w:footerReference r:id="rId6" w:type="first"/>
          <w:headerReference r:id="rId3" w:type="default"/>
          <w:footerReference r:id="rId5" w:type="default"/>
          <w:pgSz w:w="11906" w:h="16838"/>
          <w:pgMar w:top="1417" w:right="1417" w:bottom="1417" w:left="1701" w:header="850" w:footer="737" w:gutter="0"/>
          <w:pgNumType w:fmt="decimal"/>
          <w:cols w:space="720" w:num="1"/>
          <w:titlePg/>
          <w:rtlGutter w:val="0"/>
          <w:docGrid w:type="lines" w:linePitch="505" w:charSpace="0"/>
        </w:sectPr>
      </w:pPr>
      <w:bookmarkStart w:id="1" w:name="_Toc347014329"/>
      <w:bookmarkStart w:id="2" w:name="_Toc27848"/>
      <w:bookmarkStart w:id="3" w:name="_Toc14948_WPSOffice_Level1"/>
      <w:bookmarkStart w:id="4" w:name="_Toc238185761"/>
    </w:p>
    <w:p w14:paraId="5CED2111">
      <w:pPr>
        <w:pStyle w:val="2"/>
        <w:spacing w:line="240" w:lineRule="auto"/>
        <w:jc w:val="center"/>
        <w:rPr>
          <w:rFonts w:hint="eastAsia" w:ascii="宋体" w:hAnsi="宋体" w:eastAsia="宋体" w:cs="宋体"/>
          <w:color w:val="auto"/>
          <w:sz w:val="36"/>
          <w:szCs w:val="36"/>
          <w:highlight w:val="none"/>
          <w:lang w:val="zh-CN"/>
        </w:rPr>
      </w:pPr>
      <w:bookmarkStart w:id="5" w:name="_Toc24198"/>
      <w:r>
        <w:rPr>
          <w:rFonts w:hint="eastAsia" w:ascii="宋体" w:hAnsi="宋体" w:eastAsia="宋体" w:cs="宋体"/>
          <w:color w:val="auto"/>
          <w:sz w:val="36"/>
          <w:szCs w:val="36"/>
          <w:highlight w:val="none"/>
          <w:lang w:val="zh-CN"/>
        </w:rPr>
        <w:t xml:space="preserve">第一章 </w:t>
      </w:r>
      <w:bookmarkEnd w:id="1"/>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lang w:val="zh-CN"/>
        </w:rPr>
        <w:t>招标公告</w:t>
      </w:r>
      <w:bookmarkEnd w:id="2"/>
      <w:bookmarkEnd w:id="3"/>
      <w:bookmarkEnd w:id="5"/>
    </w:p>
    <w:p w14:paraId="F75F0382">
      <w:pPr>
        <w:rPr>
          <w:highlight w:val="none"/>
        </w:rPr>
      </w:pPr>
      <w:r>
        <w:rPr>
          <w:rFonts w:hint="eastAsia" w:ascii="宋体" w:hAnsi="宋体" w:cs="宋体"/>
          <w:sz w:val="24"/>
          <w:szCs w:val="24"/>
          <w:highlight w:val="none"/>
        </w:rPr>
        <w:t>项目概况</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14:paraId="E2F2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9061E86">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sz w:val="24"/>
                <w:szCs w:val="24"/>
                <w:highlight w:val="none"/>
              </w:rPr>
            </w:pPr>
            <w:r>
              <w:rPr>
                <w:rFonts w:hint="eastAsia" w:ascii="宋体" w:hAnsi="宋体" w:cs="宋体"/>
                <w:sz w:val="24"/>
                <w:szCs w:val="24"/>
                <w:highlight w:val="none"/>
                <w:lang w:eastAsia="zh-CN"/>
              </w:rPr>
              <w:t>吉林省人民医院绩效管理咨询服务机配套软件系统</w:t>
            </w:r>
            <w:r>
              <w:rPr>
                <w:rFonts w:hint="eastAsia" w:ascii="宋体" w:hAnsi="宋体" w:cs="宋体"/>
                <w:sz w:val="24"/>
                <w:szCs w:val="24"/>
                <w:highlight w:val="none"/>
              </w:rPr>
              <w:t>的潜在供应商应</w:t>
            </w:r>
            <w:r>
              <w:rPr>
                <w:rFonts w:hint="eastAsia" w:ascii="宋体" w:hAnsi="宋体" w:cs="宋体"/>
                <w:sz w:val="24"/>
                <w:szCs w:val="24"/>
                <w:highlight w:val="none"/>
                <w:lang w:eastAsia="zh-CN"/>
              </w:rPr>
              <w:t>在“政采云”平台（网址：http://www.zcygov.cn）</w:t>
            </w:r>
            <w:r>
              <w:rPr>
                <w:rFonts w:hint="eastAsia" w:ascii="宋体" w:hAnsi="宋体" w:cs="宋体"/>
                <w:sz w:val="24"/>
                <w:szCs w:val="24"/>
                <w:highlight w:val="none"/>
              </w:rPr>
              <w:t>获取招标</w:t>
            </w:r>
            <w:r>
              <w:rPr>
                <w:rFonts w:hint="eastAsia" w:ascii="宋体" w:hAnsi="宋体" w:cs="宋体"/>
                <w:color w:val="auto"/>
                <w:sz w:val="24"/>
                <w:szCs w:val="24"/>
                <w:highlight w:val="none"/>
              </w:rPr>
              <w:t>文件，并于</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rPr>
              <w:t>（北京时间）前提交投标文件。</w:t>
            </w:r>
            <w:bookmarkStart w:id="88" w:name="_GoBack"/>
            <w:bookmarkEnd w:id="88"/>
          </w:p>
        </w:tc>
      </w:tr>
    </w:tbl>
    <w:p w14:paraId="0EDBE839">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highlight w:val="none"/>
        </w:rPr>
      </w:pPr>
      <w:r>
        <w:rPr>
          <w:rFonts w:hint="eastAsia" w:ascii="宋体" w:hAnsi="宋体" w:cs="宋体"/>
          <w:b/>
          <w:sz w:val="24"/>
          <w:szCs w:val="24"/>
          <w:highlight w:val="none"/>
        </w:rPr>
        <w:t>一、项目基本情况</w:t>
      </w:r>
    </w:p>
    <w:p w14:paraId="32FC9F8A">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lang w:val="en-US" w:eastAsia="zh-CN"/>
        </w:rPr>
      </w:pPr>
      <w:bookmarkStart w:id="6" w:name="_Toc35393622"/>
      <w:bookmarkStart w:id="7" w:name="_Toc35393791"/>
      <w:bookmarkStart w:id="8" w:name="_Toc28359080"/>
      <w:bookmarkStart w:id="9" w:name="_Toc28359003"/>
      <w:r>
        <w:rPr>
          <w:rFonts w:hint="eastAsia" w:ascii="宋体" w:hAnsi="宋体" w:eastAsia="宋体" w:cs="宋体"/>
          <w:sz w:val="24"/>
          <w:szCs w:val="24"/>
          <w:highlight w:val="none"/>
        </w:rPr>
        <w:t>1.项目编号：</w:t>
      </w:r>
      <w:r>
        <w:rPr>
          <w:rFonts w:hint="eastAsia" w:ascii="宋体" w:hAnsi="宋体" w:eastAsia="宋体" w:cs="宋体"/>
          <w:sz w:val="24"/>
          <w:szCs w:val="24"/>
          <w:highlight w:val="none"/>
          <w:lang w:eastAsia="zh-CN"/>
        </w:rPr>
        <w:t>ZYGJZB2025-129</w:t>
      </w:r>
    </w:p>
    <w:p w14:paraId="5D66A35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采购计划编号：</w:t>
      </w:r>
      <w:r>
        <w:rPr>
          <w:rFonts w:hint="eastAsia" w:ascii="宋体" w:hAnsi="宋体" w:eastAsia="宋体" w:cs="宋体"/>
          <w:sz w:val="24"/>
          <w:szCs w:val="24"/>
          <w:highlight w:val="none"/>
          <w:lang w:val="en-US" w:eastAsia="zh-CN"/>
        </w:rPr>
        <w:t>采购计划-[2025]-07793号</w:t>
      </w:r>
    </w:p>
    <w:p w14:paraId="263E87BA">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.项目名称：</w:t>
      </w:r>
      <w:r>
        <w:rPr>
          <w:rFonts w:hint="eastAsia" w:ascii="宋体" w:hAnsi="宋体" w:cs="宋体"/>
          <w:sz w:val="24"/>
          <w:szCs w:val="24"/>
          <w:highlight w:val="none"/>
          <w:lang w:val="zh-CN"/>
        </w:rPr>
        <w:t>吉林省人民医院绩效管理咨询服务机配套软件系统</w:t>
      </w:r>
    </w:p>
    <w:p w14:paraId="4D79132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.预算金额及最高限价：</w:t>
      </w:r>
      <w:r>
        <w:rPr>
          <w:rFonts w:hint="eastAsia" w:ascii="宋体" w:hAnsi="宋体" w:eastAsia="宋体" w:cs="宋体"/>
          <w:sz w:val="24"/>
          <w:szCs w:val="24"/>
          <w:highlight w:val="none"/>
          <w:lang w:val="en-US" w:eastAsia="zh-CN"/>
        </w:rPr>
        <w:t>190万元</w:t>
      </w:r>
    </w:p>
    <w:p w14:paraId="24313E7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.采购方式：</w:t>
      </w:r>
      <w:r>
        <w:rPr>
          <w:rFonts w:hint="eastAsia" w:ascii="宋体" w:hAnsi="宋体" w:eastAsia="宋体" w:cs="宋体"/>
          <w:sz w:val="24"/>
          <w:szCs w:val="24"/>
          <w:highlight w:val="none"/>
          <w:lang w:eastAsia="zh-CN"/>
        </w:rPr>
        <w:t>公开招标</w:t>
      </w:r>
    </w:p>
    <w:p w14:paraId="4F11EBA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.实施周期：10个月</w:t>
      </w:r>
    </w:p>
    <w:p w14:paraId="283BF31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.采购需求：</w:t>
      </w:r>
      <w:r>
        <w:rPr>
          <w:rFonts w:hint="eastAsia" w:ascii="宋体" w:hAnsi="宋体" w:eastAsia="宋体" w:cs="宋体"/>
          <w:sz w:val="24"/>
          <w:szCs w:val="24"/>
          <w:highlight w:val="none"/>
          <w:lang w:val="zh-CN"/>
        </w:rPr>
        <w:t>吉林省人民医院绩效考核系统及咨询服务</w:t>
      </w:r>
      <w:r>
        <w:rPr>
          <w:rFonts w:hint="eastAsia" w:ascii="宋体" w:hAnsi="宋体" w:eastAsia="宋体" w:cs="宋体"/>
          <w:sz w:val="24"/>
          <w:szCs w:val="24"/>
          <w:highlight w:val="none"/>
        </w:rPr>
        <w:t>（详见招标文件）。</w:t>
      </w:r>
    </w:p>
    <w:p w14:paraId="ED96F203">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highlight w:val="none"/>
        </w:rPr>
      </w:pPr>
      <w:r>
        <w:rPr>
          <w:rFonts w:hint="eastAsia" w:ascii="宋体" w:hAnsi="宋体" w:cs="宋体"/>
          <w:b/>
          <w:sz w:val="24"/>
          <w:szCs w:val="24"/>
          <w:highlight w:val="none"/>
        </w:rPr>
        <w:t>二、申请人的资格要求：</w:t>
      </w:r>
      <w:bookmarkEnd w:id="6"/>
      <w:bookmarkEnd w:id="7"/>
      <w:bookmarkEnd w:id="8"/>
      <w:bookmarkEnd w:id="9"/>
    </w:p>
    <w:p w14:paraId="04D0D91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bookmarkStart w:id="10" w:name="_Toc28359004"/>
      <w:bookmarkStart w:id="11" w:name="_Toc28359081"/>
      <w:r>
        <w:rPr>
          <w:rFonts w:hint="eastAsia" w:ascii="宋体" w:hAnsi="宋体" w:eastAsia="宋体" w:cs="宋体"/>
          <w:sz w:val="24"/>
          <w:szCs w:val="24"/>
          <w:highlight w:val="none"/>
        </w:rPr>
        <w:t>1.满足《中华人民共和国政府采购法》第二十二条规定。</w:t>
      </w:r>
    </w:p>
    <w:p w14:paraId="3844D7D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2.落实政府采购政策需满足的资格要求：本项目专门面向中小企业采购。</w:t>
      </w:r>
    </w:p>
    <w:p w14:paraId="20D6D2A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政府采购强制、优先采购节能产品政策；政府采购优先采购环保产品政策；政府采购促进中小企业发展（监狱企业、残疾人福利性单位视同小微企业）政策。 </w:t>
      </w:r>
    </w:p>
    <w:p w14:paraId="E12A4726">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ascii="宋体" w:hAnsi="宋体" w:cs="宋体"/>
          <w:sz w:val="24"/>
          <w:szCs w:val="24"/>
          <w:highlight w:val="none"/>
        </w:rPr>
      </w:pPr>
      <w:r>
        <w:rPr>
          <w:rFonts w:hint="eastAsia" w:ascii="宋体" w:hAnsi="宋体" w:cs="宋体"/>
          <w:b/>
          <w:bCs/>
          <w:sz w:val="24"/>
          <w:szCs w:val="24"/>
          <w:highlight w:val="none"/>
        </w:rPr>
        <w:t>3.本项目的特定资格要求：</w:t>
      </w:r>
    </w:p>
    <w:p w14:paraId="5A31617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bookmarkStart w:id="12" w:name="_Toc35393623"/>
      <w:bookmarkStart w:id="13" w:name="_Toc35393792"/>
      <w:r>
        <w:rPr>
          <w:rFonts w:hint="eastAsia" w:hAnsi="宋体"/>
          <w:color w:val="auto"/>
          <w:kern w:val="2"/>
          <w:sz w:val="24"/>
          <w:szCs w:val="24"/>
        </w:rPr>
        <w:t>（</w:t>
      </w:r>
      <w:r>
        <w:rPr>
          <w:rFonts w:hint="eastAsia" w:ascii="宋体" w:hAnsi="宋体" w:eastAsia="宋体" w:cs="宋体"/>
          <w:sz w:val="24"/>
          <w:szCs w:val="24"/>
          <w:highlight w:val="none"/>
        </w:rPr>
        <w:t>1）投标人应在中华人民共和国注册具有独立法人资格或其他组织，具有有效的营业执照且具有独立承担民事责任和履行合同所必需的设备和专业技术能力</w:t>
      </w:r>
      <w:r>
        <w:rPr>
          <w:rFonts w:hint="eastAsia" w:ascii="宋体" w:hAnsi="宋体" w:eastAsia="宋体" w:cs="宋体"/>
          <w:sz w:val="24"/>
          <w:szCs w:val="24"/>
          <w:highlight w:val="none"/>
          <w:lang w:eastAsia="zh-CN"/>
        </w:rPr>
        <w:t>；</w:t>
      </w:r>
    </w:p>
    <w:p w14:paraId="08FED2C1">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具有良好的</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"https://www.baidu.com/s?wd=%E5%95%86%E4%B8%9A%E4%BF%A1%E8%AA%89&amp;hl_tag=textlink&amp;tn=SE_hldp01350_v6v6zkg6"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商业信誉</w:t>
      </w:r>
      <w:r>
        <w:rPr>
          <w:rFonts w:hint="eastAsia" w:ascii="宋体" w:hAnsi="宋体" w:eastAsia="宋体" w:cs="宋体"/>
          <w:sz w:val="24"/>
          <w:szCs w:val="24"/>
          <w:highlight w:val="none"/>
          <w:lang w:eastAsia="zh-CN"/>
        </w:rPr>
        <w:fldChar w:fldCharType="end"/>
      </w:r>
      <w:r>
        <w:rPr>
          <w:rFonts w:hint="eastAsia" w:ascii="宋体" w:hAnsi="宋体" w:eastAsia="宋体" w:cs="宋体"/>
          <w:sz w:val="24"/>
          <w:szCs w:val="24"/>
          <w:highlight w:val="none"/>
          <w:lang w:eastAsia="zh-CN"/>
        </w:rPr>
        <w:t>和健全的财务会计制度（提供202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年至202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年财务审计报告，202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年以后成立企业提供成立之日起至202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年财务审计报告，202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年1月1日后新成立企业提供财务状况良好承诺）；</w:t>
      </w:r>
    </w:p>
    <w:p w14:paraId="73F5F56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）有依法缴纳税收和</w:t>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"https://www.baidu.com/s?wd=%E7%A4%BE%E4%BC%9A%E4%BF%9D%E9%9A%9C%E8%B5%84%E9%87%91&amp;hl_tag=textlink&amp;tn=SE_hldp01350_v6v6zkg6" \t "_blank"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社会保障资金</w:t>
      </w:r>
      <w:r>
        <w:rPr>
          <w:rFonts w:hint="eastAsia" w:ascii="宋体" w:hAnsi="宋体" w:eastAsia="宋体" w:cs="宋体"/>
          <w:sz w:val="24"/>
          <w:szCs w:val="24"/>
          <w:highlight w:val="none"/>
          <w:lang w:eastAsia="zh-CN"/>
        </w:rPr>
        <w:fldChar w:fldCharType="end"/>
      </w:r>
      <w:r>
        <w:rPr>
          <w:rFonts w:hint="eastAsia" w:ascii="宋体" w:hAnsi="宋体" w:eastAsia="宋体" w:cs="宋体"/>
          <w:sz w:val="24"/>
          <w:szCs w:val="24"/>
          <w:highlight w:val="none"/>
          <w:lang w:eastAsia="zh-CN"/>
        </w:rPr>
        <w:t>的良好记录提供投标截止时间前近半年任意三个月依法缴纳税收及社保证明；</w:t>
      </w:r>
    </w:p>
    <w:p w14:paraId="76D30D8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）信誉要求：202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1月1日至今无行贿犯罪及不良行为记录；“中国裁判文书网”网站（https://wenshu.court.gov.cn/）上无行贿犯罪记录；“信用中国”网站（www.creditchina.gov.cn）未列入①失信被执行人及②重大税收违法失信主体名单；国家企业信用信息公示系统（http://www.gsxt.gov.cn/index.html）未列入严重违法失信企业名单及中国政府采购网（http://www.ccgp.gov.cn/search/cr/）未列入政府采购严重违法失信行为记录名单。以上均须提供截图</w:t>
      </w:r>
      <w:r>
        <w:rPr>
          <w:rFonts w:hint="eastAsia" w:ascii="宋体" w:hAnsi="宋体" w:eastAsia="宋体" w:cs="宋体"/>
          <w:sz w:val="24"/>
          <w:szCs w:val="24"/>
          <w:highlight w:val="none"/>
          <w:lang w:eastAsia="zh-CN"/>
        </w:rPr>
        <w:t>；</w:t>
      </w:r>
    </w:p>
    <w:p w14:paraId="666EBDD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提供企业承诺书</w:t>
      </w:r>
      <w:r>
        <w:rPr>
          <w:rFonts w:hint="eastAsia" w:ascii="宋体" w:hAnsi="宋体" w:eastAsia="宋体" w:cs="宋体"/>
          <w:sz w:val="24"/>
          <w:szCs w:val="24"/>
          <w:highlight w:val="none"/>
          <w:lang w:eastAsia="zh-CN"/>
        </w:rPr>
        <w:t>；</w:t>
      </w:r>
    </w:p>
    <w:p w14:paraId="743B6DB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本项目不接受联合体</w:t>
      </w:r>
      <w:r>
        <w:rPr>
          <w:rFonts w:hint="eastAsia" w:ascii="宋体" w:hAnsi="宋体" w:eastAsia="宋体" w:cs="宋体"/>
          <w:sz w:val="24"/>
          <w:szCs w:val="24"/>
          <w:highlight w:val="none"/>
          <w:lang w:eastAsia="zh-CN"/>
        </w:rPr>
        <w:t>。</w:t>
      </w:r>
    </w:p>
    <w:p w14:paraId="495EE4CC">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highlight w:val="none"/>
        </w:rPr>
      </w:pPr>
      <w:r>
        <w:rPr>
          <w:rFonts w:hint="eastAsia" w:ascii="宋体" w:hAnsi="宋体" w:cs="宋体"/>
          <w:b/>
          <w:sz w:val="24"/>
          <w:szCs w:val="24"/>
          <w:highlight w:val="none"/>
        </w:rPr>
        <w:t>三、获取招标文件</w:t>
      </w:r>
      <w:bookmarkEnd w:id="10"/>
      <w:bookmarkEnd w:id="11"/>
      <w:bookmarkEnd w:id="12"/>
      <w:bookmarkEnd w:id="13"/>
    </w:p>
    <w:p w14:paraId="81ED296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w:t>
      </w:r>
      <w:r>
        <w:rPr>
          <w:rFonts w:hint="eastAsia" w:ascii="宋体" w:hAnsi="宋体" w:eastAsia="宋体" w:cs="宋体"/>
          <w:color w:val="auto"/>
          <w:sz w:val="24"/>
          <w:szCs w:val="24"/>
          <w:highlight w:val="none"/>
        </w:rPr>
        <w:t>时间：</w:t>
      </w:r>
      <w:r>
        <w:rPr>
          <w:rFonts w:hint="eastAsia" w:ascii="宋体" w:hAnsi="宋体" w:cs="宋体"/>
          <w:color w:val="auto"/>
          <w:kern w:val="0"/>
          <w:sz w:val="24"/>
          <w:szCs w:val="24"/>
          <w:highlight w:val="none"/>
        </w:rPr>
        <w:t>2025年</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lang w:val="en-US" w:eastAsia="zh-CN"/>
        </w:rPr>
        <w:t>00</w:t>
      </w:r>
      <w:r>
        <w:rPr>
          <w:rFonts w:hint="eastAsia" w:ascii="宋体" w:hAnsi="宋体" w:cs="宋体"/>
          <w:color w:val="auto"/>
          <w:kern w:val="0"/>
          <w:sz w:val="24"/>
          <w:szCs w:val="24"/>
          <w:highlight w:val="none"/>
        </w:rPr>
        <w:t>分至</w:t>
      </w:r>
      <w:r>
        <w:rPr>
          <w:rFonts w:hint="eastAsia" w:ascii="宋体" w:hAnsi="宋体" w:eastAsia="宋体" w:cs="宋体"/>
          <w:color w:val="auto"/>
          <w:kern w:val="0"/>
          <w:sz w:val="24"/>
          <w:szCs w:val="24"/>
          <w:highlight w:val="none"/>
        </w:rPr>
        <w:t>2025年</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日</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lang w:val="en-US" w:eastAsia="zh-CN"/>
        </w:rPr>
        <w:t>59</w:t>
      </w:r>
      <w:r>
        <w:rPr>
          <w:rFonts w:hint="eastAsia" w:ascii="宋体" w:hAnsi="宋体" w:cs="宋体"/>
          <w:color w:val="auto"/>
          <w:kern w:val="0"/>
          <w:sz w:val="24"/>
          <w:szCs w:val="24"/>
          <w:highlight w:val="none"/>
        </w:rPr>
        <w:t>分</w:t>
      </w:r>
      <w:r>
        <w:rPr>
          <w:rFonts w:hint="eastAsia" w:ascii="宋体" w:hAnsi="宋体" w:eastAsia="宋体" w:cs="宋体"/>
          <w:color w:val="auto"/>
          <w:sz w:val="24"/>
          <w:szCs w:val="24"/>
          <w:highlight w:val="none"/>
        </w:rPr>
        <w:t>；</w:t>
      </w:r>
    </w:p>
    <w:p w14:paraId="FBB5224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2.方式：潜在投标人自行登录</w:t>
      </w:r>
      <w:r>
        <w:rPr>
          <w:rFonts w:hint="eastAsia" w:ascii="宋体" w:hAnsi="宋体" w:cs="宋体"/>
          <w:color w:val="auto"/>
          <w:sz w:val="24"/>
          <w:szCs w:val="24"/>
          <w:highlight w:val="none"/>
          <w:lang w:eastAsia="zh-CN"/>
        </w:rPr>
        <w:t>“政采云”平台</w:t>
      </w:r>
      <w:r>
        <w:rPr>
          <w:rFonts w:hint="eastAsia" w:ascii="宋体" w:hAnsi="宋体" w:eastAsia="宋体" w:cs="宋体"/>
          <w:color w:val="auto"/>
          <w:sz w:val="24"/>
          <w:szCs w:val="24"/>
          <w:highlight w:val="none"/>
        </w:rPr>
        <w:t>（网址：http:// www.zcygov.cn）按要求下载采购文件（操作路径：登录“政采云”平台-项目采购-获取采购文件-找到本项</w:t>
      </w:r>
      <w:r>
        <w:rPr>
          <w:rFonts w:hint="eastAsia" w:ascii="宋体" w:hAnsi="宋体" w:eastAsia="宋体" w:cs="宋体"/>
          <w:sz w:val="24"/>
          <w:szCs w:val="24"/>
          <w:highlight w:val="none"/>
        </w:rPr>
        <w:t>目-点击“申请获取采购文件”），其他途径获取的采购文件开标时一律按无效投标处理；</w:t>
      </w:r>
    </w:p>
    <w:p w14:paraId="22C5420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lang w:val="zh-CN"/>
        </w:rPr>
        <w:t>售价：0元。</w:t>
      </w:r>
    </w:p>
    <w:p w14:paraId="B3E53225">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四、</w:t>
      </w:r>
      <w:r>
        <w:rPr>
          <w:rFonts w:hint="eastAsia" w:ascii="宋体" w:hAnsi="宋体" w:eastAsia="宋体" w:cs="宋体"/>
          <w:b/>
          <w:color w:val="auto"/>
          <w:sz w:val="24"/>
          <w:szCs w:val="24"/>
          <w:highlight w:val="none"/>
        </w:rPr>
        <w:t>提交投标文件截止时间、开标时间和地点</w:t>
      </w:r>
    </w:p>
    <w:p w14:paraId="0902DEC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bookmarkStart w:id="14" w:name="_Toc28359084"/>
      <w:bookmarkStart w:id="15" w:name="_Toc35393625"/>
      <w:bookmarkStart w:id="16" w:name="_Toc28359007"/>
      <w:bookmarkStart w:id="17" w:name="_Toc35393794"/>
      <w:r>
        <w:rPr>
          <w:rFonts w:hint="eastAsia" w:ascii="宋体" w:hAnsi="宋体" w:eastAsia="宋体" w:cs="宋体"/>
          <w:color w:val="auto"/>
          <w:sz w:val="24"/>
          <w:szCs w:val="24"/>
          <w:highlight w:val="none"/>
          <w:lang w:val="en-US" w:eastAsia="zh-CN"/>
        </w:rPr>
        <w:t>1.截止时间：</w:t>
      </w:r>
      <w:r>
        <w:rPr>
          <w:rFonts w:hint="eastAsia" w:ascii="宋体" w:hAnsi="宋体" w:cs="宋体"/>
          <w:color w:val="auto"/>
          <w:sz w:val="24"/>
          <w:szCs w:val="24"/>
          <w:highlight w:val="none"/>
          <w:lang w:val="en-US" w:eastAsia="zh-CN"/>
        </w:rPr>
        <w:t>2025年7月29日10时00分</w:t>
      </w:r>
      <w:r>
        <w:rPr>
          <w:rFonts w:hint="eastAsia" w:ascii="宋体" w:hAnsi="宋体" w:eastAsia="宋体" w:cs="宋体"/>
          <w:color w:val="auto"/>
          <w:sz w:val="24"/>
          <w:szCs w:val="24"/>
          <w:highlight w:val="none"/>
          <w:lang w:val="en-US" w:eastAsia="zh-CN"/>
        </w:rPr>
        <w:t>（北京时间）；</w:t>
      </w:r>
    </w:p>
    <w:p w14:paraId="10AF686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2.地点：长春市二道区洋浦大街凯利中心AB栋101室，开标</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室；</w:t>
      </w:r>
    </w:p>
    <w:p w14:paraId="07DE70C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b/>
          <w:bCs/>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提交方式：本项目为全流程电子化项目，通过“政采云”平台（http：//www.zcygov.cn）实行在线电子投标，投标人应先安装“政采云投标客户端”（请自行前往“政采云”平台进行下载），并按照本项目采购文件和“政采云”平台的要求编制、加密后在投标文件截止时间前通过网络上传至“政采云”平台，投标人在“政采云”平台提交电子版投标文件时，请填写参加采购活动经办人联系方式。电子投标文件解密期限及方式：开启时间后30分钟内，由投标人持制作该电子投标文件的同一数字证书（CA锁）及电脑进行远程解密（各投标人在开标前及网上开评标系统公布投标人名单前，不要提前进行远程解密）。</w:t>
      </w:r>
    </w:p>
    <w:p w14:paraId="36373CCB">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bCs/>
          <w:sz w:val="24"/>
          <w:szCs w:val="24"/>
          <w:highlight w:val="none"/>
        </w:rPr>
      </w:pPr>
      <w:r>
        <w:rPr>
          <w:rFonts w:hint="eastAsia" w:ascii="宋体" w:hAnsi="宋体" w:cs="宋体"/>
          <w:b/>
          <w:bCs/>
          <w:sz w:val="24"/>
          <w:szCs w:val="24"/>
          <w:highlight w:val="none"/>
        </w:rPr>
        <w:t>五、公告期限</w:t>
      </w:r>
      <w:bookmarkEnd w:id="14"/>
      <w:bookmarkEnd w:id="15"/>
      <w:bookmarkEnd w:id="16"/>
      <w:bookmarkEnd w:id="17"/>
    </w:p>
    <w:p w14:paraId="924E075F">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highlight w:val="none"/>
        </w:rPr>
      </w:pPr>
      <w:r>
        <w:rPr>
          <w:rFonts w:hint="eastAsia" w:ascii="宋体" w:hAnsi="宋体" w:cs="宋体"/>
          <w:kern w:val="2"/>
          <w:sz w:val="24"/>
          <w:szCs w:val="24"/>
          <w:highlight w:val="none"/>
        </w:rPr>
        <w:t>自本公告发布之日起5个工作日</w:t>
      </w:r>
      <w:r>
        <w:rPr>
          <w:rFonts w:hint="eastAsia" w:ascii="宋体" w:hAnsi="宋体" w:cs="宋体"/>
          <w:sz w:val="24"/>
          <w:szCs w:val="24"/>
          <w:highlight w:val="none"/>
        </w:rPr>
        <w:t>。</w:t>
      </w:r>
    </w:p>
    <w:p w14:paraId="03B4E5AC">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highlight w:val="none"/>
        </w:rPr>
      </w:pPr>
      <w:r>
        <w:rPr>
          <w:rFonts w:hint="eastAsia" w:ascii="宋体" w:hAnsi="宋体" w:cs="宋体"/>
          <w:b/>
          <w:sz w:val="24"/>
          <w:szCs w:val="24"/>
          <w:highlight w:val="none"/>
        </w:rPr>
        <w:t>六、其他补充事宜</w:t>
      </w:r>
    </w:p>
    <w:p w14:paraId="A2A9A4C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bookmarkStart w:id="18" w:name="_Toc35393627"/>
      <w:bookmarkStart w:id="19" w:name="_Toc35393796"/>
      <w:bookmarkStart w:id="20" w:name="_Toc28359085"/>
      <w:bookmarkStart w:id="21" w:name="_Toc28359008"/>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采购公告发布媒介</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政采云平台</w:t>
      </w:r>
      <w:r>
        <w:rPr>
          <w:rFonts w:hint="eastAsia" w:ascii="宋体" w:hAnsi="宋体" w:eastAsia="宋体" w:cs="宋体"/>
          <w:color w:val="auto"/>
          <w:sz w:val="24"/>
          <w:szCs w:val="24"/>
          <w:highlight w:val="none"/>
          <w:lang w:val="zh-CN" w:eastAsia="zh-CN"/>
        </w:rPr>
        <w:t>、同步推送至吉林省政府采购网、吉林省公共资源交易公共服务平台和中国政府采购网</w:t>
      </w:r>
      <w:r>
        <w:rPr>
          <w:rFonts w:hint="eastAsia" w:ascii="宋体" w:hAnsi="宋体" w:eastAsia="宋体" w:cs="宋体"/>
          <w:color w:val="auto"/>
          <w:sz w:val="24"/>
          <w:szCs w:val="24"/>
          <w:highlight w:val="none"/>
          <w:lang w:val="en-US" w:eastAsia="zh-CN"/>
        </w:rPr>
        <w:t>上发布</w:t>
      </w:r>
      <w:r>
        <w:rPr>
          <w:rFonts w:hint="eastAsia" w:ascii="宋体" w:hAnsi="宋体" w:eastAsia="宋体" w:cs="宋体"/>
          <w:color w:val="auto"/>
          <w:sz w:val="24"/>
          <w:szCs w:val="24"/>
          <w:highlight w:val="none"/>
          <w:lang w:val="zh-CN" w:eastAsia="zh-CN"/>
        </w:rPr>
        <w:t>。</w:t>
      </w:r>
    </w:p>
    <w:p w14:paraId="A758359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电子化平台相关注意事项：</w:t>
      </w:r>
    </w:p>
    <w:p w14:paraId="9B25860F">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（1）供应商在电子化平台参与政府采购项目前，应在电子化平台完成信息注册；</w:t>
      </w:r>
    </w:p>
    <w:p w14:paraId="4B81626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 CA 数字证书申请：未进行政采云注册并办理数字证书（CA 认证）的供应商将无法参与本项目政府采购活动。供应商须自行考虑办理时间，由于供应商自身原因导致无法完成办理的，后果自负；（安信 CA 申请流程：http://www.anxinca.com/kehu/zcy/kh-zcy-zsshenqing.html；翔晟 CA 申请流程：</w:t>
      </w:r>
    </w:p>
    <w:p w14:paraId="B92838A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http://www.share-sun.com/xsapply/admin/login.aspx?unitname=jilin）</w:t>
      </w:r>
    </w:p>
    <w:p w14:paraId="534DBE4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（3）为确保网上操作合法、有效和安全，请供应商确保在电子响应过程中能够对相关数据电文进行加密和使用电子签章，妥善保管 CA 数字证书并使用有效的 CA 数字证书参与整个采购活动；</w:t>
      </w:r>
    </w:p>
    <w:p w14:paraId="D7C4AF5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（4）若对项目采购电子交易系统操作有疑问，可登录“政采云”平台，点击右侧咨询小采，获取智能服务管家帮助，或拨打政采云服务热线 95763 获取帮助。</w:t>
      </w:r>
    </w:p>
    <w:p w14:paraId="353F1E07">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highlight w:val="none"/>
        </w:rPr>
      </w:pPr>
      <w:r>
        <w:rPr>
          <w:rFonts w:hint="eastAsia" w:ascii="宋体" w:hAnsi="宋体" w:cs="宋体"/>
          <w:b/>
          <w:sz w:val="24"/>
          <w:szCs w:val="24"/>
          <w:highlight w:val="none"/>
        </w:rPr>
        <w:t>七、对本次招标提出询问，请按以下方式联系</w:t>
      </w:r>
      <w:bookmarkEnd w:id="18"/>
      <w:bookmarkEnd w:id="19"/>
      <w:bookmarkEnd w:id="20"/>
      <w:bookmarkEnd w:id="21"/>
    </w:p>
    <w:p w14:paraId="0925571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 购 人：吉林省人民医院</w:t>
      </w:r>
    </w:p>
    <w:p w14:paraId="5D9346E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址：长春市工农大路1183号</w:t>
      </w:r>
    </w:p>
    <w:p w14:paraId="48535DF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人：朱珈宜</w:t>
      </w:r>
    </w:p>
    <w:p w14:paraId="17F539F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联系电话：0431-85595441</w:t>
      </w:r>
    </w:p>
    <w:p w14:paraId="701DD03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招标代理机构：中源国际招标有限公司</w:t>
      </w:r>
    </w:p>
    <w:p w14:paraId="0177685F">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址：吉林省长春市绿园区高力汽贸城</w:t>
      </w:r>
    </w:p>
    <w:p w14:paraId="2EFE00FA">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人：原梦</w:t>
      </w:r>
    </w:p>
    <w:p w14:paraId="116ED30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联系电话：18543116771</w:t>
      </w:r>
    </w:p>
    <w:p w14:paraId="746445FD">
      <w:pPr>
        <w:pStyle w:val="3"/>
        <w:rPr>
          <w:rFonts w:hint="eastAsia"/>
          <w:color w:val="auto"/>
          <w:highlight w:val="none"/>
        </w:rPr>
      </w:pPr>
    </w:p>
    <w:p w14:paraId="2478C26D">
      <w:pPr>
        <w:pStyle w:val="2"/>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36"/>
          <w:szCs w:val="36"/>
          <w:highlight w:val="none"/>
          <w:lang w:val="zh-CN"/>
        </w:rPr>
      </w:pPr>
      <w:bookmarkStart w:id="22" w:name="_Toc281"/>
      <w:bookmarkStart w:id="23" w:name="_Toc347014330"/>
      <w:r>
        <w:rPr>
          <w:rFonts w:hint="eastAsia" w:ascii="宋体" w:hAnsi="宋体" w:eastAsia="宋体" w:cs="宋体"/>
          <w:color w:val="auto"/>
          <w:highlight w:val="none"/>
          <w:lang w:val="zh-CN"/>
        </w:rPr>
        <w:br w:type="page"/>
      </w:r>
      <w:bookmarkStart w:id="24" w:name="_Toc3886"/>
      <w:bookmarkStart w:id="25" w:name="_Toc22946_WPSOffice_Level1"/>
      <w:r>
        <w:rPr>
          <w:rFonts w:hint="eastAsia" w:ascii="宋体" w:hAnsi="宋体" w:eastAsia="宋体" w:cs="宋体"/>
          <w:color w:val="auto"/>
          <w:sz w:val="36"/>
          <w:szCs w:val="36"/>
          <w:highlight w:val="none"/>
          <w:lang w:val="zh-CN"/>
        </w:rPr>
        <w:t>第二章  投标人须知及前附表</w:t>
      </w:r>
      <w:bookmarkEnd w:id="22"/>
      <w:bookmarkEnd w:id="23"/>
      <w:bookmarkEnd w:id="24"/>
      <w:bookmarkEnd w:id="25"/>
    </w:p>
    <w:p w14:paraId="7FD7326C">
      <w:pPr>
        <w:pageBreakBefore w:val="0"/>
        <w:widowControl w:val="0"/>
        <w:kinsoku/>
        <w:wordWrap/>
        <w:overflowPunct/>
        <w:topLinePunct w:val="0"/>
        <w:autoSpaceDE w:val="0"/>
        <w:autoSpaceDN w:val="0"/>
        <w:bidi w:val="0"/>
        <w:adjustRightInd w:val="0"/>
        <w:spacing w:line="420" w:lineRule="exact"/>
        <w:ind w:firstLine="482"/>
        <w:jc w:val="center"/>
        <w:textAlignment w:val="auto"/>
        <w:rPr>
          <w:rFonts w:hint="eastAsia" w:ascii="宋体" w:hAnsi="宋体" w:eastAsia="宋体" w:cs="宋体"/>
          <w:color w:val="auto"/>
          <w:highlight w:val="none"/>
          <w:lang w:val="zh-CN"/>
        </w:rPr>
      </w:pPr>
      <w:r>
        <w:rPr>
          <w:rFonts w:hint="eastAsia" w:ascii="宋体" w:hAnsi="宋体" w:eastAsia="宋体" w:cs="宋体"/>
          <w:b/>
          <w:color w:val="auto"/>
          <w:sz w:val="30"/>
          <w:highlight w:val="none"/>
          <w:lang w:val="zh-CN"/>
        </w:rPr>
        <w:t>投标须知前附表</w:t>
      </w:r>
    </w:p>
    <w:tbl>
      <w:tblPr>
        <w:tblStyle w:val="1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263"/>
        <w:gridCol w:w="5269"/>
      </w:tblGrid>
      <w:tr w14:paraId="11CF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67" w:type="dxa"/>
            <w:noWrap w:val="0"/>
            <w:vAlign w:val="center"/>
          </w:tcPr>
          <w:p w14:paraId="7151C61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条款号</w:t>
            </w:r>
          </w:p>
        </w:tc>
        <w:tc>
          <w:tcPr>
            <w:tcW w:w="3263" w:type="dxa"/>
            <w:noWrap w:val="0"/>
            <w:vAlign w:val="center"/>
          </w:tcPr>
          <w:p w14:paraId="22F84B6F">
            <w:pPr>
              <w:pStyle w:val="11"/>
              <w:keepNext w:val="0"/>
              <w:keepLines w:val="0"/>
              <w:pageBreakBefore w:val="0"/>
              <w:widowControl w:val="0"/>
              <w:pBdr>
                <w:bottom w:val="none" w:color="auto" w:sz="0" w:space="0"/>
              </w:pBdr>
              <w:tabs>
                <w:tab w:val="clear" w:pos="4153"/>
                <w:tab w:val="clear" w:pos="8306"/>
              </w:tabs>
              <w:kinsoku/>
              <w:wordWrap/>
              <w:overflowPunct/>
              <w:topLinePunct w:val="0"/>
              <w:autoSpaceDE w:val="0"/>
              <w:autoSpaceDN w:val="0"/>
              <w:bidi w:val="0"/>
              <w:adjustRightInd w:val="0"/>
              <w:snapToGrid/>
              <w:spacing w:line="400" w:lineRule="exact"/>
              <w:ind w:right="0" w:rightChars="0"/>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条款名称</w:t>
            </w:r>
          </w:p>
        </w:tc>
        <w:tc>
          <w:tcPr>
            <w:tcW w:w="5269" w:type="dxa"/>
            <w:noWrap w:val="0"/>
            <w:vAlign w:val="center"/>
          </w:tcPr>
          <w:p w14:paraId="7AF466AC">
            <w:pPr>
              <w:pStyle w:val="11"/>
              <w:keepNext w:val="0"/>
              <w:keepLines w:val="0"/>
              <w:pageBreakBefore w:val="0"/>
              <w:widowControl w:val="0"/>
              <w:pBdr>
                <w:bottom w:val="none" w:color="auto" w:sz="0" w:space="0"/>
              </w:pBdr>
              <w:tabs>
                <w:tab w:val="clear" w:pos="4153"/>
                <w:tab w:val="clear" w:pos="8306"/>
              </w:tabs>
              <w:kinsoku/>
              <w:wordWrap/>
              <w:overflowPunct/>
              <w:topLinePunct w:val="0"/>
              <w:autoSpaceDE w:val="0"/>
              <w:autoSpaceDN w:val="0"/>
              <w:bidi w:val="0"/>
              <w:adjustRightInd w:val="0"/>
              <w:snapToGrid/>
              <w:spacing w:line="400" w:lineRule="exact"/>
              <w:ind w:right="0" w:rightChars="0"/>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编列内容</w:t>
            </w:r>
          </w:p>
        </w:tc>
      </w:tr>
      <w:tr w14:paraId="619E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6C2D3C9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1.1.2</w:t>
            </w:r>
          </w:p>
        </w:tc>
        <w:tc>
          <w:tcPr>
            <w:tcW w:w="3263" w:type="dxa"/>
            <w:noWrap w:val="0"/>
            <w:vAlign w:val="center"/>
          </w:tcPr>
          <w:p w14:paraId="1A27CF7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采购人</w:t>
            </w:r>
          </w:p>
        </w:tc>
        <w:tc>
          <w:tcPr>
            <w:tcW w:w="5269" w:type="dxa"/>
            <w:noWrap w:val="0"/>
            <w:vAlign w:val="top"/>
          </w:tcPr>
          <w:p w14:paraId="406C840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吉林省人民医院</w:t>
            </w:r>
          </w:p>
        </w:tc>
      </w:tr>
      <w:tr w14:paraId="27E7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65D0D787">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1.1.3</w:t>
            </w:r>
          </w:p>
        </w:tc>
        <w:tc>
          <w:tcPr>
            <w:tcW w:w="3263" w:type="dxa"/>
            <w:noWrap w:val="0"/>
            <w:vAlign w:val="center"/>
          </w:tcPr>
          <w:p w14:paraId="0F8BADF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采购代理机构</w:t>
            </w:r>
          </w:p>
        </w:tc>
        <w:tc>
          <w:tcPr>
            <w:tcW w:w="5269" w:type="dxa"/>
            <w:noWrap w:val="0"/>
            <w:vAlign w:val="top"/>
          </w:tcPr>
          <w:p w14:paraId="1AF1F06D">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default" w:ascii="宋体" w:hAnsi="宋体" w:eastAsia="宋体" w:cs="宋体"/>
                <w:bCs/>
                <w:color w:val="auto"/>
                <w:sz w:val="24"/>
                <w:highlight w:val="none"/>
                <w:lang w:val="en-US"/>
              </w:rPr>
            </w:pPr>
            <w:r>
              <w:rPr>
                <w:rFonts w:hint="eastAsia" w:ascii="宋体" w:hAnsi="宋体" w:cs="宋体"/>
                <w:bCs/>
                <w:color w:val="auto"/>
                <w:sz w:val="24"/>
                <w:highlight w:val="none"/>
                <w:lang w:val="zh-CN"/>
              </w:rPr>
              <w:t>中源国际招标有限公司</w:t>
            </w:r>
          </w:p>
        </w:tc>
      </w:tr>
      <w:tr w14:paraId="1272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5BF893E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1.1.4</w:t>
            </w:r>
          </w:p>
        </w:tc>
        <w:tc>
          <w:tcPr>
            <w:tcW w:w="3263" w:type="dxa"/>
            <w:noWrap w:val="0"/>
            <w:vAlign w:val="center"/>
          </w:tcPr>
          <w:p w14:paraId="5D6C2BA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项目名称</w:t>
            </w:r>
          </w:p>
        </w:tc>
        <w:tc>
          <w:tcPr>
            <w:tcW w:w="5269" w:type="dxa"/>
            <w:noWrap w:val="0"/>
            <w:vAlign w:val="top"/>
          </w:tcPr>
          <w:p w14:paraId="17203D1E">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eastAsia="zh-CN"/>
              </w:rPr>
              <w:t>吉林省人民医院绩效管理咨询服务机配套软件系统</w:t>
            </w:r>
          </w:p>
        </w:tc>
      </w:tr>
      <w:tr w14:paraId="5CF6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267669B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1.1.5</w:t>
            </w:r>
          </w:p>
        </w:tc>
        <w:tc>
          <w:tcPr>
            <w:tcW w:w="3263" w:type="dxa"/>
            <w:noWrap w:val="0"/>
            <w:vAlign w:val="center"/>
          </w:tcPr>
          <w:p w14:paraId="3F8E074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服务地点</w:t>
            </w:r>
          </w:p>
        </w:tc>
        <w:tc>
          <w:tcPr>
            <w:tcW w:w="5269" w:type="dxa"/>
            <w:noWrap w:val="0"/>
            <w:vAlign w:val="center"/>
          </w:tcPr>
          <w:p w14:paraId="1219BF3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zh-CN"/>
              </w:rPr>
            </w:pPr>
            <w:r>
              <w:rPr>
                <w:rFonts w:hint="eastAsia" w:ascii="宋体" w:hAnsi="Times New Roman" w:eastAsia="宋体" w:cs="宋体"/>
                <w:color w:val="auto"/>
                <w:sz w:val="24"/>
                <w:szCs w:val="24"/>
                <w:lang w:eastAsia="zh-CN"/>
              </w:rPr>
              <w:t>吉林省人民医院</w:t>
            </w:r>
            <w:r>
              <w:rPr>
                <w:rFonts w:hint="eastAsia" w:ascii="宋体" w:hAnsi="Times New Roman" w:eastAsia="宋体" w:cs="宋体"/>
                <w:color w:val="auto"/>
                <w:sz w:val="24"/>
                <w:szCs w:val="24"/>
                <w:lang w:val="en-US" w:eastAsia="zh-CN"/>
              </w:rPr>
              <w:t>指定地点</w:t>
            </w:r>
          </w:p>
        </w:tc>
      </w:tr>
      <w:tr w14:paraId="38B4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3232612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l.2.1</w:t>
            </w:r>
          </w:p>
        </w:tc>
        <w:tc>
          <w:tcPr>
            <w:tcW w:w="3263" w:type="dxa"/>
            <w:noWrap w:val="0"/>
            <w:vAlign w:val="center"/>
          </w:tcPr>
          <w:p w14:paraId="0ECCDAA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资金来源</w:t>
            </w:r>
          </w:p>
        </w:tc>
        <w:tc>
          <w:tcPr>
            <w:tcW w:w="5269" w:type="dxa"/>
            <w:noWrap w:val="0"/>
            <w:vAlign w:val="center"/>
          </w:tcPr>
          <w:p w14:paraId="233C2D4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eastAsia="zh-CN"/>
              </w:rPr>
              <w:t>自筹资金</w:t>
            </w:r>
          </w:p>
        </w:tc>
      </w:tr>
      <w:tr w14:paraId="0F30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0FFE943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1.2.2</w:t>
            </w:r>
          </w:p>
        </w:tc>
        <w:tc>
          <w:tcPr>
            <w:tcW w:w="3263" w:type="dxa"/>
            <w:noWrap w:val="0"/>
            <w:vAlign w:val="center"/>
          </w:tcPr>
          <w:p w14:paraId="7AFF486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出资比例</w:t>
            </w:r>
          </w:p>
        </w:tc>
        <w:tc>
          <w:tcPr>
            <w:tcW w:w="5269" w:type="dxa"/>
            <w:noWrap w:val="0"/>
            <w:vAlign w:val="top"/>
          </w:tcPr>
          <w:p w14:paraId="15131D4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100%</w:t>
            </w:r>
          </w:p>
        </w:tc>
      </w:tr>
      <w:tr w14:paraId="3D7F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5C51239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1.2.3</w:t>
            </w:r>
          </w:p>
        </w:tc>
        <w:tc>
          <w:tcPr>
            <w:tcW w:w="3263" w:type="dxa"/>
            <w:noWrap w:val="0"/>
            <w:vAlign w:val="center"/>
          </w:tcPr>
          <w:p w14:paraId="590DD4B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资金落实情况</w:t>
            </w:r>
          </w:p>
        </w:tc>
        <w:tc>
          <w:tcPr>
            <w:tcW w:w="5269" w:type="dxa"/>
            <w:noWrap w:val="0"/>
            <w:vAlign w:val="top"/>
          </w:tcPr>
          <w:p w14:paraId="5E0B708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已落实</w:t>
            </w:r>
          </w:p>
        </w:tc>
      </w:tr>
      <w:tr w14:paraId="738D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6DA3975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1.3.1</w:t>
            </w:r>
          </w:p>
        </w:tc>
        <w:tc>
          <w:tcPr>
            <w:tcW w:w="3263" w:type="dxa"/>
            <w:noWrap w:val="0"/>
            <w:vAlign w:val="center"/>
          </w:tcPr>
          <w:p w14:paraId="0ED4228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服务内容</w:t>
            </w:r>
          </w:p>
        </w:tc>
        <w:tc>
          <w:tcPr>
            <w:tcW w:w="5269" w:type="dxa"/>
            <w:noWrap w:val="0"/>
            <w:vAlign w:val="top"/>
          </w:tcPr>
          <w:p w14:paraId="44ABF87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szCs w:val="22"/>
                <w:highlight w:val="none"/>
                <w:lang w:val="zh-CN"/>
              </w:rPr>
            </w:pPr>
            <w:r>
              <w:rPr>
                <w:rFonts w:hint="eastAsia" w:ascii="宋体" w:hAnsi="宋体" w:cs="宋体"/>
                <w:sz w:val="24"/>
                <w:szCs w:val="24"/>
                <w:highlight w:val="none"/>
                <w:lang w:eastAsia="zh-CN"/>
              </w:rPr>
              <w:t>吉林省人民医院第三方检验服务，</w:t>
            </w:r>
            <w:r>
              <w:rPr>
                <w:rFonts w:hint="eastAsia" w:ascii="宋体" w:hAnsi="宋体" w:cs="宋体"/>
                <w:sz w:val="24"/>
                <w:szCs w:val="24"/>
                <w:highlight w:val="none"/>
                <w:lang w:val="en-US" w:eastAsia="zh-CN"/>
              </w:rPr>
              <w:t>详见招标文件</w:t>
            </w:r>
          </w:p>
        </w:tc>
      </w:tr>
      <w:tr w14:paraId="620C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534C2EF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1.3.2</w:t>
            </w:r>
          </w:p>
        </w:tc>
        <w:tc>
          <w:tcPr>
            <w:tcW w:w="3263" w:type="dxa"/>
            <w:noWrap w:val="0"/>
            <w:vAlign w:val="center"/>
          </w:tcPr>
          <w:p w14:paraId="0738C91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szCs w:val="24"/>
                <w:lang w:val="zh-CN"/>
              </w:rPr>
              <w:t>实施周期</w:t>
            </w:r>
          </w:p>
        </w:tc>
        <w:tc>
          <w:tcPr>
            <w:tcW w:w="5269" w:type="dxa"/>
            <w:noWrap w:val="0"/>
            <w:vAlign w:val="center"/>
          </w:tcPr>
          <w:p w14:paraId="28934B4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color w:val="auto"/>
                <w:sz w:val="24"/>
                <w:szCs w:val="24"/>
                <w:highlight w:val="none"/>
                <w:u w:val="none"/>
                <w:lang w:val="zh-CN" w:eastAsia="zh-CN"/>
              </w:rPr>
            </w:pPr>
            <w:r>
              <w:rPr>
                <w:rFonts w:hint="eastAsia" w:ascii="宋体" w:hAnsi="宋体" w:cs="宋体"/>
                <w:bCs/>
                <w:color w:val="auto"/>
                <w:sz w:val="24"/>
                <w:szCs w:val="24"/>
                <w:lang w:val="zh-CN"/>
              </w:rPr>
              <w:t>10个月</w:t>
            </w:r>
          </w:p>
        </w:tc>
      </w:tr>
      <w:tr w14:paraId="4F99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 w:type="dxa"/>
            <w:noWrap w:val="0"/>
            <w:vAlign w:val="center"/>
          </w:tcPr>
          <w:p w14:paraId="19B90F7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1.3.3</w:t>
            </w:r>
          </w:p>
        </w:tc>
        <w:tc>
          <w:tcPr>
            <w:tcW w:w="3263" w:type="dxa"/>
            <w:noWrap w:val="0"/>
            <w:vAlign w:val="center"/>
          </w:tcPr>
          <w:p w14:paraId="477A698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firstLine="960" w:firstLineChars="400"/>
              <w:jc w:val="both"/>
              <w:textAlignment w:val="auto"/>
              <w:outlineLvl w:val="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服务标准</w:t>
            </w:r>
          </w:p>
        </w:tc>
        <w:tc>
          <w:tcPr>
            <w:tcW w:w="5269" w:type="dxa"/>
            <w:noWrap w:val="0"/>
            <w:vAlign w:val="center"/>
          </w:tcPr>
          <w:p w14:paraId="5BF4CA4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color w:val="auto"/>
                <w:sz w:val="24"/>
                <w:szCs w:val="24"/>
                <w:highlight w:val="none"/>
                <w:lang w:val="zh-CN" w:eastAsia="zh-CN"/>
              </w:rPr>
            </w:pPr>
            <w:r>
              <w:rPr>
                <w:rFonts w:hint="eastAsia"/>
                <w:color w:val="auto"/>
                <w:sz w:val="24"/>
                <w:szCs w:val="24"/>
                <w:lang w:val="zh-CN"/>
              </w:rPr>
              <w:t>符合国家及行业规定的合格标准</w:t>
            </w:r>
          </w:p>
        </w:tc>
      </w:tr>
      <w:tr w14:paraId="3B35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491796E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1.4.1</w:t>
            </w:r>
          </w:p>
        </w:tc>
        <w:tc>
          <w:tcPr>
            <w:tcW w:w="3263" w:type="dxa"/>
            <w:noWrap w:val="0"/>
            <w:vAlign w:val="center"/>
          </w:tcPr>
          <w:p w14:paraId="020FD46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投标人资质条件、能力和信誉</w:t>
            </w:r>
          </w:p>
        </w:tc>
        <w:tc>
          <w:tcPr>
            <w:tcW w:w="5269" w:type="dxa"/>
            <w:noWrap w:val="0"/>
            <w:vAlign w:val="top"/>
          </w:tcPr>
          <w:p w14:paraId="7F207FF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符合招标公告中合格投标人的资格要求</w:t>
            </w:r>
          </w:p>
        </w:tc>
      </w:tr>
      <w:tr w14:paraId="4D0D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7449215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1.4.2</w:t>
            </w:r>
          </w:p>
        </w:tc>
        <w:tc>
          <w:tcPr>
            <w:tcW w:w="3263" w:type="dxa"/>
            <w:noWrap w:val="0"/>
            <w:vAlign w:val="center"/>
          </w:tcPr>
          <w:p w14:paraId="277FA4C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是否接受联合体投标</w:t>
            </w:r>
          </w:p>
        </w:tc>
        <w:tc>
          <w:tcPr>
            <w:tcW w:w="5269" w:type="dxa"/>
            <w:noWrap w:val="0"/>
            <w:vAlign w:val="top"/>
          </w:tcPr>
          <w:p w14:paraId="000986D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color w:val="auto"/>
                <w:sz w:val="18"/>
                <w:szCs w:val="18"/>
                <w:highlight w:val="none"/>
                <w:bdr w:val="single" w:color="auto" w:sz="4" w:space="0"/>
              </w:rPr>
              <w:t>√</w:t>
            </w:r>
            <w:r>
              <w:rPr>
                <w:rFonts w:hint="eastAsia" w:ascii="宋体" w:hAnsi="宋体" w:eastAsia="宋体" w:cs="宋体"/>
                <w:bCs/>
                <w:color w:val="auto"/>
                <w:sz w:val="24"/>
                <w:highlight w:val="none"/>
                <w:lang w:val="zh-CN"/>
              </w:rPr>
              <w:t>不接受</w:t>
            </w:r>
          </w:p>
          <w:p w14:paraId="1C3C909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firstLine="360" w:firstLineChars="15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CA8388"/>
                              </w:txbxContent>
                            </wps:txbx>
                            <wps:bodyPr upright="1"/>
                          </wps:wsp>
                        </a:graphicData>
                      </a:graphic>
                    </wp:anchor>
                  </w:drawing>
                </mc:Choice>
                <mc:Fallback>
                  <w:pict>
                    <v:rect id="_x0000_s1026" o:spid="_x0000_s1026" o:spt="1" style="position:absolute;left:0pt;margin-left:-1.25pt;margin-top:9pt;height:9.75pt;width:9.75pt;z-index:-251656192;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JH+KoX8AQAAKAQAAA4AAABkcnMvZTJvRG9jLnhtbK1TzY7T&#10;MBC+I/EOlu80adCiJWq6B0q5IFhp2QeYOk5iyX/yuE36NEjceAgeB/EajJ3S/YFDD+TgjO3x5+/7&#10;Zry6mYxmBxlQOdvw5aLkTFrhWmX7ht9/2b665gwj2Ba0s7LhR4n8Zv3yxWr0tazc4HQrAyMQi/Xo&#10;Gz7E6OuiQDFIA7hwXlra7FwwEGka+qINMBK60UVVlm+K0YXWByckIq1u5k1+QgyXALquU0JunNgb&#10;aeOMGqSGSJJwUB75OrPtOini565DGZluOCmNeaRLKN6lsVivoO4D+EGJEwW4hMIzTQaUpUvPUBuI&#10;wPZB/QVllAgOXRcXwpliFpIdIRXL8pk3dwN4mbWQ1ejPpuP/gxWfDreBqbbhFWcWDBX819fvP398&#10;Y1XyZvRYU8qdvw2nGVKYhE5dMOlPEtiU/Tye/ZRTZIIWl9Xr6+qKM0Fbp5hQiofDPmD8IJ1hKWh4&#10;oHJlF+HwEeOc+icl3YVOq3artM6T0O/e6cAOQKXd5i8xJvQnadqyseFvrzIPoH7tqE+IkvGkGW2f&#10;73tyAh8Dl/n7F3AitgEcZgIZIaVBbVSUyS2oBwnte9uyePTkq6XnxBMZI1vOtKTXl6KcGUHpSzJJ&#10;nbYkMtVlrkSK4rSbCCaFO9ceqaB7H1Q/kKXLTD3tUANld07Nnjr08TyDPjzw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0piH1gAAAAcBAAAPAAAAAAAAAAEAIAAAACIAAABkcnMvZG93bnJldi54&#10;bWxQSwECFAAUAAAACACHTuJAkf4qhfwBAAAoBAAADgAAAAAAAAABACAAAAAlAQAAZHJzL2Uyb0Rv&#10;Yy54bWxQSwUGAAAAAAYABgBZAQAAkwUAAAAA&#10;">
                      <v:fill on="t" focussize="0,0"/>
                      <v:stroke color="#000000" joinstyle="miter"/>
                      <v:imagedata o:title=""/>
                      <o:lock v:ext="edit" aspectratio="f"/>
                      <v:textbox>
                        <w:txbxContent>
                          <w:p w14:paraId="19CA8388"/>
                        </w:txbxContent>
                      </v:textbox>
                    </v:rect>
                  </w:pict>
                </mc:Fallback>
              </mc:AlternateContent>
            </w:r>
            <w:r>
              <w:rPr>
                <w:rFonts w:hint="eastAsia" w:ascii="宋体" w:hAnsi="宋体" w:eastAsia="宋体" w:cs="宋体"/>
                <w:bCs/>
                <w:color w:val="auto"/>
                <w:sz w:val="24"/>
                <w:highlight w:val="none"/>
                <w:lang w:val="zh-CN"/>
              </w:rPr>
              <w:t xml:space="preserve">接 受 </w:t>
            </w:r>
          </w:p>
        </w:tc>
      </w:tr>
      <w:tr w14:paraId="353D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7FB4439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1.9.1</w:t>
            </w:r>
          </w:p>
        </w:tc>
        <w:tc>
          <w:tcPr>
            <w:tcW w:w="3263" w:type="dxa"/>
            <w:noWrap w:val="0"/>
            <w:vAlign w:val="center"/>
          </w:tcPr>
          <w:p w14:paraId="0EBE2EF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踏勘现场</w:t>
            </w:r>
          </w:p>
        </w:tc>
        <w:tc>
          <w:tcPr>
            <w:tcW w:w="5269" w:type="dxa"/>
            <w:tcBorders>
              <w:top w:val="single" w:color="auto" w:sz="4" w:space="0"/>
            </w:tcBorders>
            <w:noWrap w:val="0"/>
            <w:vAlign w:val="center"/>
          </w:tcPr>
          <w:p w14:paraId="34DF69E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color w:val="auto"/>
                <w:sz w:val="24"/>
                <w:highlight w:val="none"/>
                <w:lang w:val="zh-CN"/>
              </w:rPr>
              <w:t>自行踏勘</w:t>
            </w:r>
          </w:p>
        </w:tc>
      </w:tr>
      <w:tr w14:paraId="690B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1F6E4CC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1.10.1</w:t>
            </w:r>
          </w:p>
        </w:tc>
        <w:tc>
          <w:tcPr>
            <w:tcW w:w="3263" w:type="dxa"/>
            <w:noWrap w:val="0"/>
            <w:vAlign w:val="center"/>
          </w:tcPr>
          <w:p w14:paraId="64468FC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投标预备会</w:t>
            </w:r>
          </w:p>
        </w:tc>
        <w:tc>
          <w:tcPr>
            <w:tcW w:w="5269" w:type="dxa"/>
            <w:noWrap w:val="0"/>
            <w:vAlign w:val="top"/>
          </w:tcPr>
          <w:p w14:paraId="48D35F1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color w:val="auto"/>
                <w:sz w:val="18"/>
                <w:szCs w:val="18"/>
                <w:highlight w:val="none"/>
                <w:bdr w:val="single" w:color="auto" w:sz="4" w:space="0"/>
              </w:rPr>
              <w:t>√</w:t>
            </w:r>
            <w:r>
              <w:rPr>
                <w:rFonts w:hint="eastAsia" w:ascii="宋体" w:hAnsi="宋体" w:eastAsia="宋体" w:cs="宋体"/>
                <w:bCs/>
                <w:color w:val="auto"/>
                <w:sz w:val="24"/>
                <w:highlight w:val="none"/>
                <w:lang w:val="zh-CN"/>
              </w:rPr>
              <w:t>不召开</w:t>
            </w:r>
          </w:p>
          <w:p w14:paraId="5C51B51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mc:AlternateContent>
                <mc:Choice Requires="wps">
                  <w:drawing>
                    <wp:anchor distT="0" distB="0" distL="114300" distR="114300" simplePos="0" relativeHeight="251662336"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1" name="矩形 1"/>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27F5F1"/>
                              </w:txbxContent>
                            </wps:txbx>
                            <wps:bodyPr upright="1"/>
                          </wps:wsp>
                        </a:graphicData>
                      </a:graphic>
                    </wp:anchor>
                  </w:drawing>
                </mc:Choice>
                <mc:Fallback>
                  <w:pict>
                    <v:rect id="_x0000_s1026" o:spid="_x0000_s1026" o:spt="1" style="position:absolute;left:0pt;margin-left:-1.25pt;margin-top:9pt;height:9.75pt;width:9.75pt;z-index:-251654144;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LY1fSj7AQAAKAQAAA4AAABkcnMvZTJvRG9jLnhtbK1TS44T&#10;MRDdI3EHy3vSSdCgoZXOLAhhg2CkYQ5Qsd3dlvyTy0l3ToPEjkNwHMQ1KLtD5gOLLOiFu2yXn997&#10;VV7djNawg4qovWv4YjbnTDnhpXZdw++/bF9dc4YJnATjnWr4USG/Wb98sRpCrZa+90aqyAjEYT2E&#10;hvcphbqqUPTKAs58UI42Wx8tJJrGrpIRBkK3plrO52+qwUcZohcKkVY30yY/IcZLAH3baqE2Xuyt&#10;cmlCjcpAIknY64B8Xdi2rRLpc9uiSsw0nJSmMtIlFO/yWK1XUHcRQq/FiQJcQuGZJgva0aVnqA0k&#10;YPuo/4KyWkSPvk0z4W01CSmOkIrF/Jk3dz0EVbSQ1RjOpuP/gxWfDreRaUmdwJkDSwX/9fX7zx/f&#10;2CJ7MwSsKeUu3MbTDCnMQsc22vwnCWwsfh7PfqoxMUGLi+Xr6+UVZ4K2TjGhVA+HQ8T0QXnLctDw&#10;SOUqLsLhI6Yp9U9Kvgu90XKrjSmT2O3emcgOQKXdli8zJvQnacaxoeFvrwoPoH5tqU+Ikg2kGV1X&#10;7ntyAh8Dz8v3L+BMbAPYTwQKQk6D2uqksltQ9wrkeydZOgby1dFz4pmMVZIzo+j15ahkJtDmkkxS&#10;ZxyJzHWZKpGjNO5GgsnhzssjFXQfou56srRUsaRTAxV3Ts2eO/TxvIA+PPD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LSmIfWAAAABwEAAA8AAAAAAAAAAQAgAAAAIgAAAGRycy9kb3ducmV2Lnht&#10;bFBLAQIUABQAAAAIAIdO4kC2NX0o+wEAACgEAAAOAAAAAAAAAAEAIAAAACUBAABkcnMvZTJvRG9j&#10;LnhtbFBLBQYAAAAABgAGAFkBAACSBQAAAAA=&#10;">
                      <v:fill on="t" focussize="0,0"/>
                      <v:stroke color="#000000" joinstyle="miter"/>
                      <v:imagedata o:title=""/>
                      <o:lock v:ext="edit" aspectratio="f"/>
                      <v:textbox>
                        <w:txbxContent>
                          <w:p w14:paraId="7A27F5F1"/>
                        </w:txbxContent>
                      </v:textbox>
                    </v:rect>
                  </w:pict>
                </mc:Fallback>
              </mc:AlternateContent>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zh-CN"/>
              </w:rPr>
              <w:t>召  开</w:t>
            </w:r>
          </w:p>
        </w:tc>
      </w:tr>
      <w:tr w14:paraId="38FB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2B8047B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1.10.2</w:t>
            </w:r>
          </w:p>
        </w:tc>
        <w:tc>
          <w:tcPr>
            <w:tcW w:w="3263" w:type="dxa"/>
            <w:noWrap w:val="0"/>
            <w:vAlign w:val="center"/>
          </w:tcPr>
          <w:p w14:paraId="4AB3A7E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投标人提出问题的截止时间</w:t>
            </w:r>
          </w:p>
        </w:tc>
        <w:tc>
          <w:tcPr>
            <w:tcW w:w="5269" w:type="dxa"/>
            <w:noWrap w:val="0"/>
            <w:vAlign w:val="top"/>
          </w:tcPr>
          <w:p w14:paraId="66EBB52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招标文件收到后</w:t>
            </w:r>
            <w:r>
              <w:rPr>
                <w:rFonts w:hint="eastAsia" w:ascii="宋体" w:hAnsi="宋体" w:eastAsia="宋体" w:cs="宋体"/>
                <w:bCs/>
                <w:color w:val="auto"/>
                <w:sz w:val="24"/>
                <w:highlight w:val="none"/>
                <w:lang w:val="en-US" w:eastAsia="zh-CN"/>
              </w:rPr>
              <w:t>7日内</w:t>
            </w:r>
          </w:p>
        </w:tc>
      </w:tr>
      <w:tr w14:paraId="0588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1015FD6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1.10.3</w:t>
            </w:r>
          </w:p>
        </w:tc>
        <w:tc>
          <w:tcPr>
            <w:tcW w:w="3263" w:type="dxa"/>
            <w:noWrap w:val="0"/>
            <w:vAlign w:val="center"/>
          </w:tcPr>
          <w:p w14:paraId="296EF7F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招标人书面澄清的时间</w:t>
            </w:r>
          </w:p>
        </w:tc>
        <w:tc>
          <w:tcPr>
            <w:tcW w:w="5269" w:type="dxa"/>
            <w:noWrap w:val="0"/>
            <w:vAlign w:val="top"/>
          </w:tcPr>
          <w:p w14:paraId="2714EA6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开标前</w:t>
            </w:r>
            <w:r>
              <w:rPr>
                <w:rFonts w:hint="eastAsia" w:ascii="宋体" w:hAnsi="宋体" w:eastAsia="宋体" w:cs="宋体"/>
                <w:bCs/>
                <w:color w:val="auto"/>
                <w:sz w:val="24"/>
                <w:highlight w:val="none"/>
              </w:rPr>
              <w:t>15日</w:t>
            </w:r>
          </w:p>
        </w:tc>
      </w:tr>
      <w:tr w14:paraId="17CD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6B6C282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1.11</w:t>
            </w:r>
          </w:p>
        </w:tc>
        <w:tc>
          <w:tcPr>
            <w:tcW w:w="3263" w:type="dxa"/>
            <w:noWrap w:val="0"/>
            <w:vAlign w:val="center"/>
          </w:tcPr>
          <w:p w14:paraId="6D2FC8C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分包</w:t>
            </w:r>
          </w:p>
        </w:tc>
        <w:tc>
          <w:tcPr>
            <w:tcW w:w="5269" w:type="dxa"/>
            <w:noWrap w:val="0"/>
            <w:vAlign w:val="top"/>
          </w:tcPr>
          <w:p w14:paraId="3850CB3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color w:val="auto"/>
                <w:sz w:val="18"/>
                <w:szCs w:val="18"/>
                <w:highlight w:val="none"/>
                <w:bdr w:val="single" w:color="auto" w:sz="4" w:space="0"/>
              </w:rPr>
              <w:t>√</w:t>
            </w:r>
            <w:r>
              <w:rPr>
                <w:rFonts w:hint="eastAsia" w:ascii="宋体" w:hAnsi="宋体" w:eastAsia="宋体" w:cs="宋体"/>
                <w:bCs/>
                <w:color w:val="auto"/>
                <w:sz w:val="24"/>
                <w:highlight w:val="none"/>
                <w:lang w:val="zh-CN"/>
              </w:rPr>
              <w:t>不允许</w:t>
            </w:r>
          </w:p>
          <w:p w14:paraId="3F16198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firstLine="240" w:firstLineChars="10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mc:AlternateContent>
                <mc:Choice Requires="wps">
                  <w:drawing>
                    <wp:anchor distT="0" distB="0" distL="114300" distR="114300" simplePos="0" relativeHeight="251661312"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3" name="矩形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C929C"/>
                              </w:txbxContent>
                            </wps:txbx>
                            <wps:bodyPr upright="1"/>
                          </wps:wsp>
                        </a:graphicData>
                      </a:graphic>
                    </wp:anchor>
                  </w:drawing>
                </mc:Choice>
                <mc:Fallback>
                  <w:pict>
                    <v:rect id="_x0000_s1026" o:spid="_x0000_s1026" o:spt="1" style="position:absolute;left:0pt;margin-left:-1.25pt;margin-top:9pt;height:9.75pt;width:9.75pt;z-index:-251655168;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LNFN1f8AQAAKAQAAA4AAABkcnMvZTJvRG9jLnhtbK1TS44T&#10;MRDdI3EHy3um89GgoZXOLAhhg2CkgQNUbHe3Jf/kctKd0yCx4xAcB3ENyu6Q+cAiC3rhLtvl5/de&#10;lVe3ozXsoCJq7xo+v5pxppzwUruu4V8+b1/dcIYJnATjnWr4USG/Xb98sRpCrRa+90aqyAjEYT2E&#10;hvcphbqqUPTKAl75oBxttj5aSDSNXSUjDIRuTbWYzV5Xg48yRC8UIq1upk1+QoyXAPq21UJtvNhb&#10;5dKEGpWBRJKw1wH5urBtWyXSp7ZFlZhpOClNZaRLKN7lsVqvoO4ihF6LEwW4hMIzTRa0o0vPUBtI&#10;wPZR/wVltYgefZuuhLfVJKQ4Qirms2fe3PcQVNFCVmM4m47/D1Z8PNxFpmXDl5w5sFTwX1+///zx&#10;jS2zN0PAmlLuw108zZDCLHRso81/ksDG4ufx7KcaExO0OF8sbxbXnAnaOsWEUj0cDhHTe+Uty0HD&#10;I5WruAiHD5im1D8p+S70RsutNqZMYrd7ayI7AJV2W77MmNCfpBnHhoa/uS48gPq1pT4hSjaQZnRd&#10;ue/JCXwMPCvfv4AzsQ1gPxEoCDkNaquTym5B3SuQ75xk6RjIV0fPiWcyVknOjKLXl6OSmUCbSzJJ&#10;nXEkMtdlqkSO0rgbCSaHOy+PVNB9iLrrydJ5oZ53qIGKO6dmzx36eF5AHx7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0piH1gAAAAcBAAAPAAAAAAAAAAEAIAAAACIAAABkcnMvZG93bnJldi54&#10;bWxQSwECFAAUAAAACACHTuJAs0U3V/wBAAAoBAAADgAAAAAAAAABACAAAAAlAQAAZHJzL2Uyb0Rv&#10;Yy54bWxQSwUGAAAAAAYABgBZAQAAkwUAAAAA&#10;">
                      <v:fill on="t" focussize="0,0"/>
                      <v:stroke color="#000000" joinstyle="miter"/>
                      <v:imagedata o:title=""/>
                      <o:lock v:ext="edit" aspectratio="f"/>
                      <v:textbox>
                        <w:txbxContent>
                          <w:p w14:paraId="7D7C929C"/>
                        </w:txbxContent>
                      </v:textbox>
                    </v:rect>
                  </w:pict>
                </mc:Fallback>
              </mc:AlternateContent>
            </w:r>
            <w:r>
              <w:rPr>
                <w:rFonts w:hint="eastAsia" w:ascii="宋体" w:hAnsi="宋体" w:eastAsia="宋体" w:cs="宋体"/>
                <w:bCs/>
                <w:color w:val="auto"/>
                <w:sz w:val="24"/>
                <w:highlight w:val="none"/>
                <w:lang w:val="zh-CN"/>
              </w:rPr>
              <w:t>允  许</w:t>
            </w:r>
          </w:p>
        </w:tc>
      </w:tr>
      <w:tr w14:paraId="4ED9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34A2BD5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1.12</w:t>
            </w:r>
          </w:p>
        </w:tc>
        <w:tc>
          <w:tcPr>
            <w:tcW w:w="3263" w:type="dxa"/>
            <w:noWrap w:val="0"/>
            <w:vAlign w:val="center"/>
          </w:tcPr>
          <w:p w14:paraId="1D08DD3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偏离</w:t>
            </w:r>
          </w:p>
        </w:tc>
        <w:tc>
          <w:tcPr>
            <w:tcW w:w="5269" w:type="dxa"/>
            <w:noWrap w:val="0"/>
            <w:vAlign w:val="top"/>
          </w:tcPr>
          <w:p w14:paraId="694F381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color w:val="auto"/>
                <w:sz w:val="18"/>
                <w:szCs w:val="18"/>
                <w:highlight w:val="none"/>
                <w:bdr w:val="single" w:color="auto" w:sz="4" w:space="0"/>
              </w:rPr>
              <w:t>√</w:t>
            </w:r>
            <w:r>
              <w:rPr>
                <w:rFonts w:hint="eastAsia" w:ascii="宋体" w:hAnsi="宋体" w:eastAsia="宋体" w:cs="宋体"/>
                <w:bCs/>
                <w:color w:val="auto"/>
                <w:sz w:val="24"/>
                <w:highlight w:val="none"/>
                <w:lang w:val="zh-CN"/>
              </w:rPr>
              <w:t>不允许</w:t>
            </w:r>
          </w:p>
          <w:p w14:paraId="745CC14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mc:AlternateContent>
                <mc:Choice Requires="wps">
                  <w:drawing>
                    <wp:anchor distT="0" distB="0" distL="114300" distR="114300" simplePos="0" relativeHeight="251663360"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6" name="矩形 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3CAED9"/>
                              </w:txbxContent>
                            </wps:txbx>
                            <wps:bodyPr upright="1"/>
                          </wps:wsp>
                        </a:graphicData>
                      </a:graphic>
                    </wp:anchor>
                  </w:drawing>
                </mc:Choice>
                <mc:Fallback>
                  <w:pict>
                    <v:rect id="_x0000_s1026" o:spid="_x0000_s1026" o:spt="1" style="position:absolute;left:0pt;margin-left:-1.25pt;margin-top:9pt;height:9.75pt;width:9.75pt;z-index:-251653120;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Jsevnv8AQAAKAQAAA4AAABkcnMvZTJvRG9jLnhtbK1TS44T&#10;MRDdI3EHy3vSSdBEQ2s6syCEDYKRBg5Qsd3dlvyTy0l3ToPEjkNwHMQ1KLtD5gOLLOiFu2yXn997&#10;Vb65Ha1hBxVRe9fwxWzOmXLCS+26hn/5vH11zRkmcBKMd6rhR4X8dv3yxc0QarX0vTdSRUYgDush&#10;NLxPKdRVhaJXFnDmg3K02fpoIdE0dpWMMBC6NdVyPl9Vg48yRC8UIq1upk1+QoyXAPq21UJtvNhb&#10;5dKEGpWBRJKw1wH5urBtWyXSp7ZFlZhpOClNZaRLKN7lsVrfQN1FCL0WJwpwCYVnmixoR5eeoTaQ&#10;gO2j/gvKahE9+jbNhLfVJKQ4QioW82fe3PcQVNFCVmM4m47/D1Z8PNxFpmXDV5w5sFTwX1+///zx&#10;ja2yN0PAmlLuw108zZDCLHRso81/ksDG4ufx7KcaExO0uFi+vl5ecSZo6xQTSvVwOERM75W3LAcN&#10;j1Su4iIcPmCaUv+k5LvQGy232pgyid3urYnsAFTabfkyY0J/kmYcGxr+5qrwAOrXlvqEKNlAmtF1&#10;5b4nJ/Ax8Lx8/wLOxDaA/USgIOQ0qK1OKrsFda9AvnOSpWMgXx09J57JWCU5M4peX45KZgJtLskk&#10;dcaRyFyXqRI5SuNuJJgc7rw8UkH3IequJ0sXhXreoQYq7pyaPXfo43kBfXjg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0piH1gAAAAcBAAAPAAAAAAAAAAEAIAAAACIAAABkcnMvZG93bnJldi54&#10;bWxQSwECFAAUAAAACACHTuJAmx6+e/wBAAAoBAAADgAAAAAAAAABACAAAAAlAQAAZHJzL2Uyb0Rv&#10;Yy54bWxQSwUGAAAAAAYABgBZAQAAkwUAAAAA&#10;">
                      <v:fill on="t" focussize="0,0"/>
                      <v:stroke color="#000000" joinstyle="miter"/>
                      <v:imagedata o:title=""/>
                      <o:lock v:ext="edit" aspectratio="f"/>
                      <v:textbox>
                        <w:txbxContent>
                          <w:p w14:paraId="253CAED9"/>
                        </w:txbxContent>
                      </v:textbox>
                    </v:rect>
                  </w:pict>
                </mc:Fallback>
              </mc:AlternateContent>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zh-CN"/>
              </w:rPr>
              <w:t>允  许</w:t>
            </w:r>
          </w:p>
        </w:tc>
      </w:tr>
      <w:tr w14:paraId="5363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1EDFC34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2.1</w:t>
            </w:r>
          </w:p>
        </w:tc>
        <w:tc>
          <w:tcPr>
            <w:tcW w:w="3263" w:type="dxa"/>
            <w:noWrap w:val="0"/>
            <w:vAlign w:val="center"/>
          </w:tcPr>
          <w:p w14:paraId="1152952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构成招标文件的其他材料</w:t>
            </w:r>
          </w:p>
        </w:tc>
        <w:tc>
          <w:tcPr>
            <w:tcW w:w="5269" w:type="dxa"/>
            <w:noWrap w:val="0"/>
            <w:vAlign w:val="top"/>
          </w:tcPr>
          <w:p w14:paraId="089D043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无</w:t>
            </w:r>
          </w:p>
        </w:tc>
      </w:tr>
      <w:tr w14:paraId="690F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0588E56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2.2.1</w:t>
            </w:r>
          </w:p>
        </w:tc>
        <w:tc>
          <w:tcPr>
            <w:tcW w:w="3263" w:type="dxa"/>
            <w:noWrap w:val="0"/>
            <w:vAlign w:val="center"/>
          </w:tcPr>
          <w:p w14:paraId="55CEAF7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投标人要求澄清</w:t>
            </w:r>
          </w:p>
          <w:p w14:paraId="3639B3F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招标文件的截止时间</w:t>
            </w:r>
          </w:p>
        </w:tc>
        <w:tc>
          <w:tcPr>
            <w:tcW w:w="5269" w:type="dxa"/>
            <w:noWrap w:val="0"/>
            <w:vAlign w:val="center"/>
          </w:tcPr>
          <w:p w14:paraId="4ED09A3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日内</w:t>
            </w:r>
          </w:p>
        </w:tc>
      </w:tr>
      <w:tr w14:paraId="604D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2265145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2.2.2</w:t>
            </w:r>
          </w:p>
        </w:tc>
        <w:tc>
          <w:tcPr>
            <w:tcW w:w="3263" w:type="dxa"/>
            <w:noWrap w:val="0"/>
            <w:vAlign w:val="center"/>
          </w:tcPr>
          <w:p w14:paraId="07CBB3B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投标截止时间</w:t>
            </w:r>
          </w:p>
        </w:tc>
        <w:tc>
          <w:tcPr>
            <w:tcW w:w="5269" w:type="dxa"/>
            <w:noWrap w:val="0"/>
            <w:vAlign w:val="top"/>
          </w:tcPr>
          <w:p w14:paraId="449239B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详见招标公告</w:t>
            </w:r>
          </w:p>
        </w:tc>
      </w:tr>
      <w:tr w14:paraId="696C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16EB371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2.2.3</w:t>
            </w:r>
          </w:p>
        </w:tc>
        <w:tc>
          <w:tcPr>
            <w:tcW w:w="3263" w:type="dxa"/>
            <w:noWrap w:val="0"/>
            <w:vAlign w:val="center"/>
          </w:tcPr>
          <w:p w14:paraId="4B1EE0D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投标人确认收到</w:t>
            </w:r>
          </w:p>
          <w:p w14:paraId="402E72D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招标文件澄清的时间</w:t>
            </w:r>
          </w:p>
        </w:tc>
        <w:tc>
          <w:tcPr>
            <w:tcW w:w="5269" w:type="dxa"/>
            <w:noWrap w:val="0"/>
            <w:vAlign w:val="center"/>
          </w:tcPr>
          <w:p w14:paraId="24DF5B1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24小时以内</w:t>
            </w:r>
          </w:p>
        </w:tc>
      </w:tr>
      <w:tr w14:paraId="4BE6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0F400A7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2.3.2</w:t>
            </w:r>
          </w:p>
        </w:tc>
        <w:tc>
          <w:tcPr>
            <w:tcW w:w="3263" w:type="dxa"/>
            <w:noWrap w:val="0"/>
            <w:vAlign w:val="center"/>
          </w:tcPr>
          <w:p w14:paraId="081BD50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投标人确认收到</w:t>
            </w:r>
          </w:p>
          <w:p w14:paraId="465CFEC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招标文件修改的时间</w:t>
            </w:r>
          </w:p>
        </w:tc>
        <w:tc>
          <w:tcPr>
            <w:tcW w:w="5269" w:type="dxa"/>
            <w:noWrap w:val="0"/>
            <w:vAlign w:val="center"/>
          </w:tcPr>
          <w:p w14:paraId="7B82565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24小时以内</w:t>
            </w:r>
          </w:p>
        </w:tc>
      </w:tr>
      <w:tr w14:paraId="7975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5AE48DA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3.1.1</w:t>
            </w:r>
          </w:p>
        </w:tc>
        <w:tc>
          <w:tcPr>
            <w:tcW w:w="3263" w:type="dxa"/>
            <w:noWrap w:val="0"/>
            <w:vAlign w:val="center"/>
          </w:tcPr>
          <w:p w14:paraId="5942DEB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构成投标文件的其他材料</w:t>
            </w:r>
          </w:p>
        </w:tc>
        <w:tc>
          <w:tcPr>
            <w:tcW w:w="5269" w:type="dxa"/>
            <w:noWrap w:val="0"/>
            <w:vAlign w:val="top"/>
          </w:tcPr>
          <w:p w14:paraId="24623E7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1.满足《中华人民共和国政府采购法》第二十二条规定。</w:t>
            </w:r>
          </w:p>
          <w:p w14:paraId="413AA6F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2.落实政府采购政策需满足的资格要求：本项目专门面向中小企业采购。</w:t>
            </w:r>
          </w:p>
          <w:p w14:paraId="7915628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政府采购强制、优先采购节能产品政策；政府采购优先采购环保产品政策；政府采购促进中小企业发展（监狱企业、残疾人福利性单位视同小微企业）政策。 </w:t>
            </w:r>
          </w:p>
          <w:p w14:paraId="5BC43CD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3.本项目的特定资格要求：</w:t>
            </w:r>
          </w:p>
          <w:p w14:paraId="1B15121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（1）投标人应在中华人民共和国注册具有独立法人资格或其他组织，具有有效的营业执照且具有独立承担民事责任和履行合同所必需的设备和专业技术能力</w:t>
            </w:r>
            <w:r>
              <w:rPr>
                <w:rFonts w:hint="eastAsia" w:ascii="宋体" w:hAnsi="宋体" w:eastAsia="宋体" w:cs="宋体"/>
                <w:bCs/>
                <w:color w:val="auto"/>
                <w:sz w:val="24"/>
                <w:highlight w:val="none"/>
                <w:lang w:val="zh-CN" w:eastAsia="zh-CN"/>
              </w:rPr>
              <w:t>；</w:t>
            </w:r>
          </w:p>
          <w:p w14:paraId="45CAE8F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zh-CN" w:eastAsia="zh-CN"/>
              </w:rPr>
              <w:t>具有良好的</w:t>
            </w: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 HYPERLINK "https://www.baidu.com/s?wd=%E5%95%86%E4%B8%9A%E4%BF%A1%E8%AA%89&amp;hl_tag=textlink&amp;tn=SE_hldp01350_v6v6zkg6" \t "_blank" </w:instrText>
            </w:r>
            <w:r>
              <w:rPr>
                <w:rFonts w:hint="eastAsia" w:ascii="宋体" w:hAnsi="宋体" w:eastAsia="宋体" w:cs="宋体"/>
                <w:bCs/>
                <w:color w:val="auto"/>
                <w:sz w:val="24"/>
                <w:highlight w:val="none"/>
                <w:lang w:val="zh-CN"/>
              </w:rPr>
              <w:fldChar w:fldCharType="separate"/>
            </w:r>
            <w:r>
              <w:rPr>
                <w:rFonts w:hint="eastAsia" w:ascii="宋体" w:hAnsi="宋体" w:eastAsia="宋体" w:cs="宋体"/>
                <w:bCs/>
                <w:color w:val="auto"/>
                <w:sz w:val="24"/>
                <w:highlight w:val="none"/>
                <w:lang w:val="zh-CN" w:eastAsia="zh-CN"/>
              </w:rPr>
              <w:t>商业信誉</w:t>
            </w:r>
            <w:r>
              <w:rPr>
                <w:rFonts w:hint="eastAsia" w:ascii="宋体" w:hAnsi="宋体" w:eastAsia="宋体" w:cs="宋体"/>
                <w:bCs/>
                <w:color w:val="auto"/>
                <w:sz w:val="24"/>
                <w:highlight w:val="none"/>
                <w:lang w:val="zh-CN" w:eastAsia="zh-CN"/>
              </w:rPr>
              <w:fldChar w:fldCharType="end"/>
            </w:r>
            <w:r>
              <w:rPr>
                <w:rFonts w:hint="eastAsia" w:ascii="宋体" w:hAnsi="宋体" w:eastAsia="宋体" w:cs="宋体"/>
                <w:bCs/>
                <w:color w:val="auto"/>
                <w:sz w:val="24"/>
                <w:highlight w:val="none"/>
                <w:lang w:val="zh-CN" w:eastAsia="zh-CN"/>
              </w:rPr>
              <w:t>和健全的财务会计制度（提供202</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eastAsia="zh-CN"/>
              </w:rPr>
              <w:t>年至202</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zh-CN" w:eastAsia="zh-CN"/>
              </w:rPr>
              <w:t>年财务审计报告，202</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eastAsia="zh-CN"/>
              </w:rPr>
              <w:t>年以后成立企业提供成立之日起至202</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zh-CN" w:eastAsia="zh-CN"/>
              </w:rPr>
              <w:t>年财务审计报告，202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eastAsia="zh-CN"/>
              </w:rPr>
              <w:t>年1月1日后新成立企业提供财务状况良好承诺）；</w:t>
            </w:r>
          </w:p>
          <w:p w14:paraId="1BA8E29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）有依法缴纳税收和</w:t>
            </w:r>
            <w:r>
              <w:rPr>
                <w:rFonts w:hint="eastAsia" w:ascii="宋体" w:hAnsi="宋体" w:eastAsia="宋体" w:cs="宋体"/>
                <w:bCs/>
                <w:color w:val="auto"/>
                <w:sz w:val="24"/>
                <w:highlight w:val="none"/>
                <w:lang w:val="zh-CN" w:eastAsia="zh-CN"/>
              </w:rPr>
              <w:fldChar w:fldCharType="begin"/>
            </w:r>
            <w:r>
              <w:rPr>
                <w:rFonts w:hint="eastAsia" w:ascii="宋体" w:hAnsi="宋体" w:eastAsia="宋体" w:cs="宋体"/>
                <w:bCs/>
                <w:color w:val="auto"/>
                <w:sz w:val="24"/>
                <w:highlight w:val="none"/>
                <w:lang w:val="zh-CN" w:eastAsia="zh-CN"/>
              </w:rPr>
              <w:instrText xml:space="preserve"> HYPERLINK "https://www.baidu.com/s?wd=%E7%A4%BE%E4%BC%9A%E4%BF%9D%E9%9A%9C%E8%B5%84%E9%87%91&amp;hl_tag=textlink&amp;tn=SE_hldp01350_v6v6zkg6" \t "_blank" </w:instrText>
            </w:r>
            <w:r>
              <w:rPr>
                <w:rFonts w:hint="eastAsia" w:ascii="宋体" w:hAnsi="宋体" w:eastAsia="宋体" w:cs="宋体"/>
                <w:bCs/>
                <w:color w:val="auto"/>
                <w:sz w:val="24"/>
                <w:highlight w:val="none"/>
                <w:lang w:val="zh-CN" w:eastAsia="zh-CN"/>
              </w:rPr>
              <w:fldChar w:fldCharType="separate"/>
            </w:r>
            <w:r>
              <w:rPr>
                <w:rFonts w:hint="eastAsia" w:ascii="宋体" w:hAnsi="宋体" w:eastAsia="宋体" w:cs="宋体"/>
                <w:bCs/>
                <w:color w:val="auto"/>
                <w:sz w:val="24"/>
                <w:highlight w:val="none"/>
                <w:lang w:val="zh-CN" w:eastAsia="zh-CN"/>
              </w:rPr>
              <w:t>社会保障资金</w:t>
            </w:r>
            <w:r>
              <w:rPr>
                <w:rFonts w:hint="eastAsia" w:ascii="宋体" w:hAnsi="宋体" w:eastAsia="宋体" w:cs="宋体"/>
                <w:bCs/>
                <w:color w:val="auto"/>
                <w:sz w:val="24"/>
                <w:highlight w:val="none"/>
                <w:lang w:val="zh-CN" w:eastAsia="zh-CN"/>
              </w:rPr>
              <w:fldChar w:fldCharType="end"/>
            </w:r>
            <w:r>
              <w:rPr>
                <w:rFonts w:hint="eastAsia" w:ascii="宋体" w:hAnsi="宋体" w:eastAsia="宋体" w:cs="宋体"/>
                <w:bCs/>
                <w:color w:val="auto"/>
                <w:sz w:val="24"/>
                <w:highlight w:val="none"/>
                <w:lang w:val="zh-CN" w:eastAsia="zh-CN"/>
              </w:rPr>
              <w:t>的良好记录提供投标截止时间前近半年任意三个月依法缴纳税收及社保证明；</w:t>
            </w:r>
          </w:p>
          <w:p w14:paraId="59A1F4D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zh-CN"/>
              </w:rPr>
              <w:t>）信誉要求：202</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rPr>
              <w:t>年1月1日至今无行贿犯罪及不良行为记录；“中国裁判文书网”网站（https://wenshu.court.gov.cn/）上无行贿犯罪记录；“信用中国”网站（www.creditchina.gov.cn）未列入①失信被执行人及②重大税收违法失信主体名单；国家企业信用信息公示系统（http://www.gsxt.gov.cn/index.html）未列入严重违法失信企业名单及中国政府采购网（http://www.ccgp.gov.cn/search/cr/）未列入政府采购严重违法失信行为记录名单。以上均须提供截图</w:t>
            </w:r>
            <w:r>
              <w:rPr>
                <w:rFonts w:hint="eastAsia" w:ascii="宋体" w:hAnsi="宋体" w:eastAsia="宋体" w:cs="宋体"/>
                <w:bCs/>
                <w:color w:val="auto"/>
                <w:sz w:val="24"/>
                <w:highlight w:val="none"/>
                <w:lang w:val="zh-CN" w:eastAsia="zh-CN"/>
              </w:rPr>
              <w:t>；</w:t>
            </w:r>
          </w:p>
          <w:p w14:paraId="2FCBD8C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提供企业承诺书</w:t>
            </w:r>
            <w:r>
              <w:rPr>
                <w:rFonts w:hint="eastAsia" w:ascii="宋体" w:hAnsi="宋体" w:eastAsia="宋体" w:cs="宋体"/>
                <w:bCs/>
                <w:color w:val="auto"/>
                <w:sz w:val="24"/>
                <w:highlight w:val="none"/>
                <w:lang w:val="zh-CN" w:eastAsia="zh-CN"/>
              </w:rPr>
              <w:t>；</w:t>
            </w:r>
          </w:p>
          <w:p w14:paraId="00B9A3A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zh-CN"/>
              </w:rPr>
              <w:t>本项目不接受联合体</w:t>
            </w:r>
            <w:r>
              <w:rPr>
                <w:rFonts w:hint="eastAsia" w:ascii="宋体" w:hAnsi="宋体" w:eastAsia="宋体" w:cs="宋体"/>
                <w:bCs/>
                <w:color w:val="auto"/>
                <w:sz w:val="24"/>
                <w:highlight w:val="none"/>
                <w:lang w:val="zh-CN" w:eastAsia="zh-CN"/>
              </w:rPr>
              <w:t>。</w:t>
            </w:r>
          </w:p>
        </w:tc>
      </w:tr>
      <w:tr w14:paraId="0E3D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32F8482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3.3.1</w:t>
            </w:r>
          </w:p>
        </w:tc>
        <w:tc>
          <w:tcPr>
            <w:tcW w:w="3263" w:type="dxa"/>
            <w:noWrap w:val="0"/>
            <w:vAlign w:val="center"/>
          </w:tcPr>
          <w:p w14:paraId="0F82FFB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投标有效期</w:t>
            </w:r>
          </w:p>
        </w:tc>
        <w:tc>
          <w:tcPr>
            <w:tcW w:w="5269" w:type="dxa"/>
            <w:noWrap w:val="0"/>
            <w:vAlign w:val="top"/>
          </w:tcPr>
          <w:p w14:paraId="70F6CEE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投标截止之日后</w:t>
            </w:r>
            <w:r>
              <w:rPr>
                <w:rFonts w:hint="eastAsia" w:ascii="宋体" w:hAnsi="宋体" w:eastAsia="宋体" w:cs="宋体"/>
                <w:bCs/>
                <w:color w:val="auto"/>
                <w:sz w:val="24"/>
                <w:highlight w:val="none"/>
                <w:lang w:val="en-US" w:eastAsia="zh-CN"/>
              </w:rPr>
              <w:t>60</w:t>
            </w:r>
            <w:r>
              <w:rPr>
                <w:rFonts w:hint="eastAsia" w:ascii="宋体" w:hAnsi="宋体" w:eastAsia="宋体" w:cs="宋体"/>
                <w:bCs/>
                <w:color w:val="auto"/>
                <w:sz w:val="24"/>
                <w:highlight w:val="none"/>
                <w:lang w:val="zh-CN"/>
              </w:rPr>
              <w:t>天（日历天），从投标截止之日算起。</w:t>
            </w:r>
          </w:p>
        </w:tc>
      </w:tr>
      <w:tr w14:paraId="215C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495261D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3.4.1</w:t>
            </w:r>
          </w:p>
        </w:tc>
        <w:tc>
          <w:tcPr>
            <w:tcW w:w="3263" w:type="dxa"/>
            <w:noWrap w:val="0"/>
            <w:vAlign w:val="center"/>
          </w:tcPr>
          <w:p w14:paraId="4854097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投标保证金</w:t>
            </w:r>
          </w:p>
        </w:tc>
        <w:tc>
          <w:tcPr>
            <w:tcW w:w="5269" w:type="dxa"/>
            <w:noWrap w:val="0"/>
            <w:vAlign w:val="top"/>
          </w:tcPr>
          <w:p w14:paraId="5ECE992F">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zh-CN"/>
              </w:rPr>
              <w:t>投标保证金金额（人民币）：</w:t>
            </w:r>
            <w:r>
              <w:rPr>
                <w:rFonts w:hint="eastAsia" w:ascii="宋体" w:hAnsi="宋体" w:cs="宋体"/>
                <w:bCs/>
                <w:color w:val="auto"/>
                <w:sz w:val="24"/>
                <w:highlight w:val="none"/>
                <w:lang w:val="en-US" w:eastAsia="zh-CN"/>
              </w:rPr>
              <w:t>1.9万元；</w:t>
            </w:r>
          </w:p>
          <w:p w14:paraId="54CE2569">
            <w:pPr>
              <w:spacing w:line="420" w:lineRule="exact"/>
              <w:jc w:val="both"/>
              <w:rPr>
                <w:rStyle w:val="37"/>
                <w:rFonts w:hint="default" w:ascii="宋体" w:hAnsi="宋体" w:eastAsia="宋体" w:cs="Times New Roman"/>
                <w:color w:val="auto"/>
                <w:sz w:val="24"/>
                <w:szCs w:val="24"/>
                <w:highlight w:val="none"/>
                <w:lang w:val="en-US" w:eastAsia="zh-CN"/>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zh-CN"/>
              </w:rPr>
              <w:t>投标保证金方式：</w:t>
            </w:r>
            <w:r>
              <w:rPr>
                <w:rStyle w:val="37"/>
                <w:rFonts w:hint="default" w:ascii="宋体" w:hAnsi="宋体" w:eastAsia="宋体" w:cs="Times New Roman"/>
                <w:color w:val="auto"/>
                <w:sz w:val="24"/>
                <w:szCs w:val="24"/>
                <w:highlight w:val="none"/>
                <w:lang w:val="en-US" w:eastAsia="zh-CN"/>
              </w:rPr>
              <w:t>供应商自主选择支票、汇票、本票、保函、转账、电汇等形式；</w:t>
            </w:r>
          </w:p>
          <w:p w14:paraId="4AA7F16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zh-CN"/>
              </w:rPr>
              <w:t>投标保证金有效期同投标有效期。</w:t>
            </w:r>
          </w:p>
          <w:p w14:paraId="3B44F64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收款单位：</w:t>
            </w:r>
            <w:r>
              <w:rPr>
                <w:rFonts w:hint="eastAsia" w:ascii="宋体" w:hAnsi="宋体" w:eastAsia="宋体" w:cs="宋体"/>
                <w:bCs/>
                <w:color w:val="auto"/>
                <w:sz w:val="24"/>
                <w:highlight w:val="none"/>
                <w:lang w:val="zh-CN" w:eastAsia="zh-CN"/>
              </w:rPr>
              <w:t>中源国际招标有限公司</w:t>
            </w:r>
          </w:p>
          <w:p w14:paraId="6548014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开 户 行：</w:t>
            </w:r>
            <w:r>
              <w:rPr>
                <w:rFonts w:hint="eastAsia" w:ascii="宋体" w:hAnsi="宋体" w:eastAsia="宋体" w:cs="宋体"/>
                <w:bCs/>
                <w:color w:val="auto"/>
                <w:sz w:val="24"/>
                <w:szCs w:val="24"/>
                <w:highlight w:val="none"/>
                <w:lang w:val="zh-CN" w:eastAsia="zh-CN"/>
              </w:rPr>
              <w:t>中国民生银行股份有限公司长春卫星支行</w:t>
            </w:r>
          </w:p>
          <w:p w14:paraId="722EC50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帐 号：</w:t>
            </w:r>
            <w:r>
              <w:rPr>
                <w:rFonts w:hint="eastAsia" w:ascii="宋体" w:hAnsi="宋体" w:eastAsia="宋体" w:cs="宋体"/>
                <w:bCs/>
                <w:color w:val="auto"/>
                <w:sz w:val="24"/>
                <w:szCs w:val="24"/>
                <w:highlight w:val="none"/>
                <w:lang w:val="zh-CN" w:eastAsia="zh-CN"/>
              </w:rPr>
              <w:t>160690352</w:t>
            </w:r>
          </w:p>
          <w:p w14:paraId="87E1C00B">
            <w:pPr>
              <w:spacing w:line="420" w:lineRule="exact"/>
              <w:jc w:val="both"/>
              <w:rPr>
                <w:rStyle w:val="37"/>
                <w:rFonts w:hint="default" w:ascii="宋体" w:hAnsi="宋体" w:eastAsia="宋体" w:cs="Times New Roman"/>
                <w:color w:val="auto"/>
                <w:sz w:val="24"/>
                <w:szCs w:val="24"/>
                <w:highlight w:val="none"/>
                <w:lang w:val="en-US" w:eastAsia="zh-CN"/>
              </w:rPr>
            </w:pPr>
            <w:r>
              <w:rPr>
                <w:rStyle w:val="37"/>
                <w:rFonts w:hint="default" w:ascii="宋体" w:hAnsi="宋体" w:eastAsia="宋体" w:cs="Times New Roman"/>
                <w:color w:val="auto"/>
                <w:sz w:val="24"/>
                <w:szCs w:val="24"/>
                <w:highlight w:val="none"/>
                <w:lang w:val="en-US" w:eastAsia="zh-CN"/>
              </w:rPr>
              <w:t>4、递交时间：供应商应于递交</w:t>
            </w:r>
            <w:r>
              <w:rPr>
                <w:rStyle w:val="37"/>
                <w:rFonts w:hint="eastAsia" w:ascii="宋体" w:hAnsi="宋体" w:cs="Times New Roman"/>
                <w:color w:val="auto"/>
                <w:sz w:val="24"/>
                <w:szCs w:val="24"/>
                <w:highlight w:val="none"/>
                <w:lang w:val="en-US" w:eastAsia="zh-CN"/>
              </w:rPr>
              <w:t>投标</w:t>
            </w:r>
            <w:r>
              <w:rPr>
                <w:rStyle w:val="37"/>
                <w:rFonts w:hint="default" w:ascii="宋体" w:hAnsi="宋体" w:eastAsia="宋体" w:cs="Times New Roman"/>
                <w:color w:val="auto"/>
                <w:sz w:val="24"/>
                <w:szCs w:val="24"/>
                <w:highlight w:val="none"/>
                <w:lang w:val="en-US" w:eastAsia="zh-CN"/>
              </w:rPr>
              <w:t>文件截止时间前递交，以到账为准。</w:t>
            </w:r>
          </w:p>
          <w:p w14:paraId="523C1BC0">
            <w:pPr>
              <w:spacing w:line="420" w:lineRule="exact"/>
              <w:jc w:val="both"/>
              <w:rPr>
                <w:rStyle w:val="37"/>
                <w:rFonts w:hint="default" w:ascii="宋体" w:hAnsi="宋体" w:eastAsia="宋体" w:cs="Times New Roman"/>
                <w:color w:val="auto"/>
                <w:sz w:val="24"/>
                <w:szCs w:val="24"/>
                <w:highlight w:val="none"/>
                <w:lang w:val="en-US" w:eastAsia="zh-CN"/>
              </w:rPr>
            </w:pPr>
            <w:r>
              <w:rPr>
                <w:rStyle w:val="37"/>
                <w:rFonts w:hint="default" w:ascii="宋体" w:hAnsi="宋体" w:eastAsia="宋体" w:cs="Times New Roman"/>
                <w:color w:val="auto"/>
                <w:sz w:val="24"/>
                <w:szCs w:val="24"/>
                <w:highlight w:val="none"/>
                <w:lang w:val="en-US" w:eastAsia="zh-CN"/>
              </w:rPr>
              <w:t>采用银行保函形式提交的，供应商应当在提交响应文件截止时间前向采购代理机构递交保函原件。</w:t>
            </w:r>
          </w:p>
          <w:p w14:paraId="EB391607">
            <w:pPr>
              <w:spacing w:line="420" w:lineRule="exact"/>
              <w:jc w:val="both"/>
              <w:rPr>
                <w:rStyle w:val="37"/>
                <w:rFonts w:hint="default" w:ascii="宋体" w:hAnsi="宋体" w:eastAsia="宋体" w:cs="Times New Roman"/>
                <w:color w:val="auto"/>
                <w:sz w:val="24"/>
                <w:szCs w:val="24"/>
                <w:highlight w:val="none"/>
                <w:lang w:val="en-US" w:eastAsia="zh-CN"/>
              </w:rPr>
            </w:pPr>
            <w:r>
              <w:rPr>
                <w:rStyle w:val="37"/>
                <w:rFonts w:hint="default" w:ascii="宋体" w:hAnsi="宋体" w:eastAsia="宋体" w:cs="Times New Roman"/>
                <w:color w:val="auto"/>
                <w:sz w:val="24"/>
                <w:szCs w:val="24"/>
                <w:highlight w:val="none"/>
                <w:lang w:val="en-US" w:eastAsia="zh-CN"/>
              </w:rPr>
              <w:t>5、未按文件要求提交保证金，或提交保证金的账户名称与供应商名称不一致，按照无效投标处理。</w:t>
            </w:r>
          </w:p>
          <w:p w14:paraId="625201D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Style w:val="37"/>
                <w:rFonts w:hint="default" w:ascii="宋体" w:hAnsi="宋体" w:eastAsia="宋体" w:cs="Times New Roman"/>
                <w:color w:val="auto"/>
                <w:sz w:val="24"/>
                <w:szCs w:val="24"/>
                <w:highlight w:val="none"/>
                <w:lang w:val="en-US" w:eastAsia="zh-CN"/>
              </w:rPr>
              <w:t>注：供应商应在电汇或转账凭证上明确用途、项目名称及标段。递交完毕将保证金递交凭证发送到</w:t>
            </w:r>
            <w:r>
              <w:rPr>
                <w:rStyle w:val="37"/>
                <w:rFonts w:hint="eastAsia" w:ascii="宋体" w:hAnsi="宋体" w:eastAsia="宋体" w:cs="Times New Roman"/>
                <w:color w:val="auto"/>
                <w:sz w:val="24"/>
                <w:szCs w:val="24"/>
                <w:highlight w:val="none"/>
                <w:lang w:val="en-US" w:eastAsia="zh-CN"/>
              </w:rPr>
              <w:t>2446382060@qq.com</w:t>
            </w:r>
            <w:r>
              <w:rPr>
                <w:rStyle w:val="37"/>
                <w:rFonts w:hint="default" w:ascii="宋体" w:hAnsi="宋体" w:eastAsia="宋体" w:cs="Times New Roman"/>
                <w:color w:val="auto"/>
                <w:sz w:val="24"/>
                <w:szCs w:val="24"/>
                <w:highlight w:val="none"/>
                <w:lang w:val="en-US" w:eastAsia="zh-CN"/>
              </w:rPr>
              <w:t>邮箱内，联系项目负责人及时查账。</w:t>
            </w:r>
          </w:p>
        </w:tc>
      </w:tr>
      <w:tr w14:paraId="28D4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02FFFB5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3.5.2</w:t>
            </w:r>
          </w:p>
        </w:tc>
        <w:tc>
          <w:tcPr>
            <w:tcW w:w="3263" w:type="dxa"/>
            <w:noWrap w:val="0"/>
            <w:vAlign w:val="center"/>
          </w:tcPr>
          <w:p w14:paraId="07B4678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近年财务状况的年份要求</w:t>
            </w:r>
          </w:p>
        </w:tc>
        <w:tc>
          <w:tcPr>
            <w:tcW w:w="5269" w:type="dxa"/>
            <w:noWrap w:val="0"/>
            <w:vAlign w:val="center"/>
          </w:tcPr>
          <w:p w14:paraId="067C465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textAlignment w:val="auto"/>
              <w:outlineLvl w:val="9"/>
              <w:rPr>
                <w:rFonts w:hint="eastAsia" w:ascii="宋体" w:hAnsi="宋体" w:eastAsia="宋体" w:cs="宋体"/>
                <w:bCs/>
                <w:color w:val="auto"/>
                <w:sz w:val="24"/>
                <w:highlight w:val="none"/>
                <w:lang w:val="zh-CN"/>
              </w:rPr>
            </w:pPr>
            <w:r>
              <w:rPr>
                <w:rFonts w:hint="eastAsia" w:ascii="宋体" w:hAnsi="宋体" w:cs="宋体"/>
                <w:color w:val="auto"/>
                <w:sz w:val="24"/>
                <w:szCs w:val="24"/>
                <w:lang w:eastAsia="zh-CN"/>
              </w:rPr>
              <w:t>具有良好的</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"https://www.baidu.com/s?wd=%E5%95%86%E4%B8%9A%E4%BF%A1%E8%AA%89&amp;hl_tag=textlink&amp;tn=SE_hldp01350_v6v6zkg6" \t "_blank" </w:instrText>
            </w:r>
            <w:r>
              <w:rPr>
                <w:rFonts w:hint="eastAsia" w:ascii="宋体" w:hAnsi="宋体" w:cs="宋体"/>
                <w:color w:val="auto"/>
                <w:sz w:val="24"/>
                <w:szCs w:val="24"/>
              </w:rPr>
              <w:fldChar w:fldCharType="separate"/>
            </w:r>
            <w:r>
              <w:rPr>
                <w:rFonts w:hint="eastAsia" w:ascii="宋体" w:hAnsi="宋体" w:cs="宋体"/>
                <w:color w:val="auto"/>
                <w:sz w:val="24"/>
                <w:szCs w:val="24"/>
                <w:lang w:eastAsia="zh-CN"/>
              </w:rPr>
              <w:t>商业信誉</w:t>
            </w:r>
            <w:r>
              <w:rPr>
                <w:rFonts w:hint="eastAsia" w:ascii="宋体" w:hAnsi="宋体" w:cs="宋体"/>
                <w:color w:val="auto"/>
                <w:sz w:val="24"/>
                <w:szCs w:val="24"/>
                <w:lang w:eastAsia="zh-CN"/>
              </w:rPr>
              <w:fldChar w:fldCharType="end"/>
            </w:r>
            <w:r>
              <w:rPr>
                <w:rFonts w:hint="eastAsia" w:ascii="宋体" w:hAnsi="宋体" w:cs="宋体"/>
                <w:color w:val="auto"/>
                <w:sz w:val="24"/>
                <w:szCs w:val="24"/>
                <w:lang w:eastAsia="zh-CN"/>
              </w:rPr>
              <w:t>和健全的财务会计制度（提供202</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年至202</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年财务审计报告，202</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年以后成立企业提供成立之日起至202</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年财务审计报告，202</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年1月1日后新成立企业提供财务状况良好承诺）</w:t>
            </w:r>
          </w:p>
        </w:tc>
      </w:tr>
      <w:tr w14:paraId="5F04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32BC7C2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3.5.3</w:t>
            </w:r>
          </w:p>
        </w:tc>
        <w:tc>
          <w:tcPr>
            <w:tcW w:w="3263" w:type="dxa"/>
            <w:noWrap w:val="0"/>
            <w:vAlign w:val="center"/>
          </w:tcPr>
          <w:p w14:paraId="2F04B2B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近年完成的类似项目的年份要求</w:t>
            </w:r>
          </w:p>
        </w:tc>
        <w:tc>
          <w:tcPr>
            <w:tcW w:w="5269" w:type="dxa"/>
            <w:noWrap w:val="0"/>
            <w:vAlign w:val="top"/>
          </w:tcPr>
          <w:p w14:paraId="27F34B6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近年（</w:t>
            </w: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至今</w:t>
            </w:r>
            <w:r>
              <w:rPr>
                <w:rFonts w:hint="eastAsia" w:ascii="宋体" w:hAnsi="宋体" w:eastAsia="宋体" w:cs="宋体"/>
                <w:bCs/>
                <w:color w:val="auto"/>
                <w:sz w:val="24"/>
                <w:highlight w:val="none"/>
                <w:lang w:val="zh-CN"/>
              </w:rPr>
              <w:t>）</w:t>
            </w:r>
          </w:p>
        </w:tc>
      </w:tr>
      <w:tr w14:paraId="65D7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5017D1B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3.5.5</w:t>
            </w:r>
          </w:p>
        </w:tc>
        <w:tc>
          <w:tcPr>
            <w:tcW w:w="3263" w:type="dxa"/>
            <w:noWrap w:val="0"/>
            <w:vAlign w:val="center"/>
          </w:tcPr>
          <w:p w14:paraId="432FC40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近年发生的诉讼及仲裁情况的年份要求</w:t>
            </w:r>
          </w:p>
        </w:tc>
        <w:tc>
          <w:tcPr>
            <w:tcW w:w="5269" w:type="dxa"/>
            <w:noWrap w:val="0"/>
            <w:vAlign w:val="center"/>
          </w:tcPr>
          <w:p w14:paraId="391493A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近三年（</w:t>
            </w: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至今</w:t>
            </w:r>
            <w:r>
              <w:rPr>
                <w:rFonts w:hint="eastAsia" w:ascii="宋体" w:hAnsi="宋体" w:eastAsia="宋体" w:cs="宋体"/>
                <w:bCs/>
                <w:color w:val="auto"/>
                <w:sz w:val="24"/>
                <w:highlight w:val="none"/>
                <w:lang w:val="zh-CN"/>
              </w:rPr>
              <w:t>）</w:t>
            </w:r>
          </w:p>
        </w:tc>
      </w:tr>
      <w:tr w14:paraId="779C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006D9B9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3.6</w:t>
            </w:r>
          </w:p>
        </w:tc>
        <w:tc>
          <w:tcPr>
            <w:tcW w:w="3263" w:type="dxa"/>
            <w:noWrap w:val="0"/>
            <w:vAlign w:val="center"/>
          </w:tcPr>
          <w:p w14:paraId="7767A3D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是否允许递交备选投标方案</w:t>
            </w:r>
          </w:p>
        </w:tc>
        <w:tc>
          <w:tcPr>
            <w:tcW w:w="5269" w:type="dxa"/>
            <w:noWrap w:val="0"/>
            <w:vAlign w:val="top"/>
          </w:tcPr>
          <w:p w14:paraId="190999E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color w:val="auto"/>
                <w:sz w:val="18"/>
                <w:szCs w:val="18"/>
                <w:highlight w:val="none"/>
                <w:bdr w:val="single" w:color="auto" w:sz="4" w:space="0"/>
              </w:rPr>
              <w:t>√</w:t>
            </w:r>
            <w:r>
              <w:rPr>
                <w:rFonts w:hint="eastAsia" w:ascii="宋体" w:hAnsi="宋体" w:eastAsia="宋体" w:cs="宋体"/>
                <w:bCs/>
                <w:color w:val="auto"/>
                <w:sz w:val="24"/>
                <w:highlight w:val="none"/>
                <w:lang w:val="zh-CN"/>
              </w:rPr>
              <w:t>不允许</w:t>
            </w:r>
          </w:p>
          <w:p w14:paraId="7461AA2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mc:AlternateContent>
                <mc:Choice Requires="wps">
                  <w:drawing>
                    <wp:anchor distT="0" distB="0" distL="114300" distR="114300" simplePos="0" relativeHeight="251664384"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5" name="矩形 5"/>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6FC8AF"/>
                              </w:txbxContent>
                            </wps:txbx>
                            <wps:bodyPr upright="1"/>
                          </wps:wsp>
                        </a:graphicData>
                      </a:graphic>
                    </wp:anchor>
                  </w:drawing>
                </mc:Choice>
                <mc:Fallback>
                  <w:pict>
                    <v:rect id="_x0000_s1026" o:spid="_x0000_s1026" o:spt="1" style="position:absolute;left:0pt;margin-left:-1.25pt;margin-top:9pt;height:9.75pt;width:9.75pt;z-index:-251652096;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LzV6db8AQAAKAQAAA4AAABkcnMvZTJvRG9jLnhtbK1TS44T&#10;MRDdI3EHy3vSSVDQ0JrOLAhhg2CkYQ5Qsd3dlvyTy0l3ToPEjkNwHMQ1KLtD5gOLLOiFu2yXn997&#10;Vb6+Ga1hBxVRe9fwxWzOmXLCS+26ht9/2b664gwTOAnGO9Xwo0J+s3754noItVr63hupIiMQh/UQ&#10;Gt6nFOqqQtErCzjzQTnabH20kGgau0pGGAjdmmo5n7+pBh9liF4oRFrdTJv8hBgvAfRtq4XaeLG3&#10;yqUJNSoDiSRhrwPydWHbtkqkz22LKjHTcFKaykiXULzLY7W+hrqLEHotThTgEgrPNFnQji49Q20g&#10;AdtH/ReU1SJ69G2aCW+rSUhxhFQs5s+8ueshqKKFrMZwNh3/H6z4dLiNTMuGrzhzYKngv75+//nj&#10;G1tlb4aANaXchdt4miGFWejYRpv/JIGNxc/j2U81JiZocbF8fbUkXEFbp5hQqofDIWL6oLxlOWh4&#10;pHIVF+HwEdOU+icl34XeaLnVxpRJ7HbvTGQHoNJuy5cZE/qTNOPY0PC3q8IDqF9b6hOiZANpRteV&#10;+56cwMfA8/L9CzgT2wD2E4GCkNOgtjqp7BbUvQL53kmWjoF8dfSceCZjleTMKHp9OSqZCbS5JJPU&#10;GUcic12mSuQojbuRYHK48/JIBd2HqLueLF0U6nmHGqi4c2r23KGP5wX04YGv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0piH1gAAAAcBAAAPAAAAAAAAAAEAIAAAACIAAABkcnMvZG93bnJldi54&#10;bWxQSwECFAAUAAAACACHTuJAvNXp1vwBAAAoBAAADgAAAAAAAAABACAAAAAlAQAAZHJzL2Uyb0Rv&#10;Yy54bWxQSwUGAAAAAAYABgBZAQAAkwUAAAAA&#10;">
                      <v:fill on="t" focussize="0,0"/>
                      <v:stroke color="#000000" joinstyle="miter"/>
                      <v:imagedata o:title=""/>
                      <o:lock v:ext="edit" aspectratio="f"/>
                      <v:textbox>
                        <w:txbxContent>
                          <w:p w14:paraId="5D6FC8AF"/>
                        </w:txbxContent>
                      </v:textbox>
                    </v:rect>
                  </w:pict>
                </mc:Fallback>
              </mc:AlternateContent>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zh-CN"/>
              </w:rPr>
              <w:t>允  许</w:t>
            </w:r>
          </w:p>
        </w:tc>
      </w:tr>
      <w:tr w14:paraId="35F2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464E707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3.7.3</w:t>
            </w:r>
          </w:p>
        </w:tc>
        <w:tc>
          <w:tcPr>
            <w:tcW w:w="3263" w:type="dxa"/>
            <w:noWrap w:val="0"/>
            <w:vAlign w:val="center"/>
          </w:tcPr>
          <w:p w14:paraId="5C46AEB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签字或盖章要求</w:t>
            </w:r>
          </w:p>
        </w:tc>
        <w:tc>
          <w:tcPr>
            <w:tcW w:w="5269" w:type="dxa"/>
            <w:noWrap w:val="0"/>
            <w:vAlign w:val="top"/>
          </w:tcPr>
          <w:p w14:paraId="0DCEE647">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投标文件按要求签字并盖章。</w:t>
            </w:r>
          </w:p>
        </w:tc>
      </w:tr>
      <w:tr w14:paraId="1673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7C4CA66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3.7.4</w:t>
            </w:r>
          </w:p>
        </w:tc>
        <w:tc>
          <w:tcPr>
            <w:tcW w:w="3263" w:type="dxa"/>
            <w:noWrap w:val="0"/>
            <w:vAlign w:val="center"/>
          </w:tcPr>
          <w:p w14:paraId="655AFCF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承诺函</w:t>
            </w:r>
          </w:p>
        </w:tc>
        <w:tc>
          <w:tcPr>
            <w:tcW w:w="5269" w:type="dxa"/>
            <w:noWrap w:val="0"/>
            <w:vAlign w:val="top"/>
          </w:tcPr>
          <w:p w14:paraId="1D6C53D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投标人对本项目</w:t>
            </w:r>
            <w:r>
              <w:rPr>
                <w:rFonts w:hint="eastAsia" w:ascii="宋体" w:hAnsi="宋体" w:cs="宋体"/>
                <w:bCs/>
                <w:color w:val="auto"/>
                <w:sz w:val="24"/>
                <w:highlight w:val="none"/>
                <w:lang w:val="zh-CN"/>
              </w:rPr>
              <w:t>服务期限</w:t>
            </w:r>
            <w:r>
              <w:rPr>
                <w:rFonts w:hint="eastAsia" w:ascii="宋体" w:hAnsi="宋体" w:eastAsia="宋体" w:cs="宋体"/>
                <w:bCs/>
                <w:color w:val="auto"/>
                <w:sz w:val="24"/>
                <w:highlight w:val="none"/>
                <w:lang w:val="zh-CN"/>
              </w:rPr>
              <w:t>、服务时间、服务质量、服务标准做出承诺，</w:t>
            </w:r>
            <w:r>
              <w:rPr>
                <w:rFonts w:hint="eastAsia" w:ascii="宋体" w:hAnsi="宋体" w:cs="宋体"/>
                <w:bCs/>
                <w:color w:val="auto"/>
                <w:sz w:val="24"/>
                <w:highlight w:val="none"/>
                <w:lang w:val="en-US" w:eastAsia="zh-CN"/>
              </w:rPr>
              <w:t>格式自拟需法人或被授权人</w:t>
            </w:r>
            <w:r>
              <w:rPr>
                <w:rFonts w:hint="eastAsia" w:ascii="宋体" w:hAnsi="宋体" w:eastAsia="宋体" w:cs="宋体"/>
                <w:bCs/>
                <w:color w:val="auto"/>
                <w:sz w:val="24"/>
                <w:highlight w:val="none"/>
                <w:lang w:val="zh-CN"/>
              </w:rPr>
              <w:t>签字加盖公章，否则视为无效投标</w:t>
            </w:r>
          </w:p>
        </w:tc>
      </w:tr>
      <w:tr w14:paraId="545B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412E367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3.7.</w:t>
            </w:r>
            <w:r>
              <w:rPr>
                <w:rFonts w:hint="eastAsia" w:ascii="宋体" w:hAnsi="宋体" w:eastAsia="宋体" w:cs="宋体"/>
                <w:bCs/>
                <w:color w:val="auto"/>
                <w:sz w:val="24"/>
                <w:highlight w:val="none"/>
                <w:lang w:val="en-US" w:eastAsia="zh-CN"/>
              </w:rPr>
              <w:t>5</w:t>
            </w:r>
          </w:p>
        </w:tc>
        <w:tc>
          <w:tcPr>
            <w:tcW w:w="3263" w:type="dxa"/>
            <w:noWrap w:val="0"/>
            <w:vAlign w:val="center"/>
          </w:tcPr>
          <w:p w14:paraId="64BA817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投标文件份数</w:t>
            </w:r>
          </w:p>
        </w:tc>
        <w:tc>
          <w:tcPr>
            <w:tcW w:w="5269" w:type="dxa"/>
            <w:noWrap w:val="0"/>
            <w:vAlign w:val="top"/>
          </w:tcPr>
          <w:p w14:paraId="6AF3E3D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sz w:val="24"/>
                <w:szCs w:val="24"/>
                <w:highlight w:val="none"/>
                <w:lang w:val="en-US" w:eastAsia="zh-CN"/>
              </w:rPr>
              <w:t>实行政采云电子投标</w:t>
            </w:r>
            <w:r>
              <w:rPr>
                <w:rFonts w:hint="eastAsia" w:ascii="宋体" w:hAnsi="宋体" w:cs="宋体"/>
                <w:sz w:val="24"/>
                <w:szCs w:val="24"/>
                <w:highlight w:val="none"/>
                <w:lang w:val="en-US" w:eastAsia="zh-CN"/>
              </w:rPr>
              <w:t>，开标当日无需提供纸质版</w:t>
            </w:r>
            <w:r>
              <w:rPr>
                <w:rStyle w:val="37"/>
                <w:rFonts w:ascii="宋体" w:hAnsi="宋体"/>
                <w:color w:val="auto"/>
                <w:sz w:val="24"/>
                <w:szCs w:val="24"/>
                <w:highlight w:val="none"/>
              </w:rPr>
              <w:t>。</w:t>
            </w:r>
            <w:r>
              <w:rPr>
                <w:rStyle w:val="37"/>
                <w:rFonts w:hint="eastAsia" w:ascii="宋体" w:hAnsi="宋体"/>
                <w:color w:val="auto"/>
                <w:sz w:val="24"/>
                <w:szCs w:val="24"/>
                <w:highlight w:val="none"/>
                <w:lang w:eastAsia="zh-CN"/>
              </w:rPr>
              <w:t>投标商在开标结束三个工作日内将投标文件（系统生成版本）一正两副邮寄至招标代理机构处。</w:t>
            </w:r>
          </w:p>
        </w:tc>
      </w:tr>
      <w:tr w14:paraId="5C7E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7CB8137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3.7.</w:t>
            </w:r>
            <w:r>
              <w:rPr>
                <w:rFonts w:hint="eastAsia" w:ascii="宋体" w:hAnsi="宋体" w:eastAsia="宋体" w:cs="宋体"/>
                <w:bCs/>
                <w:color w:val="auto"/>
                <w:sz w:val="24"/>
                <w:highlight w:val="none"/>
                <w:lang w:val="en-US" w:eastAsia="zh-CN"/>
              </w:rPr>
              <w:t>6</w:t>
            </w:r>
          </w:p>
        </w:tc>
        <w:tc>
          <w:tcPr>
            <w:tcW w:w="3263" w:type="dxa"/>
            <w:noWrap w:val="0"/>
            <w:vAlign w:val="center"/>
          </w:tcPr>
          <w:p w14:paraId="4DC2882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装订要求</w:t>
            </w:r>
          </w:p>
        </w:tc>
        <w:tc>
          <w:tcPr>
            <w:tcW w:w="5269" w:type="dxa"/>
            <w:noWrap w:val="0"/>
            <w:vAlign w:val="top"/>
          </w:tcPr>
          <w:p w14:paraId="683AB6C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投标文件的装订要整齐、牢固，编制目录，便于保管和利用，不得采用活页装订方式。</w:t>
            </w:r>
          </w:p>
        </w:tc>
      </w:tr>
      <w:tr w14:paraId="6BB1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351913E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4.1.2</w:t>
            </w:r>
          </w:p>
        </w:tc>
        <w:tc>
          <w:tcPr>
            <w:tcW w:w="3263" w:type="dxa"/>
            <w:noWrap w:val="0"/>
            <w:vAlign w:val="center"/>
          </w:tcPr>
          <w:p w14:paraId="04639B3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封套上写明</w:t>
            </w:r>
          </w:p>
        </w:tc>
        <w:tc>
          <w:tcPr>
            <w:tcW w:w="5269" w:type="dxa"/>
            <w:noWrap w:val="0"/>
            <w:vAlign w:val="top"/>
          </w:tcPr>
          <w:p w14:paraId="306B3D3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u w:val="none"/>
                <w:lang w:eastAsia="zh-CN"/>
              </w:rPr>
              <w:t>项目名称：</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zh-CN"/>
              </w:rPr>
              <w:t xml:space="preserve">  (项目名称)   </w:t>
            </w:r>
            <w:r>
              <w:rPr>
                <w:rFonts w:hint="eastAsia" w:ascii="宋体" w:hAnsi="宋体" w:eastAsia="宋体" w:cs="宋体"/>
                <w:bCs/>
                <w:color w:val="auto"/>
                <w:sz w:val="24"/>
                <w:highlight w:val="none"/>
                <w:lang w:val="zh-CN"/>
              </w:rPr>
              <w:t>投标文件</w:t>
            </w:r>
            <w:r>
              <w:rPr>
                <w:rFonts w:hint="eastAsia" w:ascii="宋体" w:hAnsi="宋体" w:eastAsia="宋体" w:cs="宋体"/>
                <w:bCs/>
                <w:color w:val="auto"/>
                <w:sz w:val="24"/>
                <w:highlight w:val="none"/>
                <w:lang w:val="en-US" w:eastAsia="zh-CN"/>
              </w:rPr>
              <w:t xml:space="preserve">             </w:t>
            </w:r>
          </w:p>
          <w:p w14:paraId="1C80024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采购人：</w:t>
            </w:r>
          </w:p>
          <w:p w14:paraId="6D5246B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地址：</w:t>
            </w:r>
          </w:p>
          <w:p w14:paraId="608D4AD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投标单位名称：</w:t>
            </w:r>
          </w:p>
          <w:p w14:paraId="13D0E23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lang w:val="zh-CN"/>
              </w:rPr>
              <w:t>地址：</w:t>
            </w:r>
          </w:p>
          <w:p w14:paraId="4EBEAF8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在</w:t>
            </w:r>
            <w:r>
              <w:rPr>
                <w:rFonts w:hint="eastAsia" w:ascii="宋体" w:hAnsi="宋体" w:eastAsia="宋体" w:cs="宋体"/>
                <w:bCs/>
                <w:color w:val="auto"/>
                <w:sz w:val="24"/>
                <w:highlight w:val="none"/>
                <w:u w:val="single"/>
                <w:lang w:val="zh-CN"/>
              </w:rPr>
              <w:t xml:space="preserve"> （开标时间）</w:t>
            </w:r>
            <w:r>
              <w:rPr>
                <w:rFonts w:hint="eastAsia" w:ascii="宋体" w:hAnsi="宋体" w:eastAsia="宋体" w:cs="宋体"/>
                <w:bCs/>
                <w:color w:val="auto"/>
                <w:sz w:val="24"/>
                <w:highlight w:val="none"/>
                <w:lang w:val="zh-CN"/>
              </w:rPr>
              <w:t>前不得开启</w:t>
            </w:r>
          </w:p>
        </w:tc>
      </w:tr>
      <w:tr w14:paraId="6D69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1AE51CC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4.2.2</w:t>
            </w:r>
          </w:p>
        </w:tc>
        <w:tc>
          <w:tcPr>
            <w:tcW w:w="3263" w:type="dxa"/>
            <w:noWrap w:val="0"/>
            <w:vAlign w:val="center"/>
          </w:tcPr>
          <w:p w14:paraId="3D82B75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递交投标文件地点</w:t>
            </w:r>
          </w:p>
        </w:tc>
        <w:tc>
          <w:tcPr>
            <w:tcW w:w="5269" w:type="dxa"/>
            <w:noWrap w:val="0"/>
            <w:vAlign w:val="top"/>
          </w:tcPr>
          <w:p w14:paraId="3D9C3970">
            <w:pPr>
              <w:keepNext w:val="0"/>
              <w:keepLines w:val="0"/>
              <w:pageBreakBefore w:val="0"/>
              <w:widowControl w:val="0"/>
              <w:kinsoku/>
              <w:wordWrap/>
              <w:overflowPunct/>
              <w:topLinePunct w:val="0"/>
              <w:autoSpaceDE w:val="0"/>
              <w:autoSpaceDN w:val="0"/>
              <w:bidi w:val="0"/>
              <w:adjustRightInd w:val="0"/>
              <w:snapToGrid/>
              <w:spacing w:line="400" w:lineRule="exact"/>
              <w:ind w:left="840" w:right="0" w:rightChars="0" w:hanging="840" w:hangingChars="350"/>
              <w:jc w:val="left"/>
              <w:textAlignment w:val="auto"/>
              <w:outlineLvl w:val="9"/>
              <w:rPr>
                <w:rFonts w:hint="eastAsia" w:ascii="宋体" w:hAnsi="宋体" w:eastAsia="宋体" w:cs="宋体"/>
                <w:bCs/>
                <w:color w:val="auto"/>
                <w:sz w:val="24"/>
                <w:highlight w:val="none"/>
                <w:lang w:val="zh-CN" w:eastAsia="zh-CN"/>
              </w:rPr>
            </w:pPr>
            <w:r>
              <w:rPr>
                <w:rStyle w:val="37"/>
                <w:rFonts w:hint="eastAsia" w:ascii="宋体" w:hAnsi="宋体"/>
                <w:color w:val="auto"/>
                <w:sz w:val="24"/>
                <w:szCs w:val="24"/>
                <w:highlight w:val="none"/>
                <w:lang w:val="en-US" w:eastAsia="zh-CN"/>
              </w:rPr>
              <w:t>政采云网站递交</w:t>
            </w:r>
          </w:p>
        </w:tc>
      </w:tr>
      <w:tr w14:paraId="2E2F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2F2E0A6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4.2.3</w:t>
            </w:r>
          </w:p>
        </w:tc>
        <w:tc>
          <w:tcPr>
            <w:tcW w:w="3263" w:type="dxa"/>
            <w:noWrap w:val="0"/>
            <w:vAlign w:val="center"/>
          </w:tcPr>
          <w:p w14:paraId="0DC6A567">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是否退还投标文件</w:t>
            </w:r>
          </w:p>
        </w:tc>
        <w:tc>
          <w:tcPr>
            <w:tcW w:w="5269" w:type="dxa"/>
            <w:noWrap w:val="0"/>
            <w:vAlign w:val="top"/>
          </w:tcPr>
          <w:p w14:paraId="2F093C1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不退还</w:t>
            </w:r>
          </w:p>
        </w:tc>
      </w:tr>
      <w:tr w14:paraId="703C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4E7BF41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5.1</w:t>
            </w:r>
          </w:p>
        </w:tc>
        <w:tc>
          <w:tcPr>
            <w:tcW w:w="3263" w:type="dxa"/>
            <w:noWrap w:val="0"/>
            <w:vAlign w:val="center"/>
          </w:tcPr>
          <w:p w14:paraId="548C150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开标时间和地点</w:t>
            </w:r>
          </w:p>
        </w:tc>
        <w:tc>
          <w:tcPr>
            <w:tcW w:w="5269" w:type="dxa"/>
            <w:noWrap w:val="0"/>
            <w:vAlign w:val="top"/>
          </w:tcPr>
          <w:p w14:paraId="567831D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开标时间：</w:t>
            </w:r>
            <w:r>
              <w:rPr>
                <w:rFonts w:hint="eastAsia" w:ascii="宋体" w:hAnsi="宋体" w:eastAsia="宋体" w:cs="宋体"/>
                <w:bCs/>
                <w:color w:val="auto"/>
                <w:sz w:val="24"/>
                <w:highlight w:val="none"/>
                <w:lang w:val="zh-CN"/>
              </w:rPr>
              <w:t>详见招标公告</w:t>
            </w:r>
          </w:p>
          <w:p w14:paraId="717B989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开标地点：同投标文件提交地点</w:t>
            </w:r>
          </w:p>
        </w:tc>
      </w:tr>
      <w:tr w14:paraId="4793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4E0C0DB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6.1.1</w:t>
            </w:r>
          </w:p>
        </w:tc>
        <w:tc>
          <w:tcPr>
            <w:tcW w:w="3263" w:type="dxa"/>
            <w:noWrap w:val="0"/>
            <w:vAlign w:val="center"/>
          </w:tcPr>
          <w:p w14:paraId="43EC716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评标委员会的组建</w:t>
            </w:r>
          </w:p>
        </w:tc>
        <w:tc>
          <w:tcPr>
            <w:tcW w:w="5269" w:type="dxa"/>
            <w:noWrap w:val="0"/>
            <w:vAlign w:val="top"/>
          </w:tcPr>
          <w:p w14:paraId="51B00A3E">
            <w:pPr>
              <w:keepNext w:val="0"/>
              <w:keepLines w:val="0"/>
              <w:pageBreakBefore w:val="0"/>
              <w:widowControl w:val="0"/>
              <w:kinsoku/>
              <w:wordWrap/>
              <w:overflowPunct/>
              <w:topLinePunct w:val="0"/>
              <w:bidi w:val="0"/>
              <w:snapToGrid/>
              <w:spacing w:line="400" w:lineRule="exact"/>
              <w:ind w:right="0" w:rightChars="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t>评标委员会构成：</w:t>
            </w:r>
            <w:r>
              <w:rPr>
                <w:rFonts w:hint="eastAsia" w:ascii="宋体" w:hAnsi="宋体" w:cs="宋体"/>
                <w:bCs/>
                <w:color w:val="auto"/>
                <w:sz w:val="24"/>
                <w:highlight w:val="none"/>
                <w:u w:val="single"/>
                <w:lang w:val="en-US" w:eastAsia="zh-CN"/>
              </w:rPr>
              <w:t>5</w:t>
            </w:r>
            <w:r>
              <w:rPr>
                <w:rFonts w:hint="eastAsia" w:ascii="宋体" w:hAnsi="宋体" w:eastAsia="宋体" w:cs="宋体"/>
                <w:bCs/>
                <w:color w:val="auto"/>
                <w:sz w:val="24"/>
                <w:highlight w:val="none"/>
                <w:lang w:val="zh-CN"/>
              </w:rPr>
              <w:t>人,业主代表</w:t>
            </w:r>
            <w:r>
              <w:rPr>
                <w:rFonts w:hint="eastAsia" w:ascii="宋体" w:hAnsi="宋体" w:eastAsia="宋体" w:cs="宋体"/>
                <w:bCs/>
                <w:color w:val="auto"/>
                <w:sz w:val="24"/>
                <w:highlight w:val="none"/>
                <w:u w:val="single"/>
                <w:lang w:val="en-US" w:eastAsia="zh-CN"/>
              </w:rPr>
              <w:t>1</w:t>
            </w:r>
            <w:r>
              <w:rPr>
                <w:rFonts w:hint="eastAsia" w:ascii="宋体" w:hAnsi="宋体" w:eastAsia="宋体" w:cs="宋体"/>
                <w:bCs/>
                <w:color w:val="auto"/>
                <w:sz w:val="24"/>
                <w:highlight w:val="none"/>
                <w:lang w:val="en-US" w:eastAsia="zh-CN"/>
              </w:rPr>
              <w:t>人；</w:t>
            </w:r>
            <w:r>
              <w:rPr>
                <w:rFonts w:hint="eastAsia" w:ascii="宋体" w:hAnsi="宋体" w:eastAsia="宋体" w:cs="宋体"/>
                <w:bCs/>
                <w:color w:val="auto"/>
                <w:sz w:val="24"/>
                <w:highlight w:val="none"/>
                <w:lang w:val="zh-CN"/>
              </w:rPr>
              <w:t>社会专家</w:t>
            </w:r>
            <w:r>
              <w:rPr>
                <w:rFonts w:hint="eastAsia" w:ascii="宋体" w:hAnsi="宋体" w:cs="宋体"/>
                <w:bCs/>
                <w:color w:val="auto"/>
                <w:sz w:val="24"/>
                <w:highlight w:val="none"/>
                <w:u w:val="single"/>
                <w:lang w:val="en-US" w:eastAsia="zh-CN"/>
              </w:rPr>
              <w:t>4</w:t>
            </w:r>
            <w:r>
              <w:rPr>
                <w:rFonts w:hint="eastAsia" w:ascii="宋体" w:hAnsi="宋体" w:eastAsia="宋体" w:cs="宋体"/>
                <w:bCs/>
                <w:color w:val="auto"/>
                <w:sz w:val="24"/>
                <w:highlight w:val="none"/>
                <w:lang w:val="zh-CN"/>
              </w:rPr>
              <w:t>人</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lang w:val="zh-CN"/>
              </w:rPr>
              <w:t>评标社会专家确定方式：社会专家从吉林省政府采购中心评标专家库中随机抽取。</w:t>
            </w:r>
          </w:p>
        </w:tc>
      </w:tr>
      <w:tr w14:paraId="3A32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4027716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7.1</w:t>
            </w:r>
          </w:p>
        </w:tc>
        <w:tc>
          <w:tcPr>
            <w:tcW w:w="3263" w:type="dxa"/>
            <w:noWrap w:val="0"/>
            <w:vAlign w:val="center"/>
          </w:tcPr>
          <w:p w14:paraId="74E67E4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是否授权评标委员会确定中标人</w:t>
            </w:r>
          </w:p>
        </w:tc>
        <w:tc>
          <w:tcPr>
            <w:tcW w:w="5269" w:type="dxa"/>
            <w:noWrap w:val="0"/>
            <w:vAlign w:val="center"/>
          </w:tcPr>
          <w:p w14:paraId="7593AC45">
            <w:pPr>
              <w:keepNext w:val="0"/>
              <w:keepLines w:val="0"/>
              <w:pageBreakBefore w:val="0"/>
              <w:widowControl w:val="0"/>
              <w:kinsoku/>
              <w:wordWrap/>
              <w:overflowPunct/>
              <w:topLinePunct w:val="0"/>
              <w:bidi w:val="0"/>
              <w:snapToGrid/>
              <w:spacing w:line="400" w:lineRule="exact"/>
              <w:ind w:right="0" w:rightChars="0"/>
              <w:jc w:val="both"/>
              <w:textAlignment w:val="auto"/>
              <w:outlineLvl w:val="9"/>
              <w:rPr>
                <w:rFonts w:hint="eastAsia" w:ascii="宋体" w:hAnsi="宋体" w:eastAsia="宋体" w:cs="宋体"/>
                <w:bCs/>
                <w:color w:val="auto"/>
                <w:kern w:val="15"/>
                <w:sz w:val="24"/>
                <w:highlight w:val="none"/>
                <w:lang w:val="en-US" w:eastAsia="zh-CN"/>
              </w:rPr>
            </w:pPr>
            <w:r>
              <w:rPr>
                <w:rFonts w:hint="eastAsia" w:ascii="宋体" w:hAnsi="宋体" w:eastAsia="宋体" w:cs="宋体"/>
                <w:bCs/>
                <w:color w:val="auto"/>
                <w:kern w:val="15"/>
                <w:sz w:val="24"/>
                <w:highlight w:val="none"/>
                <w:lang w:val="en-US" w:eastAsia="zh-CN"/>
              </w:rPr>
              <w:t>否，按综合得分由高到低推荐一名中标候选人</w:t>
            </w:r>
          </w:p>
        </w:tc>
      </w:tr>
      <w:tr w14:paraId="3270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5CC6BDB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7.3.1</w:t>
            </w:r>
          </w:p>
        </w:tc>
        <w:tc>
          <w:tcPr>
            <w:tcW w:w="3263" w:type="dxa"/>
            <w:noWrap w:val="0"/>
            <w:vAlign w:val="center"/>
          </w:tcPr>
          <w:p w14:paraId="6A9A215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履约、支付担保金额</w:t>
            </w:r>
          </w:p>
        </w:tc>
        <w:tc>
          <w:tcPr>
            <w:tcW w:w="5269" w:type="dxa"/>
            <w:noWrap w:val="0"/>
            <w:vAlign w:val="center"/>
          </w:tcPr>
          <w:p w14:paraId="785212A5">
            <w:pPr>
              <w:keepNext w:val="0"/>
              <w:keepLines w:val="0"/>
              <w:pageBreakBefore w:val="0"/>
              <w:widowControl w:val="0"/>
              <w:kinsoku/>
              <w:wordWrap/>
              <w:overflowPunct/>
              <w:topLinePunct w:val="0"/>
              <w:bidi w:val="0"/>
              <w:snapToGrid/>
              <w:spacing w:line="400" w:lineRule="exact"/>
              <w:ind w:right="0" w:rightChars="0"/>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按合同约定</w:t>
            </w:r>
          </w:p>
        </w:tc>
      </w:tr>
      <w:tr w14:paraId="4BE0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0FFAFAB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7.3.2</w:t>
            </w:r>
          </w:p>
        </w:tc>
        <w:tc>
          <w:tcPr>
            <w:tcW w:w="3263" w:type="dxa"/>
            <w:noWrap w:val="0"/>
            <w:vAlign w:val="center"/>
          </w:tcPr>
          <w:p w14:paraId="78FE3DC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kern w:val="15"/>
                <w:sz w:val="24"/>
                <w:szCs w:val="24"/>
                <w:lang w:val="zh-CN"/>
              </w:rPr>
              <w:t>付款条件与比例</w:t>
            </w:r>
          </w:p>
        </w:tc>
        <w:tc>
          <w:tcPr>
            <w:tcW w:w="5269" w:type="dxa"/>
            <w:noWrap w:val="0"/>
            <w:vAlign w:val="center"/>
          </w:tcPr>
          <w:p w14:paraId="7D4F6950">
            <w:pPr>
              <w:keepNext w:val="0"/>
              <w:keepLines w:val="0"/>
              <w:pageBreakBefore w:val="0"/>
              <w:widowControl w:val="0"/>
              <w:kinsoku/>
              <w:wordWrap/>
              <w:overflowPunct/>
              <w:topLinePunct w:val="0"/>
              <w:bidi w:val="0"/>
              <w:snapToGrid/>
              <w:spacing w:line="400" w:lineRule="exact"/>
              <w:ind w:right="0" w:rightChars="0"/>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（一）本合同生效后5个工作日内，甲方支付乙方合同总价 40 %作为首付款；</w:t>
            </w:r>
          </w:p>
          <w:p w14:paraId="49CA21E2">
            <w:pPr>
              <w:keepNext w:val="0"/>
              <w:keepLines w:val="0"/>
              <w:pageBreakBefore w:val="0"/>
              <w:widowControl w:val="0"/>
              <w:kinsoku/>
              <w:wordWrap/>
              <w:overflowPunct/>
              <w:topLinePunct w:val="0"/>
              <w:bidi w:val="0"/>
              <w:snapToGrid/>
              <w:spacing w:line="400" w:lineRule="exact"/>
              <w:ind w:right="0" w:rightChars="0"/>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（二）临床及医技科系新绩效方案上线运行3个月，第3个月绩效工资发放完成后5个工作日内，甲方向乙方支付合同总价格的60%作为二期款；</w:t>
            </w:r>
          </w:p>
          <w:p w14:paraId="6FD96F46">
            <w:pPr>
              <w:keepNext w:val="0"/>
              <w:keepLines w:val="0"/>
              <w:pageBreakBefore w:val="0"/>
              <w:widowControl w:val="0"/>
              <w:kinsoku/>
              <w:wordWrap/>
              <w:overflowPunct/>
              <w:topLinePunct w:val="0"/>
              <w:bidi w:val="0"/>
              <w:snapToGrid/>
              <w:spacing w:line="400" w:lineRule="exact"/>
              <w:ind w:right="0" w:rightChars="0"/>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甲方按照付款进度向乙方支付，每次付款前乙方须提供对应金额的发票给甲方。</w:t>
            </w:r>
          </w:p>
        </w:tc>
      </w:tr>
      <w:tr w14:paraId="1FBA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 w:type="dxa"/>
            <w:noWrap w:val="0"/>
            <w:vAlign w:val="center"/>
          </w:tcPr>
          <w:p w14:paraId="0958D7A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l0</w:t>
            </w:r>
          </w:p>
        </w:tc>
        <w:tc>
          <w:tcPr>
            <w:tcW w:w="3263" w:type="dxa"/>
            <w:noWrap w:val="0"/>
            <w:vAlign w:val="center"/>
          </w:tcPr>
          <w:p w14:paraId="369A3DA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需要补充的其他内容</w:t>
            </w:r>
          </w:p>
        </w:tc>
        <w:tc>
          <w:tcPr>
            <w:tcW w:w="5269" w:type="dxa"/>
            <w:noWrap w:val="0"/>
            <w:vAlign w:val="top"/>
          </w:tcPr>
          <w:p w14:paraId="21A2D36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eastAsia="zh-CN"/>
              </w:rPr>
            </w:pPr>
            <w:r>
              <w:rPr>
                <w:rFonts w:hint="eastAsia" w:ascii="宋体" w:hAnsi="宋体" w:cs="宋体"/>
                <w:bCs/>
                <w:color w:val="auto"/>
                <w:sz w:val="24"/>
                <w:highlight w:val="none"/>
                <w:lang w:val="en-US" w:eastAsia="zh-CN"/>
              </w:rPr>
              <w:t>无</w:t>
            </w:r>
          </w:p>
        </w:tc>
      </w:tr>
      <w:tr w14:paraId="03D1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20CC843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10.1</w:t>
            </w:r>
          </w:p>
        </w:tc>
        <w:tc>
          <w:tcPr>
            <w:tcW w:w="3263" w:type="dxa"/>
            <w:noWrap w:val="0"/>
            <w:vAlign w:val="center"/>
          </w:tcPr>
          <w:p w14:paraId="08924C9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采购预算合计</w:t>
            </w:r>
          </w:p>
        </w:tc>
        <w:tc>
          <w:tcPr>
            <w:tcW w:w="5269" w:type="dxa"/>
            <w:noWrap w:val="0"/>
            <w:vAlign w:val="top"/>
          </w:tcPr>
          <w:p w14:paraId="55CA5103">
            <w:pPr>
              <w:keepNext w:val="0"/>
              <w:keepLines w:val="0"/>
              <w:pageBreakBefore w:val="0"/>
              <w:widowControl w:val="0"/>
              <w:kinsoku/>
              <w:wordWrap/>
              <w:overflowPunct/>
              <w:topLinePunct w:val="0"/>
              <w:bidi w:val="0"/>
              <w:snapToGrid/>
              <w:spacing w:line="400" w:lineRule="exact"/>
              <w:ind w:right="0" w:rightChars="0"/>
              <w:jc w:val="left"/>
              <w:textAlignment w:val="auto"/>
              <w:outlineLvl w:val="9"/>
              <w:rPr>
                <w:rFonts w:hint="default" w:ascii="宋体" w:hAnsi="宋体" w:eastAsia="宋体" w:cs="宋体"/>
                <w:bCs/>
                <w:color w:val="auto"/>
                <w:kern w:val="15"/>
                <w:sz w:val="24"/>
                <w:szCs w:val="22"/>
                <w:highlight w:val="none"/>
                <w:lang w:val="en-US" w:eastAsia="zh-CN"/>
              </w:rPr>
            </w:pPr>
            <w:r>
              <w:rPr>
                <w:rFonts w:hint="eastAsia" w:ascii="宋体" w:hAnsi="宋体" w:cs="宋体"/>
                <w:bCs/>
                <w:color w:val="auto"/>
                <w:kern w:val="15"/>
                <w:sz w:val="24"/>
                <w:szCs w:val="22"/>
                <w:highlight w:val="none"/>
                <w:lang w:val="en-US" w:eastAsia="zh-CN"/>
              </w:rPr>
              <w:t>190万元</w:t>
            </w:r>
          </w:p>
        </w:tc>
      </w:tr>
      <w:tr w14:paraId="77D2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371109A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10.3</w:t>
            </w:r>
          </w:p>
        </w:tc>
        <w:tc>
          <w:tcPr>
            <w:tcW w:w="3263" w:type="dxa"/>
            <w:noWrap w:val="0"/>
            <w:vAlign w:val="center"/>
          </w:tcPr>
          <w:p w14:paraId="55680139">
            <w:pPr>
              <w:keepNext w:val="0"/>
              <w:keepLines w:val="0"/>
              <w:pageBreakBefore w:val="0"/>
              <w:widowControl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bCs/>
                <w:color w:val="auto"/>
                <w:kern w:val="15"/>
                <w:sz w:val="24"/>
                <w:highlight w:val="none"/>
              </w:rPr>
            </w:pPr>
            <w:r>
              <w:rPr>
                <w:rFonts w:hint="eastAsia" w:ascii="宋体" w:hAnsi="宋体" w:eastAsia="宋体" w:cs="宋体"/>
                <w:bCs/>
                <w:color w:val="auto"/>
                <w:kern w:val="15"/>
                <w:sz w:val="24"/>
                <w:highlight w:val="none"/>
                <w:lang w:val="zh-CN"/>
              </w:rPr>
              <w:t>评审办法</w:t>
            </w:r>
          </w:p>
        </w:tc>
        <w:tc>
          <w:tcPr>
            <w:tcW w:w="5269" w:type="dxa"/>
            <w:noWrap w:val="0"/>
            <w:vAlign w:val="top"/>
          </w:tcPr>
          <w:p w14:paraId="108A02F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color w:val="auto"/>
                <w:sz w:val="24"/>
                <w:szCs w:val="24"/>
                <w:highlight w:val="none"/>
                <w:lang w:val="zh-CN" w:eastAsia="zh-CN"/>
              </w:rPr>
            </w:pPr>
            <w:r>
              <w:rPr>
                <w:rFonts w:hint="eastAsia" w:ascii="宋体" w:hAnsi="宋体" w:cs="宋体"/>
                <w:b/>
                <w:bCs/>
                <w:color w:val="auto"/>
                <w:sz w:val="24"/>
                <w:szCs w:val="24"/>
                <w:highlight w:val="none"/>
                <w:lang w:val="zh-CN" w:eastAsia="zh-CN"/>
              </w:rPr>
              <w:t>综合评分</w:t>
            </w:r>
            <w:r>
              <w:rPr>
                <w:rFonts w:hint="eastAsia" w:ascii="宋体" w:hAnsi="宋体" w:eastAsia="宋体" w:cs="宋体"/>
                <w:b/>
                <w:bCs/>
                <w:color w:val="auto"/>
                <w:sz w:val="24"/>
                <w:szCs w:val="24"/>
                <w:highlight w:val="none"/>
                <w:lang w:val="zh-CN" w:eastAsia="zh-CN"/>
              </w:rPr>
              <w:t>法</w:t>
            </w:r>
          </w:p>
        </w:tc>
      </w:tr>
      <w:tr w14:paraId="2F02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2F4F5E5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10.4</w:t>
            </w:r>
          </w:p>
        </w:tc>
        <w:tc>
          <w:tcPr>
            <w:tcW w:w="3263" w:type="dxa"/>
            <w:noWrap w:val="0"/>
            <w:vAlign w:val="center"/>
          </w:tcPr>
          <w:p w14:paraId="7738394B">
            <w:pPr>
              <w:keepNext w:val="0"/>
              <w:keepLines w:val="0"/>
              <w:pageBreakBefore w:val="0"/>
              <w:widowControl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bCs/>
                <w:color w:val="auto"/>
                <w:kern w:val="15"/>
                <w:sz w:val="24"/>
                <w:highlight w:val="none"/>
              </w:rPr>
            </w:pPr>
            <w:r>
              <w:rPr>
                <w:rFonts w:hint="eastAsia" w:ascii="宋体" w:hAnsi="宋体" w:eastAsia="宋体" w:cs="宋体"/>
                <w:bCs/>
                <w:color w:val="auto"/>
                <w:kern w:val="15"/>
                <w:sz w:val="24"/>
                <w:highlight w:val="none"/>
              </w:rPr>
              <w:t>招标代理服务费</w:t>
            </w:r>
          </w:p>
        </w:tc>
        <w:tc>
          <w:tcPr>
            <w:tcW w:w="5269" w:type="dxa"/>
            <w:noWrap w:val="0"/>
            <w:vAlign w:val="top"/>
          </w:tcPr>
          <w:p w14:paraId="567DB4A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color w:val="auto"/>
                <w:sz w:val="24"/>
                <w:szCs w:val="24"/>
                <w:highlight w:val="none"/>
                <w:lang w:val="zh-CN" w:eastAsia="zh-CN"/>
              </w:rPr>
            </w:pPr>
            <w:r>
              <w:rPr>
                <w:rStyle w:val="37"/>
                <w:rFonts w:ascii="宋体" w:hAnsi="宋体" w:cs="Times New Roman"/>
                <w:color w:val="auto"/>
                <w:sz w:val="24"/>
                <w:szCs w:val="24"/>
                <w:highlight w:val="none"/>
                <w:lang w:val="zh-CN"/>
              </w:rPr>
              <w:t>执行发改办价格[2015]299号文件收费标准，向中标人收取。</w:t>
            </w:r>
          </w:p>
        </w:tc>
      </w:tr>
      <w:bookmarkEnd w:id="4"/>
    </w:tbl>
    <w:p w14:paraId="06C8AC52">
      <w:pPr>
        <w:autoSpaceDE w:val="0"/>
        <w:autoSpaceDN w:val="0"/>
        <w:adjustRightInd w:val="0"/>
        <w:spacing w:line="520" w:lineRule="exact"/>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br w:type="page"/>
      </w:r>
      <w:r>
        <w:rPr>
          <w:rFonts w:hint="eastAsia" w:ascii="宋体" w:hAnsi="宋体" w:eastAsia="宋体" w:cs="宋体"/>
          <w:b/>
          <w:bCs/>
          <w:color w:val="auto"/>
          <w:sz w:val="36"/>
          <w:szCs w:val="36"/>
          <w:highlight w:val="none"/>
          <w:lang w:val="zh-CN"/>
        </w:rPr>
        <w:t>投标人须知</w:t>
      </w:r>
    </w:p>
    <w:p w14:paraId="7360CF12">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1．适用法律：</w:t>
      </w:r>
      <w:r>
        <w:rPr>
          <w:rFonts w:hint="eastAsia" w:ascii="宋体" w:hAnsi="宋体" w:eastAsia="宋体" w:cs="宋体"/>
          <w:color w:val="auto"/>
          <w:sz w:val="24"/>
          <w:highlight w:val="none"/>
          <w:lang w:val="zh-CN"/>
        </w:rPr>
        <w:t>本次招标适用法律法规为《中华人民共和国政府采购法》、《政府采购货物和服务招标投标管理办法》及政府采购其它相关法规。</w:t>
      </w:r>
    </w:p>
    <w:p w14:paraId="2402C510">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2．定义：</w:t>
      </w:r>
    </w:p>
    <w:p w14:paraId="1D28B807">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招标人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指负责采购活动的组织工作。</w:t>
      </w:r>
    </w:p>
    <w:p w14:paraId="1A16BC3C">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采购人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指负责采购项目的整体规划、采购需求设计和可行性论证，作为合同的需方，承担质疑答复，合同履行、验收、评价等义务。</w:t>
      </w:r>
    </w:p>
    <w:p w14:paraId="2A04BA65">
      <w:pPr>
        <w:tabs>
          <w:tab w:val="left" w:pos="709"/>
        </w:tabs>
        <w:autoSpaceDE w:val="0"/>
        <w:autoSpaceDN w:val="0"/>
        <w:adjustRightInd w:val="0"/>
        <w:spacing w:line="460" w:lineRule="exact"/>
        <w:ind w:firstLine="47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2.3</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招标内容</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详见第五章《技术规格与要求》。</w:t>
      </w:r>
    </w:p>
    <w:p w14:paraId="780F8588">
      <w:pPr>
        <w:tabs>
          <w:tab w:val="left" w:pos="709"/>
        </w:tabs>
        <w:autoSpaceDE w:val="0"/>
        <w:autoSpaceDN w:val="0"/>
        <w:adjustRightInd w:val="0"/>
        <w:spacing w:line="460" w:lineRule="exact"/>
        <w:ind w:firstLine="47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2.4</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潜在投标人</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指确认参加投标的供应商。</w:t>
      </w:r>
    </w:p>
    <w:p w14:paraId="33880206">
      <w:pPr>
        <w:tabs>
          <w:tab w:val="left" w:pos="709"/>
        </w:tabs>
        <w:autoSpaceDE w:val="0"/>
        <w:autoSpaceDN w:val="0"/>
        <w:adjustRightInd w:val="0"/>
        <w:spacing w:line="460" w:lineRule="exact"/>
        <w:ind w:firstLine="47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2.5</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指响应本招标文件参加投标的供应商。</w:t>
      </w:r>
    </w:p>
    <w:p w14:paraId="19869093">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3．合格投标人资格条件要求：</w:t>
      </w:r>
    </w:p>
    <w:p w14:paraId="2995656F">
      <w:pPr>
        <w:tabs>
          <w:tab w:val="left" w:pos="709"/>
        </w:tabs>
        <w:autoSpaceDE w:val="0"/>
        <w:autoSpaceDN w:val="0"/>
        <w:adjustRightInd w:val="0"/>
        <w:spacing w:line="460" w:lineRule="exact"/>
        <w:ind w:firstLine="47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3.1详见招标公告及投标人须知前附表；</w:t>
      </w:r>
    </w:p>
    <w:p w14:paraId="5D5C398A">
      <w:pPr>
        <w:tabs>
          <w:tab w:val="left" w:pos="709"/>
        </w:tabs>
        <w:autoSpaceDE w:val="0"/>
        <w:autoSpaceDN w:val="0"/>
        <w:adjustRightInd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以上各款关于合格投标人资格条件的要求均须提供中文文本，否则无效，投标人应按第七章《投标文件构成、要求及格式》的相关规定提交。</w:t>
      </w:r>
    </w:p>
    <w:p w14:paraId="76961793">
      <w:pPr>
        <w:tabs>
          <w:tab w:val="left" w:pos="709"/>
        </w:tabs>
        <w:autoSpaceDE w:val="0"/>
        <w:autoSpaceDN w:val="0"/>
        <w:adjustRightInd w:val="0"/>
        <w:spacing w:line="460" w:lineRule="exact"/>
        <w:ind w:firstLine="470"/>
        <w:rPr>
          <w:rFonts w:hint="eastAsia" w:ascii="宋体" w:hAnsi="宋体" w:eastAsia="宋体" w:cs="宋体"/>
          <w:color w:val="auto"/>
          <w:sz w:val="24"/>
          <w:highlight w:val="none"/>
          <w:lang w:val="zh-CN"/>
        </w:rPr>
      </w:pPr>
      <w:r>
        <w:rPr>
          <w:rFonts w:hint="eastAsia" w:ascii="宋体" w:hAnsi="宋体" w:eastAsia="宋体" w:cs="宋体"/>
          <w:b/>
          <w:color w:val="auto"/>
          <w:kern w:val="0"/>
          <w:sz w:val="24"/>
          <w:highlight w:val="none"/>
          <w:lang w:val="zh-CN"/>
        </w:rPr>
        <w:t>4．项目答疑会和踏勘现场：</w:t>
      </w:r>
      <w:r>
        <w:rPr>
          <w:rFonts w:hint="eastAsia" w:ascii="宋体" w:hAnsi="宋体" w:eastAsia="宋体" w:cs="宋体"/>
          <w:color w:val="auto"/>
          <w:sz w:val="24"/>
          <w:highlight w:val="none"/>
          <w:lang w:val="zh-CN"/>
        </w:rPr>
        <w:t>不组织，由投标人自行踏勘现场。</w:t>
      </w:r>
    </w:p>
    <w:p w14:paraId="6D64D06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5．投标费用：</w:t>
      </w:r>
      <w:r>
        <w:rPr>
          <w:rFonts w:hint="eastAsia" w:ascii="宋体" w:hAnsi="宋体" w:eastAsia="宋体" w:cs="宋体"/>
          <w:color w:val="auto"/>
          <w:sz w:val="24"/>
          <w:highlight w:val="none"/>
          <w:lang w:val="zh-CN"/>
        </w:rPr>
        <w:t>投标人应自行承担所有与编写和提交投标文件有关的费用，无论投标的结果如何，招标人和采购人在任何情况下均无义务和责任承担费用。</w:t>
      </w:r>
    </w:p>
    <w:p w14:paraId="1378646C">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6. 招标文件：</w:t>
      </w:r>
    </w:p>
    <w:p w14:paraId="4E50531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6.1招标文件的构成：</w:t>
      </w:r>
    </w:p>
    <w:p w14:paraId="1FC6B5F7">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TOC \o "1-1" \h \u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 HYPERLINK \l _Toc24198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rPr>
        <w:t xml:space="preserve">第一章 </w:t>
      </w:r>
      <w:r>
        <w:rPr>
          <w:rFonts w:hint="eastAsia" w:ascii="宋体" w:hAnsi="宋体" w:eastAsia="宋体" w:cs="宋体"/>
          <w:color w:val="auto"/>
          <w:sz w:val="24"/>
          <w:highlight w:val="none"/>
          <w:lang w:val="zh-CN" w:eastAsia="zh-CN"/>
        </w:rPr>
        <w:t xml:space="preserve"> </w:t>
      </w:r>
      <w:r>
        <w:rPr>
          <w:rFonts w:hint="eastAsia" w:ascii="宋体" w:hAnsi="宋体" w:eastAsia="宋体" w:cs="宋体"/>
          <w:color w:val="auto"/>
          <w:sz w:val="24"/>
          <w:highlight w:val="none"/>
          <w:lang w:val="zh-CN"/>
        </w:rPr>
        <w:t>招标公告</w:t>
      </w:r>
      <w:r>
        <w:rPr>
          <w:rFonts w:hint="eastAsia" w:ascii="宋体" w:hAnsi="宋体" w:eastAsia="宋体" w:cs="宋体"/>
          <w:color w:val="auto"/>
          <w:sz w:val="24"/>
          <w:highlight w:val="none"/>
          <w:lang w:val="zh-CN" w:eastAsia="zh-CN"/>
        </w:rPr>
        <w:fldChar w:fldCharType="end"/>
      </w:r>
    </w:p>
    <w:p w14:paraId="0938371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 HYPERLINK \l _Toc3886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rPr>
        <w:t>第二章  投标人须知及前附表</w:t>
      </w:r>
      <w:r>
        <w:rPr>
          <w:rFonts w:hint="eastAsia" w:ascii="宋体" w:hAnsi="宋体" w:eastAsia="宋体" w:cs="宋体"/>
          <w:color w:val="auto"/>
          <w:sz w:val="24"/>
          <w:highlight w:val="none"/>
          <w:lang w:val="zh-CN" w:eastAsia="zh-CN"/>
        </w:rPr>
        <w:fldChar w:fldCharType="end"/>
      </w:r>
    </w:p>
    <w:p w14:paraId="73D5697C">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 HYPERLINK \l _Toc24446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rPr>
        <w:t xml:space="preserve">第三章 </w:t>
      </w:r>
      <w:r>
        <w:rPr>
          <w:rFonts w:hint="eastAsia" w:ascii="宋体" w:hAnsi="宋体" w:eastAsia="宋体" w:cs="宋体"/>
          <w:color w:val="auto"/>
          <w:sz w:val="24"/>
          <w:highlight w:val="none"/>
          <w:lang w:val="zh-CN" w:eastAsia="zh-CN"/>
        </w:rPr>
        <w:t xml:space="preserve"> </w:t>
      </w:r>
      <w:r>
        <w:rPr>
          <w:rFonts w:hint="eastAsia" w:ascii="宋体" w:hAnsi="宋体" w:eastAsia="宋体" w:cs="宋体"/>
          <w:color w:val="auto"/>
          <w:sz w:val="24"/>
          <w:highlight w:val="none"/>
          <w:lang w:val="zh-CN"/>
        </w:rPr>
        <w:t>合同条款</w:t>
      </w:r>
      <w:r>
        <w:rPr>
          <w:rFonts w:hint="eastAsia" w:ascii="宋体" w:hAnsi="宋体" w:eastAsia="宋体" w:cs="宋体"/>
          <w:color w:val="auto"/>
          <w:sz w:val="24"/>
          <w:highlight w:val="none"/>
          <w:lang w:val="zh-CN" w:eastAsia="zh-CN"/>
        </w:rPr>
        <w:fldChar w:fldCharType="end"/>
      </w:r>
    </w:p>
    <w:p w14:paraId="3273427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 HYPERLINK \l _Toc7589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rPr>
        <w:t xml:space="preserve">第四章 </w:t>
      </w:r>
      <w:r>
        <w:rPr>
          <w:rFonts w:hint="eastAsia" w:ascii="宋体" w:hAnsi="宋体" w:eastAsia="宋体" w:cs="宋体"/>
          <w:color w:val="auto"/>
          <w:sz w:val="24"/>
          <w:highlight w:val="none"/>
          <w:lang w:val="zh-CN" w:eastAsia="zh-CN"/>
        </w:rPr>
        <w:t xml:space="preserve"> </w:t>
      </w:r>
      <w:r>
        <w:rPr>
          <w:rFonts w:hint="eastAsia" w:ascii="宋体" w:hAnsi="宋体" w:eastAsia="宋体" w:cs="宋体"/>
          <w:color w:val="auto"/>
          <w:sz w:val="24"/>
          <w:highlight w:val="none"/>
          <w:lang w:val="zh-CN"/>
        </w:rPr>
        <w:t>采购合同书格式</w:t>
      </w:r>
      <w:r>
        <w:rPr>
          <w:rFonts w:hint="eastAsia" w:ascii="宋体" w:hAnsi="宋体" w:eastAsia="宋体" w:cs="宋体"/>
          <w:color w:val="auto"/>
          <w:sz w:val="24"/>
          <w:highlight w:val="none"/>
          <w:lang w:val="zh-CN" w:eastAsia="zh-CN"/>
        </w:rPr>
        <w:t>（供参考）</w:t>
      </w:r>
      <w:r>
        <w:rPr>
          <w:rFonts w:hint="eastAsia" w:ascii="宋体" w:hAnsi="宋体" w:eastAsia="宋体" w:cs="宋体"/>
          <w:color w:val="auto"/>
          <w:sz w:val="24"/>
          <w:highlight w:val="none"/>
          <w:lang w:val="zh-CN" w:eastAsia="zh-CN"/>
        </w:rPr>
        <w:fldChar w:fldCharType="end"/>
      </w:r>
    </w:p>
    <w:p w14:paraId="3AE12F8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 HYPERLINK \l _Toc28506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eastAsia="zh-CN"/>
        </w:rPr>
        <w:t xml:space="preserve">第五章  </w:t>
      </w:r>
      <w:r>
        <w:rPr>
          <w:rFonts w:hint="eastAsia" w:ascii="宋体" w:hAnsi="宋体" w:eastAsia="宋体" w:cs="宋体"/>
          <w:color w:val="auto"/>
          <w:sz w:val="24"/>
          <w:highlight w:val="none"/>
          <w:lang w:val="zh-CN"/>
        </w:rPr>
        <w:t>服务需求及相关技术标准要求</w:t>
      </w:r>
      <w:r>
        <w:rPr>
          <w:rFonts w:hint="eastAsia" w:ascii="宋体" w:hAnsi="宋体" w:eastAsia="宋体" w:cs="宋体"/>
          <w:color w:val="auto"/>
          <w:sz w:val="24"/>
          <w:highlight w:val="none"/>
          <w:lang w:val="zh-CN" w:eastAsia="zh-CN"/>
        </w:rPr>
        <w:fldChar w:fldCharType="end"/>
      </w:r>
    </w:p>
    <w:p w14:paraId="0CD589F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 HYPERLINK \l _Toc18800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rPr>
        <w:t>第六章  投标文件构成、要求及格式</w:t>
      </w:r>
      <w:r>
        <w:rPr>
          <w:rFonts w:hint="eastAsia" w:ascii="宋体" w:hAnsi="宋体" w:eastAsia="宋体" w:cs="宋体"/>
          <w:color w:val="auto"/>
          <w:sz w:val="24"/>
          <w:highlight w:val="none"/>
          <w:lang w:val="zh-CN" w:eastAsia="zh-CN"/>
        </w:rPr>
        <w:fldChar w:fldCharType="end"/>
      </w:r>
    </w:p>
    <w:p w14:paraId="07852CF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 HYPERLINK \l _Toc12929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rPr>
        <w:t>第</w:t>
      </w:r>
      <w:r>
        <w:rPr>
          <w:rFonts w:hint="eastAsia" w:ascii="宋体" w:hAnsi="宋体" w:eastAsia="宋体" w:cs="宋体"/>
          <w:color w:val="auto"/>
          <w:sz w:val="24"/>
          <w:highlight w:val="none"/>
          <w:lang w:val="zh-CN" w:eastAsia="zh-CN"/>
        </w:rPr>
        <w:t xml:space="preserve">七章 </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lang w:val="zh-CN" w:eastAsia="zh-CN"/>
        </w:rPr>
        <w:t>评审办法</w:t>
      </w:r>
      <w:r>
        <w:rPr>
          <w:rFonts w:hint="eastAsia" w:ascii="宋体" w:hAnsi="宋体" w:eastAsia="宋体" w:cs="宋体"/>
          <w:color w:val="auto"/>
          <w:sz w:val="24"/>
          <w:highlight w:val="none"/>
          <w:lang w:val="zh-CN" w:eastAsia="zh-CN"/>
        </w:rPr>
        <w:fldChar w:fldCharType="end"/>
      </w:r>
    </w:p>
    <w:p w14:paraId="03D829A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 HYPERLINK \l _Toc8837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rPr>
        <w:t>第</w:t>
      </w:r>
      <w:r>
        <w:rPr>
          <w:rFonts w:hint="eastAsia" w:ascii="宋体" w:hAnsi="宋体" w:eastAsia="宋体" w:cs="宋体"/>
          <w:color w:val="auto"/>
          <w:sz w:val="24"/>
          <w:highlight w:val="none"/>
          <w:lang w:val="zh-CN" w:eastAsia="zh-CN"/>
        </w:rPr>
        <w:t xml:space="preserve">八章 </w:t>
      </w:r>
      <w:r>
        <w:rPr>
          <w:rFonts w:hint="eastAsia" w:ascii="宋体" w:hAnsi="宋体" w:eastAsia="宋体" w:cs="宋体"/>
          <w:color w:val="auto"/>
          <w:sz w:val="24"/>
          <w:highlight w:val="none"/>
          <w:lang w:val="zh-CN"/>
        </w:rPr>
        <w:t xml:space="preserve"> 附件</w:t>
      </w:r>
      <w:r>
        <w:rPr>
          <w:rFonts w:hint="eastAsia" w:ascii="宋体" w:hAnsi="宋体" w:eastAsia="宋体" w:cs="宋体"/>
          <w:color w:val="auto"/>
          <w:sz w:val="24"/>
          <w:highlight w:val="none"/>
          <w:lang w:val="zh-CN" w:eastAsia="zh-CN"/>
        </w:rPr>
        <w:fldChar w:fldCharType="end"/>
      </w:r>
    </w:p>
    <w:p w14:paraId="1EB980F0">
      <w:pPr>
        <w:autoSpaceDE w:val="0"/>
        <w:autoSpaceDN w:val="0"/>
        <w:adjustRightInd w:val="0"/>
        <w:spacing w:line="460" w:lineRule="exact"/>
        <w:ind w:firstLine="480"/>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eastAsia="zh-CN"/>
        </w:rPr>
        <w:fldChar w:fldCharType="end"/>
      </w:r>
      <w:r>
        <w:rPr>
          <w:rFonts w:hint="eastAsia" w:ascii="宋体" w:hAnsi="宋体" w:eastAsia="宋体" w:cs="宋体"/>
          <w:color w:val="auto"/>
          <w:sz w:val="24"/>
          <w:highlight w:val="none"/>
          <w:lang w:val="zh-CN"/>
        </w:rPr>
        <w:t>6.2投标人应认真阅读招标文件中所有事项、格式、条款和规范等要求。如果投标人没有按照招标文件要求提交全部文件资料或投标文件没有对招标文件在各方面都做出实质性响应，将按废标处理由投标人自行承担风险。</w:t>
      </w:r>
    </w:p>
    <w:p w14:paraId="460E5E75">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7. 招标文件的澄清和修改</w:t>
      </w:r>
    </w:p>
    <w:p w14:paraId="285291C0">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7.1</w:t>
      </w:r>
      <w:r>
        <w:rPr>
          <w:rFonts w:hint="eastAsia" w:ascii="宋体" w:hAnsi="宋体" w:eastAsia="宋体" w:cs="宋体"/>
          <w:color w:val="auto"/>
          <w:sz w:val="24"/>
          <w:highlight w:val="none"/>
        </w:rPr>
        <w:t>任何要求对招标文件进行澄清的投标人，均应在投标截止期</w:t>
      </w:r>
      <w:r>
        <w:rPr>
          <w:rFonts w:hint="eastAsia" w:ascii="宋体" w:hAnsi="宋体" w:eastAsia="宋体" w:cs="宋体"/>
          <w:color w:val="auto"/>
          <w:sz w:val="24"/>
          <w:highlight w:val="none"/>
          <w:u w:val="single"/>
        </w:rPr>
        <w:t>15</w:t>
      </w:r>
      <w:r>
        <w:rPr>
          <w:rFonts w:hint="eastAsia" w:ascii="宋体" w:hAnsi="宋体" w:eastAsia="宋体" w:cs="宋体"/>
          <w:color w:val="auto"/>
          <w:sz w:val="24"/>
          <w:highlight w:val="none"/>
        </w:rPr>
        <w:t>天前以书面形式通知招标方，招标方对收到的澄清要求将视所提问题具体情况以书面形式予以答复</w:t>
      </w:r>
      <w:r>
        <w:rPr>
          <w:rFonts w:hint="eastAsia" w:ascii="宋体" w:hAnsi="宋体" w:eastAsia="宋体" w:cs="宋体"/>
          <w:color w:val="auto"/>
          <w:sz w:val="24"/>
          <w:highlight w:val="none"/>
          <w:lang w:val="zh-CN"/>
        </w:rPr>
        <w:t>澄清</w:t>
      </w:r>
      <w:r>
        <w:rPr>
          <w:rFonts w:hint="eastAsia" w:ascii="宋体" w:hAnsi="宋体" w:eastAsia="宋体" w:cs="宋体"/>
          <w:color w:val="auto"/>
          <w:sz w:val="24"/>
          <w:highlight w:val="none"/>
        </w:rPr>
        <w:t>，同时寄给每个购买招标文件的投标人或由投标人直接到招标方领取。投标人应立即以书面形式确认已收到的答复文件。答复中包括所提的问题，但不包括问题的来源。</w:t>
      </w:r>
      <w:r>
        <w:rPr>
          <w:rFonts w:hint="eastAsia" w:ascii="宋体" w:hAnsi="宋体" w:eastAsia="宋体" w:cs="宋体"/>
          <w:color w:val="auto"/>
          <w:sz w:val="24"/>
          <w:highlight w:val="none"/>
          <w:lang w:val="zh-CN"/>
        </w:rPr>
        <w:t>招标人对收到的供应商书面质疑，将按照政府采购法律规章的规定处理。</w:t>
      </w:r>
    </w:p>
    <w:p w14:paraId="3711C33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7.2 招标人可在投标截止时间</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5日前（含）对招标文件进行修改、补充。招标文件的修改、补充文件将以当面交接、传真或电子邮件的方式向潜在投标人发出，并在发布招标公告的媒体上公告。</w:t>
      </w:r>
    </w:p>
    <w:p w14:paraId="59D4659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7.3 招标文件的澄清、修改、补充文件均构成招标文件的组成部分，对所有投标人具有约束力，而无论其是否已经实际收到该澄清、修改、补充文件（包括答疑会纪要）。投标人若收到该澄清、修改、补充文件，则应立即以书面形式回复确认已收到。</w:t>
      </w:r>
    </w:p>
    <w:p w14:paraId="76AC2AFA">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7.4 为使投标人有充分的时间对招标文件的澄清、修改、补充部分进行研究，招标人可在投标截止时间3日前（含）自行决定酌情延长投标截止时间，延长投标截止时间的公告将在发布招标公告的媒体上发告，并以当面交接、传真或电子邮件的方式向所有潜在投标人发出。在这种情况下，招标人和投标人受投标截止时间制约的所有权利和义务均相应延长至新的投标截止时间。</w:t>
      </w:r>
    </w:p>
    <w:p w14:paraId="0FD92940">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8. 投标文件构成：</w:t>
      </w:r>
    </w:p>
    <w:p w14:paraId="7E43BCB8">
      <w:pPr>
        <w:tabs>
          <w:tab w:val="left" w:pos="709"/>
        </w:tabs>
        <w:autoSpaceDE w:val="0"/>
        <w:autoSpaceDN w:val="0"/>
        <w:adjustRightInd w:val="0"/>
        <w:spacing w:line="46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1F195EEE">
      <w:pPr>
        <w:tabs>
          <w:tab w:val="left" w:pos="709"/>
        </w:tabs>
        <w:autoSpaceDE w:val="0"/>
        <w:autoSpaceDN w:val="0"/>
        <w:adjustRightInd w:val="0"/>
        <w:spacing w:line="46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8.2 投标人应提交本招标文件第六章</w:t>
      </w:r>
      <w:r>
        <w:rPr>
          <w:rFonts w:hint="eastAsia" w:ascii="宋体" w:hAnsi="宋体" w:eastAsia="宋体" w:cs="宋体"/>
          <w:color w:val="auto"/>
          <w:sz w:val="24"/>
          <w:highlight w:val="none"/>
          <w:lang w:val="zh-CN"/>
        </w:rPr>
        <w:t>《投标文件构成、要求及格式》</w:t>
      </w:r>
      <w:r>
        <w:rPr>
          <w:rFonts w:hint="eastAsia" w:ascii="宋体" w:hAnsi="宋体" w:eastAsia="宋体" w:cs="宋体"/>
          <w:color w:val="auto"/>
          <w:kern w:val="0"/>
          <w:sz w:val="24"/>
          <w:highlight w:val="none"/>
          <w:lang w:val="zh-CN"/>
        </w:rPr>
        <w:t>规定的全部商务文件和技术文件，若有缺失、无效或者不符合招标文件要求，将导致其投标被拒绝。</w:t>
      </w:r>
    </w:p>
    <w:p w14:paraId="79924103">
      <w:pPr>
        <w:tabs>
          <w:tab w:val="left" w:pos="709"/>
        </w:tabs>
        <w:autoSpaceDE w:val="0"/>
        <w:autoSpaceDN w:val="0"/>
        <w:adjustRightInd w:val="0"/>
        <w:spacing w:line="46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8.3 投标人应按第二章《投标人须知》要求提交的投标保证金。</w:t>
      </w:r>
    </w:p>
    <w:p w14:paraId="362D1CFB">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9. 投标文件的编制</w:t>
      </w:r>
    </w:p>
    <w:p w14:paraId="57598AE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9.1 投标语言：投标文件以及投标人与招标人就有关投标的来往函电均使用中文。 </w:t>
      </w:r>
    </w:p>
    <w:p w14:paraId="1C6D134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9.2 计量单位：中华人民共和国法定计量单位。</w:t>
      </w:r>
    </w:p>
    <w:p w14:paraId="2323F43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9.3 投标文件规格应采用A4幅面，打印，按照招标文件规定的顺序，统一编目编码装订。为便于评标，技术文件中的各项表格应按照招标文件第六章规定的格式制作。</w:t>
      </w:r>
    </w:p>
    <w:p w14:paraId="617D3C74">
      <w:pPr>
        <w:tabs>
          <w:tab w:val="left" w:pos="709"/>
        </w:tabs>
        <w:autoSpaceDE w:val="0"/>
        <w:autoSpaceDN w:val="0"/>
        <w:adjustRightInd w:val="0"/>
        <w:spacing w:line="46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9.4 投标人在投标文件以及在投标、合同签订、履行过程中所签署的相关文件中所加盖的公章，均须按照招标文件的规定加盖与投标人名称全称相一致的标准公章。</w:t>
      </w:r>
    </w:p>
    <w:p w14:paraId="0F8D3880">
      <w:pPr>
        <w:tabs>
          <w:tab w:val="left" w:pos="709"/>
        </w:tabs>
        <w:autoSpaceDE w:val="0"/>
        <w:autoSpaceDN w:val="0"/>
        <w:adjustRightInd w:val="0"/>
        <w:spacing w:line="46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9.5 招标人不接受采用传真方式提交的投标文件。</w:t>
      </w:r>
    </w:p>
    <w:p w14:paraId="2E12AAC2">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10. 投标报价</w:t>
      </w:r>
    </w:p>
    <w:p w14:paraId="45A31B1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10.1投标供应商的投标报价应在控制范围内，超出此范围的投标报价将按废标处理。投标货币：所有投标报价均以人民币万元为计算单位。</w:t>
      </w:r>
    </w:p>
    <w:p w14:paraId="789C46EE">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投标人应一次性报出投标货物的单价和总价，每种货物只允许有一个有效报价，任何有选择的报价将不予接受。投标人所报价格应包含为在本招标文件指定地点交货、由投标人负责安装调试、验收合格并交付的全部价格。</w:t>
      </w:r>
    </w:p>
    <w:p w14:paraId="6402BBA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10.3投标人所报的价格在合同执行过程中是固定不变的</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不得以任何理由予以变更。以可调整的价格提交的投标将作为非响应性投标文件予以拒绝。</w:t>
      </w:r>
    </w:p>
    <w:p w14:paraId="2BE49214">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11. 投标保证金</w:t>
      </w:r>
    </w:p>
    <w:p w14:paraId="7E40832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11.1投标人须按照招标文件中《投标人须知前附表》标明的</w:t>
      </w:r>
      <w:r>
        <w:rPr>
          <w:rFonts w:hint="eastAsia" w:ascii="宋体" w:hAnsi="宋体" w:cs="宋体"/>
          <w:color w:val="auto"/>
          <w:sz w:val="24"/>
          <w:highlight w:val="none"/>
          <w:lang w:val="zh-CN" w:eastAsia="zh-CN"/>
        </w:rPr>
        <w:t>招标代理机构</w:t>
      </w:r>
      <w:r>
        <w:rPr>
          <w:rFonts w:hint="eastAsia" w:ascii="宋体" w:hAnsi="宋体" w:eastAsia="宋体" w:cs="宋体"/>
          <w:color w:val="auto"/>
          <w:sz w:val="24"/>
          <w:highlight w:val="none"/>
          <w:lang w:val="zh-CN"/>
        </w:rPr>
        <w:t>帐户名称、开户银行和帐号提交，在投标截止时间前将投标保证金足额汇入（存入）</w:t>
      </w:r>
      <w:r>
        <w:rPr>
          <w:rFonts w:hint="eastAsia" w:ascii="宋体" w:hAnsi="宋体" w:cs="宋体"/>
          <w:color w:val="auto"/>
          <w:sz w:val="24"/>
          <w:highlight w:val="none"/>
          <w:lang w:val="zh-CN" w:eastAsia="zh-CN"/>
        </w:rPr>
        <w:t>招标代理机构</w:t>
      </w:r>
      <w:r>
        <w:rPr>
          <w:rFonts w:hint="eastAsia" w:ascii="宋体" w:hAnsi="宋体" w:eastAsia="宋体" w:cs="宋体"/>
          <w:color w:val="auto"/>
          <w:sz w:val="24"/>
          <w:highlight w:val="none"/>
          <w:lang w:val="zh-CN"/>
        </w:rPr>
        <w:t>帐户，并必须携带汇款银行出具的汇款（存款）凭证（进帐单复印件加盖投标人公章或财务章）或</w:t>
      </w:r>
      <w:r>
        <w:rPr>
          <w:rFonts w:hint="eastAsia" w:ascii="宋体" w:hAnsi="宋体" w:cs="宋体"/>
          <w:color w:val="auto"/>
          <w:sz w:val="24"/>
          <w:highlight w:val="none"/>
          <w:lang w:val="zh-CN" w:eastAsia="zh-CN"/>
        </w:rPr>
        <w:t>招标代理机构</w:t>
      </w:r>
      <w:r>
        <w:rPr>
          <w:rFonts w:hint="eastAsia" w:ascii="宋体" w:hAnsi="宋体" w:eastAsia="宋体" w:cs="宋体"/>
          <w:color w:val="auto"/>
          <w:sz w:val="24"/>
          <w:highlight w:val="none"/>
          <w:lang w:val="zh-CN"/>
        </w:rPr>
        <w:t>开出的收据参加开标会。</w:t>
      </w:r>
    </w:p>
    <w:p w14:paraId="021844C0">
      <w:pPr>
        <w:autoSpaceDE w:val="0"/>
        <w:autoSpaceDN w:val="0"/>
        <w:adjustRightInd w:val="0"/>
        <w:spacing w:line="460" w:lineRule="exact"/>
        <w:ind w:firstLine="480" w:firstLineChars="200"/>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招标人特别声明：招标人不接受以银行转帐支票、现金支票提交的投标保证金。</w:t>
      </w:r>
    </w:p>
    <w:p w14:paraId="06AF2BCC">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11.2投标保证金是为了弥补招标人因投标人的违规行为而蒙受的损失。招标人在因投标人的违规行为而受到损害时，将不予退还投标人的投标保证金，并作为所受损害的补偿。</w:t>
      </w:r>
    </w:p>
    <w:p w14:paraId="68889F3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11.3投标保证金是投标文件的一个组成部分。在开标时，凡没有按规定提交投标保证金的投标，将被视为非响应性投标予以拒绝。</w:t>
      </w:r>
    </w:p>
    <w:p w14:paraId="4FAD32D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11.4未中标投标人的投标保证金将在中标通知书发出后5个工作日内退还，不计利息。</w:t>
      </w:r>
    </w:p>
    <w:p w14:paraId="0839EF2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11.5中标人的投标保证金，在中标人按本须知第21条规定签署合同，并按第22条规定交纳了履约保证金后5个工作日内退还，不计利息。</w:t>
      </w:r>
    </w:p>
    <w:p w14:paraId="41C14F4F">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 xml:space="preserve">11.6 </w:t>
      </w:r>
      <w:r>
        <w:rPr>
          <w:rFonts w:hint="eastAsia" w:ascii="宋体" w:hAnsi="宋体" w:eastAsia="宋体" w:cs="宋体"/>
          <w:color w:val="auto"/>
          <w:sz w:val="24"/>
          <w:highlight w:val="none"/>
          <w:lang w:val="zh-CN"/>
        </w:rPr>
        <w:t xml:space="preserve"> 下列情况之一发生时，投标保证金将不予退还：</w:t>
      </w:r>
    </w:p>
    <w:p w14:paraId="0E501F75">
      <w:pPr>
        <w:autoSpaceDE w:val="0"/>
        <w:autoSpaceDN w:val="0"/>
        <w:adjustRightInd w:val="0"/>
        <w:spacing w:line="460" w:lineRule="exact"/>
        <w:ind w:firstLine="480"/>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1）投标人在招标文件规定的投标有效期内撤回其投标；（2）中标人在规定期限内未能做到：a.按照本须知第21条规定签订合同；b.按照本须知第22条规定提交履约保证金。（3）招标文件规定不予退还投标保证金的其他情形。</w:t>
      </w:r>
    </w:p>
    <w:p w14:paraId="65E5F4B8">
      <w:pPr>
        <w:autoSpaceDE w:val="0"/>
        <w:autoSpaceDN w:val="0"/>
        <w:adjustRightInd w:val="0"/>
        <w:spacing w:line="460" w:lineRule="exact"/>
        <w:ind w:firstLine="482"/>
        <w:jc w:val="left"/>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12. 投标有效期：</w:t>
      </w:r>
    </w:p>
    <w:p w14:paraId="538FF3A1">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12.1投标有效期为自开标之时起</w:t>
      </w:r>
      <w:r>
        <w:rPr>
          <w:rFonts w:hint="eastAsia" w:ascii="宋体" w:hAnsi="宋体" w:eastAsia="宋体" w:cs="宋体"/>
          <w:color w:val="auto"/>
          <w:sz w:val="24"/>
          <w:highlight w:val="none"/>
          <w:lang w:val="en-US" w:eastAsia="zh-CN"/>
        </w:rPr>
        <w:t>60</w:t>
      </w:r>
      <w:r>
        <w:rPr>
          <w:rFonts w:hint="eastAsia" w:ascii="宋体" w:hAnsi="宋体" w:eastAsia="宋体" w:cs="宋体"/>
          <w:color w:val="auto"/>
          <w:sz w:val="24"/>
          <w:highlight w:val="none"/>
          <w:lang w:val="zh-CN"/>
        </w:rPr>
        <w:t>天。投标文件在这个规定期限内应保持有效。</w:t>
      </w:r>
    </w:p>
    <w:p w14:paraId="21E14EFA">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12.2在特殊情况下，招标人可与投标人协商延长投标有效期。这种要求和答复都应以书面形式进行。投标人可以拒绝接受延期要求而不会被没收投标保证金。同意延长投标有效期的投标人除按照招标人要求修改投标文件的有效期外，不能修改投标文件的其他内容。</w:t>
      </w:r>
    </w:p>
    <w:p w14:paraId="67A22C6A">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12.3中标人的投标文件有效期等同于合同履行期。</w:t>
      </w:r>
    </w:p>
    <w:p w14:paraId="39E18BB1">
      <w:pPr>
        <w:autoSpaceDE w:val="0"/>
        <w:autoSpaceDN w:val="0"/>
        <w:adjustRightInd w:val="0"/>
        <w:spacing w:line="460" w:lineRule="exact"/>
        <w:ind w:firstLine="482"/>
        <w:jc w:val="left"/>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lang w:val="zh-CN"/>
        </w:rPr>
        <w:t>投标文件的式样和签署</w:t>
      </w:r>
    </w:p>
    <w:p w14:paraId="6C89C033">
      <w:pPr>
        <w:numPr>
          <w:ilvl w:val="0"/>
          <w:numId w:val="0"/>
        </w:numPr>
        <w:autoSpaceDE w:val="0"/>
        <w:autoSpaceDN w:val="0"/>
        <w:adjustRightInd w:val="0"/>
        <w:spacing w:line="460" w:lineRule="exact"/>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13.1 </w:t>
      </w:r>
      <w:r>
        <w:rPr>
          <w:rFonts w:ascii="宋体" w:hAnsi="宋体" w:eastAsia="宋体" w:cs="宋体"/>
          <w:color w:val="auto"/>
          <w:kern w:val="0"/>
          <w:sz w:val="24"/>
          <w:szCs w:val="24"/>
          <w:highlight w:val="none"/>
          <w:lang w:val="en-US" w:eastAsia="zh-CN" w:bidi="ar"/>
        </w:rPr>
        <w:t>投标文件应按第八章“投标文件格式”进行编写，并在文件中填写目录与页码，如有必要，可以增加附页，作为投标文件的组成部分。其中，承诺函附录在满足招标文件实质性要求的基础上，可以提出比招标文件要求更有利于招标人的承诺。</w:t>
      </w:r>
    </w:p>
    <w:p w14:paraId="0F5385A0">
      <w:pPr>
        <w:numPr>
          <w:ilvl w:val="0"/>
          <w:numId w:val="0"/>
        </w:numPr>
        <w:autoSpaceDE w:val="0"/>
        <w:autoSpaceDN w:val="0"/>
        <w:adjustRightInd w:val="0"/>
        <w:spacing w:line="460" w:lineRule="exact"/>
        <w:ind w:firstLine="480" w:firstLineChars="20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13.2</w:t>
      </w:r>
      <w:r>
        <w:rPr>
          <w:rFonts w:hint="eastAsia" w:ascii="宋体" w:hAnsi="宋体" w:eastAsia="宋体" w:cs="宋体"/>
          <w:color w:val="auto"/>
          <w:kern w:val="0"/>
          <w:sz w:val="24"/>
          <w:szCs w:val="24"/>
          <w:highlight w:val="none"/>
          <w:lang w:val="en-US" w:eastAsia="zh-CN" w:bidi="ar"/>
        </w:rPr>
        <w:t xml:space="preserve"> </w:t>
      </w:r>
      <w:r>
        <w:rPr>
          <w:rFonts w:ascii="宋体" w:hAnsi="宋体" w:eastAsia="宋体" w:cs="宋体"/>
          <w:color w:val="auto"/>
          <w:kern w:val="0"/>
          <w:sz w:val="24"/>
          <w:szCs w:val="24"/>
          <w:highlight w:val="none"/>
          <w:lang w:val="en-US" w:eastAsia="zh-CN" w:bidi="ar"/>
        </w:rPr>
        <w:t>投标文件应当对招标文件有关投标有效期、</w:t>
      </w:r>
      <w:r>
        <w:rPr>
          <w:rFonts w:hint="eastAsia" w:ascii="宋体" w:hAnsi="宋体" w:eastAsia="宋体" w:cs="宋体"/>
          <w:color w:val="auto"/>
          <w:kern w:val="0"/>
          <w:sz w:val="24"/>
          <w:szCs w:val="24"/>
          <w:highlight w:val="none"/>
          <w:lang w:val="en-US" w:eastAsia="zh-CN" w:bidi="ar"/>
        </w:rPr>
        <w:t>承诺函、</w:t>
      </w:r>
      <w:r>
        <w:rPr>
          <w:rFonts w:ascii="宋体" w:hAnsi="宋体" w:eastAsia="宋体" w:cs="宋体"/>
          <w:color w:val="auto"/>
          <w:kern w:val="0"/>
          <w:sz w:val="24"/>
          <w:szCs w:val="24"/>
          <w:highlight w:val="none"/>
          <w:lang w:val="en-US" w:eastAsia="zh-CN" w:bidi="ar"/>
        </w:rPr>
        <w:t>质量要求、技术标准和要求、招标范围等实质性内容作出响应</w:t>
      </w:r>
      <w:r>
        <w:rPr>
          <w:rFonts w:hint="eastAsia" w:ascii="宋体" w:hAnsi="宋体" w:eastAsia="宋体" w:cs="宋体"/>
          <w:color w:val="auto"/>
          <w:kern w:val="0"/>
          <w:sz w:val="24"/>
          <w:szCs w:val="24"/>
          <w:highlight w:val="none"/>
          <w:lang w:val="en-US" w:eastAsia="zh-CN" w:bidi="ar"/>
        </w:rPr>
        <w:t>，并由投标人、法定代表人或者授权委托人签字盖章</w:t>
      </w:r>
      <w:r>
        <w:rPr>
          <w:rFonts w:ascii="宋体" w:hAnsi="宋体" w:eastAsia="宋体" w:cs="宋体"/>
          <w:color w:val="auto"/>
          <w:kern w:val="0"/>
          <w:sz w:val="24"/>
          <w:szCs w:val="24"/>
          <w:highlight w:val="none"/>
          <w:lang w:val="en-US" w:eastAsia="zh-CN" w:bidi="ar"/>
        </w:rPr>
        <w:t>。</w:t>
      </w:r>
    </w:p>
    <w:p w14:paraId="12BD522A">
      <w:pPr>
        <w:numPr>
          <w:ilvl w:val="0"/>
          <w:numId w:val="0"/>
        </w:numPr>
        <w:autoSpaceDE w:val="0"/>
        <w:autoSpaceDN w:val="0"/>
        <w:adjustRightInd w:val="0"/>
        <w:spacing w:line="460" w:lineRule="exact"/>
        <w:ind w:firstLine="480" w:firstLineChars="200"/>
        <w:jc w:val="left"/>
        <w:rPr>
          <w:color w:val="auto"/>
          <w:highlight w:val="none"/>
        </w:rPr>
      </w:pPr>
      <w:r>
        <w:rPr>
          <w:rFonts w:ascii="宋体" w:hAnsi="宋体" w:eastAsia="宋体" w:cs="宋体"/>
          <w:color w:val="auto"/>
          <w:kern w:val="0"/>
          <w:sz w:val="24"/>
          <w:szCs w:val="24"/>
          <w:highlight w:val="none"/>
          <w:lang w:val="en-US" w:eastAsia="zh-CN" w:bidi="ar"/>
        </w:rPr>
        <w:t>13.3</w:t>
      </w:r>
      <w:r>
        <w:rPr>
          <w:rFonts w:hint="eastAsia" w:ascii="宋体" w:hAnsi="宋体" w:eastAsia="宋体" w:cs="宋体"/>
          <w:color w:val="auto"/>
          <w:kern w:val="0"/>
          <w:sz w:val="24"/>
          <w:szCs w:val="24"/>
          <w:highlight w:val="none"/>
          <w:lang w:val="en-US" w:eastAsia="zh-CN" w:bidi="ar"/>
        </w:rPr>
        <w:t xml:space="preserve"> </w:t>
      </w:r>
      <w:r>
        <w:rPr>
          <w:rFonts w:ascii="宋体" w:hAnsi="宋体" w:eastAsia="宋体" w:cs="宋体"/>
          <w:color w:val="auto"/>
          <w:kern w:val="0"/>
          <w:sz w:val="24"/>
          <w:szCs w:val="24"/>
          <w:highlight w:val="none"/>
          <w:lang w:val="en-US" w:eastAsia="zh-CN" w:bidi="ar"/>
        </w:rPr>
        <w:t>投标文件应用不褪色的材料书写或打印，并</w:t>
      </w:r>
      <w:r>
        <w:rPr>
          <w:rFonts w:hint="eastAsia" w:ascii="宋体" w:hAnsi="宋体" w:eastAsia="宋体" w:cs="宋体"/>
          <w:color w:val="auto"/>
          <w:kern w:val="0"/>
          <w:sz w:val="24"/>
          <w:szCs w:val="24"/>
          <w:highlight w:val="none"/>
          <w:lang w:val="en-US" w:eastAsia="zh-CN" w:bidi="ar"/>
        </w:rPr>
        <w:t>由法定代表人或</w:t>
      </w:r>
      <w:r>
        <w:rPr>
          <w:rFonts w:ascii="宋体" w:hAnsi="宋体" w:eastAsia="宋体" w:cs="宋体"/>
          <w:color w:val="auto"/>
          <w:kern w:val="0"/>
          <w:sz w:val="24"/>
          <w:szCs w:val="24"/>
          <w:highlight w:val="none"/>
          <w:lang w:val="en-US" w:eastAsia="zh-CN" w:bidi="ar"/>
        </w:rPr>
        <w:t>其委托代理人在</w:t>
      </w:r>
      <w:r>
        <w:rPr>
          <w:rFonts w:hint="eastAsia" w:ascii="宋体" w:hAnsi="宋体" w:eastAsia="宋体" w:cs="宋体"/>
          <w:color w:val="auto"/>
          <w:kern w:val="0"/>
          <w:sz w:val="24"/>
          <w:szCs w:val="24"/>
          <w:highlight w:val="none"/>
          <w:lang w:val="en-US" w:eastAsia="zh-CN" w:bidi="ar"/>
        </w:rPr>
        <w:t>指定位位置签字并加</w:t>
      </w:r>
      <w:r>
        <w:rPr>
          <w:rFonts w:ascii="宋体" w:hAnsi="宋体" w:eastAsia="宋体" w:cs="宋体"/>
          <w:color w:val="auto"/>
          <w:kern w:val="0"/>
          <w:sz w:val="24"/>
          <w:szCs w:val="24"/>
          <w:highlight w:val="none"/>
          <w:lang w:val="en-US" w:eastAsia="zh-CN" w:bidi="ar"/>
        </w:rPr>
        <w:t>盖公章。委托代理人签字的，投标文件应附法定代表人签署的授权委托书。投标文件应尽量避免涂改、行间插字或删除。如果出现上述情况，改动之处应加盖单位公章并由投标人的法定代表人或授权代理人签字确认。</w:t>
      </w:r>
    </w:p>
    <w:p w14:paraId="65456F75">
      <w:pPr>
        <w:numPr>
          <w:ilvl w:val="0"/>
          <w:numId w:val="0"/>
        </w:numPr>
        <w:autoSpaceDE w:val="0"/>
        <w:autoSpaceDN w:val="0"/>
        <w:adjustRightInd w:val="0"/>
        <w:spacing w:line="460" w:lineRule="exact"/>
        <w:ind w:firstLine="480" w:firstLineChars="20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13.4 投标文件正本一份，副本份数见投标人须知前附表。正本和副本的封面上应清楚地标记“正本”或“副本”的字样。当副本和正本不一致时，以正本为准。投标文件电子版（U）盘应单独放入一个密封袋中，并在封套口处加盖投标人单位章，在封套上标记“投标文件电子版”字样。</w:t>
      </w:r>
    </w:p>
    <w:p w14:paraId="13E985EB">
      <w:pPr>
        <w:numPr>
          <w:ilvl w:val="0"/>
          <w:numId w:val="0"/>
        </w:numPr>
        <w:autoSpaceDE w:val="0"/>
        <w:autoSpaceDN w:val="0"/>
        <w:adjustRightInd w:val="0"/>
        <w:spacing w:line="460" w:lineRule="exact"/>
        <w:ind w:firstLine="480" w:firstLineChars="200"/>
        <w:jc w:val="left"/>
        <w:rPr>
          <w:color w:val="auto"/>
          <w:highlight w:val="none"/>
        </w:rPr>
      </w:pPr>
      <w:r>
        <w:rPr>
          <w:rFonts w:ascii="宋体" w:hAnsi="宋体" w:eastAsia="宋体" w:cs="宋体"/>
          <w:color w:val="auto"/>
          <w:kern w:val="0"/>
          <w:sz w:val="24"/>
          <w:szCs w:val="24"/>
          <w:highlight w:val="none"/>
          <w:lang w:val="en-US" w:eastAsia="zh-CN" w:bidi="ar"/>
        </w:rPr>
        <w:t>13.5 投标文件的正本与副本应分别装订成册（A4纸幅），并编制</w:t>
      </w:r>
      <w:r>
        <w:rPr>
          <w:rFonts w:hint="eastAsia" w:ascii="宋体" w:hAnsi="宋体" w:eastAsia="宋体" w:cs="宋体"/>
          <w:color w:val="auto"/>
          <w:kern w:val="0"/>
          <w:sz w:val="24"/>
          <w:szCs w:val="24"/>
          <w:highlight w:val="none"/>
          <w:lang w:val="en-US" w:eastAsia="zh-CN" w:bidi="ar"/>
        </w:rPr>
        <w:t>详细</w:t>
      </w:r>
      <w:r>
        <w:rPr>
          <w:rFonts w:ascii="宋体" w:hAnsi="宋体" w:eastAsia="宋体" w:cs="宋体"/>
          <w:color w:val="auto"/>
          <w:kern w:val="0"/>
          <w:sz w:val="24"/>
          <w:szCs w:val="24"/>
          <w:highlight w:val="none"/>
          <w:lang w:val="en-US" w:eastAsia="zh-CN" w:bidi="ar"/>
        </w:rPr>
        <w:t>目录，且逐页标注连续页码。</w:t>
      </w:r>
    </w:p>
    <w:p w14:paraId="228BE1E1">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14. 投标文件的修改和撤回</w:t>
      </w:r>
    </w:p>
    <w:p w14:paraId="7AD454E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14.1投标人在递交投标文件后，可以修改或撤回其投标文件，但招标人必须在规定的投标截止时间之前收到投标人的修改或撤回的书面通知。</w:t>
      </w:r>
    </w:p>
    <w:p w14:paraId="7CB87157">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14.2投标人的修改或撤回通知书应按对投标文件的规定一样进行编制、密封、标记和递交，并标明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修改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或</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撤回</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字样。</w:t>
      </w:r>
    </w:p>
    <w:p w14:paraId="2C95E81C">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14.3 在投标截止时间（开标时间）之后，投标人不得对其投标书做任何修改（包括开标一览表的内容）。</w:t>
      </w:r>
    </w:p>
    <w:p w14:paraId="22470DFA">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14.4从开标时间起，至投标有效期期满，投标人不得撤回其投标，否则，其投标保证金将不予退还。</w:t>
      </w:r>
    </w:p>
    <w:p w14:paraId="75C29768">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15. 投标</w:t>
      </w:r>
    </w:p>
    <w:p w14:paraId="4B682477">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15.1投标人应将投标文件装订成册、胶装密封，在信封上标明招标项目名称、项目编号、投标人名称、地址、联系方式和邮编，并在封口处加盖投标人公章，在《投标邀请书》规定的投标地点和投标截止时间前递交给招标人。如果投标人没有按照要求密封、标记，招标人及招标代理机构对于投标人的误投、错投以及提前拆封概不负责。</w:t>
      </w:r>
    </w:p>
    <w:p w14:paraId="108957D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15.2投标文件份数：投标人应按照招标文件中规定的分数提交，(副本可以是正本的复印件，但应骑页加盖投标人公章、法人章)，并标明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正本</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副本</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字样，当正本与副本内容不一致时，以正本为准，投标文件正副本及电子</w:t>
      </w:r>
      <w:r>
        <w:rPr>
          <w:rFonts w:hint="eastAsia" w:ascii="宋体" w:hAnsi="宋体" w:cs="宋体"/>
          <w:color w:val="auto"/>
          <w:sz w:val="24"/>
          <w:highlight w:val="none"/>
          <w:lang w:val="en-US" w:eastAsia="zh-CN"/>
        </w:rPr>
        <w:t>U</w:t>
      </w:r>
      <w:r>
        <w:rPr>
          <w:rFonts w:hint="eastAsia" w:ascii="宋体" w:hAnsi="宋体" w:eastAsia="宋体" w:cs="宋体"/>
          <w:color w:val="auto"/>
          <w:sz w:val="24"/>
          <w:highlight w:val="none"/>
          <w:lang w:val="zh-CN"/>
        </w:rPr>
        <w:t>盘应单独密封。</w:t>
      </w:r>
    </w:p>
    <w:p w14:paraId="06849B95">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15.3 投标人应按第六章《投标文件构成、要求及格式》中的格式和要求单独编制一份《开标一览表》，按照对投标文件同样的要求单独密封和标记，与投标文件同时递交。</w:t>
      </w:r>
    </w:p>
    <w:p w14:paraId="35A20CB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15.4 招标人将拒绝接受并原封退回在规定的投标截止时间以后递交的投标文件。</w:t>
      </w:r>
    </w:p>
    <w:p w14:paraId="05499BB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15.5 首次招标投标截止时间结束后投标人不足三家的，将重新招标；重新招标仍出现本款前述情形的，可按本须知第19条规定办理。</w:t>
      </w:r>
    </w:p>
    <w:p w14:paraId="165E371B">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16. 开标</w:t>
      </w:r>
    </w:p>
    <w:p w14:paraId="16CA9CF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16.1招标人将在招标公告规定的时间和地点公开开标。投标人法定代表人或其授权代理人应参加并签名报到以证明其出席，并携带有效身份证件以备审查。</w:t>
      </w:r>
    </w:p>
    <w:p w14:paraId="3AC8A289">
      <w:pPr>
        <w:autoSpaceDE w:val="0"/>
        <w:autoSpaceDN w:val="0"/>
        <w:adjustRightInd w:val="0"/>
        <w:spacing w:line="46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16.2 开标会由招标人组织并主持。开标前，</w:t>
      </w:r>
      <w:r>
        <w:rPr>
          <w:rFonts w:hint="eastAsia" w:ascii="宋体" w:hAnsi="宋体" w:eastAsia="宋体" w:cs="宋体"/>
          <w:color w:val="auto"/>
          <w:kern w:val="0"/>
          <w:sz w:val="24"/>
          <w:highlight w:val="none"/>
          <w:lang w:val="zh-CN"/>
        </w:rPr>
        <w:t>由监督人员或者投标人代表检查投标文件的密封情况并当场宣布检查情况。</w:t>
      </w:r>
    </w:p>
    <w:p w14:paraId="5627EBE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16.3 开标时，招标人将按照投标人提交的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开标一览表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，当众宣读投标人名称、修改和撤回投标的通知、投标价格、</w:t>
      </w:r>
      <w:r>
        <w:rPr>
          <w:rFonts w:hint="eastAsia" w:ascii="宋体" w:hAnsi="宋体" w:cs="宋体"/>
          <w:color w:val="auto"/>
          <w:sz w:val="24"/>
          <w:highlight w:val="none"/>
          <w:lang w:val="zh-CN"/>
        </w:rPr>
        <w:t>服务期限</w:t>
      </w:r>
      <w:r>
        <w:rPr>
          <w:rFonts w:hint="eastAsia" w:ascii="宋体" w:hAnsi="宋体" w:eastAsia="宋体" w:cs="宋体"/>
          <w:color w:val="auto"/>
          <w:sz w:val="24"/>
          <w:highlight w:val="none"/>
          <w:lang w:val="zh-CN"/>
        </w:rPr>
        <w:t>、是否提交了投标保证金等内容。</w:t>
      </w:r>
    </w:p>
    <w:p w14:paraId="6A44B2F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16.4 开标时未宣读的投标价格等实质性内容，评标时不予承认。</w:t>
      </w:r>
    </w:p>
    <w:p w14:paraId="3A88726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16.5 按照投标人须知第14条的规定，提交了可接受的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撤回</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通知的投标将不予开封。撤回的投标书将原封退回投标人。</w:t>
      </w:r>
    </w:p>
    <w:p w14:paraId="5A0BFE5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16.6 招标人将做开标记录，开标记录包括按本须知第16.3款的规定在开标时宣读的全部内容。开标记录将在开标后由监督人员或者投标人代表签字确认。</w:t>
      </w:r>
    </w:p>
    <w:p w14:paraId="15C02F21">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16.7 开标时有下列情形之一的为无效投标：</w:t>
      </w:r>
    </w:p>
    <w:p w14:paraId="4015299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（1）投标文件在规定的投标截止时间以后送达的；</w:t>
      </w:r>
    </w:p>
    <w:p w14:paraId="44CEBFF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（2）未按招标文件规定提交投标保证金的；</w:t>
      </w:r>
    </w:p>
    <w:p w14:paraId="4ED8A8F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（3）投标文件未按招标文件规定密封的；</w:t>
      </w:r>
    </w:p>
    <w:p w14:paraId="6C4B4514">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（4）未提交单独密封的开标一览表或者开标一览表未按规定加盖公章和/或有效签署的；</w:t>
      </w:r>
    </w:p>
    <w:p w14:paraId="4318D67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（5）招标文件规定开标时属于无效投标的其他情形。</w:t>
      </w:r>
    </w:p>
    <w:p w14:paraId="5B8AE1F1">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16.8 开标时有下列情形之一的，招标人有权宣布本项目废标：</w:t>
      </w:r>
    </w:p>
    <w:p w14:paraId="57F1CC4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cs="宋体"/>
          <w:color w:val="auto"/>
          <w:sz w:val="24"/>
          <w:highlight w:val="none"/>
          <w:lang w:val="zh-CN"/>
        </w:rPr>
        <w:t>服务期限</w:t>
      </w:r>
      <w:r>
        <w:rPr>
          <w:rFonts w:hint="eastAsia" w:ascii="宋体" w:hAnsi="宋体" w:eastAsia="宋体" w:cs="宋体"/>
          <w:color w:val="auto"/>
          <w:sz w:val="24"/>
          <w:highlight w:val="none"/>
          <w:lang w:val="zh-CN"/>
        </w:rPr>
        <w:t>符合招标文件要求的投标人不足三家的；</w:t>
      </w:r>
    </w:p>
    <w:p w14:paraId="56142489">
      <w:pPr>
        <w:autoSpaceDE w:val="0"/>
        <w:autoSpaceDN w:val="0"/>
        <w:adjustRightInd w:val="0"/>
        <w:spacing w:line="460" w:lineRule="exact"/>
        <w:ind w:firstLine="480"/>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（2）所有投标人的报价均超过采购项目预算，采购人不能支付的。</w:t>
      </w:r>
    </w:p>
    <w:p w14:paraId="0C11CCF0">
      <w:pPr>
        <w:tabs>
          <w:tab w:val="left" w:pos="1920"/>
        </w:tabs>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首次招标废标后将重新招标，重新招标仍出现本款情形的，可按本须知第19条规定处理。</w:t>
      </w:r>
    </w:p>
    <w:p w14:paraId="01CDEEB1">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17. 评标过程的保密性：</w:t>
      </w:r>
      <w:r>
        <w:rPr>
          <w:rFonts w:hint="eastAsia" w:ascii="宋体" w:hAnsi="宋体" w:eastAsia="宋体" w:cs="宋体"/>
          <w:color w:val="auto"/>
          <w:sz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4F6247FF">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18. 评标</w:t>
      </w:r>
    </w:p>
    <w:p w14:paraId="39DA6C7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18.1 评标工作由招标代理机构负责组织，具体评标工作由依法组建的评标委员会负责。</w:t>
      </w:r>
      <w:r>
        <w:rPr>
          <w:rFonts w:hint="eastAsia" w:ascii="宋体" w:hAnsi="宋体" w:eastAsia="宋体" w:cs="宋体"/>
          <w:color w:val="auto"/>
          <w:sz w:val="24"/>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w:t>
      </w:r>
    </w:p>
    <w:p w14:paraId="3C668492">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18.2 审查是否所有投标人的报价均超过采购预算：</w:t>
      </w:r>
      <w:r>
        <w:rPr>
          <w:rFonts w:hint="eastAsia" w:ascii="宋体" w:hAnsi="宋体" w:eastAsia="宋体" w:cs="宋体"/>
          <w:color w:val="auto"/>
          <w:sz w:val="24"/>
          <w:highlight w:val="none"/>
          <w:lang w:val="zh-CN"/>
        </w:rPr>
        <w:t>根据《中华人民共和国政府采购法》的规定，所有投标人的报价均超过采购预算，采购人不能支付的，应予废标。</w:t>
      </w:r>
    </w:p>
    <w:p w14:paraId="75661E8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18.3 审查投标人是否存在串通投标行为：</w:t>
      </w:r>
      <w:r>
        <w:rPr>
          <w:rFonts w:hint="eastAsia" w:ascii="宋体" w:hAnsi="宋体" w:eastAsia="宋体" w:cs="宋体"/>
          <w:color w:val="auto"/>
          <w:sz w:val="24"/>
          <w:highlight w:val="none"/>
          <w:lang w:val="zh-CN"/>
        </w:rPr>
        <w:t>评标委员会发现投标人有下列情形之一的，将认定属于串通投标行为，相关投标人的投标应作废标处理。评标结束后，招标机构将以书面形式报告吉林省政府采购监督管理部门：</w:t>
      </w:r>
    </w:p>
    <w:p w14:paraId="4BD3C98A">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（1）不同投标人的投标文件中错、漏之处相同的；</w:t>
      </w:r>
    </w:p>
    <w:p w14:paraId="06D95CDD">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（2）不同投标人的投标文件相互混装的，或者相互加盖了对方公章的，或者相互出现了对方法定代表人或者授权代理人签名的，或者相互书写了对方名称的；</w:t>
      </w:r>
    </w:p>
    <w:p w14:paraId="1AC7E46B">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（3）一家投标人的投标文件中加盖了另一家投标人公章的；</w:t>
      </w:r>
    </w:p>
    <w:p w14:paraId="77CDA242">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（4）不同投标人的投标文件中，项目成员出现同一人的；</w:t>
      </w:r>
    </w:p>
    <w:p w14:paraId="7F050C6F">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（5）不同投标人的投标文件的制作非正常一致的；</w:t>
      </w:r>
    </w:p>
    <w:p w14:paraId="7A85E742">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（6）不同投标人的投标文件中相关内容的段落、字句、售后服务电话、联系人姓名等非正常一致的；</w:t>
      </w:r>
    </w:p>
    <w:p w14:paraId="51C8324A">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（7）一家投标人的投标文件中装订了标有另一家投标人名称的文件材料，或者出现了另一家法定代表人或者授予代理人签名的，其投标作废标处理；</w:t>
      </w:r>
    </w:p>
    <w:p w14:paraId="4213428A">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（8）不同投标人的投标文件由同一投标人或者同一个人编制的；</w:t>
      </w:r>
    </w:p>
    <w:p w14:paraId="21FAE075">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（9）《关于禁止串通招标投标行为的暂行规定》（国家工商行政管理局令第82号）第三条规定的串通投标行为；</w:t>
      </w:r>
    </w:p>
    <w:p w14:paraId="36FD02C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（10）投标人串通投标的其他情形。</w:t>
      </w:r>
    </w:p>
    <w:p w14:paraId="2D1D519C">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18.4 对投标文件商务部分（投标人资格）进行审查：</w:t>
      </w:r>
      <w:r>
        <w:rPr>
          <w:rFonts w:hint="eastAsia" w:ascii="宋体" w:hAnsi="宋体" w:eastAsia="宋体" w:cs="宋体"/>
          <w:color w:val="auto"/>
          <w:sz w:val="24"/>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14:paraId="5D7B0EC1">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18.5 对投标文件报价部分进行审查：</w:t>
      </w:r>
    </w:p>
    <w:p w14:paraId="5A6696BB">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 xml:space="preserve">18.5.1 </w:t>
      </w:r>
      <w:r>
        <w:rPr>
          <w:rFonts w:hint="eastAsia" w:ascii="宋体" w:hAnsi="宋体" w:eastAsia="宋体" w:cs="宋体"/>
          <w:color w:val="auto"/>
          <w:sz w:val="24"/>
          <w:highlight w:val="none"/>
          <w:lang w:val="zh-CN"/>
        </w:rPr>
        <w:t>实质性响应的投标是指与招标文件规定的事项、条款、条件和技术规格相符，没有重大偏离和保留。没有实质性响应招标文件要求的投标将被拒绝。</w:t>
      </w:r>
    </w:p>
    <w:p w14:paraId="1C927B8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 xml:space="preserve">18.6 </w:t>
      </w:r>
      <w:r>
        <w:rPr>
          <w:rFonts w:hint="eastAsia" w:ascii="宋体" w:hAnsi="宋体" w:eastAsia="宋体" w:cs="宋体"/>
          <w:color w:val="auto"/>
          <w:sz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14:paraId="269EBB5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（1）投标人未按招标文件规定提交所要求提交的全部文件或者提交的文件无效或者不符合招标文件的规定；</w:t>
      </w:r>
    </w:p>
    <w:p w14:paraId="735536A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（2）投标文件未按招标文件的规定有效签署和/或加盖公章；</w:t>
      </w:r>
    </w:p>
    <w:p w14:paraId="6E8FEFE3">
      <w:pPr>
        <w:tabs>
          <w:tab w:val="left" w:pos="1920"/>
        </w:tabs>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（3）投标文件载明的项目完成期限超过招标文件规定的期限；</w:t>
      </w:r>
    </w:p>
    <w:p w14:paraId="5A05B549">
      <w:pPr>
        <w:tabs>
          <w:tab w:val="left" w:pos="1920"/>
        </w:tabs>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（4）投标文件明显不符合招标文件规定的技术规格、技术标准要求；</w:t>
      </w:r>
    </w:p>
    <w:p w14:paraId="6F2E351E">
      <w:pPr>
        <w:tabs>
          <w:tab w:val="left" w:pos="1920"/>
        </w:tabs>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（5）投标文件载明的货物包装方式、检验方法和标准等不符合招标文件要求；</w:t>
      </w:r>
    </w:p>
    <w:p w14:paraId="38FB5811">
      <w:pPr>
        <w:tabs>
          <w:tab w:val="left" w:pos="1920"/>
        </w:tabs>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（6）投标文件附有采购人不能接受的条件；</w:t>
      </w:r>
    </w:p>
    <w:p w14:paraId="3F002C1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（7）不符合招标文件规定的其他实质性要求。</w:t>
      </w:r>
    </w:p>
    <w:p w14:paraId="15790201">
      <w:pPr>
        <w:spacing w:line="460" w:lineRule="exact"/>
        <w:ind w:firstLine="482" w:firstLineChars="200"/>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 xml:space="preserve">18.7 </w:t>
      </w:r>
      <w:r>
        <w:rPr>
          <w:rFonts w:hint="eastAsia" w:ascii="宋体" w:hAnsi="宋体" w:eastAsia="宋体" w:cs="宋体"/>
          <w:color w:val="auto"/>
          <w:sz w:val="24"/>
          <w:highlight w:val="none"/>
          <w:lang w:val="zh-CN"/>
        </w:rPr>
        <w:t>评标委员会将允许修正投标文件中不构成重大偏离的细微偏离，但这些修正应不会对实质上响应招标文件要求的投标人的竞争地位（相互排序）产生不公正的影响。</w:t>
      </w:r>
    </w:p>
    <w:p w14:paraId="5BF13133">
      <w:pPr>
        <w:autoSpaceDE w:val="0"/>
        <w:autoSpaceDN w:val="0"/>
        <w:adjustRightInd w:val="0"/>
        <w:spacing w:line="460" w:lineRule="exact"/>
        <w:ind w:firstLine="48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18.8 评标委员会对投标文件的判定，只依据投标文件内容本身，不依据任何外来证明。</w:t>
      </w:r>
    </w:p>
    <w:p w14:paraId="187DB933">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18.9 投标报价的审查：</w:t>
      </w:r>
      <w:r>
        <w:rPr>
          <w:rFonts w:hint="eastAsia" w:ascii="宋体" w:hAnsi="宋体" w:eastAsia="宋体" w:cs="宋体"/>
          <w:color w:val="auto"/>
          <w:sz w:val="24"/>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33525141">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18.10 澄清：</w:t>
      </w:r>
      <w:r>
        <w:rPr>
          <w:rFonts w:hint="eastAsia" w:ascii="宋体" w:hAnsi="宋体" w:eastAsia="宋体" w:cs="宋体"/>
          <w:color w:val="auto"/>
          <w:sz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6F21CC69">
      <w:pPr>
        <w:spacing w:line="4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接受细微偏离有利于采购成功，不应因细微偏离而废标。</w:t>
      </w:r>
    </w:p>
    <w:p w14:paraId="6E5408C8">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19.</w:t>
      </w:r>
      <w:r>
        <w:rPr>
          <w:rFonts w:hint="eastAsia" w:ascii="宋体" w:hAnsi="宋体" w:eastAsia="宋体" w:cs="宋体"/>
          <w:color w:val="auto"/>
          <w:sz w:val="24"/>
          <w:highlight w:val="none"/>
          <w:lang w:val="zh-CN"/>
        </w:rPr>
        <w:t>首次招标</w:t>
      </w:r>
      <w:r>
        <w:rPr>
          <w:rFonts w:hint="eastAsia" w:ascii="宋体" w:hAnsi="宋体" w:eastAsia="宋体" w:cs="宋体"/>
          <w:color w:val="auto"/>
          <w:sz w:val="24"/>
          <w:highlight w:val="none"/>
        </w:rPr>
        <w:t>因评标过程中出现符合专业条件的投标人或者对招标文件作实质性响应的投标人不足三家情形而废标，重新招标仍然出现前述情形的，以及竞争性谈判、询价项目出现前述情形的，如果采购人需求紧急需要直接变更方式采购，经采购人代表现场提出，评标委员会专家成员和评标监督人员同意，可以在评标专家、采购人代表、评标监督人员、投标供应商授权代表以及采购中心或者采购代理机构工作人员同时在场的情况下直接变更采购方式继续采购，并按下述规定办理：</w:t>
      </w:r>
    </w:p>
    <w:p w14:paraId="29780838">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（1）采用招标方式采购项目，重新招标出现前述情形的，如果有两家供应商投标或者经评审有两家合格投标供应商，可以直接变更为两家供应商竞争性谈判或者向两家供应商询价采购。</w:t>
      </w:r>
    </w:p>
    <w:p w14:paraId="257E49B0">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用竞争性谈判、询价方式采购的项目，出现前述情形的，如果有两家供应商投标或者经评审由两家合格投标供应商，原采购方式为竞争性谈判的，应当直接变更为两家供应商竞争性谈判；原采购方式为询价的，应当直接变更为两家供应商询价采购。</w:t>
      </w:r>
    </w:p>
    <w:p w14:paraId="3B98D126">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（3）只有1家供应商投标，或者经评审只有1家合格供应商的，不得直接变更为单一来源方式采购。采购人需要变更为单一来源方式采购的，应当在废标后向采购办申请批准。</w:t>
      </w:r>
    </w:p>
    <w:p w14:paraId="39AE4BF9">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失败后直接变更采购方式的项目，应当当场由评标专家、采购人代表、评标监督人员和相关投标供应商授权代表共同签署《招标失败后直接变更采购方式备忘录》。评标结束后，由采购中心或者采购代理机构将《招标失败后直接变更采购方式备忘录》和评标纪要（评标报告）包采购办备案。</w:t>
      </w:r>
    </w:p>
    <w:p w14:paraId="732FF5B8">
      <w:pPr>
        <w:autoSpaceDE w:val="0"/>
        <w:autoSpaceDN w:val="0"/>
        <w:adjustRightInd w:val="0"/>
        <w:spacing w:line="46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（5）招标失败后直接变更采购方式的条件应在采购文件中事先申明。</w:t>
      </w:r>
    </w:p>
    <w:p w14:paraId="578C0011">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20. 评标方法和标准</w:t>
      </w:r>
    </w:p>
    <w:p w14:paraId="1802A5A0">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20.1评标委员会将只对商务（投标人资格）审查和技术（符合性）审查均符合招标文件要求的投标</w:t>
      </w:r>
      <w:r>
        <w:rPr>
          <w:rFonts w:hint="eastAsia" w:ascii="宋体" w:hAnsi="宋体" w:cs="宋体"/>
          <w:color w:val="auto"/>
          <w:sz w:val="24"/>
          <w:highlight w:val="none"/>
          <w:lang w:val="zh-CN"/>
        </w:rPr>
        <w:t>文件</w:t>
      </w:r>
      <w:r>
        <w:rPr>
          <w:rFonts w:hint="eastAsia" w:ascii="宋体" w:hAnsi="宋体" w:eastAsia="宋体" w:cs="宋体"/>
          <w:color w:val="auto"/>
          <w:sz w:val="24"/>
          <w:highlight w:val="none"/>
          <w:lang w:val="zh-CN"/>
        </w:rPr>
        <w:t>进行排序。</w:t>
      </w:r>
    </w:p>
    <w:p w14:paraId="3B2839A0">
      <w:pPr>
        <w:autoSpaceDE w:val="0"/>
        <w:autoSpaceDN w:val="0"/>
        <w:adjustRightInd w:val="0"/>
        <w:spacing w:line="460" w:lineRule="exact"/>
        <w:ind w:firstLine="482"/>
        <w:rPr>
          <w:rFonts w:hint="eastAsia" w:ascii="宋体" w:hAnsi="宋体" w:eastAsia="宋体" w:cs="宋体"/>
          <w:bCs/>
          <w:color w:val="auto"/>
          <w:sz w:val="24"/>
          <w:highlight w:val="none"/>
          <w:lang w:val="zh-CN"/>
        </w:rPr>
      </w:pPr>
      <w:r>
        <w:rPr>
          <w:rFonts w:hint="eastAsia" w:ascii="宋体" w:hAnsi="宋体" w:eastAsia="宋体" w:cs="宋体"/>
          <w:color w:val="auto"/>
          <w:sz w:val="24"/>
          <w:highlight w:val="none"/>
          <w:lang w:val="zh-CN"/>
        </w:rPr>
        <w:t>20.2 评标委员会将按下述标准评定预中标人：</w:t>
      </w:r>
      <w:r>
        <w:rPr>
          <w:rFonts w:hint="eastAsia" w:ascii="宋体" w:hAnsi="宋体" w:eastAsia="宋体" w:cs="宋体"/>
          <w:color w:val="auto"/>
          <w:sz w:val="24"/>
          <w:highlight w:val="none"/>
        </w:rPr>
        <w:t xml:space="preserve">按评审后投标人得分由高到低的顺序排列；得分相同的，按投标报价由低到高顺序排列；得分且投标报价相同的，按技术指标优劣顺序排列。 </w:t>
      </w:r>
      <w:r>
        <w:rPr>
          <w:rFonts w:hint="eastAsia" w:ascii="宋体" w:hAnsi="宋体" w:eastAsia="宋体" w:cs="宋体"/>
          <w:bCs/>
          <w:color w:val="auto"/>
          <w:sz w:val="24"/>
          <w:highlight w:val="none"/>
          <w:lang w:val="zh-CN"/>
        </w:rPr>
        <w:t>本项目不接受任何额外捐赠。</w:t>
      </w:r>
    </w:p>
    <w:p w14:paraId="112A677A">
      <w:pPr>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20.3 在评标结果初步评定之后、签署评标决议之前，评标委员会</w:t>
      </w:r>
      <w:r>
        <w:rPr>
          <w:rFonts w:hint="eastAsia" w:ascii="宋体" w:hAnsi="宋体" w:eastAsia="宋体" w:cs="宋体"/>
          <w:color w:val="auto"/>
          <w:sz w:val="24"/>
          <w:highlight w:val="none"/>
        </w:rPr>
        <w:t>将按照上述20.2条对供应商排定的顺序，依次对其是否能够满意地履行合同义务进行审查。首先，对排序最先的供应商是否具备履行合同的能力进行审查。如果审查通过，则确定其为中标候选人；如果审查没有通过，则对下一个排序最先的供应商能否满意地履行合同义务作类似的审查。</w:t>
      </w:r>
      <w:r>
        <w:rPr>
          <w:rFonts w:hint="eastAsia" w:ascii="宋体" w:hAnsi="宋体" w:eastAsia="宋体" w:cs="宋体"/>
          <w:bCs/>
          <w:color w:val="auto"/>
          <w:sz w:val="24"/>
          <w:highlight w:val="none"/>
          <w:lang w:val="zh-CN"/>
        </w:rPr>
        <w:t>对于投标人提出的问题，评标委员会将当场评审、答复并最终评定预中标人。预中标结果将在中国政府采购网及相关媒体上公示三个工作日，如果没有异议，预中标人确定为中标人。如果投标人对预中标结果有异议，应当在公示期内以书面形式向招标机构提出质疑。投标人的质疑事项应当具体、明确并提供事实依据。</w:t>
      </w:r>
    </w:p>
    <w:p w14:paraId="40033798">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21. 签订合同</w:t>
      </w:r>
    </w:p>
    <w:p w14:paraId="35FC7E43">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21.1招标人将在投标有效期期满之前向中标人发出《中标通知书》。中标通知书是合同的组成部分，对采购人和中标人均具有法律约束力。</w:t>
      </w:r>
    </w:p>
    <w:p w14:paraId="2FC3AC31">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21.2中标通知书发出后，采购人改变中标结果的，或者中标人放弃中标项目的，应当依法承担法律责任。</w:t>
      </w:r>
    </w:p>
    <w:p w14:paraId="19C66393">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21.3中标人应按中标通知书规定的时间与采购人和招标人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70C25247">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21.4中标结果将在发布招标公告的媒体上公告，不再以书面方式通知未中标人。</w:t>
      </w:r>
    </w:p>
    <w:p w14:paraId="2AC9C93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 xml:space="preserve">22.履约保证金: </w:t>
      </w:r>
      <w:r>
        <w:rPr>
          <w:rFonts w:hint="eastAsia" w:ascii="宋体" w:hAnsi="宋体" w:eastAsia="宋体" w:cs="宋体"/>
          <w:color w:val="auto"/>
          <w:sz w:val="24"/>
          <w:highlight w:val="none"/>
          <w:lang w:val="zh-CN"/>
        </w:rPr>
        <w:t>在签署供需双方合同之前，供方应向需方提交合同总价5%的履约保证金（人民币，取整数位到百元）。履约保证金可以采用银行转帐或者现金的方式提交。</w:t>
      </w:r>
    </w:p>
    <w:p w14:paraId="23F788C5">
      <w:pPr>
        <w:autoSpaceDE w:val="0"/>
        <w:autoSpaceDN w:val="0"/>
        <w:adjustRightInd w:val="0"/>
        <w:spacing w:line="46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lang w:val="zh-CN"/>
        </w:rPr>
        <w:t>履约保证金的有效期到供方提交的货物经需方验收合格并交付给需方之日止，以银行转帐方式返还，不计利息。</w:t>
      </w:r>
    </w:p>
    <w:p w14:paraId="360B84FB">
      <w:pPr>
        <w:tabs>
          <w:tab w:val="left" w:pos="709"/>
          <w:tab w:val="left" w:pos="927"/>
        </w:tabs>
        <w:autoSpaceDE w:val="0"/>
        <w:autoSpaceDN w:val="0"/>
        <w:adjustRightInd w:val="0"/>
        <w:spacing w:line="460" w:lineRule="exact"/>
        <w:ind w:firstLine="472"/>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23.保密和披露</w:t>
      </w:r>
    </w:p>
    <w:p w14:paraId="46B1DE31">
      <w:pPr>
        <w:tabs>
          <w:tab w:val="left" w:pos="709"/>
        </w:tabs>
        <w:autoSpaceDE w:val="0"/>
        <w:autoSpaceDN w:val="0"/>
        <w:adjustRightInd w:val="0"/>
        <w:spacing w:line="460" w:lineRule="exact"/>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23.1</w:t>
      </w:r>
      <w:r>
        <w:rPr>
          <w:rFonts w:hint="eastAsia" w:ascii="宋体" w:hAnsi="宋体" w:eastAsia="宋体" w:cs="宋体"/>
          <w:color w:val="auto"/>
          <w:sz w:val="24"/>
          <w:highlight w:val="none"/>
          <w:lang w:val="zh-CN"/>
        </w:rPr>
        <w:t>招标人有权将投标人提供的所有资料向其他政府部门或有关的非政府机构负责评审标书的人员或与评标有关的人员披露。</w:t>
      </w:r>
    </w:p>
    <w:p w14:paraId="6508C6EE">
      <w:pPr>
        <w:autoSpaceDE w:val="0"/>
        <w:autoSpaceDN w:val="0"/>
        <w:adjustRightInd w:val="0"/>
        <w:spacing w:line="460" w:lineRule="exact"/>
        <w:ind w:firstLine="476"/>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23.2在下列情形下：当发布中标公告和其它公告时，当国家机关调查、审查、审计时，以及在其他符合法律规定的情形下，招标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58ED4773">
      <w:pPr>
        <w:spacing w:line="460" w:lineRule="exact"/>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24招标代理服务费</w:t>
      </w:r>
    </w:p>
    <w:p w14:paraId="579776E8">
      <w:pPr>
        <w:spacing w:line="460" w:lineRule="exact"/>
        <w:ind w:firstLine="480" w:firstLineChars="200"/>
        <w:rPr>
          <w:rFonts w:hint="eastAsia" w:ascii="宋体" w:hAnsi="宋体" w:eastAsia="宋体" w:cs="宋体"/>
          <w:color w:val="auto"/>
          <w:highlight w:val="none"/>
        </w:rPr>
      </w:pPr>
      <w:bookmarkStart w:id="26" w:name="_Toc238185763"/>
      <w:r>
        <w:rPr>
          <w:rStyle w:val="37"/>
          <w:rFonts w:ascii="宋体" w:hAnsi="宋体" w:cs="Times New Roman"/>
          <w:color w:val="auto"/>
          <w:sz w:val="24"/>
          <w:szCs w:val="24"/>
          <w:highlight w:val="none"/>
          <w:lang w:val="zh-CN"/>
        </w:rPr>
        <w:t>执行发改办价格[2015]299号文件收费标准，向中标人收取。</w:t>
      </w:r>
    </w:p>
    <w:p w14:paraId="4DE277DB">
      <w:pPr>
        <w:pStyle w:val="2"/>
        <w:pageBreakBefore w:val="0"/>
        <w:widowControl w:val="0"/>
        <w:kinsoku/>
        <w:wordWrap/>
        <w:overflowPunct/>
        <w:topLinePunct w:val="0"/>
        <w:bidi w:val="0"/>
        <w:snapToGrid/>
        <w:spacing w:line="420" w:lineRule="exact"/>
        <w:ind w:left="0" w:leftChars="0" w:right="0" w:rightChars="0"/>
        <w:jc w:val="center"/>
        <w:textAlignment w:val="auto"/>
        <w:rPr>
          <w:rFonts w:hint="eastAsia" w:ascii="宋体" w:hAnsi="宋体" w:eastAsia="宋体" w:cs="宋体"/>
          <w:color w:val="auto"/>
          <w:sz w:val="36"/>
          <w:szCs w:val="36"/>
          <w:highlight w:val="none"/>
        </w:rPr>
      </w:pPr>
      <w:bookmarkStart w:id="27" w:name="_Toc347014331"/>
      <w:bookmarkStart w:id="28" w:name="_Toc20027"/>
      <w:r>
        <w:rPr>
          <w:rFonts w:hint="eastAsia" w:ascii="宋体" w:hAnsi="宋体" w:eastAsia="宋体" w:cs="宋体"/>
          <w:color w:val="auto"/>
          <w:highlight w:val="none"/>
        </w:rPr>
        <w:br w:type="page"/>
      </w:r>
      <w:bookmarkStart w:id="29" w:name="_Toc19932_WPSOffice_Level1"/>
      <w:bookmarkStart w:id="30" w:name="_Toc24446"/>
      <w:r>
        <w:rPr>
          <w:rFonts w:hint="eastAsia" w:ascii="宋体" w:hAnsi="宋体" w:eastAsia="宋体" w:cs="宋体"/>
          <w:color w:val="auto"/>
          <w:sz w:val="36"/>
          <w:szCs w:val="36"/>
          <w:highlight w:val="none"/>
        </w:rPr>
        <w:t xml:space="preserve">第三章 </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合同条款</w:t>
      </w:r>
      <w:bookmarkEnd w:id="26"/>
      <w:bookmarkEnd w:id="27"/>
      <w:bookmarkEnd w:id="28"/>
      <w:bookmarkEnd w:id="29"/>
      <w:bookmarkEnd w:id="30"/>
    </w:p>
    <w:p w14:paraId="1A15EE3B">
      <w:pPr>
        <w:pageBreakBefore w:val="0"/>
        <w:widowControl w:val="0"/>
        <w:kinsoku/>
        <w:wordWrap/>
        <w:overflowPunct/>
        <w:topLinePunct w:val="0"/>
        <w:autoSpaceDE w:val="0"/>
        <w:autoSpaceDN w:val="0"/>
        <w:bidi w:val="0"/>
        <w:adjustRightInd w:val="0"/>
        <w:snapToGrid/>
        <w:spacing w:line="420" w:lineRule="exact"/>
        <w:ind w:left="0" w:leftChars="0" w:right="0" w:rightChars="0" w:firstLine="482"/>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1．定义：</w:t>
      </w:r>
      <w:r>
        <w:rPr>
          <w:rFonts w:hint="eastAsia" w:ascii="宋体" w:hAnsi="宋体" w:eastAsia="宋体" w:cs="宋体"/>
          <w:color w:val="auto"/>
          <w:sz w:val="24"/>
          <w:highlight w:val="none"/>
          <w:lang w:val="zh-CN"/>
        </w:rPr>
        <w:t>除非另有约定，在本合同下列术语按如下定义进行解释：</w:t>
      </w:r>
    </w:p>
    <w:p w14:paraId="78E9C94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合同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指供需双方签署的、在合同中载明的合同各方所达成的协议，包括构成合同的所有附件、附录和其他文件。</w:t>
      </w:r>
    </w:p>
    <w:p w14:paraId="73D5B85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附件、附录</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指与本合同的订立、履行有关的，经供需双方认可的，对本合同约定内容进行细化、补充、修改、变更等的文件资料。</w:t>
      </w:r>
    </w:p>
    <w:p w14:paraId="4458A430">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合同价格</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指根据合同规定供方正确地完全履行合同义务后需方应支付给供方的价格。</w:t>
      </w:r>
    </w:p>
    <w:p w14:paraId="4FA8EBE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货物</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指根据合同规定供方须向需方提供的一切材料、设备、机械、仪表、备件、工具和/或其它材料。</w:t>
      </w:r>
    </w:p>
    <w:p w14:paraId="1D4850B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服务</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指根据合同规定供方承担的与供货和履行合同有关的辅助服务。</w:t>
      </w:r>
    </w:p>
    <w:p w14:paraId="7E36C0F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需方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指政府采购货物和服务的使用单位。</w:t>
      </w:r>
    </w:p>
    <w:p w14:paraId="5E40296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供方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指按照合同规定向需方提供货物和服务的公司或实体。</w:t>
      </w:r>
    </w:p>
    <w:p w14:paraId="2B4A4D1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第三方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指本合同以外的任何中国境内、境外的法人、自然人或其他组织。</w:t>
      </w:r>
    </w:p>
    <w:p w14:paraId="7C52591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日、天</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均指日历天数。</w:t>
      </w:r>
    </w:p>
    <w:p w14:paraId="0CD0036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工作日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指扣除公休日和国家法定节假日以外的日历日。</w:t>
      </w:r>
    </w:p>
    <w:p w14:paraId="016273E0">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eastAsia="宋体" w:cs="宋体"/>
          <w:color w:val="auto"/>
          <w:sz w:val="24"/>
          <w:highlight w:val="none"/>
          <w:lang w:val="zh-CN"/>
        </w:rPr>
        <w:t>《本项目招标文件》。</w:t>
      </w:r>
    </w:p>
    <w:p w14:paraId="10F87D12">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bCs/>
          <w:color w:val="auto"/>
          <w:sz w:val="24"/>
          <w:highlight w:val="none"/>
          <w:lang w:val="zh-CN"/>
        </w:rPr>
        <w:t>2．适用范围：</w:t>
      </w:r>
      <w:r>
        <w:rPr>
          <w:rFonts w:hint="eastAsia" w:ascii="宋体" w:hAnsi="宋体" w:eastAsia="宋体" w:cs="宋体"/>
          <w:color w:val="auto"/>
          <w:sz w:val="24"/>
          <w:highlight w:val="none"/>
          <w:lang w:val="zh-CN"/>
        </w:rPr>
        <w:t>本合同条款仅适用</w:t>
      </w:r>
      <w:r>
        <w:rPr>
          <w:rFonts w:hint="eastAsia" w:ascii="宋体" w:hAnsi="宋体" w:eastAsia="宋体" w:cs="宋体"/>
          <w:b/>
          <w:color w:val="auto"/>
          <w:sz w:val="24"/>
          <w:highlight w:val="none"/>
          <w:lang w:val="zh-CN"/>
        </w:rPr>
        <w:t>。</w:t>
      </w:r>
    </w:p>
    <w:p w14:paraId="64577FD6">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3．合同内容：</w:t>
      </w:r>
      <w:r>
        <w:rPr>
          <w:rFonts w:hint="eastAsia" w:ascii="宋体" w:hAnsi="宋体" w:eastAsia="宋体" w:cs="宋体"/>
          <w:color w:val="auto"/>
          <w:sz w:val="24"/>
          <w:highlight w:val="none"/>
          <w:lang w:val="zh-CN"/>
        </w:rPr>
        <w:t>详见招标文件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技术规格与要求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及供方的投标文件。未尽事宜在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采购合同书中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约定。</w:t>
      </w:r>
    </w:p>
    <w:p w14:paraId="70ADB085">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4．合同价格、</w:t>
      </w:r>
      <w:r>
        <w:rPr>
          <w:rFonts w:hint="eastAsia" w:ascii="宋体" w:hAnsi="宋体" w:cs="宋体"/>
          <w:b/>
          <w:color w:val="auto"/>
          <w:sz w:val="24"/>
          <w:highlight w:val="none"/>
          <w:lang w:val="zh-CN"/>
        </w:rPr>
        <w:t>服务期限</w:t>
      </w:r>
      <w:r>
        <w:rPr>
          <w:rFonts w:hint="eastAsia" w:ascii="宋体" w:hAnsi="宋体" w:eastAsia="宋体" w:cs="宋体"/>
          <w:b/>
          <w:color w:val="auto"/>
          <w:sz w:val="24"/>
          <w:highlight w:val="none"/>
          <w:lang w:val="zh-CN"/>
        </w:rPr>
        <w:t>及地点、交货方式、付款方式及条件：</w:t>
      </w:r>
      <w:r>
        <w:rPr>
          <w:rFonts w:hint="eastAsia" w:ascii="宋体" w:hAnsi="宋体" w:eastAsia="宋体" w:cs="宋体"/>
          <w:color w:val="auto"/>
          <w:sz w:val="24"/>
          <w:highlight w:val="none"/>
          <w:lang w:val="zh-CN"/>
        </w:rPr>
        <w:t>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采购合同书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中约定。</w:t>
      </w:r>
    </w:p>
    <w:p w14:paraId="2FB04192">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5．知识产权及有关规定：</w:t>
      </w:r>
      <w:r>
        <w:rPr>
          <w:rFonts w:hint="eastAsia" w:ascii="宋体" w:hAnsi="宋体" w:eastAsia="宋体" w:cs="宋体"/>
          <w:color w:val="auto"/>
          <w:sz w:val="24"/>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36CA0FD8">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6．保密条款</w:t>
      </w:r>
    </w:p>
    <w:p w14:paraId="1696C2DA">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6.1任何一方对其获知的本合同涉及的所有有形、无形的信息及资料（包括但不限于供需双方的往来书面文字文件、电子邮件等）中另一方的商业秘密或国家秘密负有保密义务。</w:t>
      </w:r>
    </w:p>
    <w:p w14:paraId="7E41EC0C">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07640CCD">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7.合同的解释</w:t>
      </w:r>
    </w:p>
    <w:p w14:paraId="08AEF6A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7.1任何一方对本合同及其附件的解释均应遵循诚实信用原则，依照本合同签订时有效的中华人民共和国的法律、法规以及人们通常的理解进行。</w:t>
      </w:r>
    </w:p>
    <w:p w14:paraId="599D86B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7.2本合同中以日（天）表述的时间期限均指公历日。</w:t>
      </w:r>
    </w:p>
    <w:p w14:paraId="4F088B0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7.3对本合同的任何解释均应以书面做出。</w:t>
      </w:r>
    </w:p>
    <w:p w14:paraId="3EC8EF05">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8．包装要求：</w:t>
      </w:r>
      <w:r>
        <w:rPr>
          <w:rFonts w:hint="eastAsia" w:ascii="宋体" w:hAnsi="宋体" w:eastAsia="宋体" w:cs="宋体"/>
          <w:color w:val="auto"/>
          <w:sz w:val="24"/>
          <w:highlight w:val="none"/>
          <w:lang w:val="zh-CN"/>
        </w:rPr>
        <w:t>除合同另有规定外，供方提供的全部货物均应按国家或行业标准进行包装。因包装出现问题导致货物毁损的,由供方向需方直接承担责任。每一个包装箱内应附一份详细的装箱单和质量合格证书。</w:t>
      </w:r>
    </w:p>
    <w:p w14:paraId="17B001F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9．包装标志：</w:t>
      </w:r>
      <w:r>
        <w:rPr>
          <w:rFonts w:hint="eastAsia" w:ascii="宋体" w:hAnsi="宋体" w:eastAsia="宋体" w:cs="宋体"/>
          <w:color w:val="auto"/>
          <w:sz w:val="24"/>
          <w:highlight w:val="none"/>
          <w:lang w:val="zh-CN"/>
        </w:rPr>
        <w:t>每一包装箱应用不褪色的油漆以醒目的中文字样做出相关标记。</w:t>
      </w:r>
    </w:p>
    <w:p w14:paraId="3101A0B6">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10．伴随服务</w:t>
      </w:r>
    </w:p>
    <w:p w14:paraId="5927F5D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10.1供方应提供所交付货物的全套技术文件资料，包括产品目录、图纸、操作手册、使用说明、维护手册和服务指南等。</w:t>
      </w:r>
    </w:p>
    <w:p w14:paraId="53528D6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0DD4C9D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10.3上述伴随服务的费用应包含在合同总价中，不单独进行支付。</w:t>
      </w:r>
    </w:p>
    <w:p w14:paraId="02A91EF8">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11．质量保证期及售后服务</w:t>
      </w:r>
    </w:p>
    <w:p w14:paraId="74C1678A">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11.1质量保证期及售后服务：详见招标文件的要求，供方提交的售后服务承诺书和制造厂商的有关文件，如果上述文件有不一致之处，以对需方有利的为准。</w:t>
      </w:r>
    </w:p>
    <w:p w14:paraId="29FCD215">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11.2如果上述第11.1款无特别约定，本合同项下货物的质量保证期为从需方验收合格并交付给需方之日起一年。</w:t>
      </w:r>
    </w:p>
    <w:p w14:paraId="4374BDB8">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12．质量保证</w:t>
      </w:r>
    </w:p>
    <w:p w14:paraId="3DBD81B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7E59381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63F8715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12.3在质量保证期内，供方在接到需方的通知后，应在本合同条款第11条约定的响应时间内,免费维修和/或更换有缺陷的货物或部件。</w:t>
      </w:r>
    </w:p>
    <w:p w14:paraId="0D41A6E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0D3D9B4E">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13．验收</w:t>
      </w:r>
    </w:p>
    <w:p w14:paraId="74A667BF">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val="0"/>
          <w:bCs/>
          <w:color w:val="auto"/>
          <w:sz w:val="24"/>
          <w:highlight w:val="none"/>
          <w:lang w:val="zh-CN"/>
        </w:rPr>
        <w:t>13.1</w:t>
      </w:r>
      <w:r>
        <w:rPr>
          <w:rFonts w:hint="eastAsia" w:ascii="宋体" w:hAnsi="宋体" w:eastAsia="宋体" w:cs="宋体"/>
          <w:color w:val="auto"/>
          <w:sz w:val="24"/>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4F1439AA">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13.2验收过程中，如果供需双方对合同标的质量发生争议，应当聘请当地质检（商检）部门或有关部门对有争议的货物质量进行鉴定，检验费用由责任方承担。</w:t>
      </w:r>
    </w:p>
    <w:p w14:paraId="1B917FF6">
      <w:pPr>
        <w:autoSpaceDE w:val="0"/>
        <w:autoSpaceDN w:val="0"/>
        <w:adjustRightInd w:val="0"/>
        <w:spacing w:line="46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13.3按照规定必须由国家有关部门或者机构检验合格才允许使用的货物，由供方负责（需方配合）向有关部门或者机构申请检验并取得检验合格的报告（证书）或者使用许可证，费用包含在供方的投标总价中。</w:t>
      </w:r>
    </w:p>
    <w:p w14:paraId="08D1B0EE">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14．索赔</w:t>
      </w:r>
    </w:p>
    <w:p w14:paraId="6EBCE15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14.1需方有权根据国家技术监督局、进出口商品检验局或其他具有法定资格的质检机构出具的检验证书向供方提出索赔。</w:t>
      </w:r>
    </w:p>
    <w:p w14:paraId="6A3EADA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14.2如果供方对缺陷负有责任而需方提出索赔，供方应按照需方同意的下列一种或多种方式解决索赔事宜：</w:t>
      </w:r>
    </w:p>
    <w:p w14:paraId="05DBF45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（1）供方同意退货并用合同规定的货币将货款退还给需方，并承担由此发生的一切损失和费用，包括利息、银行手续费、运费、保险费、检验费、仓储费、装卸费以及为保护退回货物所需的其他必要费用。</w:t>
      </w:r>
    </w:p>
    <w:p w14:paraId="141EBFD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（2）根据货物低劣、损坏程度以及需方所遭受损失的金额，经双方商定降低货物的价格。</w:t>
      </w:r>
    </w:p>
    <w:p w14:paraId="610DB3C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763CF74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560EA4E8">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15．履约延误</w:t>
      </w:r>
    </w:p>
    <w:p w14:paraId="4BF3E5B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15.1 供方应按照合同规定的时间、地点交货和提供服务；需方应按照合同规定的时间、地点接收货物和接受服务。</w:t>
      </w:r>
    </w:p>
    <w:p w14:paraId="67EFDA8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15.2 如果供方无正当理由拖延交货，将受到以下制裁：没收履约保证金、加收误期赔偿和／或违约终止合同；如果需方无正当理由拖延接收货物和接受服务，应承担相应的违约责任。</w:t>
      </w:r>
    </w:p>
    <w:p w14:paraId="506E9F9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w:t>
      </w:r>
      <w:r>
        <w:rPr>
          <w:rFonts w:hint="eastAsia" w:ascii="宋体" w:hAnsi="宋体" w:cs="宋体"/>
          <w:color w:val="auto"/>
          <w:sz w:val="24"/>
          <w:highlight w:val="none"/>
          <w:lang w:val="zh-CN"/>
        </w:rPr>
        <w:t>服务期限</w:t>
      </w:r>
      <w:r>
        <w:rPr>
          <w:rFonts w:hint="eastAsia" w:ascii="宋体" w:hAnsi="宋体" w:eastAsia="宋体" w:cs="宋体"/>
          <w:color w:val="auto"/>
          <w:sz w:val="24"/>
          <w:highlight w:val="none"/>
          <w:lang w:val="zh-CN"/>
        </w:rPr>
        <w:t>和/或延期提供服务，或者终止合同。</w:t>
      </w:r>
    </w:p>
    <w:p w14:paraId="1FDB9C34">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16．误期赔偿</w:t>
      </w:r>
    </w:p>
    <w:p w14:paraId="0BF8D726">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16.1除本合同条款</w:t>
      </w:r>
      <w:r>
        <w:rPr>
          <w:rFonts w:hint="eastAsia" w:ascii="宋体" w:hAnsi="宋体" w:eastAsia="宋体" w:cs="宋体"/>
          <w:b/>
          <w:color w:val="auto"/>
          <w:sz w:val="24"/>
          <w:highlight w:val="none"/>
          <w:lang w:val="zh-CN"/>
        </w:rPr>
        <w:t>第18条</w:t>
      </w:r>
      <w:r>
        <w:rPr>
          <w:rFonts w:hint="eastAsia" w:ascii="宋体" w:hAnsi="宋体" w:eastAsia="宋体" w:cs="宋体"/>
          <w:color w:val="auto"/>
          <w:sz w:val="24"/>
          <w:highlight w:val="none"/>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6909464D">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16.2误期赔偿费可从应付货款和/或履约保证金中扣除。</w:t>
      </w:r>
    </w:p>
    <w:p w14:paraId="4C01E067">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16.3收取误期赔偿费不影响需方采取合同规定的其他补救措施的权利。</w:t>
      </w:r>
    </w:p>
    <w:p w14:paraId="5FD41132">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16.4在收取误期赔偿费期间，需方有权决定是否终止合同。</w:t>
      </w:r>
    </w:p>
    <w:p w14:paraId="75DCA6B7">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16.5如果需方违约，应承担相应的违约责任。</w:t>
      </w:r>
    </w:p>
    <w:p w14:paraId="791007FE">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17．履约保证金和质量保证金：在采购合同书中约定。</w:t>
      </w:r>
    </w:p>
    <w:p w14:paraId="1D6FDBCB">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18．不可抗力</w:t>
      </w:r>
    </w:p>
    <w:p w14:paraId="57CCD230">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4383FAF3">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18.2 本条所述的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不可抗力</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系指那些双方无法控制，不可预见的事件，但不包括双方的违约或疏忽。这些事件包括但不限于：战争、严重火灾、洪水、台风、地震以及其它双方商定的事件。</w:t>
      </w:r>
    </w:p>
    <w:p w14:paraId="67599E6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2162B2B2">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19．税费</w:t>
      </w:r>
    </w:p>
    <w:p w14:paraId="0EAB83DA">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19.1 根据现行法律规定对需方征收的与本合同有关的一切税费均由需方负担。</w:t>
      </w:r>
    </w:p>
    <w:p w14:paraId="7981835D">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19.2 根据现行法律规定对供方征收的与本合同有关的一切税费均由供方负担。</w:t>
      </w:r>
    </w:p>
    <w:p w14:paraId="327197F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19.3 在中国境外发生的与执行本合同有关的一切税费均由供方负担。</w:t>
      </w:r>
    </w:p>
    <w:p w14:paraId="3BCB44A0">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20．争议解决方式</w:t>
      </w:r>
    </w:p>
    <w:p w14:paraId="31D75C85">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color w:val="auto"/>
          <w:sz w:val="24"/>
          <w:highlight w:val="none"/>
          <w:lang w:val="zh-CN"/>
        </w:rPr>
        <w:t>采购合同书</w:t>
      </w:r>
      <w:r>
        <w:rPr>
          <w:rFonts w:hint="eastAsia" w:ascii="宋体" w:hAnsi="宋体" w:eastAsia="宋体" w:cs="宋体"/>
          <w:color w:val="auto"/>
          <w:sz w:val="24"/>
          <w:highlight w:val="none"/>
          <w:lang w:val="zh-CN"/>
        </w:rPr>
        <w:t>内约定以下一种方式解决争议：</w:t>
      </w:r>
    </w:p>
    <w:p w14:paraId="22C78B4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第一种方式：双方达成仲裁协议，向约定的仲裁机构申请仲裁；</w:t>
      </w:r>
    </w:p>
    <w:p w14:paraId="3BC4B99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第二种方式：向有管辖权的人民法院提起诉讼。</w:t>
      </w:r>
    </w:p>
    <w:p w14:paraId="60E6212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20.2 因合同部分履行引发仲裁（诉讼）的，在仲裁（诉讼）期间，除正在进行仲裁（诉讼）的部分外，本合同的其它部分应继续执行。</w:t>
      </w:r>
    </w:p>
    <w:p w14:paraId="6A0149E1">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21．违约终止合同</w:t>
      </w:r>
    </w:p>
    <w:p w14:paraId="68D040DE">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21.1 在需方因供方违约而按合同约定采取的任何补救措施不受影响的情况下，需方可在下列情况下向供方发出书面通知，提出终止部分或全部合同。</w:t>
      </w:r>
    </w:p>
    <w:p w14:paraId="47159A57">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（1）如果供方未能在合同规定的限期或需方同意延长的限期内提供部分或全部货物和服务。</w:t>
      </w:r>
    </w:p>
    <w:p w14:paraId="6080F55E">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（2）如果供方未能履行合同规定的其它任何义务。</w:t>
      </w:r>
    </w:p>
    <w:p w14:paraId="594B3D5E">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（3）如果供方在本合同订立和履行过程中采取了任何</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不正当竞争行为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，危害到国家利益、社会公共利益和需方的合法权益。</w:t>
      </w:r>
    </w:p>
    <w:p w14:paraId="568E600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4B64DFDD">
      <w:pPr>
        <w:autoSpaceDE w:val="0"/>
        <w:autoSpaceDN w:val="0"/>
        <w:adjustRightInd w:val="0"/>
        <w:spacing w:line="4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21.3如果需方违约，应承担相应的违约责任。</w:t>
      </w:r>
    </w:p>
    <w:p w14:paraId="51544C27">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22．破产终止合同：</w:t>
      </w:r>
      <w:r>
        <w:rPr>
          <w:rFonts w:hint="eastAsia" w:ascii="宋体" w:hAnsi="宋体" w:eastAsia="宋体" w:cs="宋体"/>
          <w:color w:val="auto"/>
          <w:sz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1494F9F9">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23．合同转让和分包：</w:t>
      </w:r>
      <w:r>
        <w:rPr>
          <w:rFonts w:hint="eastAsia" w:ascii="宋体" w:hAnsi="宋体" w:eastAsia="宋体" w:cs="宋体"/>
          <w:color w:val="auto"/>
          <w:sz w:val="24"/>
          <w:highlight w:val="none"/>
          <w:lang w:val="zh-CN"/>
        </w:rPr>
        <w:t>本合同不得转让或分包。</w:t>
      </w:r>
    </w:p>
    <w:p w14:paraId="4D2BE545">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24．需要补充的合同条款：</w:t>
      </w:r>
      <w:r>
        <w:rPr>
          <w:rFonts w:hint="eastAsia" w:ascii="宋体" w:hAnsi="宋体" w:eastAsia="宋体" w:cs="宋体"/>
          <w:color w:val="auto"/>
          <w:sz w:val="24"/>
          <w:highlight w:val="none"/>
          <w:lang w:val="zh-CN"/>
        </w:rPr>
        <w:t>在采购合同书中约定。</w:t>
      </w:r>
    </w:p>
    <w:p w14:paraId="7B008D7A">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25．适用法律：</w:t>
      </w:r>
      <w:r>
        <w:rPr>
          <w:rFonts w:hint="eastAsia" w:ascii="宋体" w:hAnsi="宋体" w:eastAsia="宋体" w:cs="宋体"/>
          <w:color w:val="auto"/>
          <w:sz w:val="24"/>
          <w:highlight w:val="none"/>
          <w:lang w:val="zh-CN"/>
        </w:rPr>
        <w:t>本合同及附件的订立、效力、解释、履行、争议的解决等适用本合同签订时有效的中华人民共和国法律、法规的有关规定。</w:t>
      </w:r>
    </w:p>
    <w:p w14:paraId="483E4AE5">
      <w:pPr>
        <w:autoSpaceDE w:val="0"/>
        <w:autoSpaceDN w:val="0"/>
        <w:adjustRightInd w:val="0"/>
        <w:spacing w:line="42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26.主导语言与计量单位</w:t>
      </w:r>
    </w:p>
    <w:p w14:paraId="7AC61A0D">
      <w:pPr>
        <w:autoSpaceDE w:val="0"/>
        <w:autoSpaceDN w:val="0"/>
        <w:adjustRightInd w:val="0"/>
        <w:spacing w:line="4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26.1合同应用中文书写。供需双方所有来往信函，以及合同有关的文件均应以中文书写。</w:t>
      </w:r>
    </w:p>
    <w:p w14:paraId="475A1B0E">
      <w:pPr>
        <w:autoSpaceDE w:val="0"/>
        <w:autoSpaceDN w:val="0"/>
        <w:adjustRightInd w:val="0"/>
        <w:spacing w:line="40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26.2除合同另有规定外，计量单位均使用中华人民共和国法定计量单位。</w:t>
      </w:r>
    </w:p>
    <w:p w14:paraId="69B683ED">
      <w:pPr>
        <w:autoSpaceDE w:val="0"/>
        <w:autoSpaceDN w:val="0"/>
        <w:adjustRightInd w:val="0"/>
        <w:spacing w:line="400" w:lineRule="exact"/>
        <w:ind w:firstLine="482"/>
        <w:rPr>
          <w:rFonts w:hint="eastAsia" w:ascii="宋体" w:hAnsi="宋体" w:eastAsia="宋体" w:cs="宋体"/>
          <w:color w:val="auto"/>
          <w:sz w:val="24"/>
          <w:highlight w:val="none"/>
        </w:rPr>
      </w:pPr>
      <w:r>
        <w:rPr>
          <w:rFonts w:hint="eastAsia" w:ascii="宋体" w:hAnsi="宋体" w:eastAsia="宋体" w:cs="宋体"/>
          <w:b/>
          <w:color w:val="auto"/>
          <w:sz w:val="24"/>
          <w:highlight w:val="none"/>
          <w:lang w:val="zh-CN"/>
        </w:rPr>
        <w:t>27．采购法对采购合同变更、终止的规定：</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采购合同的双方当事人（指供需双方）不得擅自变更、中止或者终止合同。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auto"/>
          <w:sz w:val="24"/>
          <w:highlight w:val="none"/>
        </w:rPr>
        <w:t>”</w:t>
      </w:r>
    </w:p>
    <w:p w14:paraId="6F93CF54">
      <w:pPr>
        <w:autoSpaceDE w:val="0"/>
        <w:autoSpaceDN w:val="0"/>
        <w:adjustRightInd w:val="0"/>
        <w:spacing w:line="400" w:lineRule="exact"/>
        <w:ind w:firstLine="482"/>
        <w:rPr>
          <w:rFonts w:hint="eastAsia" w:ascii="宋体" w:hAnsi="宋体" w:eastAsia="宋体" w:cs="宋体"/>
          <w:color w:val="auto"/>
          <w:sz w:val="24"/>
          <w:highlight w:val="none"/>
        </w:rPr>
      </w:pPr>
    </w:p>
    <w:p w14:paraId="027532A6">
      <w:pPr>
        <w:spacing w:after="120" w:line="520" w:lineRule="exact"/>
        <w:jc w:val="center"/>
        <w:outlineLvl w:val="9"/>
        <w:rPr>
          <w:rFonts w:hint="eastAsia" w:ascii="宋体" w:hAnsi="宋体" w:eastAsia="宋体" w:cs="宋体"/>
          <w:color w:val="auto"/>
          <w:highlight w:val="none"/>
          <w:lang w:val="zh-CN"/>
        </w:rPr>
      </w:pPr>
    </w:p>
    <w:p w14:paraId="356EABC5">
      <w:pPr>
        <w:rPr>
          <w:rFonts w:hint="eastAsia" w:ascii="宋体" w:hAnsi="宋体" w:eastAsia="宋体" w:cs="宋体"/>
          <w:color w:val="auto"/>
          <w:highlight w:val="none"/>
          <w:lang w:val="zh-CN"/>
        </w:rPr>
      </w:pPr>
    </w:p>
    <w:p w14:paraId="0587E570">
      <w:pPr>
        <w:rPr>
          <w:rFonts w:hint="eastAsia" w:ascii="宋体" w:hAnsi="宋体" w:eastAsia="宋体" w:cs="宋体"/>
          <w:color w:val="auto"/>
          <w:highlight w:val="none"/>
          <w:lang w:val="zh-CN"/>
        </w:rPr>
      </w:pPr>
    </w:p>
    <w:p w14:paraId="25F1E459">
      <w:pPr>
        <w:rPr>
          <w:rFonts w:hint="eastAsia" w:ascii="宋体" w:hAnsi="宋体" w:eastAsia="宋体" w:cs="宋体"/>
          <w:color w:val="auto"/>
          <w:highlight w:val="none"/>
          <w:lang w:val="zh-CN"/>
        </w:rPr>
      </w:pPr>
    </w:p>
    <w:p w14:paraId="492CD8A7">
      <w:pPr>
        <w:rPr>
          <w:rFonts w:hint="eastAsia" w:ascii="宋体" w:hAnsi="宋体" w:eastAsia="宋体" w:cs="宋体"/>
          <w:color w:val="auto"/>
          <w:highlight w:val="none"/>
          <w:lang w:val="zh-CN"/>
        </w:rPr>
      </w:pPr>
    </w:p>
    <w:p w14:paraId="285E517B">
      <w:pPr>
        <w:rPr>
          <w:rFonts w:hint="eastAsia" w:ascii="宋体" w:hAnsi="宋体" w:eastAsia="宋体" w:cs="宋体"/>
          <w:color w:val="auto"/>
          <w:highlight w:val="none"/>
          <w:lang w:val="zh-CN"/>
        </w:rPr>
      </w:pPr>
    </w:p>
    <w:p w14:paraId="07340BC5">
      <w:pPr>
        <w:rPr>
          <w:rFonts w:hint="eastAsia" w:ascii="宋体" w:hAnsi="宋体" w:eastAsia="宋体" w:cs="宋体"/>
          <w:color w:val="auto"/>
          <w:highlight w:val="none"/>
          <w:lang w:val="zh-CN"/>
        </w:rPr>
      </w:pPr>
    </w:p>
    <w:p w14:paraId="2A81C942">
      <w:pPr>
        <w:rPr>
          <w:rFonts w:hint="eastAsia" w:ascii="宋体" w:hAnsi="宋体" w:eastAsia="宋体" w:cs="宋体"/>
          <w:color w:val="auto"/>
          <w:highlight w:val="none"/>
          <w:lang w:val="zh-CN"/>
        </w:rPr>
      </w:pPr>
    </w:p>
    <w:p w14:paraId="198FAEC1">
      <w:pPr>
        <w:rPr>
          <w:rFonts w:hint="eastAsia" w:ascii="宋体" w:hAnsi="宋体" w:eastAsia="宋体" w:cs="宋体"/>
          <w:color w:val="auto"/>
          <w:highlight w:val="none"/>
          <w:lang w:val="zh-CN"/>
        </w:rPr>
      </w:pPr>
    </w:p>
    <w:p w14:paraId="04FE9D21">
      <w:pPr>
        <w:rPr>
          <w:rFonts w:hint="eastAsia" w:ascii="宋体" w:hAnsi="宋体" w:eastAsia="宋体" w:cs="宋体"/>
          <w:color w:val="auto"/>
          <w:highlight w:val="none"/>
          <w:lang w:val="zh-CN"/>
        </w:rPr>
      </w:pPr>
    </w:p>
    <w:p w14:paraId="5CBAE7BF">
      <w:pPr>
        <w:rPr>
          <w:rFonts w:hint="eastAsia" w:ascii="宋体" w:hAnsi="宋体" w:eastAsia="宋体" w:cs="宋体"/>
          <w:color w:val="auto"/>
          <w:highlight w:val="none"/>
          <w:lang w:val="zh-CN"/>
        </w:rPr>
      </w:pPr>
    </w:p>
    <w:p w14:paraId="70CB44E0">
      <w:pPr>
        <w:jc w:val="center"/>
        <w:outlineLvl w:val="0"/>
        <w:rPr>
          <w:rFonts w:hint="eastAsia" w:ascii="宋体" w:hAnsi="宋体" w:eastAsia="宋体" w:cs="宋体"/>
          <w:b/>
          <w:bCs/>
          <w:color w:val="auto"/>
          <w:sz w:val="36"/>
          <w:szCs w:val="36"/>
          <w:highlight w:val="none"/>
          <w:lang w:val="en-US" w:eastAsia="zh-CN"/>
        </w:rPr>
      </w:pPr>
      <w:bookmarkStart w:id="31" w:name="_Toc347014332"/>
      <w:bookmarkStart w:id="32" w:name="_Toc20359"/>
      <w:bookmarkStart w:id="33" w:name="_Toc7589"/>
      <w:bookmarkStart w:id="34" w:name="_Toc7314_WPSOffice_Level1"/>
      <w:r>
        <w:rPr>
          <w:rFonts w:hint="eastAsia" w:ascii="宋体" w:hAnsi="宋体" w:eastAsia="宋体" w:cs="宋体"/>
          <w:b/>
          <w:bCs/>
          <w:color w:val="auto"/>
          <w:sz w:val="36"/>
          <w:szCs w:val="36"/>
          <w:highlight w:val="none"/>
        </w:rPr>
        <w:t xml:space="preserve">第四章 </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采购合同书格式</w:t>
      </w:r>
      <w:bookmarkEnd w:id="31"/>
      <w:bookmarkEnd w:id="32"/>
      <w:r>
        <w:rPr>
          <w:rFonts w:hint="eastAsia" w:ascii="宋体" w:hAnsi="宋体" w:eastAsia="宋体" w:cs="宋体"/>
          <w:b/>
          <w:bCs/>
          <w:color w:val="auto"/>
          <w:sz w:val="36"/>
          <w:szCs w:val="36"/>
          <w:highlight w:val="none"/>
          <w:lang w:eastAsia="zh-CN"/>
        </w:rPr>
        <w:t>（供参考）</w:t>
      </w:r>
      <w:bookmarkEnd w:id="33"/>
      <w:bookmarkEnd w:id="34"/>
    </w:p>
    <w:p w14:paraId="655CF31D">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合同编号：</w:t>
      </w:r>
    </w:p>
    <w:p w14:paraId="7C786D07">
      <w:pPr>
        <w:autoSpaceDE w:val="0"/>
        <w:autoSpaceDN w:val="0"/>
        <w:adjustRightInd w:val="0"/>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签订地点：吉林省</w:t>
      </w:r>
      <w:r>
        <w:rPr>
          <w:rFonts w:hint="eastAsia" w:ascii="宋体" w:hAnsi="宋体" w:eastAsia="宋体" w:cs="宋体"/>
          <w:color w:val="auto"/>
          <w:sz w:val="24"/>
          <w:highlight w:val="none"/>
          <w:lang w:val="en-US" w:eastAsia="zh-CN"/>
        </w:rPr>
        <w:t>长春市</w:t>
      </w:r>
    </w:p>
    <w:p w14:paraId="FFF4531A">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签订日期：二○</w:t>
      </w:r>
      <w:r>
        <w:rPr>
          <w:rFonts w:hint="eastAsia" w:ascii="宋体" w:hAnsi="宋体" w:cs="宋体"/>
          <w:color w:val="auto"/>
          <w:sz w:val="24"/>
          <w:highlight w:val="none"/>
          <w:lang w:val="zh-CN"/>
        </w:rPr>
        <w:t>二</w:t>
      </w:r>
      <w:r>
        <w:rPr>
          <w:rFonts w:hint="eastAsia" w:ascii="宋体" w:hAnsi="宋体" w:eastAsia="宋体" w:cs="宋体"/>
          <w:color w:val="auto"/>
          <w:sz w:val="24"/>
          <w:highlight w:val="none"/>
          <w:lang w:val="zh-CN"/>
        </w:rPr>
        <w:t xml:space="preserve">  年  月  日 </w:t>
      </w:r>
    </w:p>
    <w:p w14:paraId="FEA2796E">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（招标人）需求的</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zh-CN"/>
        </w:rPr>
        <w:t>服务</w:t>
      </w:r>
      <w:r>
        <w:rPr>
          <w:rFonts w:hint="eastAsia" w:ascii="宋体" w:hAnsi="宋体" w:eastAsia="宋体" w:cs="宋体"/>
          <w:color w:val="auto"/>
          <w:sz w:val="24"/>
          <w:highlight w:val="none"/>
          <w:lang w:val="zh-CN"/>
        </w:rPr>
        <w:t>名称）经</w:t>
      </w:r>
      <w:r>
        <w:rPr>
          <w:rFonts w:hint="eastAsia" w:ascii="宋体" w:hAnsi="宋体" w:eastAsia="宋体" w:cs="宋体"/>
          <w:color w:val="auto"/>
          <w:sz w:val="24"/>
          <w:highlight w:val="none"/>
          <w:u w:val="single"/>
          <w:lang w:val="zh-CN"/>
        </w:rPr>
        <w:t>（招标公司名称）</w:t>
      </w:r>
      <w:r>
        <w:rPr>
          <w:rFonts w:hint="eastAsia" w:ascii="宋体" w:hAnsi="宋体" w:eastAsia="宋体" w:cs="宋体"/>
          <w:color w:val="auto"/>
          <w:sz w:val="24"/>
          <w:highlight w:val="none"/>
          <w:lang w:val="zh-CN"/>
        </w:rPr>
        <w:t>以编号为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的招标文件在国内公开招标，评标委员会评定（供方）为中标供应商。并提够给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（需方）使用，招标人及</w:t>
      </w:r>
      <w:r>
        <w:rPr>
          <w:rFonts w:hint="eastAsia" w:ascii="宋体" w:hAnsi="宋体" w:eastAsia="宋体" w:cs="宋体"/>
          <w:color w:val="auto"/>
          <w:sz w:val="24"/>
          <w:highlight w:val="none"/>
          <w:lang w:val="zh-CN"/>
        </w:rPr>
        <w:t>供需双方按照《中华人民共和国合同法》和有关法律法规，遵循平等、自愿、公平和诚实信用原则，同意按照下面的条款和条件订立本合同，共同信守。</w:t>
      </w:r>
    </w:p>
    <w:p w14:paraId="8CD16811">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1.合同标的</w:t>
      </w:r>
      <w:r>
        <w:rPr>
          <w:rFonts w:hint="eastAsia" w:ascii="宋体" w:hAnsi="宋体" w:eastAsia="宋体" w:cs="宋体"/>
          <w:color w:val="auto"/>
          <w:sz w:val="24"/>
          <w:highlight w:val="none"/>
          <w:lang w:val="zh-CN"/>
        </w:rPr>
        <w:t xml:space="preserve">： </w:t>
      </w:r>
    </w:p>
    <w:tbl>
      <w:tblPr>
        <w:tblStyle w:val="15"/>
        <w:tblW w:w="8086" w:type="dxa"/>
        <w:jc w:val="center"/>
        <w:tblLayout w:type="fixed"/>
        <w:tblCellMar>
          <w:top w:w="0" w:type="dxa"/>
          <w:left w:w="10" w:type="dxa"/>
          <w:bottom w:w="0" w:type="dxa"/>
          <w:right w:w="10" w:type="dxa"/>
        </w:tblCellMar>
      </w:tblPr>
      <w:tblGrid>
        <w:gridCol w:w="1634"/>
        <w:gridCol w:w="2708"/>
        <w:gridCol w:w="1065"/>
        <w:gridCol w:w="1052"/>
        <w:gridCol w:w="1627"/>
      </w:tblGrid>
      <w:tr w14:paraId="FE83B01C">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vAlign w:val="center"/>
          </w:tcPr>
          <w:p w14:paraId="01357D15">
            <w:pPr>
              <w:autoSpaceDE w:val="0"/>
              <w:autoSpaceDN w:val="0"/>
              <w:adjustRightInd w:val="0"/>
              <w:spacing w:line="42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zh-CN"/>
              </w:rPr>
              <w:t>采购项目名称</w:t>
            </w:r>
          </w:p>
        </w:tc>
        <w:tc>
          <w:tcPr>
            <w:tcW w:w="2708" w:type="dxa"/>
            <w:tcBorders>
              <w:top w:val="single" w:color="000000" w:sz="6" w:space="0"/>
              <w:left w:val="single" w:color="000000" w:sz="6" w:space="0"/>
              <w:bottom w:val="single" w:color="000000" w:sz="6" w:space="0"/>
              <w:right w:val="single" w:color="000000" w:sz="6" w:space="0"/>
            </w:tcBorders>
            <w:vAlign w:val="center"/>
          </w:tcPr>
          <w:p w14:paraId="B5F8B2C7">
            <w:pPr>
              <w:autoSpaceDE w:val="0"/>
              <w:autoSpaceDN w:val="0"/>
              <w:adjustRightInd w:val="0"/>
              <w:spacing w:line="420" w:lineRule="exact"/>
              <w:jc w:val="center"/>
              <w:rPr>
                <w:rFonts w:hint="eastAsia" w:ascii="宋体" w:hAnsi="宋体" w:eastAsia="宋体" w:cs="宋体"/>
                <w:b/>
                <w:bCs/>
                <w:color w:val="auto"/>
                <w:highlight w:val="none"/>
              </w:rPr>
            </w:pPr>
            <w:r>
              <w:rPr>
                <w:rFonts w:hint="eastAsia" w:ascii="宋体" w:hAnsi="宋体" w:cs="宋体"/>
                <w:b/>
                <w:bCs/>
                <w:color w:val="auto"/>
                <w:highlight w:val="none"/>
                <w:lang w:val="zh-CN"/>
              </w:rPr>
              <w:t>服务内容</w:t>
            </w:r>
          </w:p>
        </w:tc>
        <w:tc>
          <w:tcPr>
            <w:tcW w:w="1065" w:type="dxa"/>
            <w:tcBorders>
              <w:top w:val="single" w:color="000000" w:sz="6" w:space="0"/>
              <w:left w:val="single" w:color="000000" w:sz="6" w:space="0"/>
              <w:bottom w:val="single" w:color="000000" w:sz="6" w:space="0"/>
              <w:right w:val="single" w:color="000000" w:sz="6" w:space="0"/>
            </w:tcBorders>
            <w:vAlign w:val="center"/>
          </w:tcPr>
          <w:p w14:paraId="3169BF0A">
            <w:pPr>
              <w:autoSpaceDE w:val="0"/>
              <w:autoSpaceDN w:val="0"/>
              <w:adjustRightInd w:val="0"/>
              <w:spacing w:line="42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zh-CN"/>
              </w:rPr>
              <w:t>数量</w:t>
            </w:r>
          </w:p>
        </w:tc>
        <w:tc>
          <w:tcPr>
            <w:tcW w:w="1052" w:type="dxa"/>
            <w:tcBorders>
              <w:top w:val="single" w:color="000000" w:sz="6" w:space="0"/>
              <w:left w:val="single" w:color="000000" w:sz="6" w:space="0"/>
              <w:bottom w:val="single" w:color="000000" w:sz="6" w:space="0"/>
              <w:right w:val="single" w:color="000000" w:sz="6" w:space="0"/>
            </w:tcBorders>
            <w:vAlign w:val="center"/>
          </w:tcPr>
          <w:p w14:paraId="EEB98816">
            <w:pPr>
              <w:autoSpaceDE w:val="0"/>
              <w:autoSpaceDN w:val="0"/>
              <w:adjustRightInd w:val="0"/>
              <w:spacing w:line="42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zh-CN"/>
              </w:rPr>
              <w:t>单价</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元</w:t>
            </w:r>
            <w:r>
              <w:rPr>
                <w:rFonts w:hint="eastAsia" w:ascii="宋体" w:hAnsi="宋体" w:eastAsia="宋体" w:cs="宋体"/>
                <w:b/>
                <w:bCs/>
                <w:color w:val="auto"/>
                <w:highlight w:val="none"/>
              </w:rPr>
              <w:t>)</w:t>
            </w:r>
          </w:p>
        </w:tc>
        <w:tc>
          <w:tcPr>
            <w:tcW w:w="1627" w:type="dxa"/>
            <w:tcBorders>
              <w:top w:val="single" w:color="000000" w:sz="6" w:space="0"/>
              <w:left w:val="single" w:color="000000" w:sz="6" w:space="0"/>
              <w:bottom w:val="single" w:color="000000" w:sz="6" w:space="0"/>
              <w:right w:val="single" w:color="000000" w:sz="6" w:space="0"/>
            </w:tcBorders>
            <w:vAlign w:val="center"/>
          </w:tcPr>
          <w:p w14:paraId="9E4B9003">
            <w:pPr>
              <w:autoSpaceDE w:val="0"/>
              <w:autoSpaceDN w:val="0"/>
              <w:adjustRightInd w:val="0"/>
              <w:spacing w:line="42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zh-CN"/>
              </w:rPr>
              <w:t>小计金额</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元</w:t>
            </w:r>
            <w:r>
              <w:rPr>
                <w:rFonts w:hint="eastAsia" w:ascii="宋体" w:hAnsi="宋体" w:eastAsia="宋体" w:cs="宋体"/>
                <w:b/>
                <w:bCs/>
                <w:color w:val="auto"/>
                <w:highlight w:val="none"/>
              </w:rPr>
              <w:t>)</w:t>
            </w:r>
          </w:p>
        </w:tc>
      </w:tr>
      <w:tr w14:paraId="F47FA907">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vAlign w:val="center"/>
          </w:tcPr>
          <w:p w14:paraId="4DD95E61">
            <w:pPr>
              <w:autoSpaceDE w:val="0"/>
              <w:autoSpaceDN w:val="0"/>
              <w:adjustRightInd w:val="0"/>
              <w:spacing w:line="420" w:lineRule="exact"/>
              <w:jc w:val="center"/>
              <w:rPr>
                <w:rFonts w:hint="eastAsia" w:ascii="宋体" w:hAnsi="宋体" w:eastAsia="宋体" w:cs="宋体"/>
                <w:color w:val="auto"/>
                <w:sz w:val="24"/>
                <w:highlight w:val="none"/>
                <w:lang w:val="zh-CN"/>
              </w:rPr>
            </w:pPr>
          </w:p>
        </w:tc>
        <w:tc>
          <w:tcPr>
            <w:tcW w:w="2708" w:type="dxa"/>
            <w:tcBorders>
              <w:top w:val="single" w:color="000000" w:sz="6" w:space="0"/>
              <w:left w:val="single" w:color="000000" w:sz="6" w:space="0"/>
              <w:bottom w:val="single" w:color="000000" w:sz="6" w:space="0"/>
              <w:right w:val="single" w:color="000000" w:sz="6" w:space="0"/>
            </w:tcBorders>
            <w:vAlign w:val="center"/>
          </w:tcPr>
          <w:p w14:paraId="BF0EFD40">
            <w:pPr>
              <w:autoSpaceDE w:val="0"/>
              <w:autoSpaceDN w:val="0"/>
              <w:adjustRightInd w:val="0"/>
              <w:spacing w:line="420" w:lineRule="exact"/>
              <w:jc w:val="center"/>
              <w:rPr>
                <w:rFonts w:hint="eastAsia" w:ascii="宋体" w:hAnsi="宋体" w:eastAsia="宋体" w:cs="宋体"/>
                <w:color w:val="auto"/>
                <w:sz w:val="24"/>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1A53332">
            <w:pPr>
              <w:autoSpaceDE w:val="0"/>
              <w:autoSpaceDN w:val="0"/>
              <w:adjustRightInd w:val="0"/>
              <w:spacing w:line="420" w:lineRule="exact"/>
              <w:jc w:val="center"/>
              <w:rPr>
                <w:rFonts w:hint="eastAsia" w:ascii="宋体" w:hAnsi="宋体" w:eastAsia="宋体" w:cs="宋体"/>
                <w:color w:val="auto"/>
                <w:sz w:val="24"/>
                <w:highlight w:val="none"/>
                <w:lang w:val="zh-CN"/>
              </w:rPr>
            </w:pPr>
          </w:p>
        </w:tc>
        <w:tc>
          <w:tcPr>
            <w:tcW w:w="1052" w:type="dxa"/>
            <w:tcBorders>
              <w:top w:val="single" w:color="000000" w:sz="6" w:space="0"/>
              <w:left w:val="single" w:color="000000" w:sz="6" w:space="0"/>
              <w:bottom w:val="single" w:color="000000" w:sz="6" w:space="0"/>
              <w:right w:val="single" w:color="000000" w:sz="6" w:space="0"/>
            </w:tcBorders>
            <w:vAlign w:val="center"/>
          </w:tcPr>
          <w:p w14:paraId="447C7DA9">
            <w:pPr>
              <w:autoSpaceDE w:val="0"/>
              <w:autoSpaceDN w:val="0"/>
              <w:adjustRightInd w:val="0"/>
              <w:spacing w:line="420" w:lineRule="exact"/>
              <w:jc w:val="center"/>
              <w:rPr>
                <w:rFonts w:hint="eastAsia" w:ascii="宋体" w:hAnsi="宋体" w:eastAsia="宋体" w:cs="宋体"/>
                <w:color w:val="auto"/>
                <w:sz w:val="24"/>
                <w:highlight w:val="none"/>
                <w:lang w:val="zh-CN"/>
              </w:rPr>
            </w:pPr>
          </w:p>
        </w:tc>
        <w:tc>
          <w:tcPr>
            <w:tcW w:w="1627" w:type="dxa"/>
            <w:tcBorders>
              <w:top w:val="single" w:color="000000" w:sz="6" w:space="0"/>
              <w:left w:val="single" w:color="000000" w:sz="6" w:space="0"/>
              <w:bottom w:val="single" w:color="000000" w:sz="6" w:space="0"/>
              <w:right w:val="single" w:color="000000" w:sz="6" w:space="0"/>
            </w:tcBorders>
            <w:vAlign w:val="center"/>
          </w:tcPr>
          <w:p w14:paraId="493E1D94">
            <w:pPr>
              <w:autoSpaceDE w:val="0"/>
              <w:autoSpaceDN w:val="0"/>
              <w:adjustRightInd w:val="0"/>
              <w:spacing w:line="420" w:lineRule="exact"/>
              <w:jc w:val="center"/>
              <w:rPr>
                <w:rFonts w:hint="eastAsia" w:ascii="宋体" w:hAnsi="宋体" w:eastAsia="宋体" w:cs="宋体"/>
                <w:color w:val="auto"/>
                <w:sz w:val="24"/>
                <w:highlight w:val="none"/>
                <w:lang w:val="zh-CN"/>
              </w:rPr>
            </w:pPr>
          </w:p>
        </w:tc>
      </w:tr>
      <w:tr w14:paraId="FB03613A">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vAlign w:val="center"/>
          </w:tcPr>
          <w:p w14:paraId="BCF9BF7E">
            <w:pPr>
              <w:autoSpaceDE w:val="0"/>
              <w:autoSpaceDN w:val="0"/>
              <w:adjustRightInd w:val="0"/>
              <w:spacing w:line="420" w:lineRule="exact"/>
              <w:jc w:val="center"/>
              <w:rPr>
                <w:rFonts w:hint="eastAsia" w:ascii="宋体" w:hAnsi="宋体" w:eastAsia="宋体" w:cs="宋体"/>
                <w:color w:val="auto"/>
                <w:sz w:val="24"/>
                <w:highlight w:val="none"/>
              </w:rPr>
            </w:pPr>
          </w:p>
        </w:tc>
        <w:tc>
          <w:tcPr>
            <w:tcW w:w="2708" w:type="dxa"/>
            <w:tcBorders>
              <w:top w:val="single" w:color="000000" w:sz="6" w:space="0"/>
              <w:left w:val="single" w:color="000000" w:sz="6" w:space="0"/>
              <w:bottom w:val="single" w:color="000000" w:sz="6" w:space="0"/>
              <w:right w:val="single" w:color="000000" w:sz="6" w:space="0"/>
            </w:tcBorders>
            <w:vAlign w:val="center"/>
          </w:tcPr>
          <w:p w14:paraId="3C457E44">
            <w:pPr>
              <w:autoSpaceDE w:val="0"/>
              <w:autoSpaceDN w:val="0"/>
              <w:adjustRightInd w:val="0"/>
              <w:spacing w:line="420" w:lineRule="exact"/>
              <w:jc w:val="center"/>
              <w:rPr>
                <w:rFonts w:hint="eastAsia" w:ascii="宋体" w:hAnsi="宋体" w:eastAsia="宋体" w:cs="宋体"/>
                <w:color w:val="auto"/>
                <w:sz w:val="24"/>
                <w:highlight w:val="none"/>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E35C5CF0">
            <w:pPr>
              <w:autoSpaceDE w:val="0"/>
              <w:autoSpaceDN w:val="0"/>
              <w:adjustRightInd w:val="0"/>
              <w:spacing w:line="420" w:lineRule="exact"/>
              <w:jc w:val="center"/>
              <w:rPr>
                <w:rFonts w:hint="eastAsia" w:ascii="宋体" w:hAnsi="宋体" w:eastAsia="宋体" w:cs="宋体"/>
                <w:color w:val="auto"/>
                <w:sz w:val="24"/>
                <w:highlight w:val="none"/>
              </w:rPr>
            </w:pPr>
          </w:p>
        </w:tc>
        <w:tc>
          <w:tcPr>
            <w:tcW w:w="1052" w:type="dxa"/>
            <w:tcBorders>
              <w:top w:val="single" w:color="000000" w:sz="6" w:space="0"/>
              <w:left w:val="single" w:color="000000" w:sz="6" w:space="0"/>
              <w:bottom w:val="single" w:color="000000" w:sz="6" w:space="0"/>
              <w:right w:val="single" w:color="000000" w:sz="6" w:space="0"/>
            </w:tcBorders>
            <w:vAlign w:val="center"/>
          </w:tcPr>
          <w:p w14:paraId="C7E2A2CC">
            <w:pPr>
              <w:autoSpaceDE w:val="0"/>
              <w:autoSpaceDN w:val="0"/>
              <w:adjustRightInd w:val="0"/>
              <w:spacing w:line="420" w:lineRule="exact"/>
              <w:jc w:val="center"/>
              <w:rPr>
                <w:rFonts w:hint="eastAsia" w:ascii="宋体" w:hAnsi="宋体" w:eastAsia="宋体" w:cs="宋体"/>
                <w:color w:val="auto"/>
                <w:sz w:val="24"/>
                <w:highlight w:val="none"/>
              </w:rPr>
            </w:pPr>
          </w:p>
        </w:tc>
        <w:tc>
          <w:tcPr>
            <w:tcW w:w="1627" w:type="dxa"/>
            <w:tcBorders>
              <w:top w:val="single" w:color="000000" w:sz="6" w:space="0"/>
              <w:left w:val="single" w:color="000000" w:sz="6" w:space="0"/>
              <w:bottom w:val="single" w:color="000000" w:sz="6" w:space="0"/>
              <w:right w:val="single" w:color="000000" w:sz="6" w:space="0"/>
            </w:tcBorders>
            <w:vAlign w:val="center"/>
          </w:tcPr>
          <w:p w14:paraId="7988160C">
            <w:pPr>
              <w:autoSpaceDE w:val="0"/>
              <w:autoSpaceDN w:val="0"/>
              <w:adjustRightInd w:val="0"/>
              <w:spacing w:line="420" w:lineRule="exact"/>
              <w:jc w:val="center"/>
              <w:rPr>
                <w:rFonts w:hint="eastAsia" w:ascii="宋体" w:hAnsi="宋体" w:eastAsia="宋体" w:cs="宋体"/>
                <w:color w:val="auto"/>
                <w:sz w:val="24"/>
                <w:highlight w:val="none"/>
              </w:rPr>
            </w:pPr>
          </w:p>
        </w:tc>
      </w:tr>
    </w:tbl>
    <w:p w14:paraId="9FEDA9D3">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 合同价格：</w:t>
      </w:r>
      <w:r>
        <w:rPr>
          <w:rFonts w:hint="eastAsia" w:ascii="宋体" w:hAnsi="宋体" w:eastAsia="宋体" w:cs="宋体"/>
          <w:color w:val="auto"/>
          <w:sz w:val="24"/>
          <w:highlight w:val="none"/>
          <w:lang w:val="zh-CN"/>
        </w:rPr>
        <w:t>人民币（大写）</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元，（小写）</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元。</w:t>
      </w:r>
    </w:p>
    <w:p w14:paraId="C80FB9F6">
      <w:pPr>
        <w:autoSpaceDE w:val="0"/>
        <w:autoSpaceDN w:val="0"/>
        <w:adjustRightInd w:val="0"/>
        <w:spacing w:line="42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 xml:space="preserve">3. </w:t>
      </w:r>
      <w:r>
        <w:rPr>
          <w:rFonts w:hint="eastAsia" w:ascii="宋体" w:hAnsi="宋体" w:cs="宋体"/>
          <w:b/>
          <w:color w:val="auto"/>
          <w:sz w:val="24"/>
          <w:highlight w:val="none"/>
          <w:lang w:val="zh-CN"/>
        </w:rPr>
        <w:t>服务期限</w:t>
      </w:r>
      <w:r>
        <w:rPr>
          <w:rFonts w:hint="eastAsia" w:ascii="宋体" w:hAnsi="宋体" w:eastAsia="宋体" w:cs="宋体"/>
          <w:b/>
          <w:color w:val="auto"/>
          <w:sz w:val="24"/>
          <w:highlight w:val="none"/>
          <w:lang w:val="zh-CN"/>
        </w:rPr>
        <w:t>、地点、方式</w:t>
      </w:r>
    </w:p>
    <w:p w14:paraId="67883903">
      <w:pPr>
        <w:autoSpaceDE w:val="0"/>
        <w:autoSpaceDN w:val="0"/>
        <w:adjustRightInd w:val="0"/>
        <w:spacing w:line="420" w:lineRule="exact"/>
        <w:ind w:firstLine="480"/>
        <w:rPr>
          <w:rFonts w:hint="eastAsia" w:ascii="宋体" w:hAnsi="宋体" w:eastAsia="宋体" w:cs="宋体"/>
          <w:bCs/>
          <w:color w:val="auto"/>
          <w:sz w:val="24"/>
          <w:highlight w:val="none"/>
          <w:lang w:val="zh-CN"/>
        </w:rPr>
      </w:pPr>
      <w:r>
        <w:rPr>
          <w:rFonts w:hint="eastAsia" w:ascii="宋体" w:hAnsi="宋体" w:eastAsia="宋体" w:cs="宋体"/>
          <w:color w:val="auto"/>
          <w:sz w:val="24"/>
          <w:highlight w:val="none"/>
          <w:lang w:val="zh-CN"/>
        </w:rPr>
        <w:t>3.1</w:t>
      </w:r>
      <w:r>
        <w:rPr>
          <w:rFonts w:hint="eastAsia" w:ascii="宋体" w:hAnsi="宋体" w:cs="宋体"/>
          <w:color w:val="auto"/>
          <w:sz w:val="24"/>
          <w:highlight w:val="none"/>
          <w:lang w:val="zh-CN"/>
        </w:rPr>
        <w:t>服务期限</w:t>
      </w:r>
      <w:r>
        <w:rPr>
          <w:rFonts w:hint="eastAsia" w:ascii="宋体" w:hAnsi="宋体" w:eastAsia="宋体" w:cs="宋体"/>
          <w:color w:val="auto"/>
          <w:sz w:val="24"/>
          <w:highlight w:val="none"/>
          <w:lang w:val="zh-CN"/>
        </w:rPr>
        <w:t>：</w:t>
      </w:r>
    </w:p>
    <w:p w14:paraId="B96B6BFA">
      <w:pPr>
        <w:autoSpaceDE w:val="0"/>
        <w:autoSpaceDN w:val="0"/>
        <w:adjustRightInd w:val="0"/>
        <w:spacing w:line="420" w:lineRule="exact"/>
        <w:ind w:firstLine="48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3.2</w:t>
      </w:r>
      <w:r>
        <w:rPr>
          <w:rFonts w:hint="eastAsia" w:ascii="宋体" w:hAnsi="宋体" w:cs="宋体"/>
          <w:bCs/>
          <w:color w:val="auto"/>
          <w:sz w:val="24"/>
          <w:highlight w:val="none"/>
          <w:lang w:val="zh-CN"/>
        </w:rPr>
        <w:t>服务</w:t>
      </w:r>
      <w:r>
        <w:rPr>
          <w:rFonts w:hint="eastAsia" w:ascii="宋体" w:hAnsi="宋体" w:eastAsia="宋体" w:cs="宋体"/>
          <w:bCs/>
          <w:color w:val="auto"/>
          <w:sz w:val="24"/>
          <w:highlight w:val="none"/>
          <w:lang w:val="zh-CN"/>
        </w:rPr>
        <w:t xml:space="preserve">地点：   </w:t>
      </w:r>
    </w:p>
    <w:p w14:paraId="6B229EE5">
      <w:pPr>
        <w:autoSpaceDE w:val="0"/>
        <w:autoSpaceDN w:val="0"/>
        <w:adjustRightInd w:val="0"/>
        <w:spacing w:line="4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3.3</w:t>
      </w:r>
      <w:r>
        <w:rPr>
          <w:rFonts w:hint="eastAsia" w:ascii="宋体" w:hAnsi="宋体" w:cs="宋体"/>
          <w:color w:val="auto"/>
          <w:sz w:val="24"/>
          <w:highlight w:val="none"/>
          <w:lang w:val="zh-CN"/>
        </w:rPr>
        <w:t>服务</w:t>
      </w:r>
      <w:r>
        <w:rPr>
          <w:rFonts w:hint="eastAsia" w:ascii="宋体" w:hAnsi="宋体" w:eastAsia="宋体" w:cs="宋体"/>
          <w:color w:val="auto"/>
          <w:sz w:val="24"/>
          <w:highlight w:val="none"/>
          <w:lang w:val="zh-CN"/>
        </w:rPr>
        <w:t>方式：</w:t>
      </w:r>
    </w:p>
    <w:p w14:paraId="963E0856">
      <w:pPr>
        <w:autoSpaceDE w:val="0"/>
        <w:autoSpaceDN w:val="0"/>
        <w:adjustRightInd w:val="0"/>
        <w:spacing w:line="42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 xml:space="preserve">4. 付款方式 </w:t>
      </w:r>
    </w:p>
    <w:p w14:paraId="477773B1">
      <w:pPr>
        <w:autoSpaceDE w:val="0"/>
        <w:autoSpaceDN w:val="0"/>
        <w:adjustRightInd w:val="0"/>
        <w:spacing w:line="42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4.1</w:t>
      </w:r>
      <w:r>
        <w:rPr>
          <w:rFonts w:hint="eastAsia" w:ascii="宋体" w:hAnsi="宋体" w:eastAsia="宋体" w:cs="宋体"/>
          <w:color w:val="auto"/>
          <w:sz w:val="24"/>
          <w:highlight w:val="none"/>
          <w:lang w:val="zh-CN" w:eastAsia="zh-CN"/>
        </w:rPr>
        <w:t>按合同约定</w:t>
      </w:r>
      <w:r>
        <w:rPr>
          <w:rFonts w:hint="eastAsia" w:ascii="宋体" w:hAnsi="宋体" w:eastAsia="宋体" w:cs="宋体"/>
          <w:color w:val="auto"/>
          <w:sz w:val="24"/>
          <w:highlight w:val="none"/>
          <w:lang w:val="zh-CN"/>
        </w:rPr>
        <w:t>。</w:t>
      </w:r>
    </w:p>
    <w:p w14:paraId="00E9EE88">
      <w:pPr>
        <w:autoSpaceDE w:val="0"/>
        <w:autoSpaceDN w:val="0"/>
        <w:adjustRightInd w:val="0"/>
        <w:spacing w:line="420" w:lineRule="exact"/>
        <w:ind w:firstLine="48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5．履约保证金</w:t>
      </w:r>
    </w:p>
    <w:p w14:paraId="75877F90">
      <w:pPr>
        <w:autoSpaceDE w:val="0"/>
        <w:autoSpaceDN w:val="0"/>
        <w:adjustRightInd w:val="0"/>
        <w:spacing w:line="420" w:lineRule="exact"/>
        <w:ind w:firstLine="482"/>
        <w:rPr>
          <w:rFonts w:hint="eastAsia" w:ascii="宋体" w:hAnsi="宋体" w:cs="宋体"/>
          <w:color w:val="auto"/>
          <w:sz w:val="24"/>
          <w:highlight w:val="none"/>
          <w:lang w:val="zh-CN"/>
        </w:rPr>
      </w:pPr>
      <w:r>
        <w:rPr>
          <w:rFonts w:hint="eastAsia" w:ascii="宋体" w:hAnsi="宋体" w:cs="宋体"/>
          <w:color w:val="auto"/>
          <w:sz w:val="24"/>
          <w:highlight w:val="none"/>
          <w:lang w:val="zh-CN"/>
        </w:rPr>
        <w:t>无</w:t>
      </w:r>
    </w:p>
    <w:p w14:paraId="B74D5275">
      <w:pPr>
        <w:autoSpaceDE w:val="0"/>
        <w:autoSpaceDN w:val="0"/>
        <w:adjustRightInd w:val="0"/>
        <w:spacing w:line="42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6.质量保证金</w:t>
      </w:r>
    </w:p>
    <w:p w14:paraId="FF434A80">
      <w:pPr>
        <w:autoSpaceDE w:val="0"/>
        <w:autoSpaceDN w:val="0"/>
        <w:adjustRightInd w:val="0"/>
        <w:spacing w:line="420" w:lineRule="exact"/>
        <w:ind w:firstLine="482"/>
        <w:rPr>
          <w:rFonts w:hint="eastAsia" w:ascii="宋体" w:hAnsi="宋体" w:cs="宋体"/>
          <w:color w:val="auto"/>
          <w:sz w:val="24"/>
          <w:highlight w:val="none"/>
          <w:lang w:val="zh-CN"/>
        </w:rPr>
      </w:pPr>
      <w:r>
        <w:rPr>
          <w:rFonts w:hint="eastAsia" w:ascii="宋体" w:hAnsi="宋体" w:cs="宋体"/>
          <w:color w:val="auto"/>
          <w:sz w:val="24"/>
          <w:highlight w:val="none"/>
          <w:lang w:val="zh-CN"/>
        </w:rPr>
        <w:t>无</w:t>
      </w:r>
    </w:p>
    <w:p w14:paraId="888761EE">
      <w:pPr>
        <w:autoSpaceDE w:val="0"/>
        <w:autoSpaceDN w:val="0"/>
        <w:adjustRightInd w:val="0"/>
        <w:spacing w:line="42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7.合同补充条款：</w:t>
      </w:r>
    </w:p>
    <w:p w14:paraId="6C8A0A62">
      <w:pPr>
        <w:autoSpaceDE w:val="0"/>
        <w:autoSpaceDN w:val="0"/>
        <w:adjustRightInd w:val="0"/>
        <w:spacing w:line="42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8.争议解决方式：</w:t>
      </w:r>
      <w:r>
        <w:rPr>
          <w:rFonts w:hint="eastAsia" w:ascii="宋体" w:hAnsi="宋体" w:eastAsia="宋体" w:cs="宋体"/>
          <w:color w:val="auto"/>
          <w:sz w:val="24"/>
          <w:highlight w:val="none"/>
          <w:lang w:val="zh-CN"/>
        </w:rPr>
        <w:t>供需双方达成仲裁协议，向地方仲裁委员会申请仲裁（向合同签定地人民法院提起诉讼）。</w:t>
      </w:r>
    </w:p>
    <w:p w14:paraId="110DAA60">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9．合同构成：</w:t>
      </w:r>
      <w:r>
        <w:rPr>
          <w:rFonts w:hint="eastAsia" w:ascii="宋体" w:hAnsi="宋体" w:eastAsia="宋体" w:cs="宋体"/>
          <w:color w:val="auto"/>
          <w:sz w:val="24"/>
          <w:highlight w:val="none"/>
          <w:lang w:val="zh-CN"/>
        </w:rPr>
        <w:t>下列文件构成本合同不可分割的组成部分，与本合同具有同等法律效力：</w:t>
      </w:r>
    </w:p>
    <w:p w14:paraId="2E210146">
      <w:pPr>
        <w:autoSpaceDE w:val="0"/>
        <w:autoSpaceDN w:val="0"/>
        <w:adjustRightInd w:val="0"/>
        <w:spacing w:line="40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9.1本合同书；</w:t>
      </w:r>
    </w:p>
    <w:p w14:paraId="2AAAA17A">
      <w:pPr>
        <w:autoSpaceDE w:val="0"/>
        <w:autoSpaceDN w:val="0"/>
        <w:adjustRightInd w:val="0"/>
        <w:spacing w:line="40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9.2中标通知书；</w:t>
      </w:r>
    </w:p>
    <w:p w14:paraId="E1D58AFB">
      <w:pPr>
        <w:autoSpaceDE w:val="0"/>
        <w:autoSpaceDN w:val="0"/>
        <w:adjustRightInd w:val="0"/>
        <w:spacing w:line="40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9.3招标文件及澄清、修改、补遗文件；</w:t>
      </w:r>
    </w:p>
    <w:p w14:paraId="B9CDF489">
      <w:pPr>
        <w:autoSpaceDE w:val="0"/>
        <w:autoSpaceDN w:val="0"/>
        <w:adjustRightInd w:val="0"/>
        <w:spacing w:line="40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9.4供方的投标文件及书面澄清、说明、补正文件；</w:t>
      </w:r>
    </w:p>
    <w:p w14:paraId="65AA9A08">
      <w:pPr>
        <w:autoSpaceDE w:val="0"/>
        <w:autoSpaceDN w:val="0"/>
        <w:adjustRightInd w:val="0"/>
        <w:spacing w:line="40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合同的其它附件。</w:t>
      </w:r>
    </w:p>
    <w:p w14:paraId="1264119F">
      <w:pPr>
        <w:autoSpaceDE w:val="0"/>
        <w:autoSpaceDN w:val="0"/>
        <w:adjustRightInd w:val="0"/>
        <w:spacing w:line="40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上述组成合同的文件如有不一致之处，以日期在后的为准。</w:t>
      </w:r>
    </w:p>
    <w:p w14:paraId="D030FC91">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10.合同份数：</w:t>
      </w:r>
      <w:r>
        <w:rPr>
          <w:rFonts w:hint="eastAsia" w:ascii="宋体" w:hAnsi="宋体" w:eastAsia="宋体" w:cs="宋体"/>
          <w:color w:val="auto"/>
          <w:sz w:val="24"/>
          <w:highlight w:val="none"/>
          <w:lang w:val="zh-CN"/>
        </w:rPr>
        <w:t xml:space="preserve">本合同一式三份，招标人、供需双方各执一份。 </w:t>
      </w:r>
    </w:p>
    <w:p w14:paraId="90A14B67">
      <w:pPr>
        <w:autoSpaceDE w:val="0"/>
        <w:autoSpaceDN w:val="0"/>
        <w:adjustRightInd w:val="0"/>
        <w:spacing w:line="40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11.合同生效：</w:t>
      </w:r>
      <w:r>
        <w:rPr>
          <w:rFonts w:hint="eastAsia" w:ascii="宋体" w:hAnsi="宋体" w:eastAsia="宋体" w:cs="宋体"/>
          <w:color w:val="auto"/>
          <w:sz w:val="24"/>
          <w:highlight w:val="none"/>
          <w:lang w:val="zh-CN"/>
        </w:rPr>
        <w:t>本合同在供需双方法定代表人或其授权代理人签字、加盖双方公章或者合同专用章，并且需方收到供方提交的履约保证金后生效。</w:t>
      </w:r>
    </w:p>
    <w:p w14:paraId="A58EC8B1">
      <w:pPr>
        <w:autoSpaceDE w:val="0"/>
        <w:autoSpaceDN w:val="0"/>
        <w:adjustRightInd w:val="0"/>
        <w:spacing w:line="40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12.合同修改：</w:t>
      </w:r>
      <w:r>
        <w:rPr>
          <w:rFonts w:hint="eastAsia" w:ascii="宋体" w:hAnsi="宋体" w:eastAsia="宋体" w:cs="宋体"/>
          <w:color w:val="auto"/>
          <w:sz w:val="24"/>
          <w:highlight w:val="none"/>
          <w:lang w:val="zh-CN"/>
        </w:rPr>
        <w:t>除供需双方签署书面修改、补充协议外，本合同条件不得有任何变化或修改。</w:t>
      </w:r>
    </w:p>
    <w:p w14:paraId="A6574E7D">
      <w:pPr>
        <w:autoSpaceDE w:val="0"/>
        <w:autoSpaceDN w:val="0"/>
        <w:adjustRightInd w:val="0"/>
        <w:spacing w:line="400" w:lineRule="exact"/>
        <w:rPr>
          <w:rFonts w:hint="eastAsia" w:ascii="宋体" w:hAnsi="宋体" w:eastAsia="宋体" w:cs="宋体"/>
          <w:color w:val="auto"/>
          <w:sz w:val="24"/>
          <w:highlight w:val="none"/>
          <w:lang w:val="zh-CN"/>
        </w:rPr>
      </w:pPr>
    </w:p>
    <w:p w14:paraId="51B7FFE8">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招标人：</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需方：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供方：</w:t>
      </w:r>
    </w:p>
    <w:p w14:paraId="B0375FCF">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（加盖公章或合同专用章）</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（加盖公章或合同专用章）</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（加盖公章或合同专用章）</w:t>
      </w:r>
    </w:p>
    <w:p w14:paraId="DE065124">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lang w:val="zh-CN"/>
        </w:rPr>
        <w:t xml:space="preserve">地址：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地址：</w:t>
      </w:r>
    </w:p>
    <w:p w14:paraId="A7550896">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法定代表人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法定代表人               </w:t>
      </w:r>
    </w:p>
    <w:p w14:paraId="40869C63">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或授权代理人签字</w:t>
      </w:r>
      <w:r>
        <w:rPr>
          <w:rFonts w:hint="eastAsia" w:ascii="宋体" w:hAnsi="宋体" w:eastAsia="宋体" w:cs="宋体"/>
          <w:color w:val="auto"/>
          <w:sz w:val="24"/>
          <w:highlight w:val="none"/>
        </w:rPr>
        <w:t xml:space="preserve"> ：              </w:t>
      </w:r>
      <w:r>
        <w:rPr>
          <w:rFonts w:hint="eastAsia" w:ascii="宋体" w:hAnsi="宋体" w:eastAsia="宋体" w:cs="宋体"/>
          <w:color w:val="auto"/>
          <w:sz w:val="24"/>
          <w:highlight w:val="none"/>
          <w:lang w:val="zh-CN"/>
        </w:rPr>
        <w:t xml:space="preserve">或授权代理人签字：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或授权代理人签字：</w:t>
      </w:r>
    </w:p>
    <w:p w14:paraId="AEC56F4E">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签字日期：</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签字日期：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 签字日期：</w:t>
      </w:r>
    </w:p>
    <w:p w14:paraId="5FD90D87">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邮政编码：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邮政编码：</w:t>
      </w:r>
    </w:p>
    <w:p w14:paraId="A40DDF51">
      <w:pPr>
        <w:autoSpaceDE w:val="0"/>
        <w:autoSpaceDN w:val="0"/>
        <w:adjustRightInd w:val="0"/>
        <w:spacing w:line="40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电话：</w:t>
      </w:r>
    </w:p>
    <w:p w14:paraId="89B8344B">
      <w:pPr>
        <w:autoSpaceDE w:val="0"/>
        <w:autoSpaceDN w:val="0"/>
        <w:adjustRightInd w:val="0"/>
        <w:spacing w:line="400" w:lineRule="exact"/>
        <w:ind w:firstLine="3960" w:firstLineChars="16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w:t>
      </w:r>
    </w:p>
    <w:p w14:paraId="2158289E">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联系人：</w:t>
      </w:r>
    </w:p>
    <w:p w14:paraId="A3261AAA">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开户银行：</w:t>
      </w:r>
    </w:p>
    <w:p w14:paraId="7B3A1851">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帐户名称：</w:t>
      </w:r>
    </w:p>
    <w:p w14:paraId="6D63E978">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帐号：</w:t>
      </w:r>
    </w:p>
    <w:p w14:paraId="78C6E83B">
      <w:pPr>
        <w:autoSpaceDE w:val="0"/>
        <w:autoSpaceDN w:val="0"/>
        <w:adjustRightInd w:val="0"/>
        <w:spacing w:line="400" w:lineRule="exact"/>
        <w:rPr>
          <w:rFonts w:hint="eastAsia" w:ascii="宋体" w:hAnsi="宋体" w:eastAsia="宋体" w:cs="宋体"/>
          <w:color w:val="auto"/>
          <w:sz w:val="24"/>
          <w:highlight w:val="none"/>
          <w:lang w:val="zh-CN"/>
        </w:rPr>
      </w:pPr>
    </w:p>
    <w:p w14:paraId="22024A06">
      <w:pPr>
        <w:autoSpaceDE w:val="0"/>
        <w:autoSpaceDN w:val="0"/>
        <w:adjustRightInd w:val="0"/>
        <w:spacing w:line="400" w:lineRule="exact"/>
        <w:rPr>
          <w:rFonts w:hint="eastAsia" w:ascii="宋体" w:hAnsi="宋体" w:eastAsia="宋体" w:cs="宋体"/>
          <w:color w:val="auto"/>
          <w:sz w:val="24"/>
          <w:highlight w:val="none"/>
          <w:lang w:val="zh-CN"/>
        </w:rPr>
      </w:pPr>
    </w:p>
    <w:p w14:paraId="6801D9B4">
      <w:pPr>
        <w:pStyle w:val="2"/>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hint="eastAsia" w:ascii="宋体" w:hAnsi="宋体" w:eastAsia="宋体" w:cs="宋体"/>
          <w:b/>
          <w:bCs/>
          <w:color w:val="auto"/>
          <w:sz w:val="44"/>
          <w:szCs w:val="44"/>
          <w:highlight w:val="none"/>
          <w:lang w:eastAsia="zh-CN"/>
        </w:rPr>
      </w:pPr>
      <w:bookmarkStart w:id="35" w:name="_Toc347014333"/>
      <w:r>
        <w:rPr>
          <w:rFonts w:hint="eastAsia" w:ascii="宋体" w:hAnsi="宋体" w:eastAsia="宋体" w:cs="宋体"/>
          <w:color w:val="auto"/>
          <w:highlight w:val="none"/>
        </w:rPr>
        <w:br w:type="page"/>
      </w:r>
      <w:bookmarkStart w:id="36" w:name="_Toc15550"/>
      <w:r>
        <w:rPr>
          <w:rFonts w:hint="eastAsia" w:ascii="宋体" w:hAnsi="宋体" w:eastAsia="宋体" w:cs="宋体"/>
          <w:b/>
          <w:bCs/>
          <w:color w:val="auto"/>
          <w:sz w:val="44"/>
          <w:szCs w:val="44"/>
          <w:highlight w:val="none"/>
          <w:lang w:val="en-US" w:eastAsia="zh-CN"/>
        </w:rPr>
        <w:t xml:space="preserve"> </w:t>
      </w:r>
      <w:bookmarkEnd w:id="36"/>
      <w:bookmarkStart w:id="37" w:name="_Toc28506"/>
      <w:r>
        <w:rPr>
          <w:rFonts w:hint="eastAsia" w:ascii="宋体" w:cs="宋体"/>
          <w:b/>
          <w:bCs/>
          <w:color w:val="auto"/>
          <w:sz w:val="44"/>
          <w:szCs w:val="44"/>
          <w:highlight w:val="none"/>
          <w:lang w:val="zh-CN"/>
        </w:rPr>
        <w:t>服务需求及相关技术标准要求</w:t>
      </w:r>
      <w:bookmarkEnd w:id="37"/>
    </w:p>
    <w:bookmarkEnd w:id="35"/>
    <w:p w14:paraId="2411F81B">
      <w:pPr>
        <w:rPr>
          <w:sz w:val="24"/>
          <w:szCs w:val="24"/>
          <w:highlight w:val="none"/>
        </w:rPr>
      </w:pPr>
      <w:bookmarkStart w:id="38" w:name="_Toc347014334"/>
      <w:bookmarkStart w:id="39" w:name="_Toc24626"/>
      <w:bookmarkStart w:id="40" w:name="_Toc16986_WPSOffice_Level1"/>
      <w:bookmarkStart w:id="41" w:name="_Toc18800"/>
    </w:p>
    <w:p w14:paraId="4FE44AB6">
      <w:pPr>
        <w:pStyle w:val="2"/>
        <w:rPr>
          <w:rFonts w:hint="eastAsia"/>
          <w:sz w:val="28"/>
          <w:szCs w:val="28"/>
        </w:rPr>
      </w:pPr>
      <w:bookmarkStart w:id="42" w:name="_Toc193866500"/>
      <w:r>
        <w:rPr>
          <w:rFonts w:hint="eastAsia"/>
          <w:sz w:val="28"/>
          <w:szCs w:val="28"/>
          <w:lang w:eastAsia="zh-CN"/>
        </w:rPr>
        <w:t>一、</w:t>
      </w:r>
      <w:r>
        <w:rPr>
          <w:sz w:val="28"/>
          <w:szCs w:val="28"/>
        </w:rPr>
        <w:t>项目背景相关要求</w:t>
      </w:r>
      <w:bookmarkEnd w:id="42"/>
    </w:p>
    <w:p w14:paraId="14072381">
      <w:pPr>
        <w:spacing w:line="360" w:lineRule="auto"/>
        <w:ind w:firstLine="480" w:firstLineChars="200"/>
        <w:rPr>
          <w:rFonts w:hint="eastAsia"/>
          <w:sz w:val="24"/>
          <w:szCs w:val="24"/>
        </w:rPr>
      </w:pPr>
      <w:r>
        <w:rPr>
          <w:rFonts w:hint="eastAsia"/>
          <w:sz w:val="24"/>
          <w:szCs w:val="24"/>
        </w:rPr>
        <w:t>随着医改进程深化，医保支付政策持续调整，医院内部激励方向也需要转到以劳动价值为核心、统筹效率与公平、确保医院发展需要上来。同时对于医院的组织能力和专业能力的要求也都在不断提升。</w:t>
      </w:r>
    </w:p>
    <w:p w14:paraId="1B3BFC6B">
      <w:pPr>
        <w:spacing w:line="360" w:lineRule="auto"/>
        <w:ind w:firstLine="480"/>
        <w:rPr>
          <w:rFonts w:hint="eastAsia"/>
          <w:sz w:val="24"/>
          <w:szCs w:val="24"/>
        </w:rPr>
      </w:pPr>
      <w:r>
        <w:rPr>
          <w:rFonts w:hint="eastAsia" w:eastAsia="宋体" w:cs="宋体"/>
          <w:sz w:val="24"/>
          <w:szCs w:val="24"/>
        </w:rPr>
        <w:t>国务院办公厅〔2019〕4号《关于加强三级公立医院绩效考核工作的意见》、</w:t>
      </w:r>
      <w:r>
        <w:rPr>
          <w:sz w:val="24"/>
          <w:szCs w:val="24"/>
        </w:rPr>
        <w:t>人社部发</w:t>
      </w:r>
      <w:r>
        <w:rPr>
          <w:rFonts w:hint="eastAsia"/>
          <w:sz w:val="24"/>
          <w:szCs w:val="24"/>
        </w:rPr>
        <w:t>[</w:t>
      </w:r>
      <w:r>
        <w:rPr>
          <w:sz w:val="24"/>
          <w:szCs w:val="24"/>
        </w:rPr>
        <w:t>2021</w:t>
      </w:r>
      <w:r>
        <w:rPr>
          <w:rFonts w:hint="eastAsia"/>
          <w:sz w:val="24"/>
          <w:szCs w:val="24"/>
        </w:rPr>
        <w:t>]</w:t>
      </w:r>
      <w:r>
        <w:rPr>
          <w:sz w:val="24"/>
          <w:szCs w:val="24"/>
        </w:rPr>
        <w:t>52号《关于深化公立医院薪酬制度改革的指导意见》</w:t>
      </w:r>
      <w:r>
        <w:rPr>
          <w:rFonts w:hint="eastAsia"/>
          <w:sz w:val="24"/>
          <w:szCs w:val="24"/>
        </w:rPr>
        <w:t>、</w:t>
      </w:r>
      <w:r>
        <w:rPr>
          <w:sz w:val="24"/>
          <w:szCs w:val="24"/>
        </w:rPr>
        <w:t>国卫体改发</w:t>
      </w:r>
      <w:r>
        <w:rPr>
          <w:rFonts w:hint="eastAsia"/>
          <w:sz w:val="24"/>
          <w:szCs w:val="24"/>
        </w:rPr>
        <w:t>[</w:t>
      </w:r>
      <w:r>
        <w:rPr>
          <w:sz w:val="24"/>
          <w:szCs w:val="24"/>
        </w:rPr>
        <w:t>2023</w:t>
      </w:r>
      <w:r>
        <w:rPr>
          <w:rFonts w:hint="eastAsia"/>
          <w:sz w:val="24"/>
          <w:szCs w:val="24"/>
        </w:rPr>
        <w:t>]</w:t>
      </w:r>
      <w:r>
        <w:rPr>
          <w:sz w:val="24"/>
          <w:szCs w:val="24"/>
        </w:rPr>
        <w:t xml:space="preserve"> 23号《关于印发深化医药卫生体制改革2023年下半年重点工作任务的通知》</w:t>
      </w:r>
      <w:r>
        <w:rPr>
          <w:rFonts w:hint="eastAsia"/>
          <w:sz w:val="24"/>
          <w:szCs w:val="24"/>
        </w:rPr>
        <w:t>等一</w:t>
      </w:r>
      <w:r>
        <w:rPr>
          <w:rFonts w:hint="eastAsia" w:eastAsia="宋体" w:cs="宋体"/>
          <w:sz w:val="24"/>
          <w:szCs w:val="24"/>
        </w:rPr>
        <w:t>系列医改新政出台，要求医院建立科学的、精细的绩效评价和分配体系。</w:t>
      </w:r>
    </w:p>
    <w:p w14:paraId="6953DEBD">
      <w:pPr>
        <w:tabs>
          <w:tab w:val="left" w:pos="0"/>
          <w:tab w:val="left" w:pos="900"/>
        </w:tabs>
        <w:adjustRightInd w:val="0"/>
        <w:spacing w:line="360" w:lineRule="auto"/>
        <w:ind w:firstLine="480"/>
        <w:contextualSpacing/>
        <w:rPr>
          <w:rFonts w:hint="eastAsia" w:eastAsia="宋体" w:cs="宋体"/>
          <w:sz w:val="24"/>
          <w:szCs w:val="24"/>
        </w:rPr>
      </w:pPr>
      <w:r>
        <w:rPr>
          <w:rFonts w:hint="eastAsia" w:eastAsia="宋体" w:cs="宋体"/>
          <w:sz w:val="24"/>
          <w:szCs w:val="24"/>
        </w:rPr>
        <w:t>国办发〔2021〕18号《关于推动公立医院高质量发展的意见》明确提出：落实“允许医疗卫生机构突破现行事业单位工资调控水平，允许医疗服务收入扣除成本并按规定提取各项基金后主要用于人员奖励”要求，合理确定、动态调整公立医院薪酬水平，合理确定人员支出占公立医院业务支出的比例。建立主要体现岗位职责和知识价值的薪酬体系，实行以岗定责、以岗定薪、责薪相适、考核兑现。在核定的薪酬总量内，公立医院可采取多种方式自主分配。医院可自主设立体现医疗行业特点、劳动特点和岗位价值的薪酬项目，充分发挥各项目的保障和激励作用，更加注重发挥薪酬制度的保障功能。促进公立医院综合改革政策落地见效，促进公立医院转型升级高质量发展。</w:t>
      </w:r>
    </w:p>
    <w:p w14:paraId="47239B24">
      <w:pPr>
        <w:tabs>
          <w:tab w:val="left" w:pos="0"/>
          <w:tab w:val="left" w:pos="900"/>
        </w:tabs>
        <w:adjustRightInd w:val="0"/>
        <w:spacing w:line="360" w:lineRule="auto"/>
        <w:ind w:firstLine="480"/>
        <w:contextualSpacing/>
        <w:rPr>
          <w:rFonts w:hint="eastAsia" w:eastAsia="宋体" w:cs="宋体"/>
          <w:sz w:val="24"/>
          <w:szCs w:val="24"/>
        </w:rPr>
      </w:pPr>
      <w:r>
        <w:rPr>
          <w:rFonts w:hint="eastAsia" w:eastAsia="宋体" w:cs="宋体"/>
          <w:sz w:val="24"/>
          <w:szCs w:val="24"/>
        </w:rPr>
        <w:t>目前医院现有的绩效分配制度，不能客观的衡量医务人员的劳动价值和实际贡献，透明度不高，影响员工的工作积极性，同时也可能存在工作责任归属不清，影响医疗品质的界定，影响医院的长远发展。</w:t>
      </w:r>
    </w:p>
    <w:p w14:paraId="21E34665">
      <w:pPr>
        <w:tabs>
          <w:tab w:val="left" w:pos="0"/>
          <w:tab w:val="left" w:pos="900"/>
        </w:tabs>
        <w:adjustRightInd w:val="0"/>
        <w:spacing w:line="360" w:lineRule="auto"/>
        <w:ind w:firstLine="480"/>
        <w:contextualSpacing/>
        <w:rPr>
          <w:rFonts w:hint="eastAsia" w:eastAsia="宋体" w:cs="宋体"/>
          <w:sz w:val="24"/>
          <w:szCs w:val="24"/>
        </w:rPr>
      </w:pPr>
      <w:r>
        <w:rPr>
          <w:rFonts w:hint="eastAsia" w:eastAsia="宋体" w:cs="宋体"/>
          <w:sz w:val="24"/>
          <w:szCs w:val="24"/>
        </w:rPr>
        <w:t>因此，我院将根据医院战略发展目标，搭建以医务人员的工作量、服务质量和医疗技术含量的价值为基础的绩效管理体系，充分调动员工的积极性、主动性和创造性，树立正确的医院激励导向和医务人员价值导向，促进医院健康良性发展。</w:t>
      </w:r>
    </w:p>
    <w:p w14:paraId="0F23413A">
      <w:pPr>
        <w:pStyle w:val="2"/>
        <w:numPr>
          <w:ilvl w:val="0"/>
          <w:numId w:val="2"/>
        </w:numPr>
        <w:rPr>
          <w:sz w:val="28"/>
          <w:szCs w:val="28"/>
        </w:rPr>
      </w:pPr>
      <w:bookmarkStart w:id="43" w:name="_Toc193866501"/>
      <w:bookmarkStart w:id="44" w:name="_Toc7673"/>
      <w:r>
        <w:rPr>
          <w:sz w:val="28"/>
          <w:szCs w:val="28"/>
        </w:rPr>
        <w:t>招标内容及数量</w:t>
      </w:r>
      <w:bookmarkEnd w:id="43"/>
      <w:bookmarkEnd w:id="44"/>
      <w:bookmarkStart w:id="45" w:name="_Toc25556"/>
      <w:bookmarkStart w:id="46" w:name="_Toc193866502"/>
    </w:p>
    <w:p w14:paraId="2CE9AACB">
      <w:pPr>
        <w:rPr>
          <w:rFonts w:hint="default" w:eastAsia="宋体"/>
          <w:b/>
          <w:bCs/>
          <w:lang w:val="en-US" w:eastAsia="zh-CN"/>
        </w:rPr>
      </w:pPr>
      <w:r>
        <w:rPr>
          <w:rFonts w:hint="eastAsia"/>
          <w:b/>
          <w:bCs/>
          <w:sz w:val="28"/>
          <w:szCs w:val="28"/>
          <w:lang w:val="en-US" w:eastAsia="zh-CN"/>
        </w:rPr>
        <w:t>2.1招标内容及数量</w:t>
      </w:r>
    </w:p>
    <w:bookmarkEnd w:id="45"/>
    <w:bookmarkEnd w:id="46"/>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7385"/>
        <w:gridCol w:w="855"/>
      </w:tblGrid>
      <w:tr w14:paraId="59FD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4" w:type="pct"/>
            <w:noWrap w:val="0"/>
            <w:vAlign w:val="center"/>
          </w:tcPr>
          <w:p w14:paraId="3C876229">
            <w:pPr>
              <w:pStyle w:val="34"/>
              <w:rPr>
                <w:rFonts w:hint="eastAsia"/>
              </w:rPr>
            </w:pPr>
            <w:r>
              <w:rPr>
                <w:rFonts w:hint="eastAsia"/>
              </w:rPr>
              <w:t>序号</w:t>
            </w:r>
          </w:p>
        </w:tc>
        <w:tc>
          <w:tcPr>
            <w:tcW w:w="4101" w:type="pct"/>
            <w:noWrap w:val="0"/>
            <w:vAlign w:val="center"/>
          </w:tcPr>
          <w:p w14:paraId="03E2DE1B">
            <w:pPr>
              <w:pStyle w:val="34"/>
              <w:rPr>
                <w:rFonts w:hint="eastAsia"/>
              </w:rPr>
            </w:pPr>
            <w:r>
              <w:rPr>
                <w:rFonts w:hint="eastAsia"/>
              </w:rPr>
              <w:t>名称</w:t>
            </w:r>
          </w:p>
        </w:tc>
        <w:tc>
          <w:tcPr>
            <w:tcW w:w="475" w:type="pct"/>
            <w:noWrap w:val="0"/>
            <w:vAlign w:val="center"/>
          </w:tcPr>
          <w:p w14:paraId="33B0700A">
            <w:pPr>
              <w:pStyle w:val="34"/>
              <w:rPr>
                <w:rFonts w:hint="eastAsia"/>
              </w:rPr>
            </w:pPr>
            <w:r>
              <w:rPr>
                <w:rFonts w:hint="eastAsia"/>
              </w:rPr>
              <w:t>数量</w:t>
            </w:r>
          </w:p>
        </w:tc>
      </w:tr>
      <w:tr w14:paraId="6001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3"/>
            <w:noWrap w:val="0"/>
            <w:vAlign w:val="center"/>
          </w:tcPr>
          <w:p w14:paraId="2309567C">
            <w:pPr>
              <w:pStyle w:val="34"/>
              <w:rPr>
                <w:rFonts w:hint="eastAsia"/>
              </w:rPr>
            </w:pPr>
            <w:r>
              <w:rPr>
                <w:rFonts w:hint="eastAsia"/>
              </w:rPr>
              <w:t>一、医院绩效考核咨询服务</w:t>
            </w:r>
          </w:p>
        </w:tc>
      </w:tr>
      <w:tr w14:paraId="2B5F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4" w:type="pct"/>
            <w:noWrap w:val="0"/>
            <w:vAlign w:val="center"/>
          </w:tcPr>
          <w:p w14:paraId="744C55CC">
            <w:pPr>
              <w:pStyle w:val="34"/>
              <w:rPr>
                <w:rFonts w:hint="eastAsia"/>
              </w:rPr>
            </w:pPr>
            <w:r>
              <w:rPr>
                <w:rFonts w:hint="eastAsia"/>
              </w:rPr>
              <w:t>1</w:t>
            </w:r>
          </w:p>
        </w:tc>
        <w:tc>
          <w:tcPr>
            <w:tcW w:w="4101" w:type="pct"/>
            <w:noWrap w:val="0"/>
            <w:vAlign w:val="center"/>
          </w:tcPr>
          <w:p w14:paraId="020567A1">
            <w:pPr>
              <w:pStyle w:val="34"/>
              <w:rPr>
                <w:rFonts w:hint="eastAsia"/>
              </w:rPr>
            </w:pPr>
            <w:r>
              <w:rPr>
                <w:rFonts w:hint="eastAsia"/>
              </w:rPr>
              <w:t>临床医生绩效评价方案设计</w:t>
            </w:r>
          </w:p>
        </w:tc>
        <w:tc>
          <w:tcPr>
            <w:tcW w:w="475" w:type="pct"/>
            <w:noWrap w:val="0"/>
            <w:vAlign w:val="center"/>
          </w:tcPr>
          <w:p w14:paraId="179EF05A">
            <w:pPr>
              <w:pStyle w:val="34"/>
              <w:rPr>
                <w:rFonts w:hint="eastAsia"/>
              </w:rPr>
            </w:pPr>
            <w:r>
              <w:rPr>
                <w:rFonts w:hint="eastAsia"/>
              </w:rPr>
              <w:t>1</w:t>
            </w:r>
          </w:p>
        </w:tc>
      </w:tr>
      <w:tr w14:paraId="7BD0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4" w:type="pct"/>
            <w:noWrap w:val="0"/>
            <w:vAlign w:val="center"/>
          </w:tcPr>
          <w:p w14:paraId="329F6BB7">
            <w:pPr>
              <w:pStyle w:val="34"/>
              <w:rPr>
                <w:rFonts w:hint="eastAsia"/>
              </w:rPr>
            </w:pPr>
            <w:r>
              <w:rPr>
                <w:rFonts w:hint="eastAsia"/>
              </w:rPr>
              <w:t>2</w:t>
            </w:r>
          </w:p>
        </w:tc>
        <w:tc>
          <w:tcPr>
            <w:tcW w:w="4101" w:type="pct"/>
            <w:noWrap w:val="0"/>
            <w:vAlign w:val="center"/>
          </w:tcPr>
          <w:p w14:paraId="060600F9">
            <w:pPr>
              <w:pStyle w:val="34"/>
              <w:rPr>
                <w:rFonts w:hint="eastAsia"/>
              </w:rPr>
            </w:pPr>
            <w:r>
              <w:rPr>
                <w:rFonts w:hint="eastAsia"/>
              </w:rPr>
              <w:t>临床护理绩效评价方案设计</w:t>
            </w:r>
          </w:p>
        </w:tc>
        <w:tc>
          <w:tcPr>
            <w:tcW w:w="475" w:type="pct"/>
            <w:noWrap w:val="0"/>
            <w:vAlign w:val="center"/>
          </w:tcPr>
          <w:p w14:paraId="61D8E3E5">
            <w:pPr>
              <w:pStyle w:val="34"/>
              <w:rPr>
                <w:rFonts w:hint="eastAsia"/>
              </w:rPr>
            </w:pPr>
            <w:r>
              <w:rPr>
                <w:rFonts w:hint="eastAsia"/>
              </w:rPr>
              <w:t>1</w:t>
            </w:r>
          </w:p>
        </w:tc>
      </w:tr>
      <w:tr w14:paraId="473C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4" w:type="pct"/>
            <w:noWrap w:val="0"/>
            <w:vAlign w:val="center"/>
          </w:tcPr>
          <w:p w14:paraId="4012168E">
            <w:pPr>
              <w:pStyle w:val="34"/>
              <w:rPr>
                <w:rFonts w:hint="eastAsia"/>
              </w:rPr>
            </w:pPr>
            <w:r>
              <w:rPr>
                <w:rFonts w:hint="eastAsia"/>
              </w:rPr>
              <w:t>3</w:t>
            </w:r>
          </w:p>
        </w:tc>
        <w:tc>
          <w:tcPr>
            <w:tcW w:w="4101" w:type="pct"/>
            <w:noWrap w:val="0"/>
            <w:vAlign w:val="center"/>
          </w:tcPr>
          <w:p w14:paraId="4F843B74">
            <w:pPr>
              <w:pStyle w:val="34"/>
              <w:rPr>
                <w:rFonts w:hint="eastAsia"/>
              </w:rPr>
            </w:pPr>
            <w:r>
              <w:rPr>
                <w:rFonts w:hint="eastAsia"/>
              </w:rPr>
              <w:t>医技科室绩效评价方案设计</w:t>
            </w:r>
          </w:p>
        </w:tc>
        <w:tc>
          <w:tcPr>
            <w:tcW w:w="475" w:type="pct"/>
            <w:noWrap w:val="0"/>
            <w:vAlign w:val="center"/>
          </w:tcPr>
          <w:p w14:paraId="2EDD4A16">
            <w:pPr>
              <w:pStyle w:val="34"/>
              <w:rPr>
                <w:rFonts w:hint="eastAsia"/>
              </w:rPr>
            </w:pPr>
            <w:r>
              <w:rPr>
                <w:rFonts w:hint="eastAsia"/>
              </w:rPr>
              <w:t>1</w:t>
            </w:r>
          </w:p>
        </w:tc>
      </w:tr>
      <w:tr w14:paraId="6944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4" w:type="pct"/>
            <w:noWrap w:val="0"/>
            <w:vAlign w:val="center"/>
          </w:tcPr>
          <w:p w14:paraId="0869C67C">
            <w:pPr>
              <w:pStyle w:val="34"/>
              <w:rPr>
                <w:rFonts w:hint="eastAsia"/>
              </w:rPr>
            </w:pPr>
            <w:r>
              <w:rPr>
                <w:rFonts w:hint="eastAsia"/>
              </w:rPr>
              <w:t>4</w:t>
            </w:r>
          </w:p>
        </w:tc>
        <w:tc>
          <w:tcPr>
            <w:tcW w:w="4101" w:type="pct"/>
            <w:noWrap w:val="0"/>
            <w:vAlign w:val="center"/>
          </w:tcPr>
          <w:p w14:paraId="2F704F54">
            <w:pPr>
              <w:pStyle w:val="34"/>
              <w:rPr>
                <w:rFonts w:hint="eastAsia"/>
              </w:rPr>
            </w:pPr>
            <w:r>
              <w:rPr>
                <w:rFonts w:hint="eastAsia" w:eastAsia="宋体" w:cs="宋体"/>
                <w:szCs w:val="24"/>
              </w:rPr>
              <w:t>挂号收费、出住院处、药学、供应室等科室绩效评价方案设计</w:t>
            </w:r>
          </w:p>
        </w:tc>
        <w:tc>
          <w:tcPr>
            <w:tcW w:w="475" w:type="pct"/>
            <w:noWrap w:val="0"/>
            <w:vAlign w:val="center"/>
          </w:tcPr>
          <w:p w14:paraId="192629C1">
            <w:pPr>
              <w:pStyle w:val="34"/>
              <w:rPr>
                <w:rFonts w:hint="eastAsia"/>
              </w:rPr>
            </w:pPr>
            <w:r>
              <w:rPr>
                <w:rFonts w:hint="eastAsia"/>
              </w:rPr>
              <w:t>1</w:t>
            </w:r>
          </w:p>
        </w:tc>
      </w:tr>
      <w:tr w14:paraId="3E8F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4" w:type="pct"/>
            <w:noWrap w:val="0"/>
            <w:vAlign w:val="center"/>
          </w:tcPr>
          <w:p w14:paraId="30DB3BFB">
            <w:pPr>
              <w:pStyle w:val="34"/>
              <w:rPr>
                <w:rFonts w:hint="eastAsia"/>
              </w:rPr>
            </w:pPr>
            <w:r>
              <w:rPr>
                <w:rFonts w:hint="eastAsia"/>
              </w:rPr>
              <w:t>5</w:t>
            </w:r>
          </w:p>
        </w:tc>
        <w:tc>
          <w:tcPr>
            <w:tcW w:w="4101" w:type="pct"/>
            <w:noWrap w:val="0"/>
            <w:vAlign w:val="center"/>
          </w:tcPr>
          <w:p w14:paraId="649E8A77">
            <w:pPr>
              <w:pStyle w:val="34"/>
              <w:rPr>
                <w:rFonts w:hint="eastAsia" w:eastAsia="宋体" w:cs="宋体"/>
                <w:szCs w:val="24"/>
              </w:rPr>
            </w:pPr>
            <w:r>
              <w:rPr>
                <w:rFonts w:hint="eastAsia" w:eastAsia="宋体" w:cs="宋体"/>
                <w:szCs w:val="24"/>
              </w:rPr>
              <w:t>手术专项绩效评价方案设计</w:t>
            </w:r>
          </w:p>
        </w:tc>
        <w:tc>
          <w:tcPr>
            <w:tcW w:w="475" w:type="pct"/>
            <w:noWrap w:val="0"/>
            <w:vAlign w:val="center"/>
          </w:tcPr>
          <w:p w14:paraId="45BC254A">
            <w:pPr>
              <w:pStyle w:val="34"/>
              <w:rPr>
                <w:rFonts w:hint="eastAsia"/>
              </w:rPr>
            </w:pPr>
            <w:r>
              <w:rPr>
                <w:rFonts w:hint="eastAsia"/>
              </w:rPr>
              <w:t>1</w:t>
            </w:r>
          </w:p>
        </w:tc>
      </w:tr>
      <w:tr w14:paraId="2907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4" w:type="pct"/>
            <w:noWrap w:val="0"/>
            <w:vAlign w:val="center"/>
          </w:tcPr>
          <w:p w14:paraId="29954D98">
            <w:pPr>
              <w:pStyle w:val="34"/>
              <w:rPr>
                <w:rFonts w:hint="eastAsia"/>
              </w:rPr>
            </w:pPr>
            <w:r>
              <w:rPr>
                <w:rFonts w:hint="eastAsia"/>
              </w:rPr>
              <w:t>6</w:t>
            </w:r>
          </w:p>
        </w:tc>
        <w:tc>
          <w:tcPr>
            <w:tcW w:w="4101" w:type="pct"/>
            <w:noWrap w:val="0"/>
            <w:vAlign w:val="top"/>
          </w:tcPr>
          <w:p w14:paraId="7CF80FF9">
            <w:pPr>
              <w:pStyle w:val="34"/>
              <w:rPr>
                <w:rFonts w:hint="eastAsia"/>
              </w:rPr>
            </w:pPr>
            <w:r>
              <w:rPr>
                <w:rFonts w:hint="eastAsia"/>
              </w:rPr>
              <w:t>科室直接成本管控方案设计</w:t>
            </w:r>
          </w:p>
        </w:tc>
        <w:tc>
          <w:tcPr>
            <w:tcW w:w="475" w:type="pct"/>
            <w:noWrap w:val="0"/>
            <w:vAlign w:val="center"/>
          </w:tcPr>
          <w:p w14:paraId="762D03D0">
            <w:pPr>
              <w:pStyle w:val="34"/>
              <w:rPr>
                <w:rFonts w:hint="eastAsia"/>
              </w:rPr>
            </w:pPr>
            <w:r>
              <w:rPr>
                <w:rFonts w:hint="eastAsia"/>
              </w:rPr>
              <w:t>1</w:t>
            </w:r>
          </w:p>
        </w:tc>
      </w:tr>
      <w:tr w14:paraId="5543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4" w:type="pct"/>
            <w:noWrap w:val="0"/>
            <w:vAlign w:val="center"/>
          </w:tcPr>
          <w:p w14:paraId="4693F7B9">
            <w:pPr>
              <w:pStyle w:val="34"/>
              <w:rPr>
                <w:rFonts w:hint="eastAsia"/>
              </w:rPr>
            </w:pPr>
            <w:r>
              <w:rPr>
                <w:rFonts w:hint="eastAsia"/>
              </w:rPr>
              <w:t>7</w:t>
            </w:r>
          </w:p>
        </w:tc>
        <w:tc>
          <w:tcPr>
            <w:tcW w:w="4101" w:type="pct"/>
            <w:noWrap w:val="0"/>
            <w:vAlign w:val="top"/>
          </w:tcPr>
          <w:p w14:paraId="5CC83C3F">
            <w:pPr>
              <w:pStyle w:val="34"/>
              <w:rPr>
                <w:rFonts w:hint="eastAsia"/>
              </w:rPr>
            </w:pPr>
            <w:r>
              <w:rPr>
                <w:rFonts w:hint="eastAsia"/>
              </w:rPr>
              <w:t>核算单元嵌入关键考核指标方案设计</w:t>
            </w:r>
          </w:p>
        </w:tc>
        <w:tc>
          <w:tcPr>
            <w:tcW w:w="475" w:type="pct"/>
            <w:noWrap w:val="0"/>
            <w:vAlign w:val="center"/>
          </w:tcPr>
          <w:p w14:paraId="07BA6968">
            <w:pPr>
              <w:pStyle w:val="34"/>
              <w:rPr>
                <w:rFonts w:hint="eastAsia"/>
              </w:rPr>
            </w:pPr>
            <w:r>
              <w:rPr>
                <w:rFonts w:hint="eastAsia"/>
              </w:rPr>
              <w:t>1</w:t>
            </w:r>
          </w:p>
        </w:tc>
      </w:tr>
      <w:tr w14:paraId="5387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4" w:type="pct"/>
            <w:noWrap w:val="0"/>
            <w:vAlign w:val="center"/>
          </w:tcPr>
          <w:p w14:paraId="2ED1DAC9">
            <w:pPr>
              <w:pStyle w:val="34"/>
              <w:rPr>
                <w:rFonts w:hint="eastAsia"/>
              </w:rPr>
            </w:pPr>
            <w:r>
              <w:rPr>
                <w:rFonts w:hint="eastAsia"/>
              </w:rPr>
              <w:t>8</w:t>
            </w:r>
          </w:p>
        </w:tc>
        <w:tc>
          <w:tcPr>
            <w:tcW w:w="4101" w:type="pct"/>
            <w:noWrap w:val="0"/>
            <w:vAlign w:val="top"/>
          </w:tcPr>
          <w:p w14:paraId="5CFB0807">
            <w:pPr>
              <w:pStyle w:val="34"/>
              <w:rPr>
                <w:rFonts w:hint="eastAsia"/>
              </w:rPr>
            </w:pPr>
            <w:r>
              <w:rPr>
                <w:rFonts w:hint="eastAsia"/>
              </w:rPr>
              <w:t>二次分配指导意见方案设计</w:t>
            </w:r>
          </w:p>
        </w:tc>
        <w:tc>
          <w:tcPr>
            <w:tcW w:w="475" w:type="pct"/>
            <w:noWrap w:val="0"/>
            <w:vAlign w:val="center"/>
          </w:tcPr>
          <w:p w14:paraId="0687EF4C">
            <w:pPr>
              <w:pStyle w:val="34"/>
              <w:rPr>
                <w:rFonts w:hint="eastAsia"/>
              </w:rPr>
            </w:pPr>
            <w:r>
              <w:rPr>
                <w:rFonts w:hint="eastAsia"/>
              </w:rPr>
              <w:t>1</w:t>
            </w:r>
          </w:p>
        </w:tc>
      </w:tr>
      <w:tr w14:paraId="7230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4" w:type="pct"/>
            <w:noWrap w:val="0"/>
            <w:vAlign w:val="center"/>
          </w:tcPr>
          <w:p w14:paraId="2339F7E5">
            <w:pPr>
              <w:pStyle w:val="34"/>
              <w:rPr>
                <w:rFonts w:hint="eastAsia"/>
              </w:rPr>
            </w:pPr>
            <w:r>
              <w:rPr>
                <w:rFonts w:hint="eastAsia"/>
              </w:rPr>
              <w:t>9</w:t>
            </w:r>
          </w:p>
        </w:tc>
        <w:tc>
          <w:tcPr>
            <w:tcW w:w="4101" w:type="pct"/>
            <w:noWrap w:val="0"/>
            <w:vAlign w:val="center"/>
          </w:tcPr>
          <w:p w14:paraId="2EA5B407">
            <w:pPr>
              <w:pStyle w:val="34"/>
              <w:rPr>
                <w:rFonts w:hint="eastAsia"/>
              </w:rPr>
            </w:pPr>
            <w:r>
              <w:rPr>
                <w:rFonts w:hint="eastAsia"/>
              </w:rPr>
              <w:t>DRG绩效评价方案设计</w:t>
            </w:r>
          </w:p>
        </w:tc>
        <w:tc>
          <w:tcPr>
            <w:tcW w:w="475" w:type="pct"/>
            <w:noWrap w:val="0"/>
            <w:vAlign w:val="center"/>
          </w:tcPr>
          <w:p w14:paraId="08E953D2">
            <w:pPr>
              <w:pStyle w:val="34"/>
              <w:rPr>
                <w:rFonts w:hint="eastAsia"/>
              </w:rPr>
            </w:pPr>
            <w:r>
              <w:rPr>
                <w:rFonts w:hint="eastAsia"/>
              </w:rPr>
              <w:t>1</w:t>
            </w:r>
          </w:p>
        </w:tc>
      </w:tr>
      <w:tr w14:paraId="2564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3"/>
            <w:noWrap w:val="0"/>
            <w:vAlign w:val="center"/>
          </w:tcPr>
          <w:p w14:paraId="281AC9EB">
            <w:pPr>
              <w:pStyle w:val="34"/>
              <w:rPr>
                <w:rFonts w:hint="eastAsia"/>
              </w:rPr>
            </w:pPr>
            <w:r>
              <w:rPr>
                <w:rFonts w:hint="eastAsia"/>
              </w:rPr>
              <w:t>二、医院绩效考核管理软件系统</w:t>
            </w:r>
          </w:p>
        </w:tc>
      </w:tr>
      <w:tr w14:paraId="7D9F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4" w:type="pct"/>
            <w:noWrap w:val="0"/>
            <w:vAlign w:val="center"/>
          </w:tcPr>
          <w:p w14:paraId="01009263">
            <w:pPr>
              <w:pStyle w:val="34"/>
              <w:rPr>
                <w:rFonts w:hint="eastAsia"/>
              </w:rPr>
            </w:pPr>
            <w:r>
              <w:rPr>
                <w:rFonts w:hint="eastAsia"/>
              </w:rPr>
              <w:t>1</w:t>
            </w:r>
          </w:p>
        </w:tc>
        <w:tc>
          <w:tcPr>
            <w:tcW w:w="4101" w:type="pct"/>
            <w:noWrap w:val="0"/>
            <w:vAlign w:val="center"/>
          </w:tcPr>
          <w:p w14:paraId="03E110D8">
            <w:pPr>
              <w:pStyle w:val="34"/>
              <w:rPr>
                <w:rFonts w:hint="eastAsia"/>
              </w:rPr>
            </w:pPr>
            <w:r>
              <w:t>基于RBRVS的医院绩效评价管理系统</w:t>
            </w:r>
          </w:p>
        </w:tc>
        <w:tc>
          <w:tcPr>
            <w:tcW w:w="475" w:type="pct"/>
            <w:noWrap w:val="0"/>
            <w:vAlign w:val="center"/>
          </w:tcPr>
          <w:p w14:paraId="09D4C43F">
            <w:pPr>
              <w:pStyle w:val="34"/>
              <w:rPr>
                <w:rFonts w:hint="eastAsia"/>
              </w:rPr>
            </w:pPr>
            <w:r>
              <w:rPr>
                <w:rFonts w:hint="eastAsia"/>
              </w:rPr>
              <w:t>1</w:t>
            </w:r>
          </w:p>
        </w:tc>
      </w:tr>
    </w:tbl>
    <w:p w14:paraId="53B37897">
      <w:pPr>
        <w:widowControl/>
        <w:spacing w:line="240" w:lineRule="auto"/>
        <w:ind w:firstLine="0" w:firstLineChars="0"/>
        <w:jc w:val="left"/>
        <w:rPr>
          <w:rFonts w:hint="eastAsia"/>
        </w:rPr>
      </w:pPr>
    </w:p>
    <w:p w14:paraId="2670D481">
      <w:pPr>
        <w:pStyle w:val="2"/>
        <w:numPr>
          <w:ilvl w:val="0"/>
          <w:numId w:val="2"/>
        </w:numPr>
        <w:rPr>
          <w:rFonts w:hint="eastAsia" w:ascii="Times New Roman" w:hAnsi="Times New Roman" w:eastAsia="宋体" w:cs="Times New Roman"/>
          <w:sz w:val="28"/>
          <w:szCs w:val="28"/>
        </w:rPr>
      </w:pPr>
      <w:bookmarkStart w:id="47" w:name="_Toc193866505"/>
      <w:r>
        <w:rPr>
          <w:rFonts w:hint="eastAsia" w:ascii="Times New Roman" w:hAnsi="Times New Roman" w:eastAsia="宋体" w:cs="Times New Roman"/>
          <w:sz w:val="28"/>
          <w:szCs w:val="28"/>
        </w:rPr>
        <w:t>建设原则</w:t>
      </w:r>
      <w:bookmarkEnd w:id="47"/>
    </w:p>
    <w:p w14:paraId="333F1415">
      <w:pPr>
        <w:spacing w:line="360" w:lineRule="auto"/>
        <w:ind w:firstLine="480"/>
        <w:rPr>
          <w:rFonts w:hint="eastAsia"/>
          <w:sz w:val="24"/>
          <w:szCs w:val="24"/>
        </w:rPr>
      </w:pPr>
      <w:r>
        <w:rPr>
          <w:sz w:val="24"/>
          <w:szCs w:val="24"/>
        </w:rPr>
        <w:t>1、符合政策规范性原则</w:t>
      </w:r>
    </w:p>
    <w:p w14:paraId="1D53F6A5">
      <w:pPr>
        <w:spacing w:line="360" w:lineRule="auto"/>
        <w:ind w:firstLine="480"/>
        <w:rPr>
          <w:rFonts w:hint="eastAsia"/>
          <w:sz w:val="24"/>
          <w:szCs w:val="24"/>
        </w:rPr>
      </w:pPr>
      <w:r>
        <w:rPr>
          <w:sz w:val="24"/>
          <w:szCs w:val="24"/>
        </w:rPr>
        <w:t>所使用的绩效方案应当满足国家卫健委的“九</w:t>
      </w:r>
      <w:r>
        <w:rPr>
          <w:rFonts w:hint="eastAsia"/>
          <w:sz w:val="24"/>
          <w:szCs w:val="24"/>
        </w:rPr>
        <w:t>项准则</w:t>
      </w:r>
      <w:r>
        <w:rPr>
          <w:sz w:val="24"/>
          <w:szCs w:val="24"/>
        </w:rPr>
        <w:t>”要求，医务人员的绩效工资不能与收入挂钩，符合医保支付政策要求。</w:t>
      </w:r>
    </w:p>
    <w:p w14:paraId="6D7ABA84">
      <w:pPr>
        <w:spacing w:line="360" w:lineRule="auto"/>
        <w:ind w:firstLine="480"/>
        <w:rPr>
          <w:rFonts w:hint="eastAsia"/>
          <w:sz w:val="24"/>
          <w:szCs w:val="24"/>
        </w:rPr>
      </w:pPr>
      <w:r>
        <w:rPr>
          <w:sz w:val="24"/>
          <w:szCs w:val="24"/>
        </w:rPr>
        <w:t>2、技术方法本地化原则</w:t>
      </w:r>
    </w:p>
    <w:p w14:paraId="65531B84">
      <w:pPr>
        <w:spacing w:line="360" w:lineRule="auto"/>
        <w:ind w:firstLine="480"/>
        <w:rPr>
          <w:rFonts w:hint="eastAsia"/>
          <w:sz w:val="24"/>
          <w:szCs w:val="24"/>
        </w:rPr>
      </w:pPr>
      <w:r>
        <w:rPr>
          <w:sz w:val="24"/>
          <w:szCs w:val="24"/>
        </w:rPr>
        <w:t>由于绩效管理高度个性化，投标方应当提供绩效管理咨询，将国际先进的医务人员劳动价值评价方法在本院进行本地化研究，使之适合本院的发展阶段。并能为未来发展建立基础绩效管理架构。需要咨询团队将 RBRVS 本土化，并依据医院的业务特点进行本地化。</w:t>
      </w:r>
    </w:p>
    <w:p w14:paraId="248BA5E2">
      <w:pPr>
        <w:spacing w:line="360" w:lineRule="auto"/>
        <w:ind w:firstLine="480"/>
        <w:rPr>
          <w:rFonts w:hint="eastAsia"/>
          <w:sz w:val="24"/>
          <w:szCs w:val="24"/>
        </w:rPr>
      </w:pPr>
      <w:r>
        <w:rPr>
          <w:sz w:val="24"/>
          <w:szCs w:val="24"/>
        </w:rPr>
        <w:t>3、</w:t>
      </w:r>
      <w:r>
        <w:rPr>
          <w:rFonts w:hint="eastAsia"/>
          <w:sz w:val="24"/>
          <w:szCs w:val="24"/>
        </w:rPr>
        <w:t>服务产品</w:t>
      </w:r>
      <w:r>
        <w:rPr>
          <w:sz w:val="24"/>
          <w:szCs w:val="24"/>
        </w:rPr>
        <w:t>先进性原则</w:t>
      </w:r>
    </w:p>
    <w:p w14:paraId="2F457020">
      <w:pPr>
        <w:spacing w:line="360" w:lineRule="auto"/>
        <w:ind w:firstLine="480"/>
        <w:rPr>
          <w:rFonts w:hint="eastAsia"/>
          <w:sz w:val="24"/>
          <w:szCs w:val="24"/>
        </w:rPr>
      </w:pPr>
      <w:r>
        <w:rPr>
          <w:sz w:val="24"/>
          <w:szCs w:val="24"/>
        </w:rPr>
        <w:t>绩效管理方案采用国际通行的医务人员劳动价值评价方法，在国内有成功的应用示范用户。配套软件具有先进的技术水平，有较高的性能，符合当今技术发展的方向。遵循业界规范，不依赖于某一个厂家的系统平台和操作系统之上。尽可能的延长系统的有效生命周期，保护用户在信息化方面的投入物有所值，并发挥投资的最大效益</w:t>
      </w:r>
      <w:bookmarkStart w:id="48" w:name="page38"/>
      <w:bookmarkEnd w:id="48"/>
      <w:r>
        <w:rPr>
          <w:rFonts w:hint="eastAsia"/>
          <w:sz w:val="24"/>
          <w:szCs w:val="24"/>
        </w:rPr>
        <w:t>。</w:t>
      </w:r>
    </w:p>
    <w:p w14:paraId="23793D18">
      <w:pPr>
        <w:spacing w:line="360" w:lineRule="auto"/>
        <w:ind w:firstLine="480"/>
        <w:rPr>
          <w:rFonts w:hint="eastAsia"/>
          <w:sz w:val="24"/>
          <w:szCs w:val="24"/>
        </w:rPr>
      </w:pPr>
      <w:r>
        <w:rPr>
          <w:sz w:val="24"/>
          <w:szCs w:val="24"/>
        </w:rPr>
        <w:t>4、绩效方案实用性原则</w:t>
      </w:r>
    </w:p>
    <w:p w14:paraId="5009A894">
      <w:pPr>
        <w:spacing w:line="360" w:lineRule="auto"/>
        <w:ind w:firstLine="480"/>
        <w:rPr>
          <w:rFonts w:hint="eastAsia"/>
          <w:sz w:val="24"/>
          <w:szCs w:val="24"/>
        </w:rPr>
      </w:pPr>
      <w:r>
        <w:rPr>
          <w:sz w:val="24"/>
          <w:szCs w:val="24"/>
        </w:rPr>
        <w:t>绩效整体方案应当与医院发展的阶段、专业特点、科室分工相匹配，依据方案产生的绩效分配结果应当与医院实际情况相符合。</w:t>
      </w:r>
    </w:p>
    <w:p w14:paraId="4538AC43">
      <w:pPr>
        <w:spacing w:line="360" w:lineRule="auto"/>
        <w:ind w:firstLine="480"/>
        <w:rPr>
          <w:rFonts w:hint="eastAsia"/>
          <w:sz w:val="24"/>
          <w:szCs w:val="24"/>
        </w:rPr>
      </w:pPr>
      <w:r>
        <w:rPr>
          <w:sz w:val="24"/>
          <w:szCs w:val="24"/>
        </w:rPr>
        <w:t>5、软件平台开放性原则</w:t>
      </w:r>
    </w:p>
    <w:p w14:paraId="1F37EA28">
      <w:pPr>
        <w:spacing w:line="360" w:lineRule="auto"/>
        <w:ind w:firstLine="480"/>
        <w:rPr>
          <w:rFonts w:hint="eastAsia"/>
          <w:sz w:val="24"/>
          <w:szCs w:val="24"/>
        </w:rPr>
      </w:pPr>
      <w:r>
        <w:rPr>
          <w:sz w:val="24"/>
          <w:szCs w:val="24"/>
        </w:rPr>
        <w:t>系统设计和建设需坚持开放性原则。软件开发平台采用先进的网络体系设计结构，兼容不同的软件、硬件平台系统，可以利用现有的设备资源，保护投资。</w:t>
      </w:r>
    </w:p>
    <w:p w14:paraId="4AE9665C">
      <w:pPr>
        <w:spacing w:line="360" w:lineRule="auto"/>
        <w:ind w:firstLine="480"/>
        <w:rPr>
          <w:rFonts w:hint="eastAsia"/>
          <w:sz w:val="24"/>
          <w:szCs w:val="24"/>
        </w:rPr>
      </w:pPr>
      <w:r>
        <w:rPr>
          <w:sz w:val="24"/>
          <w:szCs w:val="24"/>
        </w:rPr>
        <w:t>6、软件系统扩展性原则</w:t>
      </w:r>
    </w:p>
    <w:p w14:paraId="4C916299">
      <w:pPr>
        <w:spacing w:line="360" w:lineRule="auto"/>
        <w:ind w:firstLine="480"/>
        <w:rPr>
          <w:rFonts w:hint="eastAsia"/>
          <w:sz w:val="24"/>
          <w:szCs w:val="24"/>
        </w:rPr>
      </w:pPr>
      <w:r>
        <w:rPr>
          <w:sz w:val="24"/>
          <w:szCs w:val="24"/>
        </w:rPr>
        <w:t>系统建设过程中需遵循扩展性原则，系统必须提供标准的开发接口与用户现有或将来扩展的业务系统集成，特别要加强系统设计的前瞻性、预留系统扩充和扩展能力。</w:t>
      </w:r>
    </w:p>
    <w:p w14:paraId="1AF63C8F">
      <w:pPr>
        <w:spacing w:line="360" w:lineRule="auto"/>
        <w:ind w:firstLine="480"/>
        <w:rPr>
          <w:rFonts w:hint="eastAsia"/>
          <w:sz w:val="24"/>
          <w:szCs w:val="24"/>
        </w:rPr>
      </w:pPr>
      <w:r>
        <w:rPr>
          <w:sz w:val="24"/>
          <w:szCs w:val="24"/>
        </w:rPr>
        <w:t>7、系统数据安全性原则</w:t>
      </w:r>
    </w:p>
    <w:p w14:paraId="03D92F17">
      <w:pPr>
        <w:spacing w:line="360" w:lineRule="auto"/>
        <w:ind w:firstLine="480"/>
        <w:rPr>
          <w:rFonts w:hint="eastAsia"/>
          <w:sz w:val="24"/>
          <w:szCs w:val="24"/>
        </w:rPr>
      </w:pPr>
      <w:r>
        <w:rPr>
          <w:sz w:val="24"/>
          <w:szCs w:val="24"/>
        </w:rPr>
        <w:t>本项目涉及内部业务系统建设时应遵循安全性原则，系统必须提供基于利用严密的身份验证、访问控制、多层次的保密手段等措施，确保系统和数据的安全性和完整性。因此，系统必须能够提供有效的安全保密措施，确保整个系统的安全运行。</w:t>
      </w:r>
    </w:p>
    <w:p w14:paraId="397A4100">
      <w:pPr>
        <w:widowControl/>
        <w:spacing w:line="240" w:lineRule="auto"/>
        <w:ind w:firstLine="0" w:firstLineChars="0"/>
        <w:jc w:val="left"/>
        <w:rPr>
          <w:rFonts w:hint="eastAsia"/>
        </w:rPr>
      </w:pPr>
      <w:r>
        <w:br w:type="page"/>
      </w:r>
    </w:p>
    <w:p w14:paraId="40574697">
      <w:pPr>
        <w:pStyle w:val="2"/>
        <w:rPr>
          <w:rFonts w:hint="eastAsia"/>
          <w:sz w:val="28"/>
          <w:szCs w:val="28"/>
        </w:rPr>
      </w:pPr>
      <w:bookmarkStart w:id="49" w:name="_Toc117101187"/>
      <w:bookmarkStart w:id="50" w:name="_Toc193866506"/>
      <w:r>
        <w:rPr>
          <w:rFonts w:hint="eastAsia"/>
          <w:sz w:val="28"/>
          <w:szCs w:val="28"/>
          <w:lang w:eastAsia="zh-CN"/>
        </w:rPr>
        <w:t>四、</w:t>
      </w:r>
      <w:r>
        <w:rPr>
          <w:sz w:val="28"/>
          <w:szCs w:val="28"/>
        </w:rPr>
        <w:t>医院绩效咨询服务具体要求</w:t>
      </w:r>
      <w:bookmarkEnd w:id="49"/>
      <w:bookmarkEnd w:id="50"/>
    </w:p>
    <w:p w14:paraId="54180BCE">
      <w:pPr>
        <w:pStyle w:val="3"/>
        <w:rPr>
          <w:rFonts w:hint="eastAsia" w:ascii="宋体" w:hAnsi="宋体" w:eastAsia="宋体" w:cs="宋体"/>
          <w:sz w:val="24"/>
          <w:szCs w:val="24"/>
        </w:rPr>
      </w:pPr>
      <w:bookmarkStart w:id="51" w:name="_Toc193866507"/>
      <w:bookmarkStart w:id="52" w:name="_Toc117101188"/>
      <w:bookmarkStart w:id="53" w:name="_Toc193866515"/>
      <w:r>
        <w:rPr>
          <w:rFonts w:hint="eastAsia" w:ascii="宋体" w:hAnsi="宋体" w:eastAsia="宋体" w:cs="宋体"/>
          <w:sz w:val="24"/>
          <w:szCs w:val="24"/>
          <w:lang w:val="en-US" w:eastAsia="zh-CN"/>
        </w:rPr>
        <w:t>4.1</w:t>
      </w:r>
      <w:r>
        <w:rPr>
          <w:rFonts w:hint="eastAsia" w:ascii="宋体" w:hAnsi="宋体" w:eastAsia="宋体" w:cs="宋体"/>
          <w:sz w:val="24"/>
          <w:szCs w:val="24"/>
        </w:rPr>
        <w:t>整体要求</w:t>
      </w:r>
      <w:bookmarkEnd w:id="51"/>
      <w:bookmarkEnd w:id="52"/>
    </w:p>
    <w:p w14:paraId="777DE6CC">
      <w:pPr>
        <w:ind w:firstLine="480"/>
        <w:rPr>
          <w:rFonts w:hint="eastAsia" w:ascii="宋体" w:hAnsi="宋体" w:eastAsia="宋体" w:cs="宋体"/>
          <w:sz w:val="24"/>
          <w:szCs w:val="24"/>
          <w:highlight w:val="none"/>
        </w:rPr>
      </w:pPr>
      <w:r>
        <w:rPr>
          <w:rFonts w:hint="eastAsia" w:ascii="宋体" w:hAnsi="宋体" w:eastAsia="宋体" w:cs="宋体"/>
          <w:sz w:val="24"/>
          <w:szCs w:val="24"/>
        </w:rPr>
        <w:t>本项目建设要求基于医院现有信息化系统，咨询服务需要使用国际通行的RBRVS（基于资源消耗为基础的价值尺度）量化标准，提供基于 CPT-RBRVS的医生、护理、医技、药学人员定量考核方案。投标时可以提供基础方案，在实施时需要提供分类细化方案，并满</w:t>
      </w:r>
      <w:r>
        <w:rPr>
          <w:rFonts w:hint="eastAsia" w:ascii="宋体" w:hAnsi="宋体" w:eastAsia="宋体" w:cs="宋体"/>
          <w:sz w:val="24"/>
          <w:szCs w:val="24"/>
          <w:highlight w:val="none"/>
        </w:rPr>
        <w:t>足2025年吉林省卫健委新收费代码与RBRVS对照关系。</w:t>
      </w:r>
    </w:p>
    <w:p w14:paraId="07468E54">
      <w:pPr>
        <w:ind w:firstLine="480"/>
        <w:rPr>
          <w:rFonts w:hint="eastAsia" w:ascii="宋体" w:hAnsi="宋体" w:eastAsia="宋体" w:cs="宋体"/>
          <w:sz w:val="24"/>
          <w:szCs w:val="24"/>
        </w:rPr>
      </w:pPr>
      <w:r>
        <w:rPr>
          <w:rFonts w:hint="eastAsia" w:ascii="宋体" w:hAnsi="宋体" w:eastAsia="宋体" w:cs="宋体"/>
          <w:sz w:val="24"/>
          <w:szCs w:val="24"/>
          <w:highlight w:val="none"/>
        </w:rPr>
        <w:t>建立以工作量评价为基础，以RBRVS、DRG为工作量评价工具，以医院战略目标（扩</w:t>
      </w:r>
      <w:r>
        <w:rPr>
          <w:rFonts w:hint="eastAsia" w:ascii="宋体" w:hAnsi="宋体" w:eastAsia="宋体" w:cs="宋体"/>
          <w:sz w:val="24"/>
          <w:szCs w:val="24"/>
        </w:rPr>
        <w:t>大服务量、提高效率、优化种结构和收入结构）为导向，统筹效率、质量、成本、科研教学的绩效评价和分配体系，兼顾关键业绩指标和直接成本管控体系，实现绩效分配的公平性，符合卫健委九项准则要求，体现多劳多得，优绩优酬，保证医院的公益性要求。</w:t>
      </w:r>
    </w:p>
    <w:p w14:paraId="4D48CE91">
      <w:pPr>
        <w:pStyle w:val="3"/>
        <w:rPr>
          <w:rFonts w:hint="eastAsia" w:ascii="宋体" w:hAnsi="宋体" w:eastAsia="宋体" w:cs="宋体"/>
          <w:sz w:val="24"/>
          <w:szCs w:val="24"/>
        </w:rPr>
      </w:pPr>
      <w:bookmarkStart w:id="54" w:name="_Toc193866508"/>
      <w:r>
        <w:rPr>
          <w:rFonts w:hint="eastAsia" w:ascii="宋体" w:hAnsi="宋体" w:eastAsia="宋体" w:cs="宋体"/>
          <w:sz w:val="24"/>
          <w:szCs w:val="24"/>
          <w:lang w:val="en-US" w:eastAsia="zh-CN"/>
        </w:rPr>
        <w:t>4.2</w:t>
      </w:r>
      <w:r>
        <w:rPr>
          <w:rFonts w:hint="eastAsia" w:ascii="宋体" w:hAnsi="宋体" w:eastAsia="宋体" w:cs="宋体"/>
          <w:sz w:val="24"/>
          <w:szCs w:val="24"/>
        </w:rPr>
        <w:t>临床医生、临床护理、医技科室绩效考核方案设计</w:t>
      </w:r>
      <w:bookmarkEnd w:id="54"/>
    </w:p>
    <w:p w14:paraId="4123E6D9">
      <w:pPr>
        <w:ind w:firstLine="480"/>
        <w:rPr>
          <w:rFonts w:hint="eastAsia" w:ascii="宋体" w:hAnsi="宋体" w:eastAsia="宋体" w:cs="宋体"/>
          <w:sz w:val="24"/>
          <w:szCs w:val="24"/>
        </w:rPr>
      </w:pPr>
      <w:r>
        <w:rPr>
          <w:rFonts w:hint="eastAsia" w:ascii="宋体" w:hAnsi="宋体" w:eastAsia="宋体" w:cs="宋体"/>
          <w:sz w:val="24"/>
          <w:szCs w:val="24"/>
        </w:rPr>
        <w:t>依据 RBRVS把全院医疗收费项目价格转换为绩效点数，作为衡量医师、护理、医技人员的工作量的基准。同时方案中应当体现服务量因素，把门诊人次、出院人次、手术人次、占床日数、检查化验人次等量化为绩效点数。实行临床、医技、护理等可执行 RBRVS 的核算单元分别进行绩效工资核算。医生绩效工资可按医疗组分配。对各护理单元有客观评价方案和方法，确定护理单元的之间的劳动差别。方案中应当设计体现医护分开后仍能保持医、护之间高效合作的方法，方法具有可操作性和公平性。方案中应当体现临床医生在研判分析检查、检验结果的劳动付出，但是不能以检查和检验项目的收入衡量医务人员的劳动付出。</w:t>
      </w:r>
    </w:p>
    <w:p w14:paraId="57588797">
      <w:pPr>
        <w:ind w:firstLine="480"/>
        <w:rPr>
          <w:rFonts w:hint="eastAsia" w:ascii="宋体" w:hAnsi="宋体" w:eastAsia="宋体" w:cs="宋体"/>
          <w:sz w:val="24"/>
          <w:szCs w:val="24"/>
        </w:rPr>
      </w:pPr>
      <w:r>
        <w:rPr>
          <w:rFonts w:hint="eastAsia" w:ascii="宋体" w:hAnsi="宋体" w:eastAsia="宋体" w:cs="宋体"/>
          <w:sz w:val="24"/>
          <w:szCs w:val="24"/>
        </w:rPr>
        <w:t>各核算单元实行“院科（组）两级分配制度”，科室（医疗组）两级分配由科主任（医疗组长）、护士长负责，科</w:t>
      </w:r>
      <w:bookmarkStart w:id="55" w:name="page39"/>
      <w:bookmarkEnd w:id="55"/>
      <w:r>
        <w:rPr>
          <w:rFonts w:hint="eastAsia" w:ascii="宋体" w:hAnsi="宋体" w:eastAsia="宋体" w:cs="宋体"/>
          <w:sz w:val="24"/>
          <w:szCs w:val="24"/>
        </w:rPr>
        <w:t>（医疗组）内分配至个人，上交绩效管理部门核准，再由财务处发放到个人。</w:t>
      </w:r>
    </w:p>
    <w:p w14:paraId="6F77F84A">
      <w:pPr>
        <w:pStyle w:val="3"/>
        <w:rPr>
          <w:rFonts w:hint="eastAsia" w:ascii="宋体" w:hAnsi="宋体" w:eastAsia="宋体" w:cs="宋体"/>
          <w:sz w:val="24"/>
          <w:szCs w:val="24"/>
        </w:rPr>
      </w:pPr>
      <w:bookmarkStart w:id="56" w:name="_Toc193866509"/>
      <w:r>
        <w:rPr>
          <w:rFonts w:hint="eastAsia" w:ascii="宋体" w:hAnsi="宋体" w:eastAsia="宋体" w:cs="宋体"/>
          <w:sz w:val="24"/>
          <w:szCs w:val="24"/>
          <w:lang w:val="en-US" w:eastAsia="zh-CN"/>
        </w:rPr>
        <w:t>4.3</w:t>
      </w:r>
      <w:r>
        <w:rPr>
          <w:rFonts w:hint="eastAsia" w:ascii="宋体" w:hAnsi="宋体" w:eastAsia="宋体" w:cs="宋体"/>
          <w:sz w:val="24"/>
          <w:szCs w:val="24"/>
        </w:rPr>
        <w:t>挂号收费、出住院处、药学、供应室等科室绩效评价方案设计</w:t>
      </w:r>
      <w:bookmarkEnd w:id="56"/>
    </w:p>
    <w:p w14:paraId="05714BEA">
      <w:pPr>
        <w:ind w:firstLine="480"/>
        <w:rPr>
          <w:rFonts w:hint="eastAsia" w:ascii="宋体" w:hAnsi="宋体" w:eastAsia="宋体" w:cs="宋体"/>
          <w:sz w:val="24"/>
          <w:szCs w:val="24"/>
        </w:rPr>
      </w:pPr>
      <w:r>
        <w:rPr>
          <w:rFonts w:hint="eastAsia" w:ascii="宋体" w:hAnsi="宋体" w:eastAsia="宋体" w:cs="宋体"/>
          <w:sz w:val="24"/>
          <w:szCs w:val="24"/>
        </w:rPr>
        <w:t>对窗口和供应室等类型的科室，根据历史绩效水平和工作量，利用6-12个月的数据回归测算，测定每个工作项目（无医疗项目收费）的点数和点价格，并充分考虑与医护技科室的绩效工资水平差距，尊重历史绩效工资水平合理分配。</w:t>
      </w:r>
    </w:p>
    <w:p w14:paraId="7CC9CD85">
      <w:pPr>
        <w:pStyle w:val="3"/>
        <w:rPr>
          <w:rFonts w:hint="eastAsia" w:ascii="宋体" w:hAnsi="宋体" w:eastAsia="宋体" w:cs="宋体"/>
          <w:sz w:val="24"/>
          <w:szCs w:val="24"/>
        </w:rPr>
      </w:pPr>
      <w:bookmarkStart w:id="57" w:name="_Toc193866510"/>
      <w:r>
        <w:rPr>
          <w:rFonts w:hint="eastAsia" w:ascii="宋体" w:hAnsi="宋体" w:eastAsia="宋体" w:cs="宋体"/>
          <w:sz w:val="24"/>
          <w:szCs w:val="24"/>
          <w:lang w:val="en-US" w:eastAsia="zh-CN"/>
        </w:rPr>
        <w:t>4.4</w:t>
      </w:r>
      <w:r>
        <w:rPr>
          <w:rFonts w:hint="eastAsia" w:ascii="宋体" w:hAnsi="宋体" w:eastAsia="宋体" w:cs="宋体"/>
          <w:sz w:val="24"/>
          <w:szCs w:val="24"/>
        </w:rPr>
        <w:t>手术专项绩效评价方案设计</w:t>
      </w:r>
      <w:bookmarkEnd w:id="57"/>
    </w:p>
    <w:p w14:paraId="6C49ED46">
      <w:pPr>
        <w:ind w:firstLine="480"/>
        <w:rPr>
          <w:rFonts w:hint="eastAsia" w:ascii="宋体" w:hAnsi="宋体" w:eastAsia="宋体" w:cs="宋体"/>
          <w:sz w:val="24"/>
          <w:szCs w:val="24"/>
        </w:rPr>
      </w:pPr>
      <w:r>
        <w:rPr>
          <w:rFonts w:hint="eastAsia" w:ascii="宋体" w:hAnsi="宋体" w:eastAsia="宋体" w:cs="宋体"/>
          <w:sz w:val="24"/>
          <w:szCs w:val="24"/>
        </w:rPr>
        <w:t>根据医院实际情况，对手术进行单项绩效评价方案设计，利用历史数据和医院预期，针对不同科室类型，疾病复杂程度不同，服务人次数量等情况，进行基数测定，对手术难度和台次等多维度进行增量评价和激励。</w:t>
      </w:r>
    </w:p>
    <w:p w14:paraId="36A8F6EF">
      <w:pPr>
        <w:pStyle w:val="3"/>
        <w:rPr>
          <w:rFonts w:hint="eastAsia" w:ascii="宋体" w:hAnsi="宋体" w:eastAsia="宋体" w:cs="宋体"/>
          <w:sz w:val="24"/>
          <w:szCs w:val="24"/>
        </w:rPr>
      </w:pPr>
      <w:bookmarkStart w:id="58" w:name="_Toc193866511"/>
      <w:r>
        <w:rPr>
          <w:rFonts w:hint="eastAsia" w:ascii="宋体" w:hAnsi="宋体" w:eastAsia="宋体" w:cs="宋体"/>
          <w:sz w:val="24"/>
          <w:szCs w:val="24"/>
          <w:lang w:val="en-US" w:eastAsia="zh-CN"/>
        </w:rPr>
        <w:t>4.5</w:t>
      </w:r>
      <w:r>
        <w:rPr>
          <w:rFonts w:hint="eastAsia" w:ascii="宋体" w:hAnsi="宋体" w:eastAsia="宋体" w:cs="宋体"/>
          <w:sz w:val="24"/>
          <w:szCs w:val="24"/>
        </w:rPr>
        <w:t>科室直接成本管控方案设计</w:t>
      </w:r>
      <w:bookmarkEnd w:id="58"/>
    </w:p>
    <w:p w14:paraId="233E7AAB">
      <w:pPr>
        <w:ind w:firstLine="480"/>
        <w:rPr>
          <w:rFonts w:hint="eastAsia" w:ascii="宋体" w:hAnsi="宋体" w:eastAsia="宋体" w:cs="宋体"/>
          <w:sz w:val="24"/>
          <w:szCs w:val="24"/>
        </w:rPr>
      </w:pPr>
      <w:r>
        <w:rPr>
          <w:rFonts w:hint="eastAsia" w:ascii="宋体" w:hAnsi="宋体" w:eastAsia="宋体" w:cs="宋体"/>
          <w:sz w:val="24"/>
          <w:szCs w:val="24"/>
        </w:rPr>
        <w:t>所有核算单元以直接成本做为管理口径，绩效方案设计要把直接成本全部纳入绩效工资核算管理，包含房屋折旧、人力成本、设备折旧等直接固定成本，包含卫生材料、药品、办公用品、医辅部门发生的费用等直接变动成本。同时应把医院现有的物流系统区分为可收费和不可收费两部分卫生材料，在此基础上再区分为高值耗材与低值耗材两部分材料进行成本管控，达到精细化成本管理的目的。</w:t>
      </w:r>
    </w:p>
    <w:p w14:paraId="7ED5863D">
      <w:pPr>
        <w:pStyle w:val="3"/>
        <w:rPr>
          <w:rFonts w:hint="eastAsia" w:ascii="宋体" w:hAnsi="宋体" w:eastAsia="宋体" w:cs="宋体"/>
          <w:sz w:val="24"/>
          <w:szCs w:val="24"/>
        </w:rPr>
      </w:pPr>
      <w:bookmarkStart w:id="59" w:name="_Toc193866512"/>
      <w:r>
        <w:rPr>
          <w:rFonts w:hint="eastAsia" w:ascii="宋体" w:hAnsi="宋体" w:eastAsia="宋体" w:cs="宋体"/>
          <w:sz w:val="24"/>
          <w:szCs w:val="24"/>
          <w:lang w:val="en-US" w:eastAsia="zh-CN"/>
        </w:rPr>
        <w:t>4.6</w:t>
      </w:r>
      <w:r>
        <w:rPr>
          <w:rFonts w:hint="eastAsia" w:ascii="宋体" w:hAnsi="宋体" w:eastAsia="宋体" w:cs="宋体"/>
          <w:sz w:val="24"/>
          <w:szCs w:val="24"/>
        </w:rPr>
        <w:t>核算单元嵌入关键考核指标方案</w:t>
      </w:r>
      <w:bookmarkEnd w:id="59"/>
    </w:p>
    <w:p w14:paraId="7592174E">
      <w:pPr>
        <w:ind w:firstLine="480"/>
        <w:rPr>
          <w:rFonts w:hint="eastAsia" w:ascii="宋体" w:hAnsi="宋体" w:eastAsia="宋体" w:cs="宋体"/>
          <w:sz w:val="24"/>
          <w:szCs w:val="24"/>
        </w:rPr>
      </w:pPr>
      <w:r>
        <w:rPr>
          <w:rFonts w:hint="eastAsia" w:ascii="宋体" w:hAnsi="宋体" w:eastAsia="宋体" w:cs="宋体"/>
          <w:sz w:val="24"/>
          <w:szCs w:val="24"/>
        </w:rPr>
        <w:t>对各核算单元的嵌入关键考核指标，提供指导意见。</w:t>
      </w:r>
    </w:p>
    <w:p w14:paraId="550E74A5">
      <w:pPr>
        <w:ind w:firstLine="480"/>
        <w:rPr>
          <w:rFonts w:hint="eastAsia" w:ascii="宋体" w:hAnsi="宋体" w:eastAsia="宋体" w:cs="宋体"/>
          <w:sz w:val="24"/>
          <w:szCs w:val="24"/>
        </w:rPr>
      </w:pPr>
      <w:r>
        <w:rPr>
          <w:rFonts w:hint="eastAsia" w:ascii="宋体" w:hAnsi="宋体" w:eastAsia="宋体" w:cs="宋体"/>
          <w:sz w:val="24"/>
          <w:szCs w:val="24"/>
        </w:rPr>
        <w:t>可以为全院各类别科室设计基于KPI的关键业绩指标绩效考核方案，要求考核项符合“SMART”原则，考核负责人，考核周期，数据提供，考核标准，得分方法清晰准确。</w:t>
      </w:r>
    </w:p>
    <w:p w14:paraId="44641A15">
      <w:pPr>
        <w:pStyle w:val="3"/>
        <w:rPr>
          <w:rFonts w:hint="eastAsia" w:ascii="宋体" w:hAnsi="宋体" w:eastAsia="宋体" w:cs="宋体"/>
          <w:sz w:val="24"/>
          <w:szCs w:val="24"/>
        </w:rPr>
      </w:pPr>
      <w:bookmarkStart w:id="60" w:name="_Toc193866513"/>
      <w:r>
        <w:rPr>
          <w:rFonts w:hint="eastAsia" w:ascii="宋体" w:hAnsi="宋体" w:eastAsia="宋体" w:cs="宋体"/>
          <w:sz w:val="24"/>
          <w:szCs w:val="24"/>
          <w:lang w:val="en-US" w:eastAsia="zh-CN"/>
        </w:rPr>
        <w:t>4.7</w:t>
      </w:r>
      <w:r>
        <w:rPr>
          <w:rFonts w:hint="eastAsia" w:ascii="宋体" w:hAnsi="宋体" w:eastAsia="宋体" w:cs="宋体"/>
          <w:sz w:val="24"/>
          <w:szCs w:val="24"/>
        </w:rPr>
        <w:t>二次分配指导意见方案设计</w:t>
      </w:r>
      <w:bookmarkEnd w:id="60"/>
    </w:p>
    <w:p w14:paraId="2FA86E86">
      <w:pPr>
        <w:ind w:firstLine="480"/>
        <w:rPr>
          <w:rFonts w:hint="eastAsia" w:ascii="宋体" w:hAnsi="宋体" w:eastAsia="宋体" w:cs="宋体"/>
          <w:sz w:val="24"/>
          <w:szCs w:val="24"/>
        </w:rPr>
      </w:pPr>
      <w:r>
        <w:rPr>
          <w:rFonts w:hint="eastAsia" w:ascii="宋体" w:hAnsi="宋体" w:eastAsia="宋体" w:cs="宋体"/>
          <w:sz w:val="24"/>
          <w:szCs w:val="24"/>
        </w:rPr>
        <w:t>提供二次分配指导意见方案。指导各核算单元在基于本方案指导意见的基础上，综合考虑工作量、工作质量、贡献程度、岗位、风险、职称等因素制定符合</w:t>
      </w:r>
      <w:r>
        <w:rPr>
          <w:rFonts w:hint="eastAsia" w:ascii="宋体" w:hAnsi="宋体" w:eastAsia="宋体" w:cs="宋体"/>
          <w:spacing w:val="-2"/>
          <w:sz w:val="24"/>
          <w:szCs w:val="24"/>
        </w:rPr>
        <w:t>本核算单元实际情况的二次分配方案，避免平均分配。</w:t>
      </w:r>
      <w:r>
        <w:rPr>
          <w:rFonts w:hint="eastAsia" w:ascii="宋体" w:hAnsi="宋体" w:eastAsia="宋体" w:cs="宋体"/>
          <w:sz w:val="24"/>
          <w:szCs w:val="24"/>
        </w:rPr>
        <w:t>各科室可通过软件系统把二次分配方案上传至绩效管理部门、财务部门，审核后发放。</w:t>
      </w:r>
    </w:p>
    <w:p w14:paraId="199F41CF">
      <w:pPr>
        <w:pStyle w:val="3"/>
        <w:rPr>
          <w:rFonts w:hint="eastAsia" w:ascii="宋体" w:hAnsi="宋体" w:eastAsia="宋体" w:cs="宋体"/>
          <w:sz w:val="24"/>
          <w:szCs w:val="24"/>
        </w:rPr>
      </w:pPr>
      <w:bookmarkStart w:id="61" w:name="_Toc193866514"/>
      <w:r>
        <w:rPr>
          <w:rFonts w:hint="eastAsia" w:ascii="宋体" w:hAnsi="宋体" w:eastAsia="宋体" w:cs="宋体"/>
          <w:sz w:val="24"/>
          <w:szCs w:val="24"/>
          <w:lang w:val="en-US" w:eastAsia="zh-CN"/>
        </w:rPr>
        <w:t>4.8</w:t>
      </w:r>
      <w:r>
        <w:rPr>
          <w:rFonts w:hint="eastAsia" w:ascii="宋体" w:hAnsi="宋体" w:eastAsia="宋体" w:cs="宋体"/>
          <w:sz w:val="24"/>
          <w:szCs w:val="24"/>
        </w:rPr>
        <w:t>DRG绩效方案设计</w:t>
      </w:r>
      <w:bookmarkEnd w:id="61"/>
    </w:p>
    <w:p w14:paraId="79E930C5">
      <w:pPr>
        <w:ind w:firstLine="480"/>
        <w:rPr>
          <w:rFonts w:hint="eastAsia" w:ascii="宋体" w:hAnsi="宋体" w:eastAsia="宋体" w:cs="宋体"/>
          <w:sz w:val="24"/>
          <w:szCs w:val="24"/>
        </w:rPr>
      </w:pPr>
      <w:r>
        <w:rPr>
          <w:rFonts w:hint="eastAsia" w:ascii="宋体" w:hAnsi="宋体" w:eastAsia="宋体" w:cs="宋体"/>
          <w:sz w:val="24"/>
          <w:szCs w:val="24"/>
        </w:rPr>
        <w:t>根据医保支付的特点，差异化设计门诊和住院的绩效方案。</w:t>
      </w:r>
    </w:p>
    <w:p w14:paraId="558D73CB">
      <w:pPr>
        <w:ind w:firstLine="480"/>
        <w:rPr>
          <w:rFonts w:hint="eastAsia" w:ascii="宋体" w:hAnsi="宋体" w:eastAsia="宋体" w:cs="宋体"/>
          <w:sz w:val="24"/>
          <w:szCs w:val="24"/>
        </w:rPr>
      </w:pPr>
      <w:r>
        <w:rPr>
          <w:rFonts w:hint="eastAsia" w:ascii="宋体" w:hAnsi="宋体" w:eastAsia="宋体" w:cs="宋体"/>
          <w:sz w:val="24"/>
          <w:szCs w:val="24"/>
        </w:rPr>
        <w:t>绩效方案中要考虑提高医院CMI值的具体举措。</w:t>
      </w:r>
    </w:p>
    <w:p w14:paraId="1B3DCB1A">
      <w:pPr>
        <w:ind w:firstLine="480"/>
        <w:rPr>
          <w:rFonts w:hint="eastAsia" w:ascii="宋体" w:hAnsi="宋体" w:eastAsia="宋体" w:cs="宋体"/>
          <w:sz w:val="24"/>
          <w:szCs w:val="24"/>
        </w:rPr>
      </w:pPr>
      <w:r>
        <w:rPr>
          <w:rFonts w:hint="eastAsia" w:ascii="宋体" w:hAnsi="宋体" w:eastAsia="宋体" w:cs="宋体"/>
          <w:sz w:val="24"/>
          <w:szCs w:val="24"/>
        </w:rPr>
        <w:t>在医院医保DRGs付费数据的基础上，设计成本管控方案。</w:t>
      </w:r>
    </w:p>
    <w:p w14:paraId="4643AC86">
      <w:pPr>
        <w:pStyle w:val="2"/>
        <w:rPr>
          <w:rFonts w:hint="eastAsia"/>
          <w:sz w:val="28"/>
          <w:szCs w:val="28"/>
        </w:rPr>
      </w:pPr>
      <w:r>
        <w:rPr>
          <w:rFonts w:hint="eastAsia"/>
          <w:sz w:val="28"/>
          <w:szCs w:val="28"/>
          <w:lang w:eastAsia="zh-CN"/>
        </w:rPr>
        <w:t>五、</w:t>
      </w:r>
      <w:r>
        <w:rPr>
          <w:rFonts w:hint="eastAsia"/>
          <w:sz w:val="28"/>
          <w:szCs w:val="28"/>
        </w:rPr>
        <w:t>医院绩效考核管理软件系统</w:t>
      </w:r>
      <w:bookmarkEnd w:id="53"/>
    </w:p>
    <w:p w14:paraId="3AF77DFD">
      <w:pPr>
        <w:pStyle w:val="3"/>
        <w:rPr>
          <w:rFonts w:hint="eastAsia" w:ascii="宋体" w:hAnsi="宋体" w:eastAsia="宋体" w:cs="宋体"/>
        </w:rPr>
      </w:pPr>
      <w:bookmarkStart w:id="62" w:name="_Toc193866516"/>
      <w:r>
        <w:rPr>
          <w:rFonts w:hint="eastAsia" w:ascii="宋体" w:hAnsi="宋体" w:eastAsia="宋体" w:cs="宋体"/>
          <w:lang w:val="en-US" w:eastAsia="zh-CN"/>
        </w:rPr>
        <w:t>5.1</w:t>
      </w:r>
      <w:r>
        <w:rPr>
          <w:rFonts w:hint="eastAsia" w:ascii="宋体" w:hAnsi="宋体" w:eastAsia="宋体" w:cs="宋体"/>
        </w:rPr>
        <w:t>技术规格</w:t>
      </w:r>
      <w:bookmarkEnd w:id="62"/>
    </w:p>
    <w:p w14:paraId="5340F265">
      <w:pPr>
        <w:ind w:firstLine="0" w:firstLineChars="0"/>
        <w:rPr>
          <w:rFonts w:hint="eastAsia"/>
          <w:sz w:val="24"/>
          <w:szCs w:val="24"/>
        </w:rPr>
      </w:pPr>
      <w:r>
        <w:rPr>
          <w:rFonts w:hint="eastAsia"/>
          <w:b/>
          <w:bCs/>
          <w:sz w:val="24"/>
          <w:szCs w:val="24"/>
        </w:rPr>
        <w:t>软件架构：</w:t>
      </w:r>
      <w:r>
        <w:rPr>
          <w:rFonts w:hint="eastAsia"/>
          <w:sz w:val="24"/>
          <w:szCs w:val="24"/>
        </w:rPr>
        <w:t>采用</w:t>
      </w:r>
      <w:r>
        <w:rPr>
          <w:sz w:val="24"/>
          <w:szCs w:val="24"/>
        </w:rPr>
        <w:t xml:space="preserve"> SpringBoot，MyBatis，MVC分层开发，采用SpringBoot的声明式事务，前端框架为ExtJS 4.3。</w:t>
      </w:r>
    </w:p>
    <w:p w14:paraId="329A97FB">
      <w:pPr>
        <w:ind w:firstLine="0" w:firstLineChars="0"/>
        <w:rPr>
          <w:rFonts w:hint="eastAsia"/>
          <w:sz w:val="24"/>
          <w:szCs w:val="24"/>
        </w:rPr>
      </w:pPr>
      <w:r>
        <w:rPr>
          <w:rFonts w:hint="eastAsia"/>
          <w:b/>
          <w:bCs/>
          <w:sz w:val="24"/>
          <w:szCs w:val="24"/>
        </w:rPr>
        <w:t>开发语言：</w:t>
      </w:r>
      <w:r>
        <w:rPr>
          <w:rFonts w:hint="eastAsia"/>
          <w:sz w:val="24"/>
          <w:szCs w:val="24"/>
        </w:rPr>
        <w:t>软件开发语言为</w:t>
      </w:r>
      <w:r>
        <w:rPr>
          <w:sz w:val="24"/>
          <w:szCs w:val="24"/>
        </w:rPr>
        <w:t>Java8。</w:t>
      </w:r>
    </w:p>
    <w:p w14:paraId="6860BB63">
      <w:pPr>
        <w:ind w:firstLine="0" w:firstLineChars="0"/>
        <w:rPr>
          <w:rFonts w:hint="eastAsia"/>
          <w:sz w:val="24"/>
          <w:szCs w:val="24"/>
        </w:rPr>
      </w:pPr>
      <w:r>
        <w:rPr>
          <w:rFonts w:hint="eastAsia"/>
          <w:b/>
          <w:bCs/>
          <w:sz w:val="24"/>
          <w:szCs w:val="24"/>
        </w:rPr>
        <w:t>数据库：</w:t>
      </w:r>
      <w:r>
        <w:rPr>
          <w:rFonts w:hint="eastAsia"/>
          <w:sz w:val="24"/>
          <w:szCs w:val="24"/>
        </w:rPr>
        <w:t>支持国产数据库如达梦数据库</w:t>
      </w:r>
      <w:r>
        <w:rPr>
          <w:sz w:val="24"/>
          <w:szCs w:val="24"/>
        </w:rPr>
        <w:t>DM8；</w:t>
      </w:r>
    </w:p>
    <w:p w14:paraId="3A9D0741">
      <w:pPr>
        <w:ind w:firstLine="0" w:firstLineChars="0"/>
        <w:rPr>
          <w:rFonts w:hint="eastAsia"/>
          <w:sz w:val="24"/>
          <w:szCs w:val="24"/>
        </w:rPr>
      </w:pPr>
      <w:r>
        <w:rPr>
          <w:sz w:val="24"/>
          <w:szCs w:val="24"/>
        </w:rPr>
        <w:tab/>
      </w:r>
      <w:r>
        <w:rPr>
          <w:sz w:val="24"/>
          <w:szCs w:val="24"/>
        </w:rPr>
        <w:t xml:space="preserve">    以及开源数据库如MySQL 8数据库等；</w:t>
      </w:r>
    </w:p>
    <w:p w14:paraId="61A30552">
      <w:pPr>
        <w:ind w:firstLine="0" w:firstLineChars="0"/>
        <w:rPr>
          <w:rFonts w:hint="eastAsia"/>
          <w:sz w:val="24"/>
          <w:szCs w:val="24"/>
        </w:rPr>
      </w:pPr>
      <w:r>
        <w:rPr>
          <w:sz w:val="24"/>
          <w:szCs w:val="24"/>
        </w:rPr>
        <w:t xml:space="preserve">        以及SQL Server 2014 R2 Enterprise Edition及以上版本等；</w:t>
      </w:r>
    </w:p>
    <w:p w14:paraId="54CE0051">
      <w:pPr>
        <w:pStyle w:val="34"/>
        <w:rPr>
          <w:rFonts w:hint="eastAsia"/>
          <w:sz w:val="24"/>
          <w:szCs w:val="24"/>
        </w:rPr>
      </w:pPr>
      <w:r>
        <w:rPr>
          <w:rFonts w:hint="eastAsia"/>
          <w:b/>
          <w:bCs/>
          <w:sz w:val="24"/>
          <w:szCs w:val="24"/>
        </w:rPr>
        <w:t>Web应用服务器：</w:t>
      </w:r>
      <w:r>
        <w:rPr>
          <w:rFonts w:hint="eastAsia"/>
          <w:sz w:val="24"/>
          <w:szCs w:val="24"/>
        </w:rPr>
        <w:t>支持国产中间件东方通TongWeb；</w:t>
      </w:r>
    </w:p>
    <w:p w14:paraId="755F35DF">
      <w:pPr>
        <w:ind w:firstLine="1920" w:firstLineChars="800"/>
        <w:rPr>
          <w:rFonts w:hint="eastAsia"/>
          <w:sz w:val="24"/>
          <w:szCs w:val="24"/>
        </w:rPr>
      </w:pPr>
      <w:r>
        <w:rPr>
          <w:rFonts w:hint="eastAsia"/>
          <w:sz w:val="24"/>
          <w:szCs w:val="24"/>
        </w:rPr>
        <w:t>以及主流开源</w:t>
      </w:r>
      <w:bookmarkStart w:id="63" w:name="OLE_LINK5"/>
      <w:r>
        <w:rPr>
          <w:rFonts w:hint="eastAsia"/>
          <w:sz w:val="24"/>
          <w:szCs w:val="24"/>
        </w:rPr>
        <w:t>中间件</w:t>
      </w:r>
      <w:bookmarkEnd w:id="63"/>
      <w:r>
        <w:rPr>
          <w:rFonts w:hint="eastAsia"/>
          <w:sz w:val="24"/>
          <w:szCs w:val="24"/>
        </w:rPr>
        <w:t>Tomcat；</w:t>
      </w:r>
    </w:p>
    <w:p w14:paraId="2AC7DD0D">
      <w:pPr>
        <w:ind w:firstLine="0" w:firstLineChars="0"/>
        <w:rPr>
          <w:rFonts w:hint="eastAsia"/>
          <w:sz w:val="24"/>
          <w:szCs w:val="24"/>
        </w:rPr>
      </w:pPr>
      <w:r>
        <w:rPr>
          <w:rFonts w:hint="eastAsia"/>
          <w:b/>
          <w:bCs/>
          <w:sz w:val="24"/>
          <w:szCs w:val="24"/>
        </w:rPr>
        <w:t>操作系统：</w:t>
      </w:r>
      <w:r>
        <w:rPr>
          <w:rFonts w:hint="eastAsia"/>
          <w:sz w:val="24"/>
          <w:szCs w:val="24"/>
        </w:rPr>
        <w:t>支持国产系统如银河麒麟</w:t>
      </w:r>
      <w:r>
        <w:rPr>
          <w:sz w:val="24"/>
          <w:szCs w:val="24"/>
        </w:rPr>
        <w:t>V10；</w:t>
      </w:r>
    </w:p>
    <w:p w14:paraId="15B27AA3">
      <w:pPr>
        <w:ind w:firstLine="0" w:firstLineChars="0"/>
        <w:rPr>
          <w:rFonts w:hint="eastAsia"/>
          <w:sz w:val="24"/>
          <w:szCs w:val="24"/>
        </w:rPr>
      </w:pPr>
      <w:r>
        <w:rPr>
          <w:sz w:val="24"/>
          <w:szCs w:val="24"/>
        </w:rPr>
        <w:t xml:space="preserve">        以及Linux系统如CentOS 8;</w:t>
      </w:r>
    </w:p>
    <w:p w14:paraId="301B2D5C">
      <w:pPr>
        <w:ind w:firstLine="0" w:firstLineChars="0"/>
        <w:rPr>
          <w:rFonts w:hint="eastAsia"/>
          <w:sz w:val="24"/>
          <w:szCs w:val="24"/>
        </w:rPr>
      </w:pPr>
      <w:r>
        <w:rPr>
          <w:sz w:val="24"/>
          <w:szCs w:val="24"/>
        </w:rPr>
        <w:t xml:space="preserve">        以及Windows Server 2003/2008/2012 Enterprise 32/64 Edition及以上等。</w:t>
      </w:r>
    </w:p>
    <w:p w14:paraId="20817C89">
      <w:pPr>
        <w:pStyle w:val="3"/>
        <w:rPr>
          <w:rFonts w:hint="eastAsia" w:ascii="宋体" w:hAnsi="宋体" w:eastAsia="宋体" w:cs="宋体"/>
          <w:sz w:val="24"/>
          <w:szCs w:val="24"/>
        </w:rPr>
      </w:pPr>
      <w:bookmarkStart w:id="64" w:name="_Toc193866517"/>
      <w:r>
        <w:rPr>
          <w:rFonts w:hint="eastAsia" w:ascii="宋体" w:hAnsi="宋体" w:eastAsia="宋体" w:cs="宋体"/>
          <w:sz w:val="24"/>
          <w:szCs w:val="24"/>
          <w:lang w:val="en-US" w:eastAsia="zh-CN"/>
        </w:rPr>
        <w:t>5.2</w:t>
      </w:r>
      <w:r>
        <w:rPr>
          <w:rFonts w:hint="eastAsia" w:ascii="宋体" w:hAnsi="宋体" w:eastAsia="宋体" w:cs="宋体"/>
          <w:sz w:val="24"/>
          <w:szCs w:val="24"/>
        </w:rPr>
        <w:t>功能项目</w:t>
      </w:r>
      <w:bookmarkEnd w:id="64"/>
    </w:p>
    <w:tbl>
      <w:tblPr>
        <w:tblStyle w:val="15"/>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5815"/>
      </w:tblGrid>
      <w:tr w14:paraId="640C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noWrap/>
            <w:vAlign w:val="center"/>
          </w:tcPr>
          <w:p w14:paraId="4ABBD0C3">
            <w:pPr>
              <w:pStyle w:val="34"/>
              <w:rPr>
                <w:rFonts w:hint="eastAsia"/>
              </w:rPr>
            </w:pPr>
            <w:r>
              <w:rPr>
                <w:rFonts w:hint="eastAsia"/>
              </w:rPr>
              <w:t>一级功能</w:t>
            </w:r>
          </w:p>
        </w:tc>
        <w:tc>
          <w:tcPr>
            <w:tcW w:w="1701" w:type="dxa"/>
            <w:noWrap/>
            <w:vAlign w:val="center"/>
          </w:tcPr>
          <w:p w14:paraId="46DF3312">
            <w:pPr>
              <w:pStyle w:val="34"/>
              <w:rPr>
                <w:rFonts w:hint="eastAsia"/>
              </w:rPr>
            </w:pPr>
            <w:r>
              <w:rPr>
                <w:rFonts w:hint="eastAsia"/>
              </w:rPr>
              <w:t>二级功能</w:t>
            </w:r>
          </w:p>
        </w:tc>
        <w:tc>
          <w:tcPr>
            <w:tcW w:w="5815" w:type="dxa"/>
            <w:noWrap w:val="0"/>
            <w:vAlign w:val="center"/>
          </w:tcPr>
          <w:p w14:paraId="5BB82EAB">
            <w:pPr>
              <w:pStyle w:val="34"/>
              <w:rPr>
                <w:rFonts w:hint="eastAsia"/>
              </w:rPr>
            </w:pPr>
            <w:r>
              <w:rPr>
                <w:rFonts w:hint="eastAsia"/>
              </w:rPr>
              <w:t>功能描述</w:t>
            </w:r>
          </w:p>
        </w:tc>
      </w:tr>
      <w:tr w14:paraId="3332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restart"/>
            <w:noWrap w:val="0"/>
            <w:vAlign w:val="center"/>
          </w:tcPr>
          <w:p w14:paraId="070247E3">
            <w:pPr>
              <w:pStyle w:val="34"/>
              <w:rPr>
                <w:rFonts w:hint="eastAsia"/>
              </w:rPr>
            </w:pPr>
            <w:r>
              <w:rPr>
                <w:rFonts w:hint="eastAsia"/>
              </w:rPr>
              <w:t>系统操作</w:t>
            </w:r>
          </w:p>
        </w:tc>
        <w:tc>
          <w:tcPr>
            <w:tcW w:w="1701" w:type="dxa"/>
            <w:noWrap/>
            <w:vAlign w:val="center"/>
          </w:tcPr>
          <w:p w14:paraId="28454B63">
            <w:pPr>
              <w:pStyle w:val="34"/>
              <w:rPr>
                <w:rFonts w:hint="eastAsia"/>
              </w:rPr>
            </w:pPr>
            <w:r>
              <w:rPr>
                <w:rFonts w:hint="eastAsia"/>
              </w:rPr>
              <w:t>登录</w:t>
            </w:r>
          </w:p>
        </w:tc>
        <w:tc>
          <w:tcPr>
            <w:tcW w:w="5815" w:type="dxa"/>
            <w:noWrap w:val="0"/>
            <w:vAlign w:val="center"/>
          </w:tcPr>
          <w:p w14:paraId="5006438D">
            <w:pPr>
              <w:pStyle w:val="34"/>
              <w:rPr>
                <w:rFonts w:hint="eastAsia"/>
              </w:rPr>
            </w:pPr>
            <w:r>
              <w:rPr>
                <w:rFonts w:hint="eastAsia"/>
              </w:rPr>
              <w:t>用户输入账户登录</w:t>
            </w:r>
          </w:p>
        </w:tc>
      </w:tr>
      <w:tr w14:paraId="285A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180BB316">
            <w:pPr>
              <w:pStyle w:val="34"/>
              <w:rPr>
                <w:rFonts w:hint="eastAsia"/>
              </w:rPr>
            </w:pPr>
          </w:p>
        </w:tc>
        <w:tc>
          <w:tcPr>
            <w:tcW w:w="1701" w:type="dxa"/>
            <w:noWrap/>
            <w:vAlign w:val="center"/>
          </w:tcPr>
          <w:p w14:paraId="1687CAC4">
            <w:pPr>
              <w:pStyle w:val="34"/>
              <w:rPr>
                <w:rFonts w:hint="eastAsia"/>
              </w:rPr>
            </w:pPr>
            <w:r>
              <w:rPr>
                <w:rFonts w:hint="eastAsia"/>
              </w:rPr>
              <w:t>退出</w:t>
            </w:r>
          </w:p>
        </w:tc>
        <w:tc>
          <w:tcPr>
            <w:tcW w:w="5815" w:type="dxa"/>
            <w:noWrap w:val="0"/>
            <w:vAlign w:val="center"/>
          </w:tcPr>
          <w:p w14:paraId="15109422">
            <w:pPr>
              <w:pStyle w:val="34"/>
              <w:rPr>
                <w:rFonts w:hint="eastAsia"/>
              </w:rPr>
            </w:pPr>
            <w:r>
              <w:rPr>
                <w:rFonts w:hint="eastAsia"/>
              </w:rPr>
              <w:t>用户注销当前状态</w:t>
            </w:r>
          </w:p>
        </w:tc>
      </w:tr>
      <w:tr w14:paraId="2447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3751849C">
            <w:pPr>
              <w:pStyle w:val="34"/>
              <w:rPr>
                <w:rFonts w:hint="eastAsia"/>
              </w:rPr>
            </w:pPr>
          </w:p>
        </w:tc>
        <w:tc>
          <w:tcPr>
            <w:tcW w:w="1701" w:type="dxa"/>
            <w:noWrap/>
            <w:vAlign w:val="center"/>
          </w:tcPr>
          <w:p w14:paraId="4951A091">
            <w:pPr>
              <w:pStyle w:val="34"/>
              <w:rPr>
                <w:rFonts w:hint="eastAsia"/>
              </w:rPr>
            </w:pPr>
            <w:r>
              <w:rPr>
                <w:rFonts w:hint="eastAsia"/>
              </w:rPr>
              <w:t>修改密码</w:t>
            </w:r>
          </w:p>
        </w:tc>
        <w:tc>
          <w:tcPr>
            <w:tcW w:w="5815" w:type="dxa"/>
            <w:noWrap w:val="0"/>
            <w:vAlign w:val="center"/>
          </w:tcPr>
          <w:p w14:paraId="2F1ECEF5">
            <w:pPr>
              <w:pStyle w:val="34"/>
              <w:rPr>
                <w:rFonts w:hint="eastAsia"/>
              </w:rPr>
            </w:pPr>
            <w:r>
              <w:rPr>
                <w:rFonts w:hint="eastAsia"/>
              </w:rPr>
              <w:t>用户修改自己的密码</w:t>
            </w:r>
          </w:p>
        </w:tc>
      </w:tr>
      <w:tr w14:paraId="2B0F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Merge w:val="continue"/>
            <w:noWrap w:val="0"/>
            <w:vAlign w:val="center"/>
          </w:tcPr>
          <w:p w14:paraId="037A3A71">
            <w:pPr>
              <w:pStyle w:val="34"/>
              <w:rPr>
                <w:rFonts w:hint="eastAsia"/>
              </w:rPr>
            </w:pPr>
          </w:p>
        </w:tc>
        <w:tc>
          <w:tcPr>
            <w:tcW w:w="1701" w:type="dxa"/>
            <w:noWrap/>
            <w:vAlign w:val="center"/>
          </w:tcPr>
          <w:p w14:paraId="3119A26D">
            <w:pPr>
              <w:pStyle w:val="34"/>
              <w:rPr>
                <w:rFonts w:hint="eastAsia"/>
              </w:rPr>
            </w:pPr>
            <w:r>
              <w:rPr>
                <w:rFonts w:hint="eastAsia"/>
              </w:rPr>
              <w:t>系统通知</w:t>
            </w:r>
          </w:p>
        </w:tc>
        <w:tc>
          <w:tcPr>
            <w:tcW w:w="5815" w:type="dxa"/>
            <w:noWrap w:val="0"/>
            <w:vAlign w:val="center"/>
          </w:tcPr>
          <w:p w14:paraId="11C691C9">
            <w:pPr>
              <w:pStyle w:val="34"/>
              <w:rPr>
                <w:rFonts w:hint="eastAsia"/>
              </w:rPr>
            </w:pPr>
            <w:r>
              <w:rPr>
                <w:rFonts w:hint="eastAsia"/>
              </w:rPr>
              <w:t>其他用户或者软件自动发送消息给用户，用户可通过弹窗查看</w:t>
            </w:r>
          </w:p>
        </w:tc>
      </w:tr>
      <w:tr w14:paraId="7188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2A191A8D">
            <w:pPr>
              <w:pStyle w:val="34"/>
              <w:rPr>
                <w:rFonts w:hint="eastAsia"/>
              </w:rPr>
            </w:pPr>
          </w:p>
        </w:tc>
        <w:tc>
          <w:tcPr>
            <w:tcW w:w="1701" w:type="dxa"/>
            <w:noWrap/>
            <w:vAlign w:val="center"/>
          </w:tcPr>
          <w:p w14:paraId="73427B91">
            <w:pPr>
              <w:pStyle w:val="34"/>
              <w:rPr>
                <w:rFonts w:hint="eastAsia"/>
              </w:rPr>
            </w:pPr>
            <w:r>
              <w:rPr>
                <w:rFonts w:hint="eastAsia"/>
              </w:rPr>
              <w:t>一次指引</w:t>
            </w:r>
          </w:p>
        </w:tc>
        <w:tc>
          <w:tcPr>
            <w:tcW w:w="5815" w:type="dxa"/>
            <w:noWrap w:val="0"/>
            <w:vAlign w:val="center"/>
          </w:tcPr>
          <w:p w14:paraId="21D57B77">
            <w:pPr>
              <w:pStyle w:val="34"/>
              <w:rPr>
                <w:rFonts w:hint="eastAsia"/>
              </w:rPr>
            </w:pPr>
            <w:r>
              <w:rPr>
                <w:rFonts w:hint="eastAsia"/>
              </w:rPr>
              <w:t>可自定义的流程控制引擎，确保用户在绩效核算之前完成所有必要步骤，以图形方式指引用户完成绩效核算和操作</w:t>
            </w:r>
          </w:p>
        </w:tc>
      </w:tr>
      <w:tr w14:paraId="2D41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restart"/>
            <w:noWrap w:val="0"/>
            <w:vAlign w:val="center"/>
          </w:tcPr>
          <w:p w14:paraId="5266E494">
            <w:pPr>
              <w:pStyle w:val="34"/>
              <w:rPr>
                <w:rFonts w:hint="eastAsia"/>
              </w:rPr>
            </w:pPr>
            <w:r>
              <w:rPr>
                <w:rFonts w:hint="eastAsia"/>
              </w:rPr>
              <w:t>一次评价分配</w:t>
            </w:r>
          </w:p>
        </w:tc>
        <w:tc>
          <w:tcPr>
            <w:tcW w:w="1701" w:type="dxa"/>
            <w:noWrap/>
            <w:vAlign w:val="center"/>
          </w:tcPr>
          <w:p w14:paraId="5454C291">
            <w:pPr>
              <w:pStyle w:val="34"/>
              <w:rPr>
                <w:rFonts w:hint="eastAsia"/>
              </w:rPr>
            </w:pPr>
            <w:r>
              <w:rPr>
                <w:rFonts w:hint="eastAsia"/>
              </w:rPr>
              <w:t>一次评价计算</w:t>
            </w:r>
          </w:p>
        </w:tc>
        <w:tc>
          <w:tcPr>
            <w:tcW w:w="5815" w:type="dxa"/>
            <w:noWrap w:val="0"/>
            <w:vAlign w:val="center"/>
          </w:tcPr>
          <w:p w14:paraId="75338138">
            <w:pPr>
              <w:pStyle w:val="34"/>
              <w:rPr>
                <w:rFonts w:hint="eastAsia"/>
              </w:rPr>
            </w:pPr>
            <w:r>
              <w:rPr>
                <w:rFonts w:hint="eastAsia"/>
              </w:rPr>
              <w:t>按照点数、规则、公式对医、护、技、药、行管、后勤等序列进行一次评价与分配</w:t>
            </w:r>
          </w:p>
        </w:tc>
      </w:tr>
      <w:tr w14:paraId="0C1E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3C4CFE82">
            <w:pPr>
              <w:pStyle w:val="34"/>
              <w:rPr>
                <w:rFonts w:hint="eastAsia"/>
              </w:rPr>
            </w:pPr>
          </w:p>
        </w:tc>
        <w:tc>
          <w:tcPr>
            <w:tcW w:w="1701" w:type="dxa"/>
            <w:noWrap/>
            <w:vAlign w:val="center"/>
          </w:tcPr>
          <w:p w14:paraId="782333CA">
            <w:pPr>
              <w:pStyle w:val="34"/>
              <w:rPr>
                <w:rFonts w:hint="eastAsia"/>
              </w:rPr>
            </w:pPr>
            <w:r>
              <w:rPr>
                <w:rFonts w:hint="eastAsia"/>
              </w:rPr>
              <w:t>行管一次评价计算</w:t>
            </w:r>
          </w:p>
        </w:tc>
        <w:tc>
          <w:tcPr>
            <w:tcW w:w="5815" w:type="dxa"/>
            <w:noWrap w:val="0"/>
            <w:vAlign w:val="center"/>
          </w:tcPr>
          <w:p w14:paraId="4F722825">
            <w:pPr>
              <w:pStyle w:val="34"/>
              <w:rPr>
                <w:rFonts w:hint="eastAsia"/>
              </w:rPr>
            </w:pPr>
            <w:r>
              <w:rPr>
                <w:rFonts w:hint="eastAsia"/>
              </w:rPr>
              <w:t>按照各类考核系数、指标、公式单独对行管后勤等序列进行一次评价与分配</w:t>
            </w:r>
          </w:p>
        </w:tc>
      </w:tr>
      <w:tr w14:paraId="3D99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332604FA">
            <w:pPr>
              <w:pStyle w:val="34"/>
              <w:rPr>
                <w:rFonts w:hint="eastAsia"/>
              </w:rPr>
            </w:pPr>
          </w:p>
        </w:tc>
        <w:tc>
          <w:tcPr>
            <w:tcW w:w="1701" w:type="dxa"/>
            <w:noWrap/>
            <w:vAlign w:val="center"/>
          </w:tcPr>
          <w:p w14:paraId="0497A27C">
            <w:pPr>
              <w:pStyle w:val="34"/>
              <w:rPr>
                <w:rFonts w:hint="eastAsia"/>
              </w:rPr>
            </w:pPr>
            <w:r>
              <w:rPr>
                <w:rFonts w:hint="eastAsia"/>
              </w:rPr>
              <w:t>RVU点数维护</w:t>
            </w:r>
          </w:p>
        </w:tc>
        <w:tc>
          <w:tcPr>
            <w:tcW w:w="5815" w:type="dxa"/>
            <w:noWrap w:val="0"/>
            <w:vAlign w:val="center"/>
          </w:tcPr>
          <w:p w14:paraId="2A6A581D">
            <w:pPr>
              <w:pStyle w:val="34"/>
              <w:rPr>
                <w:rFonts w:hint="eastAsia"/>
              </w:rPr>
            </w:pPr>
            <w:r>
              <w:rPr>
                <w:rFonts w:hint="eastAsia"/>
              </w:rPr>
              <w:t>维护RBRVS项目的基准点数和科室特殊点数</w:t>
            </w:r>
          </w:p>
        </w:tc>
      </w:tr>
      <w:tr w14:paraId="1746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7F50FAFB">
            <w:pPr>
              <w:pStyle w:val="34"/>
              <w:rPr>
                <w:rFonts w:hint="eastAsia"/>
              </w:rPr>
            </w:pPr>
          </w:p>
        </w:tc>
        <w:tc>
          <w:tcPr>
            <w:tcW w:w="1701" w:type="dxa"/>
            <w:noWrap/>
            <w:vAlign w:val="center"/>
          </w:tcPr>
          <w:p w14:paraId="23DE4BA8">
            <w:pPr>
              <w:pStyle w:val="34"/>
              <w:rPr>
                <w:rFonts w:hint="eastAsia"/>
              </w:rPr>
            </w:pPr>
            <w:r>
              <w:rPr>
                <w:rFonts w:hint="eastAsia"/>
              </w:rPr>
              <w:t>核算模型管理</w:t>
            </w:r>
          </w:p>
        </w:tc>
        <w:tc>
          <w:tcPr>
            <w:tcW w:w="5815" w:type="dxa"/>
            <w:noWrap w:val="0"/>
            <w:vAlign w:val="center"/>
          </w:tcPr>
          <w:p w14:paraId="3E56A92B">
            <w:pPr>
              <w:pStyle w:val="34"/>
              <w:rPr>
                <w:rFonts w:hint="eastAsia"/>
              </w:rPr>
            </w:pPr>
            <w:r>
              <w:rPr>
                <w:rFonts w:hint="eastAsia"/>
              </w:rPr>
              <w:t>设置医、护、技、药、行管、后勤等序列每个核算单元的绩效公式、规则</w:t>
            </w:r>
          </w:p>
        </w:tc>
      </w:tr>
      <w:tr w14:paraId="3495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31362B36">
            <w:pPr>
              <w:pStyle w:val="34"/>
              <w:rPr>
                <w:rFonts w:hint="eastAsia"/>
              </w:rPr>
            </w:pPr>
          </w:p>
        </w:tc>
        <w:tc>
          <w:tcPr>
            <w:tcW w:w="1701" w:type="dxa"/>
            <w:noWrap/>
            <w:vAlign w:val="center"/>
          </w:tcPr>
          <w:p w14:paraId="264B5CCA">
            <w:pPr>
              <w:pStyle w:val="34"/>
              <w:rPr>
                <w:rFonts w:hint="eastAsia"/>
              </w:rPr>
            </w:pPr>
            <w:r>
              <w:rPr>
                <w:rFonts w:hint="eastAsia"/>
              </w:rPr>
              <w:t>手工数据管理</w:t>
            </w:r>
          </w:p>
        </w:tc>
        <w:tc>
          <w:tcPr>
            <w:tcW w:w="5815" w:type="dxa"/>
            <w:noWrap w:val="0"/>
            <w:vAlign w:val="center"/>
          </w:tcPr>
          <w:p w14:paraId="2843D177">
            <w:pPr>
              <w:pStyle w:val="34"/>
              <w:rPr>
                <w:rFonts w:hint="eastAsia"/>
              </w:rPr>
            </w:pPr>
            <w:r>
              <w:rPr>
                <w:rFonts w:hint="eastAsia"/>
              </w:rPr>
              <w:t>绩效计算所需要的部分特殊数据，支持进行手工填写</w:t>
            </w:r>
          </w:p>
        </w:tc>
      </w:tr>
      <w:tr w14:paraId="556E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154FBF0F">
            <w:pPr>
              <w:pStyle w:val="34"/>
              <w:rPr>
                <w:rFonts w:hint="eastAsia"/>
              </w:rPr>
            </w:pPr>
          </w:p>
        </w:tc>
        <w:tc>
          <w:tcPr>
            <w:tcW w:w="1701" w:type="dxa"/>
            <w:noWrap/>
            <w:vAlign w:val="center"/>
          </w:tcPr>
          <w:p w14:paraId="77919119">
            <w:pPr>
              <w:pStyle w:val="34"/>
              <w:rPr>
                <w:rFonts w:hint="eastAsia"/>
              </w:rPr>
            </w:pPr>
            <w:r>
              <w:rPr>
                <w:rFonts w:hint="eastAsia"/>
              </w:rPr>
              <w:t>手工数据审核</w:t>
            </w:r>
          </w:p>
        </w:tc>
        <w:tc>
          <w:tcPr>
            <w:tcW w:w="5815" w:type="dxa"/>
            <w:noWrap w:val="0"/>
            <w:vAlign w:val="center"/>
          </w:tcPr>
          <w:p w14:paraId="6D082B46">
            <w:pPr>
              <w:pStyle w:val="34"/>
              <w:rPr>
                <w:rFonts w:hint="eastAsia"/>
              </w:rPr>
            </w:pPr>
            <w:r>
              <w:rPr>
                <w:rFonts w:hint="eastAsia"/>
              </w:rPr>
              <w:t>对录入的手工数据进行审核</w:t>
            </w:r>
          </w:p>
        </w:tc>
      </w:tr>
      <w:tr w14:paraId="3FDE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restart"/>
            <w:noWrap/>
            <w:vAlign w:val="center"/>
          </w:tcPr>
          <w:p w14:paraId="19F68DD2">
            <w:pPr>
              <w:pStyle w:val="34"/>
              <w:rPr>
                <w:rFonts w:hint="eastAsia"/>
              </w:rPr>
            </w:pPr>
            <w:r>
              <w:rPr>
                <w:rFonts w:hint="eastAsia"/>
              </w:rPr>
              <w:t>二次评价分配</w:t>
            </w:r>
          </w:p>
        </w:tc>
        <w:tc>
          <w:tcPr>
            <w:tcW w:w="1701" w:type="dxa"/>
            <w:noWrap/>
            <w:vAlign w:val="center"/>
          </w:tcPr>
          <w:p w14:paraId="53888486">
            <w:pPr>
              <w:pStyle w:val="34"/>
              <w:rPr>
                <w:rFonts w:hint="eastAsia"/>
              </w:rPr>
            </w:pPr>
            <w:r>
              <w:rPr>
                <w:rFonts w:hint="eastAsia"/>
              </w:rPr>
              <w:t>科室分配项目</w:t>
            </w:r>
          </w:p>
        </w:tc>
        <w:tc>
          <w:tcPr>
            <w:tcW w:w="5815" w:type="dxa"/>
            <w:noWrap w:val="0"/>
            <w:vAlign w:val="center"/>
          </w:tcPr>
          <w:p w14:paraId="64ACD9B9">
            <w:pPr>
              <w:pStyle w:val="34"/>
              <w:rPr>
                <w:rFonts w:hint="eastAsia"/>
              </w:rPr>
            </w:pPr>
            <w:r>
              <w:rPr>
                <w:rFonts w:hint="eastAsia"/>
              </w:rPr>
              <w:t>科室可自行设置绩效二次分配的名目</w:t>
            </w:r>
          </w:p>
        </w:tc>
      </w:tr>
      <w:tr w14:paraId="7B3C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7A115DB0">
            <w:pPr>
              <w:pStyle w:val="34"/>
              <w:rPr>
                <w:rFonts w:hint="eastAsia"/>
              </w:rPr>
            </w:pPr>
          </w:p>
        </w:tc>
        <w:tc>
          <w:tcPr>
            <w:tcW w:w="1701" w:type="dxa"/>
            <w:noWrap/>
            <w:vAlign w:val="center"/>
          </w:tcPr>
          <w:p w14:paraId="70C53E32">
            <w:pPr>
              <w:pStyle w:val="34"/>
              <w:rPr>
                <w:rFonts w:hint="eastAsia"/>
              </w:rPr>
            </w:pPr>
            <w:r>
              <w:rPr>
                <w:rFonts w:hint="eastAsia"/>
              </w:rPr>
              <w:t>科室绩效发布</w:t>
            </w:r>
          </w:p>
        </w:tc>
        <w:tc>
          <w:tcPr>
            <w:tcW w:w="5815" w:type="dxa"/>
            <w:noWrap w:val="0"/>
            <w:vAlign w:val="center"/>
          </w:tcPr>
          <w:p w14:paraId="02437DCF">
            <w:pPr>
              <w:pStyle w:val="34"/>
              <w:rPr>
                <w:rFonts w:hint="eastAsia"/>
              </w:rPr>
            </w:pPr>
            <w:r>
              <w:rPr>
                <w:rFonts w:hint="eastAsia"/>
              </w:rPr>
              <w:t>医院管理部门对科室公布一次评价结果，科室在此基础上进行二次分配</w:t>
            </w:r>
          </w:p>
        </w:tc>
      </w:tr>
      <w:tr w14:paraId="0584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06A60805">
            <w:pPr>
              <w:pStyle w:val="34"/>
              <w:rPr>
                <w:rFonts w:hint="eastAsia"/>
              </w:rPr>
            </w:pPr>
          </w:p>
        </w:tc>
        <w:tc>
          <w:tcPr>
            <w:tcW w:w="1701" w:type="dxa"/>
            <w:noWrap/>
            <w:vAlign w:val="center"/>
          </w:tcPr>
          <w:p w14:paraId="3814E970">
            <w:pPr>
              <w:pStyle w:val="34"/>
              <w:rPr>
                <w:rFonts w:hint="eastAsia"/>
              </w:rPr>
            </w:pPr>
            <w:r>
              <w:rPr>
                <w:rFonts w:hint="eastAsia"/>
              </w:rPr>
              <w:t>发放单元绩效调剂</w:t>
            </w:r>
          </w:p>
        </w:tc>
        <w:tc>
          <w:tcPr>
            <w:tcW w:w="5815" w:type="dxa"/>
            <w:noWrap w:val="0"/>
            <w:vAlign w:val="center"/>
          </w:tcPr>
          <w:p w14:paraId="08D9D599">
            <w:pPr>
              <w:pStyle w:val="34"/>
              <w:rPr>
                <w:rFonts w:hint="eastAsia"/>
              </w:rPr>
            </w:pPr>
            <w:r>
              <w:rPr>
                <w:rFonts w:hint="eastAsia"/>
              </w:rPr>
              <w:t>科室之间按二次分配项目进行绩效总量调拨</w:t>
            </w:r>
          </w:p>
        </w:tc>
      </w:tr>
      <w:tr w14:paraId="1902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0656581D">
            <w:pPr>
              <w:pStyle w:val="34"/>
              <w:rPr>
                <w:rFonts w:hint="eastAsia"/>
              </w:rPr>
            </w:pPr>
          </w:p>
        </w:tc>
        <w:tc>
          <w:tcPr>
            <w:tcW w:w="1701" w:type="dxa"/>
            <w:noWrap/>
            <w:vAlign w:val="center"/>
          </w:tcPr>
          <w:p w14:paraId="733E0BF4">
            <w:pPr>
              <w:pStyle w:val="34"/>
              <w:rPr>
                <w:rFonts w:hint="eastAsia"/>
              </w:rPr>
            </w:pPr>
            <w:r>
              <w:rPr>
                <w:rFonts w:hint="eastAsia"/>
              </w:rPr>
              <w:t>科室绩效分配</w:t>
            </w:r>
          </w:p>
        </w:tc>
        <w:tc>
          <w:tcPr>
            <w:tcW w:w="5815" w:type="dxa"/>
            <w:noWrap w:val="0"/>
            <w:vAlign w:val="center"/>
          </w:tcPr>
          <w:p w14:paraId="44C90B97">
            <w:pPr>
              <w:pStyle w:val="34"/>
              <w:rPr>
                <w:rFonts w:hint="eastAsia"/>
              </w:rPr>
            </w:pPr>
            <w:r>
              <w:rPr>
                <w:rFonts w:hint="eastAsia"/>
              </w:rPr>
              <w:t>科室按照设置的二次分配项目自行发放绩效，并填报</w:t>
            </w:r>
          </w:p>
        </w:tc>
      </w:tr>
      <w:tr w14:paraId="51A3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5B50F4E8">
            <w:pPr>
              <w:pStyle w:val="34"/>
              <w:rPr>
                <w:rFonts w:hint="eastAsia"/>
              </w:rPr>
            </w:pPr>
          </w:p>
        </w:tc>
        <w:tc>
          <w:tcPr>
            <w:tcW w:w="1701" w:type="dxa"/>
            <w:noWrap/>
            <w:vAlign w:val="center"/>
          </w:tcPr>
          <w:p w14:paraId="46C48737">
            <w:pPr>
              <w:pStyle w:val="34"/>
              <w:rPr>
                <w:rFonts w:hint="eastAsia"/>
              </w:rPr>
            </w:pPr>
            <w:r>
              <w:rPr>
                <w:rFonts w:hint="eastAsia"/>
              </w:rPr>
              <w:t>科室分配审核</w:t>
            </w:r>
          </w:p>
        </w:tc>
        <w:tc>
          <w:tcPr>
            <w:tcW w:w="5815" w:type="dxa"/>
            <w:noWrap w:val="0"/>
            <w:vAlign w:val="center"/>
          </w:tcPr>
          <w:p w14:paraId="012EF432">
            <w:pPr>
              <w:pStyle w:val="34"/>
              <w:rPr>
                <w:rFonts w:hint="eastAsia"/>
              </w:rPr>
            </w:pPr>
            <w:r>
              <w:rPr>
                <w:rFonts w:hint="eastAsia"/>
              </w:rPr>
              <w:t>管理部门对科室二次分配结果进行审核</w:t>
            </w:r>
          </w:p>
        </w:tc>
      </w:tr>
      <w:tr w14:paraId="257A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0B5280EB">
            <w:pPr>
              <w:pStyle w:val="34"/>
              <w:rPr>
                <w:rFonts w:hint="eastAsia"/>
              </w:rPr>
            </w:pPr>
          </w:p>
        </w:tc>
        <w:tc>
          <w:tcPr>
            <w:tcW w:w="1701" w:type="dxa"/>
            <w:noWrap/>
            <w:vAlign w:val="center"/>
          </w:tcPr>
          <w:p w14:paraId="1047C2A8">
            <w:pPr>
              <w:pStyle w:val="34"/>
              <w:rPr>
                <w:rFonts w:hint="eastAsia"/>
              </w:rPr>
            </w:pPr>
            <w:r>
              <w:rPr>
                <w:rFonts w:hint="eastAsia"/>
              </w:rPr>
              <w:t>医院分配项目</w:t>
            </w:r>
          </w:p>
        </w:tc>
        <w:tc>
          <w:tcPr>
            <w:tcW w:w="5815" w:type="dxa"/>
            <w:noWrap w:val="0"/>
            <w:vAlign w:val="center"/>
          </w:tcPr>
          <w:p w14:paraId="41D2B102">
            <w:pPr>
              <w:pStyle w:val="34"/>
              <w:rPr>
                <w:rFonts w:hint="eastAsia"/>
              </w:rPr>
            </w:pPr>
            <w:r>
              <w:rPr>
                <w:rFonts w:hint="eastAsia"/>
              </w:rPr>
              <w:t>医院层面直接发放到个人的绩效项目可在此设置</w:t>
            </w:r>
          </w:p>
        </w:tc>
      </w:tr>
      <w:tr w14:paraId="79FA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Merge w:val="continue"/>
            <w:noWrap w:val="0"/>
            <w:vAlign w:val="center"/>
          </w:tcPr>
          <w:p w14:paraId="5209EFA9">
            <w:pPr>
              <w:pStyle w:val="34"/>
              <w:rPr>
                <w:rFonts w:hint="eastAsia"/>
              </w:rPr>
            </w:pPr>
          </w:p>
        </w:tc>
        <w:tc>
          <w:tcPr>
            <w:tcW w:w="1701" w:type="dxa"/>
            <w:noWrap/>
            <w:vAlign w:val="center"/>
          </w:tcPr>
          <w:p w14:paraId="30F51FBC">
            <w:pPr>
              <w:pStyle w:val="34"/>
              <w:rPr>
                <w:rFonts w:hint="eastAsia"/>
              </w:rPr>
            </w:pPr>
            <w:r>
              <w:rPr>
                <w:rFonts w:hint="eastAsia"/>
              </w:rPr>
              <w:t>医院绩效分配</w:t>
            </w:r>
          </w:p>
        </w:tc>
        <w:tc>
          <w:tcPr>
            <w:tcW w:w="5815" w:type="dxa"/>
            <w:noWrap w:val="0"/>
            <w:vAlign w:val="center"/>
          </w:tcPr>
          <w:p w14:paraId="268DB467">
            <w:pPr>
              <w:pStyle w:val="34"/>
              <w:rPr>
                <w:rFonts w:hint="eastAsia"/>
              </w:rPr>
            </w:pPr>
            <w:r>
              <w:rPr>
                <w:rFonts w:hint="eastAsia"/>
              </w:rPr>
              <w:t>按照医院分配项目，由医院层面直接录入发放金额，并且计税</w:t>
            </w:r>
          </w:p>
        </w:tc>
      </w:tr>
      <w:tr w14:paraId="3B3F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5AB0EF88">
            <w:pPr>
              <w:pStyle w:val="34"/>
              <w:rPr>
                <w:rFonts w:hint="eastAsia"/>
              </w:rPr>
            </w:pPr>
          </w:p>
        </w:tc>
        <w:tc>
          <w:tcPr>
            <w:tcW w:w="1701" w:type="dxa"/>
            <w:noWrap/>
            <w:vAlign w:val="center"/>
          </w:tcPr>
          <w:p w14:paraId="15DA3A3D">
            <w:pPr>
              <w:pStyle w:val="34"/>
              <w:rPr>
                <w:rFonts w:hint="eastAsia"/>
              </w:rPr>
            </w:pPr>
            <w:r>
              <w:rPr>
                <w:rFonts w:hint="eastAsia"/>
              </w:rPr>
              <w:t>医院计发审核</w:t>
            </w:r>
          </w:p>
        </w:tc>
        <w:tc>
          <w:tcPr>
            <w:tcW w:w="5815" w:type="dxa"/>
            <w:noWrap w:val="0"/>
            <w:vAlign w:val="center"/>
          </w:tcPr>
          <w:p w14:paraId="104E663B">
            <w:pPr>
              <w:pStyle w:val="34"/>
              <w:rPr>
                <w:rFonts w:hint="eastAsia"/>
              </w:rPr>
            </w:pPr>
            <w:r>
              <w:rPr>
                <w:rFonts w:hint="eastAsia"/>
              </w:rPr>
              <w:t>对医院发放项目及金额进行审核</w:t>
            </w:r>
          </w:p>
        </w:tc>
      </w:tr>
      <w:tr w14:paraId="314E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restart"/>
            <w:noWrap/>
            <w:vAlign w:val="center"/>
          </w:tcPr>
          <w:p w14:paraId="58470F19">
            <w:pPr>
              <w:pStyle w:val="34"/>
              <w:rPr>
                <w:rFonts w:hint="eastAsia"/>
              </w:rPr>
            </w:pPr>
            <w:r>
              <w:rPr>
                <w:rFonts w:hint="eastAsia"/>
              </w:rPr>
              <w:t>专项绩效评价</w:t>
            </w:r>
          </w:p>
        </w:tc>
        <w:tc>
          <w:tcPr>
            <w:tcW w:w="1701" w:type="dxa"/>
            <w:noWrap/>
            <w:vAlign w:val="center"/>
          </w:tcPr>
          <w:p w14:paraId="3BF420DB">
            <w:pPr>
              <w:pStyle w:val="34"/>
              <w:rPr>
                <w:rFonts w:hint="eastAsia"/>
              </w:rPr>
            </w:pPr>
            <w:r>
              <w:rPr>
                <w:rFonts w:hint="eastAsia"/>
              </w:rPr>
              <w:t>专项绩效查询</w:t>
            </w:r>
          </w:p>
        </w:tc>
        <w:tc>
          <w:tcPr>
            <w:tcW w:w="5815" w:type="dxa"/>
            <w:noWrap w:val="0"/>
            <w:vAlign w:val="center"/>
          </w:tcPr>
          <w:p w14:paraId="1DEDC606">
            <w:pPr>
              <w:pStyle w:val="34"/>
              <w:rPr>
                <w:rFonts w:hint="eastAsia"/>
              </w:rPr>
            </w:pPr>
            <w:r>
              <w:rPr>
                <w:rFonts w:hint="eastAsia"/>
              </w:rPr>
              <w:t>查询各项专项绩效的结果，并进行归档</w:t>
            </w:r>
          </w:p>
        </w:tc>
      </w:tr>
      <w:tr w14:paraId="3A8D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ign w:val="center"/>
          </w:tcPr>
          <w:p w14:paraId="30CB5458">
            <w:pPr>
              <w:pStyle w:val="34"/>
              <w:rPr>
                <w:rFonts w:hint="eastAsia"/>
              </w:rPr>
            </w:pPr>
          </w:p>
        </w:tc>
        <w:tc>
          <w:tcPr>
            <w:tcW w:w="1701" w:type="dxa"/>
            <w:noWrap/>
            <w:vAlign w:val="center"/>
          </w:tcPr>
          <w:p w14:paraId="4BC4991E">
            <w:pPr>
              <w:pStyle w:val="34"/>
              <w:rPr>
                <w:rFonts w:hint="eastAsia"/>
              </w:rPr>
            </w:pPr>
            <w:r>
              <w:rPr>
                <w:rFonts w:hint="eastAsia"/>
              </w:rPr>
              <w:t>专项绩效管理</w:t>
            </w:r>
          </w:p>
        </w:tc>
        <w:tc>
          <w:tcPr>
            <w:tcW w:w="5815" w:type="dxa"/>
            <w:noWrap w:val="0"/>
            <w:vAlign w:val="center"/>
          </w:tcPr>
          <w:p w14:paraId="60B8495D">
            <w:pPr>
              <w:pStyle w:val="34"/>
              <w:rPr>
                <w:rFonts w:hint="eastAsia"/>
              </w:rPr>
            </w:pPr>
            <w:r>
              <w:rPr>
                <w:rFonts w:hint="eastAsia"/>
              </w:rPr>
              <w:t>管理各项专项绩效，包括新增、数据配置</w:t>
            </w:r>
          </w:p>
        </w:tc>
      </w:tr>
      <w:tr w14:paraId="34D8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ign w:val="center"/>
          </w:tcPr>
          <w:p w14:paraId="39D77F77">
            <w:pPr>
              <w:pStyle w:val="34"/>
              <w:rPr>
                <w:rFonts w:hint="eastAsia"/>
              </w:rPr>
            </w:pPr>
          </w:p>
        </w:tc>
        <w:tc>
          <w:tcPr>
            <w:tcW w:w="1701" w:type="dxa"/>
            <w:noWrap/>
            <w:vAlign w:val="center"/>
          </w:tcPr>
          <w:p w14:paraId="775B4B89">
            <w:pPr>
              <w:pStyle w:val="34"/>
              <w:rPr>
                <w:rFonts w:hint="eastAsia"/>
              </w:rPr>
            </w:pPr>
            <w:r>
              <w:rPr>
                <w:rFonts w:hint="eastAsia"/>
              </w:rPr>
              <w:t>参数维护</w:t>
            </w:r>
          </w:p>
        </w:tc>
        <w:tc>
          <w:tcPr>
            <w:tcW w:w="5815" w:type="dxa"/>
            <w:noWrap w:val="0"/>
            <w:vAlign w:val="center"/>
          </w:tcPr>
          <w:p w14:paraId="22A501ED">
            <w:pPr>
              <w:pStyle w:val="34"/>
              <w:rPr>
                <w:rFonts w:hint="eastAsia"/>
              </w:rPr>
            </w:pPr>
            <w:r>
              <w:rPr>
                <w:rFonts w:hint="eastAsia"/>
              </w:rPr>
              <w:t>维护核算专项绩效的各项参数</w:t>
            </w:r>
          </w:p>
        </w:tc>
      </w:tr>
      <w:tr w14:paraId="3D60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restart"/>
            <w:noWrap/>
            <w:vAlign w:val="center"/>
          </w:tcPr>
          <w:p w14:paraId="030DE3C3">
            <w:pPr>
              <w:pStyle w:val="34"/>
              <w:rPr>
                <w:rFonts w:hint="eastAsia"/>
              </w:rPr>
            </w:pPr>
            <w:r>
              <w:rPr>
                <w:rFonts w:hint="eastAsia"/>
              </w:rPr>
              <w:t>成本数据</w:t>
            </w:r>
          </w:p>
        </w:tc>
        <w:tc>
          <w:tcPr>
            <w:tcW w:w="1701" w:type="dxa"/>
            <w:noWrap/>
            <w:vAlign w:val="center"/>
          </w:tcPr>
          <w:p w14:paraId="7E3CC5D2">
            <w:pPr>
              <w:pStyle w:val="34"/>
              <w:rPr>
                <w:rFonts w:hint="eastAsia"/>
              </w:rPr>
            </w:pPr>
            <w:r>
              <w:rPr>
                <w:rFonts w:hint="eastAsia"/>
              </w:rPr>
              <w:t>成本科目维护</w:t>
            </w:r>
          </w:p>
        </w:tc>
        <w:tc>
          <w:tcPr>
            <w:tcW w:w="5815" w:type="dxa"/>
            <w:noWrap w:val="0"/>
            <w:vAlign w:val="center"/>
          </w:tcPr>
          <w:p w14:paraId="442DF43F">
            <w:pPr>
              <w:pStyle w:val="34"/>
              <w:rPr>
                <w:rFonts w:hint="eastAsia"/>
              </w:rPr>
            </w:pPr>
            <w:r>
              <w:rPr>
                <w:rFonts w:hint="eastAsia"/>
              </w:rPr>
              <w:t>设置成本科目字典</w:t>
            </w:r>
          </w:p>
        </w:tc>
      </w:tr>
      <w:tr w14:paraId="2AEE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65735CF3">
            <w:pPr>
              <w:pStyle w:val="34"/>
              <w:rPr>
                <w:rFonts w:hint="eastAsia"/>
              </w:rPr>
            </w:pPr>
          </w:p>
        </w:tc>
        <w:tc>
          <w:tcPr>
            <w:tcW w:w="1701" w:type="dxa"/>
            <w:noWrap/>
            <w:vAlign w:val="center"/>
          </w:tcPr>
          <w:p w14:paraId="1610C703">
            <w:pPr>
              <w:pStyle w:val="34"/>
              <w:rPr>
                <w:rFonts w:hint="eastAsia"/>
              </w:rPr>
            </w:pPr>
            <w:r>
              <w:rPr>
                <w:rFonts w:hint="eastAsia"/>
              </w:rPr>
              <w:t>成本数据管理</w:t>
            </w:r>
          </w:p>
        </w:tc>
        <w:tc>
          <w:tcPr>
            <w:tcW w:w="5815" w:type="dxa"/>
            <w:noWrap w:val="0"/>
            <w:vAlign w:val="center"/>
          </w:tcPr>
          <w:p w14:paraId="6858FC53">
            <w:pPr>
              <w:pStyle w:val="34"/>
              <w:rPr>
                <w:rFonts w:hint="eastAsia"/>
              </w:rPr>
            </w:pPr>
            <w:r>
              <w:rPr>
                <w:rFonts w:hint="eastAsia"/>
              </w:rPr>
              <w:t>成本数据录入、导入、导出</w:t>
            </w:r>
          </w:p>
        </w:tc>
      </w:tr>
      <w:tr w14:paraId="5C08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4933D87B">
            <w:pPr>
              <w:pStyle w:val="34"/>
              <w:rPr>
                <w:rFonts w:hint="eastAsia"/>
              </w:rPr>
            </w:pPr>
          </w:p>
        </w:tc>
        <w:tc>
          <w:tcPr>
            <w:tcW w:w="1701" w:type="dxa"/>
            <w:noWrap/>
            <w:vAlign w:val="center"/>
          </w:tcPr>
          <w:p w14:paraId="2F8F5587">
            <w:pPr>
              <w:pStyle w:val="34"/>
              <w:rPr>
                <w:rFonts w:hint="eastAsia"/>
              </w:rPr>
            </w:pPr>
            <w:r>
              <w:rPr>
                <w:rFonts w:hint="eastAsia"/>
              </w:rPr>
              <w:t>成本数据审核</w:t>
            </w:r>
          </w:p>
        </w:tc>
        <w:tc>
          <w:tcPr>
            <w:tcW w:w="5815" w:type="dxa"/>
            <w:noWrap w:val="0"/>
            <w:vAlign w:val="center"/>
          </w:tcPr>
          <w:p w14:paraId="2C636CAD">
            <w:pPr>
              <w:pStyle w:val="34"/>
              <w:rPr>
                <w:rFonts w:hint="eastAsia"/>
              </w:rPr>
            </w:pPr>
            <w:r>
              <w:rPr>
                <w:rFonts w:hint="eastAsia"/>
              </w:rPr>
              <w:t>对成本数据审核或驳回</w:t>
            </w:r>
          </w:p>
        </w:tc>
      </w:tr>
      <w:tr w14:paraId="0C3C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restart"/>
            <w:noWrap/>
            <w:vAlign w:val="center"/>
          </w:tcPr>
          <w:p w14:paraId="532E4ED2">
            <w:pPr>
              <w:pStyle w:val="34"/>
              <w:rPr>
                <w:rFonts w:hint="eastAsia"/>
              </w:rPr>
            </w:pPr>
            <w:r>
              <w:rPr>
                <w:rFonts w:hint="eastAsia"/>
              </w:rPr>
              <w:t>指标管理</w:t>
            </w:r>
          </w:p>
        </w:tc>
        <w:tc>
          <w:tcPr>
            <w:tcW w:w="1701" w:type="dxa"/>
            <w:noWrap/>
            <w:vAlign w:val="center"/>
          </w:tcPr>
          <w:p w14:paraId="005AC6FB">
            <w:pPr>
              <w:pStyle w:val="34"/>
              <w:rPr>
                <w:rFonts w:hint="eastAsia"/>
              </w:rPr>
            </w:pPr>
            <w:r>
              <w:rPr>
                <w:rFonts w:hint="eastAsia"/>
              </w:rPr>
              <w:t>指标管理</w:t>
            </w:r>
          </w:p>
        </w:tc>
        <w:tc>
          <w:tcPr>
            <w:tcW w:w="5815" w:type="dxa"/>
            <w:noWrap w:val="0"/>
            <w:vAlign w:val="center"/>
          </w:tcPr>
          <w:p w14:paraId="741AA783">
            <w:pPr>
              <w:pStyle w:val="34"/>
              <w:rPr>
                <w:rFonts w:hint="eastAsia"/>
              </w:rPr>
            </w:pPr>
            <w:r>
              <w:rPr>
                <w:rFonts w:hint="eastAsia"/>
              </w:rPr>
              <w:t>KPI指标模板的维护、指标分配到科室</w:t>
            </w:r>
          </w:p>
        </w:tc>
      </w:tr>
      <w:tr w14:paraId="3907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588A6F58">
            <w:pPr>
              <w:pStyle w:val="34"/>
              <w:rPr>
                <w:rFonts w:hint="eastAsia"/>
              </w:rPr>
            </w:pPr>
          </w:p>
        </w:tc>
        <w:tc>
          <w:tcPr>
            <w:tcW w:w="1701" w:type="dxa"/>
            <w:noWrap/>
            <w:vAlign w:val="center"/>
          </w:tcPr>
          <w:p w14:paraId="692DBB77">
            <w:pPr>
              <w:pStyle w:val="34"/>
              <w:rPr>
                <w:rFonts w:hint="eastAsia"/>
              </w:rPr>
            </w:pPr>
            <w:r>
              <w:rPr>
                <w:rFonts w:hint="eastAsia"/>
              </w:rPr>
              <w:t>目标值管理</w:t>
            </w:r>
          </w:p>
        </w:tc>
        <w:tc>
          <w:tcPr>
            <w:tcW w:w="5815" w:type="dxa"/>
            <w:noWrap w:val="0"/>
            <w:vAlign w:val="center"/>
          </w:tcPr>
          <w:p w14:paraId="253C50B8">
            <w:pPr>
              <w:pStyle w:val="34"/>
              <w:rPr>
                <w:rFonts w:hint="eastAsia"/>
              </w:rPr>
            </w:pPr>
            <w:r>
              <w:rPr>
                <w:rFonts w:hint="eastAsia"/>
              </w:rPr>
              <w:t>维护不同核算单元的指标的目标值</w:t>
            </w:r>
          </w:p>
        </w:tc>
      </w:tr>
      <w:tr w14:paraId="1418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198188C5">
            <w:pPr>
              <w:pStyle w:val="34"/>
              <w:rPr>
                <w:rFonts w:hint="eastAsia"/>
              </w:rPr>
            </w:pPr>
          </w:p>
        </w:tc>
        <w:tc>
          <w:tcPr>
            <w:tcW w:w="1701" w:type="dxa"/>
            <w:noWrap/>
            <w:vAlign w:val="center"/>
          </w:tcPr>
          <w:p w14:paraId="67DD0ECD">
            <w:pPr>
              <w:pStyle w:val="34"/>
              <w:rPr>
                <w:rFonts w:hint="eastAsia"/>
              </w:rPr>
            </w:pPr>
            <w:r>
              <w:rPr>
                <w:rFonts w:hint="eastAsia"/>
              </w:rPr>
              <w:t>指标录入</w:t>
            </w:r>
          </w:p>
        </w:tc>
        <w:tc>
          <w:tcPr>
            <w:tcW w:w="5815" w:type="dxa"/>
            <w:noWrap w:val="0"/>
            <w:vAlign w:val="center"/>
          </w:tcPr>
          <w:p w14:paraId="5068923B">
            <w:pPr>
              <w:pStyle w:val="34"/>
              <w:rPr>
                <w:rFonts w:hint="eastAsia"/>
              </w:rPr>
            </w:pPr>
            <w:r>
              <w:rPr>
                <w:rFonts w:hint="eastAsia"/>
              </w:rPr>
              <w:t>打分科室为各个核算单元进行打分</w:t>
            </w:r>
          </w:p>
        </w:tc>
      </w:tr>
      <w:tr w14:paraId="0AA4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0D4799E5">
            <w:pPr>
              <w:pStyle w:val="34"/>
              <w:rPr>
                <w:rFonts w:hint="eastAsia"/>
              </w:rPr>
            </w:pPr>
          </w:p>
        </w:tc>
        <w:tc>
          <w:tcPr>
            <w:tcW w:w="1701" w:type="dxa"/>
            <w:noWrap/>
            <w:vAlign w:val="center"/>
          </w:tcPr>
          <w:p w14:paraId="6B175220">
            <w:pPr>
              <w:pStyle w:val="34"/>
              <w:rPr>
                <w:rFonts w:hint="eastAsia"/>
              </w:rPr>
            </w:pPr>
            <w:r>
              <w:rPr>
                <w:rFonts w:hint="eastAsia"/>
              </w:rPr>
              <w:t>得分计算</w:t>
            </w:r>
          </w:p>
        </w:tc>
        <w:tc>
          <w:tcPr>
            <w:tcW w:w="5815" w:type="dxa"/>
            <w:noWrap w:val="0"/>
            <w:vAlign w:val="center"/>
          </w:tcPr>
          <w:p w14:paraId="55CAE009">
            <w:pPr>
              <w:pStyle w:val="34"/>
              <w:rPr>
                <w:rFonts w:hint="eastAsia"/>
              </w:rPr>
            </w:pPr>
            <w:r>
              <w:rPr>
                <w:rFonts w:hint="eastAsia"/>
              </w:rPr>
              <w:t>对打分结果进行审核，并且计算出总分</w:t>
            </w:r>
          </w:p>
        </w:tc>
      </w:tr>
      <w:tr w14:paraId="6288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6E86A562">
            <w:pPr>
              <w:pStyle w:val="34"/>
              <w:rPr>
                <w:rFonts w:hint="eastAsia"/>
              </w:rPr>
            </w:pPr>
          </w:p>
        </w:tc>
        <w:tc>
          <w:tcPr>
            <w:tcW w:w="1701" w:type="dxa"/>
            <w:noWrap/>
            <w:vAlign w:val="center"/>
          </w:tcPr>
          <w:p w14:paraId="1D54564E">
            <w:pPr>
              <w:pStyle w:val="34"/>
              <w:rPr>
                <w:rFonts w:hint="eastAsia"/>
              </w:rPr>
            </w:pPr>
            <w:r>
              <w:rPr>
                <w:rFonts w:hint="eastAsia"/>
              </w:rPr>
              <w:t>得分查询</w:t>
            </w:r>
          </w:p>
        </w:tc>
        <w:tc>
          <w:tcPr>
            <w:tcW w:w="5815" w:type="dxa"/>
            <w:noWrap w:val="0"/>
            <w:vAlign w:val="center"/>
          </w:tcPr>
          <w:p w14:paraId="0C6439C5">
            <w:pPr>
              <w:pStyle w:val="34"/>
              <w:rPr>
                <w:rFonts w:hint="eastAsia"/>
              </w:rPr>
            </w:pPr>
            <w:r>
              <w:rPr>
                <w:rFonts w:hint="eastAsia"/>
              </w:rPr>
              <w:t>科室查询各自KPI的目标值、考核值以及对应得分</w:t>
            </w:r>
          </w:p>
        </w:tc>
      </w:tr>
      <w:tr w14:paraId="193F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restart"/>
            <w:noWrap/>
            <w:vAlign w:val="center"/>
          </w:tcPr>
          <w:p w14:paraId="3FF44259">
            <w:pPr>
              <w:pStyle w:val="34"/>
              <w:rPr>
                <w:rFonts w:hint="eastAsia"/>
              </w:rPr>
            </w:pPr>
            <w:r>
              <w:rPr>
                <w:rFonts w:hint="eastAsia"/>
              </w:rPr>
              <w:t>人事信息</w:t>
            </w:r>
          </w:p>
        </w:tc>
        <w:tc>
          <w:tcPr>
            <w:tcW w:w="1701" w:type="dxa"/>
            <w:noWrap/>
            <w:vAlign w:val="center"/>
          </w:tcPr>
          <w:p w14:paraId="16F31075">
            <w:pPr>
              <w:pStyle w:val="34"/>
              <w:rPr>
                <w:rFonts w:hint="eastAsia"/>
              </w:rPr>
            </w:pPr>
            <w:r>
              <w:rPr>
                <w:rFonts w:hint="eastAsia"/>
              </w:rPr>
              <w:t>员工信息管理</w:t>
            </w:r>
          </w:p>
        </w:tc>
        <w:tc>
          <w:tcPr>
            <w:tcW w:w="5815" w:type="dxa"/>
            <w:noWrap w:val="0"/>
            <w:vAlign w:val="center"/>
          </w:tcPr>
          <w:p w14:paraId="7B35BBD7">
            <w:pPr>
              <w:pStyle w:val="34"/>
              <w:rPr>
                <w:rFonts w:hint="eastAsia"/>
              </w:rPr>
            </w:pPr>
            <w:r>
              <w:rPr>
                <w:rFonts w:hint="eastAsia"/>
              </w:rPr>
              <w:t>全院员工个人信息的维护，可设置其对应HIS工号等</w:t>
            </w:r>
          </w:p>
        </w:tc>
      </w:tr>
      <w:tr w14:paraId="1E8B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5E96FD79">
            <w:pPr>
              <w:pStyle w:val="34"/>
              <w:rPr>
                <w:rFonts w:hint="eastAsia"/>
              </w:rPr>
            </w:pPr>
          </w:p>
        </w:tc>
        <w:tc>
          <w:tcPr>
            <w:tcW w:w="1701" w:type="dxa"/>
            <w:noWrap/>
            <w:vAlign w:val="center"/>
          </w:tcPr>
          <w:p w14:paraId="18EEFED1">
            <w:pPr>
              <w:pStyle w:val="34"/>
              <w:rPr>
                <w:rFonts w:hint="eastAsia"/>
              </w:rPr>
            </w:pPr>
            <w:r>
              <w:rPr>
                <w:rFonts w:hint="eastAsia"/>
              </w:rPr>
              <w:t>员工月查询</w:t>
            </w:r>
          </w:p>
        </w:tc>
        <w:tc>
          <w:tcPr>
            <w:tcW w:w="5815" w:type="dxa"/>
            <w:noWrap w:val="0"/>
            <w:vAlign w:val="center"/>
          </w:tcPr>
          <w:p w14:paraId="40F7142F">
            <w:pPr>
              <w:pStyle w:val="34"/>
              <w:rPr>
                <w:rFonts w:hint="eastAsia"/>
              </w:rPr>
            </w:pPr>
            <w:r>
              <w:rPr>
                <w:rFonts w:hint="eastAsia"/>
              </w:rPr>
              <w:t>按月归档员工信息的查询</w:t>
            </w:r>
          </w:p>
        </w:tc>
      </w:tr>
      <w:tr w14:paraId="1477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14CB0575">
            <w:pPr>
              <w:pStyle w:val="34"/>
              <w:rPr>
                <w:rFonts w:hint="eastAsia"/>
              </w:rPr>
            </w:pPr>
          </w:p>
        </w:tc>
        <w:tc>
          <w:tcPr>
            <w:tcW w:w="1701" w:type="dxa"/>
            <w:noWrap/>
            <w:vAlign w:val="center"/>
          </w:tcPr>
          <w:p w14:paraId="50F03BE3">
            <w:pPr>
              <w:pStyle w:val="34"/>
              <w:rPr>
                <w:rFonts w:hint="eastAsia"/>
              </w:rPr>
            </w:pPr>
            <w:r>
              <w:rPr>
                <w:rFonts w:hint="eastAsia"/>
              </w:rPr>
              <w:t>岗位字典</w:t>
            </w:r>
          </w:p>
        </w:tc>
        <w:tc>
          <w:tcPr>
            <w:tcW w:w="5815" w:type="dxa"/>
            <w:noWrap w:val="0"/>
            <w:vAlign w:val="center"/>
          </w:tcPr>
          <w:p w14:paraId="43D17F6E">
            <w:pPr>
              <w:pStyle w:val="34"/>
              <w:rPr>
                <w:rFonts w:hint="eastAsia"/>
              </w:rPr>
            </w:pPr>
            <w:r>
              <w:rPr>
                <w:rFonts w:hint="eastAsia"/>
              </w:rPr>
              <w:t>设置院内岗位字典，以及对应积分</w:t>
            </w:r>
          </w:p>
        </w:tc>
      </w:tr>
      <w:tr w14:paraId="355E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602812D2">
            <w:pPr>
              <w:pStyle w:val="34"/>
              <w:rPr>
                <w:rFonts w:hint="eastAsia"/>
              </w:rPr>
            </w:pPr>
          </w:p>
        </w:tc>
        <w:tc>
          <w:tcPr>
            <w:tcW w:w="1701" w:type="dxa"/>
            <w:noWrap/>
            <w:vAlign w:val="center"/>
          </w:tcPr>
          <w:p w14:paraId="7ADAF05D">
            <w:pPr>
              <w:pStyle w:val="34"/>
              <w:rPr>
                <w:rFonts w:hint="eastAsia"/>
              </w:rPr>
            </w:pPr>
            <w:r>
              <w:rPr>
                <w:rFonts w:hint="eastAsia"/>
              </w:rPr>
              <w:t>职称字典</w:t>
            </w:r>
          </w:p>
        </w:tc>
        <w:tc>
          <w:tcPr>
            <w:tcW w:w="5815" w:type="dxa"/>
            <w:noWrap w:val="0"/>
            <w:vAlign w:val="center"/>
          </w:tcPr>
          <w:p w14:paraId="6D0EA4B0">
            <w:pPr>
              <w:pStyle w:val="34"/>
              <w:rPr>
                <w:rFonts w:hint="eastAsia"/>
              </w:rPr>
            </w:pPr>
            <w:r>
              <w:rPr>
                <w:rFonts w:hint="eastAsia"/>
              </w:rPr>
              <w:t>设置院内职称字典，以及对应积分</w:t>
            </w:r>
          </w:p>
        </w:tc>
      </w:tr>
      <w:tr w14:paraId="14DA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615BDE2F">
            <w:pPr>
              <w:pStyle w:val="34"/>
              <w:rPr>
                <w:rFonts w:hint="eastAsia"/>
              </w:rPr>
            </w:pPr>
          </w:p>
        </w:tc>
        <w:tc>
          <w:tcPr>
            <w:tcW w:w="1701" w:type="dxa"/>
            <w:noWrap/>
            <w:vAlign w:val="center"/>
          </w:tcPr>
          <w:p w14:paraId="1EC23EBD">
            <w:pPr>
              <w:pStyle w:val="34"/>
              <w:rPr>
                <w:rFonts w:hint="eastAsia"/>
              </w:rPr>
            </w:pPr>
            <w:r>
              <w:rPr>
                <w:rFonts w:hint="eastAsia"/>
              </w:rPr>
              <w:t>行政职务字典</w:t>
            </w:r>
          </w:p>
        </w:tc>
        <w:tc>
          <w:tcPr>
            <w:tcW w:w="5815" w:type="dxa"/>
            <w:noWrap w:val="0"/>
            <w:vAlign w:val="center"/>
          </w:tcPr>
          <w:p w14:paraId="0A7541FC">
            <w:pPr>
              <w:pStyle w:val="34"/>
              <w:rPr>
                <w:rFonts w:hint="eastAsia"/>
              </w:rPr>
            </w:pPr>
            <w:r>
              <w:rPr>
                <w:rFonts w:hint="eastAsia"/>
              </w:rPr>
              <w:t>设置院内行政职务字典，以及对应积分</w:t>
            </w:r>
          </w:p>
        </w:tc>
      </w:tr>
      <w:tr w14:paraId="6DA5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5C3EBFF5">
            <w:pPr>
              <w:pStyle w:val="34"/>
              <w:rPr>
                <w:rFonts w:hint="eastAsia"/>
              </w:rPr>
            </w:pPr>
          </w:p>
        </w:tc>
        <w:tc>
          <w:tcPr>
            <w:tcW w:w="1701" w:type="dxa"/>
            <w:noWrap/>
            <w:vAlign w:val="center"/>
          </w:tcPr>
          <w:p w14:paraId="7F7555F9">
            <w:pPr>
              <w:pStyle w:val="34"/>
              <w:rPr>
                <w:rFonts w:hint="eastAsia"/>
              </w:rPr>
            </w:pPr>
            <w:r>
              <w:rPr>
                <w:rFonts w:hint="eastAsia"/>
              </w:rPr>
              <w:t>护理能级字典</w:t>
            </w:r>
          </w:p>
        </w:tc>
        <w:tc>
          <w:tcPr>
            <w:tcW w:w="5815" w:type="dxa"/>
            <w:noWrap w:val="0"/>
            <w:vAlign w:val="center"/>
          </w:tcPr>
          <w:p w14:paraId="3B0F1B3A">
            <w:pPr>
              <w:pStyle w:val="34"/>
              <w:rPr>
                <w:rFonts w:hint="eastAsia"/>
              </w:rPr>
            </w:pPr>
            <w:r>
              <w:rPr>
                <w:rFonts w:hint="eastAsia"/>
              </w:rPr>
              <w:t>设置院内护理能级字典，以及对应积分</w:t>
            </w:r>
          </w:p>
        </w:tc>
      </w:tr>
      <w:tr w14:paraId="0668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2772FAAB">
            <w:pPr>
              <w:pStyle w:val="34"/>
              <w:rPr>
                <w:rFonts w:hint="eastAsia"/>
              </w:rPr>
            </w:pPr>
          </w:p>
        </w:tc>
        <w:tc>
          <w:tcPr>
            <w:tcW w:w="1701" w:type="dxa"/>
            <w:noWrap/>
            <w:vAlign w:val="center"/>
          </w:tcPr>
          <w:p w14:paraId="3FB5FF94">
            <w:pPr>
              <w:pStyle w:val="34"/>
              <w:rPr>
                <w:rFonts w:hint="eastAsia"/>
              </w:rPr>
            </w:pPr>
            <w:r>
              <w:rPr>
                <w:rFonts w:hint="eastAsia"/>
              </w:rPr>
              <w:t>个人职类字典</w:t>
            </w:r>
          </w:p>
        </w:tc>
        <w:tc>
          <w:tcPr>
            <w:tcW w:w="5815" w:type="dxa"/>
            <w:noWrap w:val="0"/>
            <w:vAlign w:val="center"/>
          </w:tcPr>
          <w:p w14:paraId="3450E4BF">
            <w:pPr>
              <w:pStyle w:val="34"/>
              <w:rPr>
                <w:rFonts w:hint="eastAsia"/>
              </w:rPr>
            </w:pPr>
            <w:r>
              <w:rPr>
                <w:rFonts w:hint="eastAsia"/>
              </w:rPr>
              <w:t>设置院内职类序列字典，以及对应积分</w:t>
            </w:r>
          </w:p>
        </w:tc>
      </w:tr>
      <w:tr w14:paraId="4FCF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2BD9D1F0">
            <w:pPr>
              <w:pStyle w:val="34"/>
              <w:rPr>
                <w:rFonts w:hint="eastAsia"/>
              </w:rPr>
            </w:pPr>
          </w:p>
        </w:tc>
        <w:tc>
          <w:tcPr>
            <w:tcW w:w="1701" w:type="dxa"/>
            <w:noWrap/>
            <w:vAlign w:val="center"/>
          </w:tcPr>
          <w:p w14:paraId="06BBA509">
            <w:pPr>
              <w:pStyle w:val="34"/>
              <w:rPr>
                <w:rFonts w:hint="eastAsia"/>
              </w:rPr>
            </w:pPr>
            <w:r>
              <w:rPr>
                <w:rFonts w:hint="eastAsia"/>
              </w:rPr>
              <w:t>学历字典</w:t>
            </w:r>
          </w:p>
        </w:tc>
        <w:tc>
          <w:tcPr>
            <w:tcW w:w="5815" w:type="dxa"/>
            <w:noWrap w:val="0"/>
            <w:vAlign w:val="center"/>
          </w:tcPr>
          <w:p w14:paraId="1DF9647F">
            <w:pPr>
              <w:pStyle w:val="34"/>
              <w:rPr>
                <w:rFonts w:hint="eastAsia"/>
              </w:rPr>
            </w:pPr>
            <w:r>
              <w:rPr>
                <w:rFonts w:hint="eastAsia"/>
              </w:rPr>
              <w:t>设置院内学历字典，以及对应积分</w:t>
            </w:r>
          </w:p>
        </w:tc>
      </w:tr>
      <w:tr w14:paraId="3080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restart"/>
            <w:noWrap/>
            <w:vAlign w:val="center"/>
          </w:tcPr>
          <w:p w14:paraId="09D229EB">
            <w:pPr>
              <w:pStyle w:val="34"/>
              <w:rPr>
                <w:rFonts w:hint="eastAsia"/>
              </w:rPr>
            </w:pPr>
            <w:r>
              <w:rPr>
                <w:rFonts w:hint="eastAsia"/>
              </w:rPr>
              <w:t>组织架构管理</w:t>
            </w:r>
          </w:p>
        </w:tc>
        <w:tc>
          <w:tcPr>
            <w:tcW w:w="1701" w:type="dxa"/>
            <w:noWrap/>
            <w:vAlign w:val="center"/>
          </w:tcPr>
          <w:p w14:paraId="333B1F61">
            <w:pPr>
              <w:pStyle w:val="34"/>
              <w:rPr>
                <w:rFonts w:hint="eastAsia"/>
              </w:rPr>
            </w:pPr>
            <w:r>
              <w:rPr>
                <w:rFonts w:hint="eastAsia"/>
              </w:rPr>
              <w:t>核算单元管理</w:t>
            </w:r>
          </w:p>
        </w:tc>
        <w:tc>
          <w:tcPr>
            <w:tcW w:w="5815" w:type="dxa"/>
            <w:noWrap w:val="0"/>
            <w:vAlign w:val="center"/>
          </w:tcPr>
          <w:p w14:paraId="1241F8A8">
            <w:pPr>
              <w:pStyle w:val="34"/>
              <w:rPr>
                <w:rFonts w:hint="eastAsia"/>
              </w:rPr>
            </w:pPr>
            <w:r>
              <w:rPr>
                <w:rFonts w:hint="eastAsia"/>
              </w:rPr>
              <w:t>绩效核算单元的设置，并建立绩效核算单元与HIS科室的映射关系</w:t>
            </w:r>
          </w:p>
        </w:tc>
      </w:tr>
      <w:tr w14:paraId="6490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Merge w:val="continue"/>
            <w:noWrap w:val="0"/>
            <w:vAlign w:val="center"/>
          </w:tcPr>
          <w:p w14:paraId="2DE21229">
            <w:pPr>
              <w:pStyle w:val="34"/>
              <w:rPr>
                <w:rFonts w:hint="eastAsia"/>
              </w:rPr>
            </w:pPr>
          </w:p>
        </w:tc>
        <w:tc>
          <w:tcPr>
            <w:tcW w:w="1701" w:type="dxa"/>
            <w:noWrap/>
            <w:vAlign w:val="center"/>
          </w:tcPr>
          <w:p w14:paraId="4764BF81">
            <w:pPr>
              <w:pStyle w:val="34"/>
              <w:rPr>
                <w:rFonts w:hint="eastAsia"/>
              </w:rPr>
            </w:pPr>
            <w:r>
              <w:rPr>
                <w:rFonts w:hint="eastAsia"/>
              </w:rPr>
              <w:t>发放单元管理</w:t>
            </w:r>
          </w:p>
        </w:tc>
        <w:tc>
          <w:tcPr>
            <w:tcW w:w="5815" w:type="dxa"/>
            <w:noWrap w:val="0"/>
            <w:vAlign w:val="center"/>
          </w:tcPr>
          <w:p w14:paraId="7FE264BC">
            <w:pPr>
              <w:pStyle w:val="34"/>
              <w:rPr>
                <w:rFonts w:hint="eastAsia"/>
              </w:rPr>
            </w:pPr>
            <w:r>
              <w:rPr>
                <w:rFonts w:hint="eastAsia"/>
              </w:rPr>
              <w:t>在核算单元上层设置发放单元，并建立发放单元与绩效核算单元的从属关系</w:t>
            </w:r>
          </w:p>
        </w:tc>
      </w:tr>
      <w:tr w14:paraId="0802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Merge w:val="continue"/>
            <w:noWrap w:val="0"/>
            <w:vAlign w:val="center"/>
          </w:tcPr>
          <w:p w14:paraId="187C4AF4">
            <w:pPr>
              <w:pStyle w:val="34"/>
              <w:rPr>
                <w:rFonts w:hint="eastAsia"/>
              </w:rPr>
            </w:pPr>
          </w:p>
        </w:tc>
        <w:tc>
          <w:tcPr>
            <w:tcW w:w="1701" w:type="dxa"/>
            <w:noWrap/>
            <w:vAlign w:val="center"/>
          </w:tcPr>
          <w:p w14:paraId="3D9B4823">
            <w:pPr>
              <w:pStyle w:val="34"/>
              <w:rPr>
                <w:rFonts w:hint="eastAsia"/>
              </w:rPr>
            </w:pPr>
            <w:r>
              <w:rPr>
                <w:rFonts w:hint="eastAsia"/>
              </w:rPr>
              <w:t>科室管理</w:t>
            </w:r>
          </w:p>
        </w:tc>
        <w:tc>
          <w:tcPr>
            <w:tcW w:w="5815" w:type="dxa"/>
            <w:noWrap w:val="0"/>
            <w:vAlign w:val="center"/>
          </w:tcPr>
          <w:p w14:paraId="008C08AB">
            <w:pPr>
              <w:pStyle w:val="34"/>
              <w:rPr>
                <w:rFonts w:hint="eastAsia"/>
              </w:rPr>
            </w:pPr>
            <w:r>
              <w:rPr>
                <w:rFonts w:hint="eastAsia"/>
              </w:rPr>
              <w:t>按照院内科室级别设置，创建科室字典，并建立科室与绩效核算单元的映射关系</w:t>
            </w:r>
          </w:p>
        </w:tc>
      </w:tr>
      <w:tr w14:paraId="48C5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Merge w:val="continue"/>
            <w:noWrap w:val="0"/>
            <w:vAlign w:val="center"/>
          </w:tcPr>
          <w:p w14:paraId="2EFB538C">
            <w:pPr>
              <w:pStyle w:val="34"/>
              <w:rPr>
                <w:rFonts w:hint="eastAsia"/>
              </w:rPr>
            </w:pPr>
          </w:p>
        </w:tc>
        <w:tc>
          <w:tcPr>
            <w:tcW w:w="1701" w:type="dxa"/>
            <w:noWrap/>
            <w:vAlign w:val="center"/>
          </w:tcPr>
          <w:p w14:paraId="30A2A9CB">
            <w:pPr>
              <w:pStyle w:val="34"/>
              <w:rPr>
                <w:rFonts w:hint="eastAsia"/>
              </w:rPr>
            </w:pPr>
            <w:r>
              <w:rPr>
                <w:rFonts w:hint="eastAsia"/>
              </w:rPr>
              <w:t>医疗组管理</w:t>
            </w:r>
          </w:p>
        </w:tc>
        <w:tc>
          <w:tcPr>
            <w:tcW w:w="5815" w:type="dxa"/>
            <w:noWrap w:val="0"/>
            <w:vAlign w:val="center"/>
          </w:tcPr>
          <w:p w14:paraId="4FC2F87C">
            <w:pPr>
              <w:pStyle w:val="34"/>
              <w:rPr>
                <w:rFonts w:hint="eastAsia"/>
              </w:rPr>
            </w:pPr>
            <w:r>
              <w:rPr>
                <w:rFonts w:hint="eastAsia"/>
              </w:rPr>
              <w:t>设置全部医疗组，并建立医疗组和科室、绩效核算单元的映射关系</w:t>
            </w:r>
          </w:p>
        </w:tc>
      </w:tr>
      <w:tr w14:paraId="164F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Merge w:val="continue"/>
            <w:noWrap w:val="0"/>
            <w:vAlign w:val="center"/>
          </w:tcPr>
          <w:p w14:paraId="6B08C1C5">
            <w:pPr>
              <w:pStyle w:val="34"/>
              <w:rPr>
                <w:rFonts w:hint="eastAsia"/>
              </w:rPr>
            </w:pPr>
          </w:p>
        </w:tc>
        <w:tc>
          <w:tcPr>
            <w:tcW w:w="1701" w:type="dxa"/>
            <w:noWrap/>
            <w:vAlign w:val="center"/>
          </w:tcPr>
          <w:p w14:paraId="21CD05EC">
            <w:pPr>
              <w:pStyle w:val="34"/>
              <w:rPr>
                <w:rFonts w:hint="eastAsia"/>
              </w:rPr>
            </w:pPr>
            <w:r>
              <w:rPr>
                <w:rFonts w:hint="eastAsia"/>
              </w:rPr>
              <w:t>成本科室管理</w:t>
            </w:r>
          </w:p>
        </w:tc>
        <w:tc>
          <w:tcPr>
            <w:tcW w:w="5815" w:type="dxa"/>
            <w:noWrap w:val="0"/>
            <w:vAlign w:val="center"/>
          </w:tcPr>
          <w:p w14:paraId="18A4AB0D">
            <w:pPr>
              <w:pStyle w:val="34"/>
              <w:rPr>
                <w:rFonts w:hint="eastAsia"/>
              </w:rPr>
            </w:pPr>
            <w:r>
              <w:rPr>
                <w:rFonts w:hint="eastAsia"/>
              </w:rPr>
              <w:t>设置医院原有财务或成本的组织结构，并建立与绩效核算单元的映射关系</w:t>
            </w:r>
          </w:p>
        </w:tc>
      </w:tr>
      <w:tr w14:paraId="63AE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noWrap/>
            <w:vAlign w:val="center"/>
          </w:tcPr>
          <w:p w14:paraId="43250B0A">
            <w:pPr>
              <w:pStyle w:val="34"/>
              <w:rPr>
                <w:rFonts w:hint="eastAsia"/>
              </w:rPr>
            </w:pPr>
            <w:r>
              <w:rPr>
                <w:rFonts w:hint="eastAsia"/>
              </w:rPr>
              <w:t>排班管理</w:t>
            </w:r>
          </w:p>
        </w:tc>
        <w:tc>
          <w:tcPr>
            <w:tcW w:w="1701" w:type="dxa"/>
            <w:noWrap/>
            <w:vAlign w:val="center"/>
          </w:tcPr>
          <w:p w14:paraId="0BD04E3A">
            <w:pPr>
              <w:pStyle w:val="34"/>
              <w:rPr>
                <w:rFonts w:hint="eastAsia"/>
              </w:rPr>
            </w:pPr>
            <w:r>
              <w:rPr>
                <w:rFonts w:hint="eastAsia"/>
              </w:rPr>
              <w:t>节假日维护</w:t>
            </w:r>
          </w:p>
        </w:tc>
        <w:tc>
          <w:tcPr>
            <w:tcW w:w="5815" w:type="dxa"/>
            <w:noWrap w:val="0"/>
            <w:vAlign w:val="center"/>
          </w:tcPr>
          <w:p w14:paraId="54ED9BC4">
            <w:pPr>
              <w:pStyle w:val="34"/>
              <w:rPr>
                <w:rFonts w:hint="eastAsia"/>
              </w:rPr>
            </w:pPr>
            <w:r>
              <w:rPr>
                <w:rFonts w:hint="eastAsia"/>
              </w:rPr>
              <w:t>定义院内的工作日和节假日日历</w:t>
            </w:r>
          </w:p>
        </w:tc>
      </w:tr>
      <w:tr w14:paraId="5A0F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Merge w:val="restart"/>
            <w:noWrap/>
            <w:vAlign w:val="center"/>
          </w:tcPr>
          <w:p w14:paraId="45460701">
            <w:pPr>
              <w:pStyle w:val="34"/>
              <w:rPr>
                <w:rFonts w:hint="eastAsia"/>
              </w:rPr>
            </w:pPr>
            <w:r>
              <w:rPr>
                <w:rFonts w:hint="eastAsia"/>
              </w:rPr>
              <w:t>数据汇总分析</w:t>
            </w:r>
          </w:p>
        </w:tc>
        <w:tc>
          <w:tcPr>
            <w:tcW w:w="1701" w:type="dxa"/>
            <w:noWrap/>
            <w:vAlign w:val="center"/>
          </w:tcPr>
          <w:p w14:paraId="11B55437">
            <w:pPr>
              <w:pStyle w:val="34"/>
              <w:rPr>
                <w:rFonts w:hint="eastAsia"/>
              </w:rPr>
            </w:pPr>
            <w:r>
              <w:rPr>
                <w:rFonts w:hint="eastAsia"/>
              </w:rPr>
              <w:t>表格数据分析</w:t>
            </w:r>
          </w:p>
        </w:tc>
        <w:tc>
          <w:tcPr>
            <w:tcW w:w="5815" w:type="dxa"/>
            <w:noWrap w:val="0"/>
            <w:vAlign w:val="center"/>
          </w:tcPr>
          <w:p w14:paraId="2CBAA69B">
            <w:pPr>
              <w:pStyle w:val="34"/>
              <w:rPr>
                <w:rFonts w:hint="eastAsia"/>
              </w:rPr>
            </w:pPr>
            <w:r>
              <w:rPr>
                <w:rFonts w:hint="eastAsia"/>
              </w:rPr>
              <w:t>可对所有后台表格设置查询条件，并进行检索。支持数据导出</w:t>
            </w:r>
          </w:p>
        </w:tc>
      </w:tr>
      <w:tr w14:paraId="1F4B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3A14C789">
            <w:pPr>
              <w:pStyle w:val="34"/>
              <w:rPr>
                <w:rFonts w:hint="eastAsia"/>
              </w:rPr>
            </w:pPr>
          </w:p>
        </w:tc>
        <w:tc>
          <w:tcPr>
            <w:tcW w:w="1701" w:type="dxa"/>
            <w:noWrap/>
            <w:vAlign w:val="center"/>
          </w:tcPr>
          <w:p w14:paraId="01C501E4">
            <w:pPr>
              <w:pStyle w:val="34"/>
              <w:rPr>
                <w:rFonts w:hint="eastAsia"/>
              </w:rPr>
            </w:pPr>
            <w:r>
              <w:rPr>
                <w:rFonts w:hint="eastAsia"/>
              </w:rPr>
              <w:t>数据采集情况</w:t>
            </w:r>
          </w:p>
        </w:tc>
        <w:tc>
          <w:tcPr>
            <w:tcW w:w="5815" w:type="dxa"/>
            <w:noWrap w:val="0"/>
            <w:vAlign w:val="center"/>
          </w:tcPr>
          <w:p w14:paraId="06BEA6E6">
            <w:pPr>
              <w:pStyle w:val="34"/>
              <w:rPr>
                <w:rFonts w:hint="eastAsia"/>
              </w:rPr>
            </w:pPr>
            <w:r>
              <w:rPr>
                <w:rFonts w:hint="eastAsia"/>
              </w:rPr>
              <w:t>监控数据采集的执行情况</w:t>
            </w:r>
          </w:p>
        </w:tc>
      </w:tr>
      <w:tr w14:paraId="73DC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Merge w:val="continue"/>
            <w:noWrap w:val="0"/>
            <w:vAlign w:val="center"/>
          </w:tcPr>
          <w:p w14:paraId="5654B8E9">
            <w:pPr>
              <w:pStyle w:val="34"/>
              <w:rPr>
                <w:rFonts w:hint="eastAsia"/>
              </w:rPr>
            </w:pPr>
          </w:p>
        </w:tc>
        <w:tc>
          <w:tcPr>
            <w:tcW w:w="1701" w:type="dxa"/>
            <w:noWrap/>
            <w:vAlign w:val="center"/>
          </w:tcPr>
          <w:p w14:paraId="4E085B19">
            <w:pPr>
              <w:pStyle w:val="34"/>
              <w:rPr>
                <w:rFonts w:hint="eastAsia"/>
              </w:rPr>
            </w:pPr>
            <w:r>
              <w:rPr>
                <w:rFonts w:hint="eastAsia"/>
              </w:rPr>
              <w:t>表格数据维护</w:t>
            </w:r>
          </w:p>
        </w:tc>
        <w:tc>
          <w:tcPr>
            <w:tcW w:w="5815" w:type="dxa"/>
            <w:noWrap w:val="0"/>
            <w:vAlign w:val="center"/>
          </w:tcPr>
          <w:p w14:paraId="3E22FB2C">
            <w:pPr>
              <w:pStyle w:val="34"/>
              <w:rPr>
                <w:rFonts w:hint="eastAsia"/>
              </w:rPr>
            </w:pPr>
            <w:r>
              <w:rPr>
                <w:rFonts w:hint="eastAsia"/>
              </w:rPr>
              <w:t>依照条件查询某些表格数据，并可直接对数据进行编辑和修改</w:t>
            </w:r>
          </w:p>
        </w:tc>
      </w:tr>
      <w:tr w14:paraId="3C05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Merge w:val="continue"/>
            <w:noWrap w:val="0"/>
            <w:vAlign w:val="center"/>
          </w:tcPr>
          <w:p w14:paraId="49A2CA04">
            <w:pPr>
              <w:pStyle w:val="34"/>
              <w:rPr>
                <w:rFonts w:hint="eastAsia"/>
              </w:rPr>
            </w:pPr>
          </w:p>
        </w:tc>
        <w:tc>
          <w:tcPr>
            <w:tcW w:w="1701" w:type="dxa"/>
            <w:noWrap/>
            <w:vAlign w:val="center"/>
          </w:tcPr>
          <w:p w14:paraId="50FA856D">
            <w:pPr>
              <w:pStyle w:val="34"/>
              <w:rPr>
                <w:rFonts w:hint="eastAsia"/>
              </w:rPr>
            </w:pPr>
            <w:r>
              <w:rPr>
                <w:rFonts w:hint="eastAsia"/>
              </w:rPr>
              <w:t>基础数据归档</w:t>
            </w:r>
          </w:p>
        </w:tc>
        <w:tc>
          <w:tcPr>
            <w:tcW w:w="5815" w:type="dxa"/>
            <w:noWrap w:val="0"/>
            <w:vAlign w:val="center"/>
          </w:tcPr>
          <w:p w14:paraId="308D8694">
            <w:pPr>
              <w:pStyle w:val="34"/>
              <w:rPr>
                <w:rFonts w:hint="eastAsia"/>
              </w:rPr>
            </w:pPr>
            <w:r>
              <w:rPr>
                <w:rFonts w:hint="eastAsia"/>
              </w:rPr>
              <w:t>将指定的基础数据表格按月封存归档</w:t>
            </w:r>
          </w:p>
        </w:tc>
      </w:tr>
      <w:tr w14:paraId="1B53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Merge w:val="continue"/>
            <w:noWrap w:val="0"/>
            <w:vAlign w:val="center"/>
          </w:tcPr>
          <w:p w14:paraId="478FBBA1">
            <w:pPr>
              <w:pStyle w:val="34"/>
              <w:rPr>
                <w:rFonts w:hint="eastAsia"/>
              </w:rPr>
            </w:pPr>
          </w:p>
        </w:tc>
        <w:tc>
          <w:tcPr>
            <w:tcW w:w="1701" w:type="dxa"/>
            <w:noWrap/>
            <w:vAlign w:val="center"/>
          </w:tcPr>
          <w:p w14:paraId="0CA8FCB4">
            <w:pPr>
              <w:pStyle w:val="34"/>
              <w:rPr>
                <w:rFonts w:hint="eastAsia"/>
              </w:rPr>
            </w:pPr>
            <w:r>
              <w:rPr>
                <w:rFonts w:hint="eastAsia"/>
              </w:rPr>
              <w:t>点数明细查询</w:t>
            </w:r>
          </w:p>
        </w:tc>
        <w:tc>
          <w:tcPr>
            <w:tcW w:w="5815" w:type="dxa"/>
            <w:noWrap w:val="0"/>
            <w:vAlign w:val="center"/>
          </w:tcPr>
          <w:p w14:paraId="7529673C">
            <w:pPr>
              <w:pStyle w:val="34"/>
              <w:rPr>
                <w:rFonts w:hint="eastAsia"/>
              </w:rPr>
            </w:pPr>
            <w:r>
              <w:rPr>
                <w:rFonts w:hint="eastAsia"/>
              </w:rPr>
              <w:t>管理部门查询各科室奖金规则的收费明细项，并支持明细数据下载功能</w:t>
            </w:r>
          </w:p>
        </w:tc>
      </w:tr>
      <w:tr w14:paraId="6FB7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4" w:type="dxa"/>
            <w:vMerge w:val="continue"/>
            <w:noWrap w:val="0"/>
            <w:vAlign w:val="center"/>
          </w:tcPr>
          <w:p w14:paraId="02EE57F2">
            <w:pPr>
              <w:pStyle w:val="34"/>
              <w:rPr>
                <w:rFonts w:hint="eastAsia"/>
              </w:rPr>
            </w:pPr>
          </w:p>
        </w:tc>
        <w:tc>
          <w:tcPr>
            <w:tcW w:w="1701" w:type="dxa"/>
            <w:noWrap/>
            <w:vAlign w:val="center"/>
          </w:tcPr>
          <w:p w14:paraId="1FFD8E80">
            <w:pPr>
              <w:pStyle w:val="34"/>
              <w:rPr>
                <w:rFonts w:hint="eastAsia"/>
              </w:rPr>
            </w:pPr>
            <w:r>
              <w:rPr>
                <w:rFonts w:hint="eastAsia"/>
              </w:rPr>
              <w:t>科室后台明细</w:t>
            </w:r>
          </w:p>
        </w:tc>
        <w:tc>
          <w:tcPr>
            <w:tcW w:w="5815" w:type="dxa"/>
            <w:noWrap w:val="0"/>
            <w:vAlign w:val="center"/>
          </w:tcPr>
          <w:p w14:paraId="1B0AC667">
            <w:pPr>
              <w:pStyle w:val="34"/>
              <w:rPr>
                <w:rFonts w:hint="eastAsia"/>
              </w:rPr>
            </w:pPr>
            <w:r>
              <w:rPr>
                <w:rFonts w:hint="eastAsia"/>
              </w:rPr>
              <w:t>可以配置查询模板并一键调用，通过不同的条件组合，查询或汇总统计科室及个人的费用、工作量点数、项目数量等信息，类似于Excel的透视图。</w:t>
            </w:r>
          </w:p>
        </w:tc>
      </w:tr>
      <w:tr w14:paraId="232D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Merge w:val="continue"/>
            <w:noWrap w:val="0"/>
            <w:vAlign w:val="center"/>
          </w:tcPr>
          <w:p w14:paraId="5CA9E5CE">
            <w:pPr>
              <w:pStyle w:val="34"/>
              <w:rPr>
                <w:rFonts w:hint="eastAsia"/>
              </w:rPr>
            </w:pPr>
          </w:p>
        </w:tc>
        <w:tc>
          <w:tcPr>
            <w:tcW w:w="1701" w:type="dxa"/>
            <w:noWrap/>
            <w:vAlign w:val="center"/>
          </w:tcPr>
          <w:p w14:paraId="67431860">
            <w:pPr>
              <w:pStyle w:val="34"/>
              <w:rPr>
                <w:rFonts w:hint="eastAsia"/>
              </w:rPr>
            </w:pPr>
            <w:r>
              <w:rPr>
                <w:rFonts w:hint="eastAsia"/>
              </w:rPr>
              <w:t>运营管理</w:t>
            </w:r>
          </w:p>
        </w:tc>
        <w:tc>
          <w:tcPr>
            <w:tcW w:w="5815" w:type="dxa"/>
            <w:noWrap w:val="0"/>
            <w:vAlign w:val="center"/>
          </w:tcPr>
          <w:p w14:paraId="49A7F632">
            <w:pPr>
              <w:pStyle w:val="34"/>
              <w:rPr>
                <w:rFonts w:hint="eastAsia"/>
              </w:rPr>
            </w:pPr>
            <w:r>
              <w:rPr>
                <w:rFonts w:hint="eastAsia"/>
              </w:rPr>
              <w:t>数据分析的相关模块，可打开标准报表系统，或者执行各种系统级别的任务</w:t>
            </w:r>
          </w:p>
        </w:tc>
      </w:tr>
      <w:tr w14:paraId="5207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noWrap w:val="0"/>
            <w:vAlign w:val="center"/>
          </w:tcPr>
          <w:p w14:paraId="0F75F579">
            <w:pPr>
              <w:pStyle w:val="34"/>
              <w:rPr>
                <w:rFonts w:hint="eastAsia"/>
              </w:rPr>
            </w:pPr>
            <w:r>
              <w:rPr>
                <w:rFonts w:hint="eastAsia"/>
              </w:rPr>
              <w:t>通用工具</w:t>
            </w:r>
          </w:p>
        </w:tc>
        <w:tc>
          <w:tcPr>
            <w:tcW w:w="1701" w:type="dxa"/>
            <w:noWrap/>
            <w:vAlign w:val="center"/>
          </w:tcPr>
          <w:p w14:paraId="7A3CD616">
            <w:pPr>
              <w:pStyle w:val="34"/>
              <w:rPr>
                <w:rFonts w:hint="eastAsia"/>
              </w:rPr>
            </w:pPr>
            <w:r>
              <w:rPr>
                <w:rFonts w:hint="eastAsia"/>
              </w:rPr>
              <w:t>消息管理</w:t>
            </w:r>
          </w:p>
        </w:tc>
        <w:tc>
          <w:tcPr>
            <w:tcW w:w="5815" w:type="dxa"/>
            <w:noWrap w:val="0"/>
            <w:vAlign w:val="center"/>
          </w:tcPr>
          <w:p w14:paraId="44E569AA">
            <w:pPr>
              <w:pStyle w:val="34"/>
              <w:rPr>
                <w:rFonts w:hint="eastAsia"/>
              </w:rPr>
            </w:pPr>
            <w:r>
              <w:rPr>
                <w:rFonts w:hint="eastAsia"/>
              </w:rPr>
              <w:t>对指定用户发送通知或消息</w:t>
            </w:r>
          </w:p>
        </w:tc>
      </w:tr>
      <w:tr w14:paraId="0C6E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restart"/>
            <w:noWrap/>
            <w:vAlign w:val="center"/>
          </w:tcPr>
          <w:p w14:paraId="783058F6">
            <w:pPr>
              <w:pStyle w:val="34"/>
              <w:rPr>
                <w:rFonts w:hint="eastAsia"/>
              </w:rPr>
            </w:pPr>
            <w:r>
              <w:rPr>
                <w:rFonts w:hint="eastAsia"/>
              </w:rPr>
              <w:t>权限控制</w:t>
            </w:r>
          </w:p>
        </w:tc>
        <w:tc>
          <w:tcPr>
            <w:tcW w:w="1701" w:type="dxa"/>
            <w:noWrap/>
            <w:vAlign w:val="center"/>
          </w:tcPr>
          <w:p w14:paraId="3C3D7FE8">
            <w:pPr>
              <w:pStyle w:val="34"/>
              <w:rPr>
                <w:rFonts w:hint="eastAsia"/>
              </w:rPr>
            </w:pPr>
            <w:r>
              <w:rPr>
                <w:rFonts w:hint="eastAsia"/>
              </w:rPr>
              <w:t>用户管理</w:t>
            </w:r>
          </w:p>
        </w:tc>
        <w:tc>
          <w:tcPr>
            <w:tcW w:w="5815" w:type="dxa"/>
            <w:noWrap w:val="0"/>
            <w:vAlign w:val="center"/>
          </w:tcPr>
          <w:p w14:paraId="3B0F2D4E">
            <w:pPr>
              <w:pStyle w:val="34"/>
              <w:rPr>
                <w:rFonts w:hint="eastAsia"/>
              </w:rPr>
            </w:pPr>
            <w:r>
              <w:rPr>
                <w:rFonts w:hint="eastAsia"/>
              </w:rPr>
              <w:t>维护用户信息</w:t>
            </w:r>
          </w:p>
        </w:tc>
      </w:tr>
      <w:tr w14:paraId="1621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2F325C1C">
            <w:pPr>
              <w:pStyle w:val="34"/>
              <w:rPr>
                <w:rFonts w:hint="eastAsia"/>
              </w:rPr>
            </w:pPr>
          </w:p>
        </w:tc>
        <w:tc>
          <w:tcPr>
            <w:tcW w:w="1701" w:type="dxa"/>
            <w:noWrap/>
            <w:vAlign w:val="center"/>
          </w:tcPr>
          <w:p w14:paraId="7E5F06C3">
            <w:pPr>
              <w:pStyle w:val="34"/>
              <w:rPr>
                <w:rFonts w:hint="eastAsia"/>
              </w:rPr>
            </w:pPr>
            <w:r>
              <w:rPr>
                <w:rFonts w:hint="eastAsia"/>
              </w:rPr>
              <w:t>权限管理</w:t>
            </w:r>
          </w:p>
        </w:tc>
        <w:tc>
          <w:tcPr>
            <w:tcW w:w="5815" w:type="dxa"/>
            <w:noWrap w:val="0"/>
            <w:vAlign w:val="center"/>
          </w:tcPr>
          <w:p w14:paraId="58E65D14">
            <w:pPr>
              <w:pStyle w:val="34"/>
              <w:rPr>
                <w:rFonts w:hint="eastAsia"/>
              </w:rPr>
            </w:pPr>
            <w:r>
              <w:rPr>
                <w:rFonts w:hint="eastAsia"/>
              </w:rPr>
              <w:t>维护权限信息</w:t>
            </w:r>
          </w:p>
        </w:tc>
      </w:tr>
      <w:tr w14:paraId="730C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54DB03B2">
            <w:pPr>
              <w:pStyle w:val="34"/>
              <w:rPr>
                <w:rFonts w:hint="eastAsia"/>
              </w:rPr>
            </w:pPr>
          </w:p>
        </w:tc>
        <w:tc>
          <w:tcPr>
            <w:tcW w:w="1701" w:type="dxa"/>
            <w:noWrap/>
            <w:vAlign w:val="center"/>
          </w:tcPr>
          <w:p w14:paraId="55823BA0">
            <w:pPr>
              <w:pStyle w:val="34"/>
              <w:rPr>
                <w:rFonts w:hint="eastAsia"/>
              </w:rPr>
            </w:pPr>
            <w:r>
              <w:rPr>
                <w:rFonts w:hint="eastAsia"/>
              </w:rPr>
              <w:t>角色管理</w:t>
            </w:r>
          </w:p>
        </w:tc>
        <w:tc>
          <w:tcPr>
            <w:tcW w:w="5815" w:type="dxa"/>
            <w:noWrap w:val="0"/>
            <w:vAlign w:val="center"/>
          </w:tcPr>
          <w:p w14:paraId="3868F2CD">
            <w:pPr>
              <w:pStyle w:val="34"/>
              <w:rPr>
                <w:rFonts w:hint="eastAsia"/>
              </w:rPr>
            </w:pPr>
            <w:r>
              <w:rPr>
                <w:rFonts w:hint="eastAsia"/>
              </w:rPr>
              <w:t>维护角色信息</w:t>
            </w:r>
          </w:p>
        </w:tc>
      </w:tr>
      <w:tr w14:paraId="6596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20C535C7">
            <w:pPr>
              <w:pStyle w:val="34"/>
              <w:rPr>
                <w:rFonts w:hint="eastAsia"/>
              </w:rPr>
            </w:pPr>
          </w:p>
        </w:tc>
        <w:tc>
          <w:tcPr>
            <w:tcW w:w="1701" w:type="dxa"/>
            <w:noWrap/>
            <w:vAlign w:val="center"/>
          </w:tcPr>
          <w:p w14:paraId="68A1F8FD">
            <w:pPr>
              <w:pStyle w:val="34"/>
              <w:rPr>
                <w:rFonts w:hint="eastAsia"/>
              </w:rPr>
            </w:pPr>
            <w:r>
              <w:rPr>
                <w:rFonts w:hint="eastAsia"/>
              </w:rPr>
              <w:t>菜单管理</w:t>
            </w:r>
          </w:p>
        </w:tc>
        <w:tc>
          <w:tcPr>
            <w:tcW w:w="5815" w:type="dxa"/>
            <w:noWrap w:val="0"/>
            <w:vAlign w:val="center"/>
          </w:tcPr>
          <w:p w14:paraId="44B924A8">
            <w:pPr>
              <w:pStyle w:val="34"/>
              <w:rPr>
                <w:rFonts w:hint="eastAsia"/>
              </w:rPr>
            </w:pPr>
            <w:r>
              <w:rPr>
                <w:rFonts w:hint="eastAsia"/>
              </w:rPr>
              <w:t>维护菜单信息</w:t>
            </w:r>
          </w:p>
        </w:tc>
      </w:tr>
      <w:tr w14:paraId="0245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4" w:type="dxa"/>
            <w:vMerge w:val="continue"/>
            <w:noWrap w:val="0"/>
            <w:vAlign w:val="center"/>
          </w:tcPr>
          <w:p w14:paraId="6FA43DCC">
            <w:pPr>
              <w:pStyle w:val="34"/>
              <w:rPr>
                <w:rFonts w:hint="eastAsia"/>
              </w:rPr>
            </w:pPr>
          </w:p>
        </w:tc>
        <w:tc>
          <w:tcPr>
            <w:tcW w:w="1701" w:type="dxa"/>
            <w:noWrap/>
            <w:vAlign w:val="center"/>
          </w:tcPr>
          <w:p w14:paraId="46F3D037">
            <w:pPr>
              <w:pStyle w:val="34"/>
              <w:rPr>
                <w:rFonts w:hint="eastAsia"/>
              </w:rPr>
            </w:pPr>
            <w:r>
              <w:rPr>
                <w:rFonts w:hint="eastAsia"/>
              </w:rPr>
              <w:t>用户科室访问权限</w:t>
            </w:r>
          </w:p>
        </w:tc>
        <w:tc>
          <w:tcPr>
            <w:tcW w:w="5815" w:type="dxa"/>
            <w:noWrap w:val="0"/>
            <w:vAlign w:val="center"/>
          </w:tcPr>
          <w:p w14:paraId="3B4075A7">
            <w:pPr>
              <w:pStyle w:val="34"/>
              <w:rPr>
                <w:rFonts w:hint="eastAsia"/>
              </w:rPr>
            </w:pPr>
            <w:r>
              <w:rPr>
                <w:rFonts w:hint="eastAsia"/>
              </w:rPr>
              <w:t>设置用户可在不同模块访问不同核算单元</w:t>
            </w:r>
          </w:p>
        </w:tc>
      </w:tr>
    </w:tbl>
    <w:p w14:paraId="155A849B">
      <w:pPr>
        <w:pStyle w:val="34"/>
        <w:rPr>
          <w:rFonts w:hint="eastAsia"/>
        </w:rPr>
      </w:pPr>
    </w:p>
    <w:p w14:paraId="6797BFB7">
      <w:pPr>
        <w:widowControl/>
        <w:spacing w:line="240" w:lineRule="auto"/>
        <w:ind w:firstLine="0" w:firstLineChars="0"/>
        <w:jc w:val="left"/>
        <w:rPr>
          <w:rFonts w:hint="eastAsia" w:ascii="宋体" w:hAnsi="宋体" w:eastAsia="宋体" w:cs="宋体"/>
          <w:sz w:val="24"/>
          <w:szCs w:val="24"/>
        </w:rPr>
      </w:pPr>
      <w:bookmarkStart w:id="65" w:name="_Toc54518049"/>
      <w:r>
        <w:rPr>
          <w:rFonts w:hint="eastAsia"/>
        </w:rPr>
        <w:br w:type="page"/>
      </w:r>
      <w:bookmarkStart w:id="66" w:name="_Toc10200300"/>
      <w:bookmarkStart w:id="67" w:name="_Toc55724274"/>
      <w:bookmarkStart w:id="68" w:name="_Toc193866518"/>
      <w:r>
        <w:rPr>
          <w:rFonts w:hint="eastAsia" w:ascii="宋体" w:hAnsi="宋体" w:eastAsia="宋体" w:cs="宋体"/>
          <w:b/>
          <w:bCs/>
          <w:sz w:val="24"/>
          <w:szCs w:val="24"/>
          <w:lang w:val="en-US" w:eastAsia="zh-CN"/>
        </w:rPr>
        <w:t>5.3</w:t>
      </w:r>
      <w:r>
        <w:rPr>
          <w:rFonts w:hint="eastAsia" w:ascii="宋体" w:hAnsi="宋体" w:eastAsia="宋体" w:cs="宋体"/>
          <w:b/>
          <w:bCs/>
          <w:sz w:val="24"/>
          <w:szCs w:val="24"/>
        </w:rPr>
        <w:t>软件特性</w:t>
      </w:r>
      <w:bookmarkEnd w:id="66"/>
      <w:bookmarkEnd w:id="67"/>
      <w:bookmarkEnd w:id="68"/>
    </w:p>
    <w:p w14:paraId="743B3034">
      <w:pPr>
        <w:spacing w:line="360" w:lineRule="auto"/>
        <w:ind w:firstLine="480"/>
        <w:rPr>
          <w:rFonts w:hint="eastAsia"/>
          <w:sz w:val="24"/>
          <w:szCs w:val="24"/>
        </w:rPr>
      </w:pPr>
      <w:r>
        <w:rPr>
          <w:rFonts w:hint="eastAsia"/>
          <w:sz w:val="24"/>
          <w:szCs w:val="24"/>
        </w:rPr>
        <w:t>（1）数据采集：为保证现有资源的合理利用，软件应支持从现有医院信息系统和现有医院平台自动进行数据收集，采集范围可以包括HIS系统、LIS系统、PACS系统、电子病历系统、手术麻醉系统、成本核算系统、人事管理系统、排班考勤系统等。在院方的数据集成平台无法提供满足绩效所需数据和所需数据规模的情况下，可以采用面向数据库底层的数据采集方案。</w:t>
      </w:r>
    </w:p>
    <w:p w14:paraId="244324D8">
      <w:pPr>
        <w:spacing w:line="360" w:lineRule="auto"/>
        <w:ind w:firstLine="480"/>
        <w:rPr>
          <w:rFonts w:hint="eastAsia"/>
          <w:sz w:val="24"/>
          <w:szCs w:val="24"/>
        </w:rPr>
      </w:pPr>
      <w:r>
        <w:rPr>
          <w:rFonts w:hint="eastAsia"/>
          <w:sz w:val="24"/>
          <w:szCs w:val="24"/>
        </w:rPr>
        <w:t>（2）数据补录：应保证绩效评价客观、公正，数据口径应尽可能完整，数据来源应尽可能丰富，应覆盖临床、管理的方方面面。就目前医院信息化建设情况而言，部分必备的数据需要通过手工补录的方式，记录到绩效软件当中。《集成绩效评价软件》必须支持对此类数据的补录和扩展应用，而无需再做过多的定制化开发。</w:t>
      </w:r>
    </w:p>
    <w:p w14:paraId="52BDCC66">
      <w:pPr>
        <w:spacing w:line="360" w:lineRule="auto"/>
        <w:ind w:firstLine="480"/>
        <w:rPr>
          <w:rFonts w:hint="eastAsia"/>
          <w:sz w:val="24"/>
          <w:szCs w:val="24"/>
        </w:rPr>
      </w:pPr>
      <w:r>
        <w:rPr>
          <w:rFonts w:hint="eastAsia"/>
          <w:sz w:val="24"/>
          <w:szCs w:val="24"/>
        </w:rPr>
        <w:t>（3）数据上传：《集成绩效评价软件》各模块应当具备数据录入和上传两种方式，</w:t>
      </w:r>
      <w:bookmarkStart w:id="69" w:name="OLE_LINK1"/>
      <w:bookmarkStart w:id="70" w:name="OLE_LINK2"/>
      <w:r>
        <w:rPr>
          <w:rFonts w:hint="eastAsia"/>
          <w:sz w:val="24"/>
          <w:szCs w:val="24"/>
        </w:rPr>
        <w:t>以适应医院现有的数据处理习惯</w:t>
      </w:r>
      <w:bookmarkEnd w:id="69"/>
      <w:bookmarkEnd w:id="70"/>
      <w:r>
        <w:rPr>
          <w:rFonts w:hint="eastAsia"/>
          <w:sz w:val="24"/>
          <w:szCs w:val="24"/>
        </w:rPr>
        <w:t>。为此，除常规的将数据输入到《集成绩效评价软件》外，还应当具备接收符合模板要求的Excel电子文档，以降低各科室在数据处理的学习成本。</w:t>
      </w:r>
    </w:p>
    <w:p w14:paraId="1FDBDBA9">
      <w:pPr>
        <w:spacing w:line="360" w:lineRule="auto"/>
        <w:ind w:firstLine="480"/>
        <w:rPr>
          <w:rFonts w:hint="eastAsia"/>
          <w:sz w:val="24"/>
          <w:szCs w:val="24"/>
        </w:rPr>
      </w:pPr>
      <w:r>
        <w:rPr>
          <w:rFonts w:hint="eastAsia"/>
          <w:sz w:val="24"/>
          <w:szCs w:val="24"/>
        </w:rPr>
        <w:t>（</w:t>
      </w:r>
      <w:r>
        <w:rPr>
          <w:sz w:val="24"/>
          <w:szCs w:val="24"/>
        </w:rPr>
        <w:t>4</w:t>
      </w:r>
      <w:r>
        <w:rPr>
          <w:rFonts w:hint="eastAsia"/>
          <w:sz w:val="24"/>
          <w:szCs w:val="24"/>
        </w:rPr>
        <w:t>）分配规则引擎：作为面向全院医生、护理、医技、管理不同职能领域的全面集成绩效评价软件，绩效的评价与分配的方法存在一定的差异性。为使一套软件满足不同的方案，而不必自定义新模块，</w:t>
      </w:r>
      <w:bookmarkStart w:id="71" w:name="OLE_LINK3"/>
      <w:bookmarkStart w:id="72" w:name="OLE_LINK4"/>
      <w:r>
        <w:rPr>
          <w:rFonts w:hint="eastAsia"/>
          <w:sz w:val="24"/>
          <w:szCs w:val="24"/>
        </w:rPr>
        <w:t>集成绩效评价软件必须采用规则引擎进行绩效分配公式的定义。规则引擎支持用户随时修改规则、参数，且不需反复进行定制软件开发</w:t>
      </w:r>
      <w:bookmarkEnd w:id="71"/>
      <w:bookmarkEnd w:id="72"/>
      <w:r>
        <w:rPr>
          <w:rFonts w:hint="eastAsia"/>
          <w:sz w:val="24"/>
          <w:szCs w:val="24"/>
        </w:rPr>
        <w:t>。</w:t>
      </w:r>
    </w:p>
    <w:p w14:paraId="67276BC9">
      <w:pPr>
        <w:spacing w:line="360" w:lineRule="auto"/>
        <w:ind w:firstLine="480"/>
        <w:rPr>
          <w:rFonts w:hint="eastAsia"/>
          <w:sz w:val="24"/>
          <w:szCs w:val="24"/>
        </w:rPr>
      </w:pPr>
      <w:r>
        <w:rPr>
          <w:rFonts w:hint="eastAsia"/>
          <w:sz w:val="24"/>
          <w:szCs w:val="24"/>
        </w:rPr>
        <w:t>（</w:t>
      </w:r>
      <w:r>
        <w:rPr>
          <w:sz w:val="24"/>
          <w:szCs w:val="24"/>
        </w:rPr>
        <w:t>5</w:t>
      </w:r>
      <w:r>
        <w:rPr>
          <w:rFonts w:hint="eastAsia"/>
          <w:sz w:val="24"/>
          <w:szCs w:val="24"/>
        </w:rPr>
        <w:t>）点数规则引擎：本次绩效管理方案特点是以RBRVS的本地化方案为理论依据，计算各临床科室的工作量。点数规则引擎能将点数与规则结合，支持用户通过界面配置来完成项目点数的归属确认。通过多种条件的组合，能够实现较为复杂的逻辑。要求投标软件，必须至少具有按照医生科室、病人科室、员工、职称、费别、项目、员工身份、节假日工作、门诊住院工作等条件进行规则制定的能力。</w:t>
      </w:r>
    </w:p>
    <w:p w14:paraId="6EE3D209">
      <w:pPr>
        <w:spacing w:line="360" w:lineRule="auto"/>
        <w:ind w:firstLine="480"/>
        <w:rPr>
          <w:rFonts w:hint="eastAsia"/>
          <w:sz w:val="24"/>
          <w:szCs w:val="24"/>
        </w:rPr>
      </w:pPr>
      <w:r>
        <w:rPr>
          <w:rFonts w:hint="eastAsia"/>
          <w:sz w:val="24"/>
          <w:szCs w:val="24"/>
        </w:rPr>
        <w:t>（</w:t>
      </w:r>
      <w:r>
        <w:rPr>
          <w:sz w:val="24"/>
          <w:szCs w:val="24"/>
        </w:rPr>
        <w:t>6</w:t>
      </w:r>
      <w:r>
        <w:rPr>
          <w:rFonts w:hint="eastAsia"/>
          <w:sz w:val="24"/>
          <w:szCs w:val="24"/>
        </w:rPr>
        <w:t>）规则复用：为简化操作配置流程，可将职能和内涵相似的科室进行一致的处理。通过规则的快速复制或引用，能够尽快将项目落地，提高项目交付能力和后续维护质量。</w:t>
      </w:r>
    </w:p>
    <w:p w14:paraId="339ABF99">
      <w:pPr>
        <w:spacing w:line="360" w:lineRule="auto"/>
        <w:ind w:firstLine="480"/>
        <w:rPr>
          <w:rFonts w:hint="eastAsia"/>
          <w:sz w:val="24"/>
          <w:szCs w:val="24"/>
        </w:rPr>
      </w:pPr>
      <w:r>
        <w:rPr>
          <w:rFonts w:hint="eastAsia"/>
          <w:sz w:val="24"/>
          <w:szCs w:val="24"/>
        </w:rPr>
        <w:t>（7）指标编辑器：关键业绩指标作为绩效考核与评价的重要维度之一，应当可扩展、可调整、可定义。指标结果的计算逻辑必须由公式编辑器来定义，公式编辑器应当支持按录入值进行梯度计算、按录入值完成率进行梯度计算、按区间进行计算得分等模式。指标支持不同的考核周期（月、季度、半年、年度），指标编辑器支持引入外部变量来作为指标的动态目标值。</w:t>
      </w:r>
    </w:p>
    <w:p w14:paraId="56AE4668">
      <w:pPr>
        <w:spacing w:line="360" w:lineRule="auto"/>
        <w:ind w:firstLine="480"/>
        <w:rPr>
          <w:rFonts w:hint="eastAsia"/>
          <w:sz w:val="24"/>
          <w:szCs w:val="24"/>
        </w:rPr>
      </w:pPr>
      <w:r>
        <w:rPr>
          <w:rFonts w:hint="eastAsia"/>
          <w:sz w:val="24"/>
          <w:szCs w:val="24"/>
        </w:rPr>
        <w:t>（8）指标考核关系：为满足当前院内关键业绩指标评价模式，《集成绩效评价软件》必须支持科室之间一对一考核、一对多考核、多对一考核。</w:t>
      </w:r>
    </w:p>
    <w:p w14:paraId="7294FC07">
      <w:pPr>
        <w:spacing w:line="360" w:lineRule="auto"/>
        <w:ind w:firstLine="480"/>
        <w:rPr>
          <w:rFonts w:hint="eastAsia"/>
          <w:sz w:val="24"/>
          <w:szCs w:val="24"/>
        </w:rPr>
      </w:pPr>
      <w:r>
        <w:rPr>
          <w:rFonts w:hint="eastAsia"/>
          <w:sz w:val="24"/>
          <w:szCs w:val="24"/>
        </w:rPr>
        <w:t>（9）指标考核模式：用户仅需要录入指标的原始值，由指标公式自行计算考核得分。每个指标的目标值支持固定目标、同期目标和浮动目标，支持按照不同考核周期调整浮动目标（月度、季度、半年、年度）。</w:t>
      </w:r>
    </w:p>
    <w:p w14:paraId="7BA14509">
      <w:pPr>
        <w:spacing w:line="360" w:lineRule="auto"/>
        <w:ind w:firstLine="480"/>
        <w:rPr>
          <w:rFonts w:hint="eastAsia"/>
          <w:sz w:val="24"/>
          <w:szCs w:val="24"/>
        </w:rPr>
      </w:pPr>
      <w:r>
        <w:rPr>
          <w:rFonts w:hint="eastAsia"/>
          <w:sz w:val="24"/>
          <w:szCs w:val="24"/>
        </w:rPr>
        <w:t>（</w:t>
      </w:r>
      <w:r>
        <w:rPr>
          <w:sz w:val="24"/>
          <w:szCs w:val="24"/>
        </w:rPr>
        <w:t>10</w:t>
      </w:r>
      <w:r>
        <w:rPr>
          <w:rFonts w:hint="eastAsia"/>
          <w:sz w:val="24"/>
          <w:szCs w:val="24"/>
        </w:rPr>
        <w:t>）指标考核实现：为满足医院信息化建设与发展，指标考核的方式必须包括自动采集汇总、自动引用上一周期、电脑端手工上报和数据导入等方式，多种方式相结合，以满足不同岗位的评分人员在不同环境下能够对关键业绩指标进行打分。</w:t>
      </w:r>
    </w:p>
    <w:p w14:paraId="4EEB133C">
      <w:pPr>
        <w:spacing w:line="360" w:lineRule="auto"/>
        <w:ind w:firstLine="480"/>
        <w:rPr>
          <w:rFonts w:hint="eastAsia"/>
          <w:sz w:val="24"/>
          <w:szCs w:val="24"/>
        </w:rPr>
      </w:pPr>
      <w:r>
        <w:rPr>
          <w:rFonts w:hint="eastAsia"/>
          <w:sz w:val="24"/>
          <w:szCs w:val="24"/>
        </w:rPr>
        <w:t>（</w:t>
      </w:r>
      <w:r>
        <w:rPr>
          <w:sz w:val="24"/>
          <w:szCs w:val="24"/>
        </w:rPr>
        <w:t>11</w:t>
      </w:r>
      <w:r>
        <w:rPr>
          <w:rFonts w:hint="eastAsia"/>
          <w:sz w:val="24"/>
          <w:szCs w:val="24"/>
        </w:rPr>
        <w:t>）人员属性管理：本模块应当支持全院医、护、技、行管、工勤等各岗位职工的人员属性维护，至少应包括工号、姓名、在职状态、入职离职时间、个人职类、绩效发放职类、所属科室、职称、护理能级、行政职务、岗位、是否计算个税，以及可扩展的身份属性定义。</w:t>
      </w:r>
    </w:p>
    <w:p w14:paraId="31EAAA8F">
      <w:pPr>
        <w:spacing w:line="360" w:lineRule="auto"/>
        <w:ind w:firstLine="480"/>
        <w:rPr>
          <w:rFonts w:hint="eastAsia"/>
          <w:sz w:val="24"/>
          <w:szCs w:val="24"/>
        </w:rPr>
      </w:pPr>
      <w:r>
        <w:rPr>
          <w:rFonts w:hint="eastAsia"/>
          <w:sz w:val="24"/>
          <w:szCs w:val="24"/>
        </w:rPr>
        <w:t>（</w:t>
      </w:r>
      <w:r>
        <w:rPr>
          <w:sz w:val="24"/>
          <w:szCs w:val="24"/>
        </w:rPr>
        <w:t>1</w:t>
      </w:r>
      <w:r>
        <w:rPr>
          <w:rFonts w:hint="eastAsia"/>
          <w:sz w:val="24"/>
          <w:szCs w:val="24"/>
        </w:rPr>
        <w:t>2）员工主索引：软件应当支持人力资源系统、HIS系统等，在员工编码不同的情况下，仍然能够进行同一人员的匹配和关联，以确保绩效评价过程中员工身份的统一。</w:t>
      </w:r>
    </w:p>
    <w:p w14:paraId="2384313D">
      <w:pPr>
        <w:spacing w:line="360" w:lineRule="auto"/>
        <w:ind w:firstLine="480"/>
        <w:rPr>
          <w:rFonts w:hint="eastAsia"/>
          <w:sz w:val="24"/>
          <w:szCs w:val="24"/>
        </w:rPr>
      </w:pPr>
      <w:r>
        <w:rPr>
          <w:rFonts w:hint="eastAsia"/>
          <w:sz w:val="24"/>
          <w:szCs w:val="24"/>
        </w:rPr>
        <w:t>（</w:t>
      </w:r>
      <w:r>
        <w:rPr>
          <w:sz w:val="24"/>
          <w:szCs w:val="24"/>
        </w:rPr>
        <w:t>1</w:t>
      </w:r>
      <w:r>
        <w:rPr>
          <w:rFonts w:hint="eastAsia"/>
          <w:sz w:val="24"/>
          <w:szCs w:val="24"/>
        </w:rPr>
        <w:t>3）人员系数管理：为满足基于年资的二次分配方案，针对不同职位、岗位、职称等必须能够设置相应系数，系数可应用于人员二次分配自动计算。</w:t>
      </w:r>
    </w:p>
    <w:p w14:paraId="6E352E2E">
      <w:pPr>
        <w:spacing w:line="360" w:lineRule="auto"/>
        <w:ind w:firstLine="480"/>
        <w:rPr>
          <w:rFonts w:hint="eastAsia"/>
          <w:sz w:val="24"/>
          <w:szCs w:val="24"/>
        </w:rPr>
      </w:pPr>
      <w:r>
        <w:rPr>
          <w:rFonts w:hint="eastAsia"/>
          <w:sz w:val="24"/>
          <w:szCs w:val="24"/>
        </w:rPr>
        <w:t>（14）人员归档管理：为保证每月绩效数据的稳定，人员信息必须可按月进行归档和封账，在重新测算历史绩效时候，不得因人员变动而影响数据的合理性和真实性。</w:t>
      </w:r>
    </w:p>
    <w:p w14:paraId="57806D22">
      <w:pPr>
        <w:spacing w:line="360" w:lineRule="auto"/>
        <w:ind w:firstLine="480"/>
        <w:rPr>
          <w:rFonts w:hint="eastAsia"/>
          <w:sz w:val="24"/>
          <w:szCs w:val="24"/>
        </w:rPr>
      </w:pPr>
      <w:r>
        <w:rPr>
          <w:rFonts w:hint="eastAsia"/>
          <w:sz w:val="24"/>
          <w:szCs w:val="24"/>
        </w:rPr>
        <w:t>（15）成本管理：绩效所需成本项目，必须支持自动采集、手工录入和批量导入的方式。支持任意多层级的成本项目。不同的成本项目在进入绩效分配运算时，应当考虑支持不同的计提比例，通过计提比例的调整确保成本因素在绩效比例中占比合理。</w:t>
      </w:r>
    </w:p>
    <w:p w14:paraId="11B29A73">
      <w:pPr>
        <w:spacing w:line="360" w:lineRule="auto"/>
        <w:ind w:firstLine="480"/>
        <w:rPr>
          <w:rFonts w:hint="eastAsia"/>
          <w:sz w:val="24"/>
          <w:szCs w:val="24"/>
        </w:rPr>
      </w:pPr>
      <w:r>
        <w:rPr>
          <w:rFonts w:hint="eastAsia"/>
          <w:sz w:val="24"/>
          <w:szCs w:val="24"/>
        </w:rPr>
        <w:t>（16）预提待摊：不同科室的成本项目因周期性波动，其数值变动较大。在软件中必须支持对个别月的成本进行预提待摊的处理，以消除波动性给科室带来的绩效巨大振幅，保证科室业务的正常运转。</w:t>
      </w:r>
    </w:p>
    <w:p w14:paraId="2DDD41B0">
      <w:pPr>
        <w:spacing w:line="360" w:lineRule="auto"/>
        <w:ind w:firstLine="480"/>
        <w:rPr>
          <w:rFonts w:hint="eastAsia"/>
          <w:sz w:val="24"/>
          <w:szCs w:val="24"/>
        </w:rPr>
      </w:pPr>
      <w:r>
        <w:rPr>
          <w:rFonts w:hint="eastAsia"/>
          <w:sz w:val="24"/>
          <w:szCs w:val="24"/>
        </w:rPr>
        <w:t>（17）RBRVS点数维护：全院收费项目必须通过本《集成绩效评价软件》和RBRVS的本土化点数结果进行一一对应，对应后的结果可在规则引擎中直接被应用而无需特殊处理。RBRVS的本土化点数可由程序统一进行升级，程序应当主动发现未被赋点数的收费项目，并由升级文件对未配点数的收费项目进行点数赋值。</w:t>
      </w:r>
    </w:p>
    <w:p w14:paraId="47DC61E8">
      <w:pPr>
        <w:spacing w:line="360" w:lineRule="auto"/>
        <w:ind w:firstLine="480"/>
        <w:rPr>
          <w:rFonts w:hint="eastAsia"/>
          <w:sz w:val="24"/>
          <w:szCs w:val="24"/>
        </w:rPr>
      </w:pPr>
      <w:r>
        <w:rPr>
          <w:rFonts w:hint="eastAsia"/>
          <w:sz w:val="24"/>
          <w:szCs w:val="24"/>
        </w:rPr>
        <w:t>（18）点数维护安全机制：通过《集成绩效评价软件》进行的任何一次点数修改，都应能够通过软件回滚，确保点数维护过程中的数据安全和可追溯。</w:t>
      </w:r>
    </w:p>
    <w:p w14:paraId="45F9DE74">
      <w:pPr>
        <w:spacing w:line="360" w:lineRule="auto"/>
        <w:ind w:firstLine="480"/>
        <w:rPr>
          <w:rFonts w:hint="eastAsia"/>
          <w:sz w:val="24"/>
          <w:szCs w:val="24"/>
        </w:rPr>
      </w:pPr>
      <w:r>
        <w:rPr>
          <w:rFonts w:hint="eastAsia"/>
          <w:sz w:val="24"/>
          <w:szCs w:val="24"/>
        </w:rPr>
        <w:t>（19）基于CPT</w:t>
      </w:r>
      <w:r>
        <w:rPr>
          <w:sz w:val="24"/>
          <w:szCs w:val="24"/>
        </w:rPr>
        <w:t>-RBRVS</w:t>
      </w:r>
      <w:r>
        <w:rPr>
          <w:rFonts w:hint="eastAsia"/>
          <w:sz w:val="24"/>
          <w:szCs w:val="24"/>
        </w:rPr>
        <w:t>的个性化升级：软件应该满足新增项目的RBRVS项目对应和升级，不同临床分工的科室应可享有个性化的RBRVS点数。对新技术新业务的点数，在个别科室可个性化调整，促使新业务新技术的良性开展。</w:t>
      </w:r>
    </w:p>
    <w:p w14:paraId="73B7C8A1">
      <w:pPr>
        <w:spacing w:line="360" w:lineRule="auto"/>
        <w:ind w:firstLine="480"/>
        <w:rPr>
          <w:rFonts w:hint="eastAsia"/>
          <w:sz w:val="24"/>
          <w:szCs w:val="24"/>
        </w:rPr>
      </w:pPr>
      <w:r>
        <w:rPr>
          <w:rFonts w:hint="eastAsia"/>
          <w:sz w:val="24"/>
          <w:szCs w:val="24"/>
        </w:rPr>
        <w:t>（20）手术单项：结合历史数据梳理手术科室的基础手术工作量，对于超过基础手术工作量的部分进行单项奖励。对超过的比例、超额的奖励都可通过软件动态调节，无需进行代码修改。</w:t>
      </w:r>
    </w:p>
    <w:p w14:paraId="37DA25B5">
      <w:pPr>
        <w:spacing w:line="360" w:lineRule="auto"/>
        <w:ind w:firstLine="480"/>
        <w:rPr>
          <w:rFonts w:hint="eastAsia"/>
          <w:sz w:val="24"/>
          <w:szCs w:val="24"/>
        </w:rPr>
      </w:pPr>
      <w:r>
        <w:rPr>
          <w:rFonts w:hint="eastAsia"/>
          <w:sz w:val="24"/>
          <w:szCs w:val="24"/>
        </w:rPr>
        <w:t>（21）科室绩效发布流程：为灵活应对医院绩效管理部门奖金发放审核的流程管理要求，《集成绩效评价软件》应以配置形式实现一次分配奖金的审核、封账、发布事件的流程组合，且可针对不同节点设置不同权限。</w:t>
      </w:r>
    </w:p>
    <w:p w14:paraId="5463D312">
      <w:pPr>
        <w:spacing w:line="360" w:lineRule="auto"/>
        <w:ind w:firstLine="480"/>
        <w:rPr>
          <w:rFonts w:hint="eastAsia"/>
          <w:sz w:val="24"/>
          <w:szCs w:val="24"/>
        </w:rPr>
      </w:pPr>
      <w:r>
        <w:rPr>
          <w:rFonts w:hint="eastAsia"/>
          <w:sz w:val="24"/>
          <w:szCs w:val="24"/>
        </w:rPr>
        <w:t>（22）个人绩效上报：为支持科室自行评价考核科内人员的绩效并进行发放，《集成绩效评价软件》必须包括本模块，支持科室将发放结果以手工填报、Excel上传等方式反馈到绩效管理部门。发放方式支持跨科室发放，允许核算单元负责人将部分绩效奖励给为本单元带来贡献的他科人员。</w:t>
      </w:r>
    </w:p>
    <w:p w14:paraId="715AD20A">
      <w:pPr>
        <w:spacing w:line="360" w:lineRule="auto"/>
        <w:ind w:firstLine="480"/>
        <w:rPr>
          <w:rFonts w:hint="eastAsia"/>
          <w:sz w:val="24"/>
          <w:szCs w:val="24"/>
        </w:rPr>
      </w:pPr>
      <w:r>
        <w:rPr>
          <w:rFonts w:hint="eastAsia"/>
          <w:sz w:val="24"/>
          <w:szCs w:val="24"/>
        </w:rPr>
        <w:t>（23）绩效调剂：为支持部分大科室主任对其所管辖科室进行绩效的调节与再分配，《集成绩效评价软件》必须包含科室之间总绩效横向调拨的功能，以满足大科主任的管理要求。</w:t>
      </w:r>
    </w:p>
    <w:p w14:paraId="0828078A">
      <w:pPr>
        <w:spacing w:line="360" w:lineRule="auto"/>
        <w:ind w:firstLine="480"/>
        <w:rPr>
          <w:rFonts w:hint="eastAsia"/>
          <w:sz w:val="24"/>
          <w:szCs w:val="24"/>
        </w:rPr>
      </w:pPr>
      <w:r>
        <w:rPr>
          <w:rFonts w:hint="eastAsia"/>
          <w:sz w:val="24"/>
          <w:szCs w:val="24"/>
        </w:rPr>
        <w:t>（24）医、护、技、行管不同类别的二次分配方案：《集成绩效评价软件》出支持个人绩效上报外，还必须支持复杂的科室分配方式，通过软件采集到的个人数据（手术、管床、排班、门诊、特殊治疗项目、自定义项目等）结合科室手工核准上报的项目，从年资、工作量、奖惩三个角度，自动对个人绩效进行评价和发放。</w:t>
      </w:r>
    </w:p>
    <w:p w14:paraId="2CF3C2CF">
      <w:pPr>
        <w:spacing w:line="360" w:lineRule="auto"/>
        <w:ind w:firstLine="480"/>
        <w:rPr>
          <w:rFonts w:hint="eastAsia"/>
          <w:sz w:val="24"/>
          <w:szCs w:val="24"/>
        </w:rPr>
      </w:pPr>
      <w:r>
        <w:rPr>
          <w:rFonts w:hint="eastAsia"/>
          <w:sz w:val="24"/>
          <w:szCs w:val="24"/>
        </w:rPr>
        <w:t>（</w:t>
      </w:r>
      <w:r>
        <w:rPr>
          <w:sz w:val="24"/>
          <w:szCs w:val="24"/>
        </w:rPr>
        <w:t>2</w:t>
      </w:r>
      <w:r>
        <w:rPr>
          <w:rFonts w:hint="eastAsia"/>
          <w:sz w:val="24"/>
          <w:szCs w:val="24"/>
        </w:rPr>
        <w:t>5）规则明细分析：通过软件能够精准定位到每一条收费项目所匹配的规则，以及规则核算主体，便于医院发现是否有工作量的分配被遗漏。</w:t>
      </w:r>
    </w:p>
    <w:p w14:paraId="119D8903">
      <w:pPr>
        <w:spacing w:line="360" w:lineRule="auto"/>
        <w:ind w:firstLine="480"/>
        <w:rPr>
          <w:rFonts w:hint="eastAsia"/>
          <w:sz w:val="24"/>
          <w:szCs w:val="24"/>
        </w:rPr>
      </w:pPr>
      <w:r>
        <w:rPr>
          <w:rFonts w:hint="eastAsia"/>
          <w:sz w:val="24"/>
          <w:szCs w:val="24"/>
        </w:rPr>
        <w:t>（</w:t>
      </w:r>
      <w:r>
        <w:rPr>
          <w:sz w:val="24"/>
          <w:szCs w:val="24"/>
        </w:rPr>
        <w:t>2</w:t>
      </w:r>
      <w:r>
        <w:rPr>
          <w:rFonts w:hint="eastAsia"/>
          <w:sz w:val="24"/>
          <w:szCs w:val="24"/>
        </w:rPr>
        <w:t>6）绩效发放分析：对每月绩效进行科室、职能类别进行同比环比等数据分析，进行点数、收入、利润等的对比分析。</w:t>
      </w:r>
    </w:p>
    <w:p w14:paraId="361B56E6">
      <w:pPr>
        <w:spacing w:line="360" w:lineRule="auto"/>
        <w:ind w:firstLine="480"/>
        <w:rPr>
          <w:rFonts w:hint="eastAsia"/>
          <w:sz w:val="24"/>
          <w:szCs w:val="24"/>
        </w:rPr>
      </w:pPr>
      <w:r>
        <w:rPr>
          <w:rFonts w:hint="eastAsia"/>
          <w:sz w:val="24"/>
          <w:szCs w:val="24"/>
        </w:rPr>
        <w:t>（27）权限控制：权限控制可精确到具体科室、具体按钮，确保权限控制有足够细的粒度。</w:t>
      </w:r>
    </w:p>
    <w:p w14:paraId="0AF13B73">
      <w:pPr>
        <w:spacing w:line="360" w:lineRule="auto"/>
        <w:ind w:firstLine="480"/>
        <w:rPr>
          <w:rFonts w:hint="eastAsia"/>
          <w:sz w:val="24"/>
          <w:szCs w:val="24"/>
        </w:rPr>
      </w:pPr>
      <w:r>
        <w:rPr>
          <w:rFonts w:hint="eastAsia"/>
          <w:sz w:val="24"/>
          <w:szCs w:val="24"/>
        </w:rPr>
        <w:t>（28）角色分组：用户可按照角色将权限进行打包，角色之间可进行权限叠加。</w:t>
      </w:r>
    </w:p>
    <w:p w14:paraId="74457499">
      <w:pPr>
        <w:spacing w:line="360" w:lineRule="auto"/>
        <w:ind w:firstLine="480"/>
        <w:rPr>
          <w:rFonts w:hint="eastAsia"/>
          <w:sz w:val="24"/>
          <w:szCs w:val="24"/>
        </w:rPr>
      </w:pPr>
      <w:r>
        <w:rPr>
          <w:rFonts w:hint="eastAsia"/>
          <w:sz w:val="24"/>
          <w:szCs w:val="24"/>
        </w:rPr>
        <w:t>（29）日志分析：对用户的每一项操作都有详细的日志记录，每一次数据变化都可通过日志分析模块进行查询。</w:t>
      </w:r>
    </w:p>
    <w:p w14:paraId="6277DC0A">
      <w:pPr>
        <w:spacing w:line="360" w:lineRule="auto"/>
        <w:ind w:firstLine="480"/>
        <w:rPr>
          <w:rFonts w:hint="eastAsia"/>
          <w:sz w:val="24"/>
          <w:szCs w:val="24"/>
        </w:rPr>
      </w:pPr>
      <w:r>
        <w:rPr>
          <w:rFonts w:hint="eastAsia"/>
          <w:sz w:val="24"/>
          <w:szCs w:val="24"/>
        </w:rPr>
        <w:t>（30）安全级别设置：软件应支持以配置形式实现医院的密码复杂度要求。</w:t>
      </w:r>
    </w:p>
    <w:p w14:paraId="428F79A2">
      <w:pPr>
        <w:widowControl/>
        <w:spacing w:line="240" w:lineRule="auto"/>
        <w:ind w:firstLine="0" w:firstLineChars="0"/>
        <w:jc w:val="left"/>
        <w:rPr>
          <w:rFonts w:hint="eastAsia"/>
          <w:b/>
          <w:bCs/>
          <w:sz w:val="28"/>
          <w:szCs w:val="28"/>
        </w:rPr>
      </w:pPr>
      <w:bookmarkStart w:id="73" w:name="_Toc193866519"/>
      <w:r>
        <w:rPr>
          <w:rFonts w:hint="eastAsia"/>
          <w:b/>
          <w:bCs/>
          <w:sz w:val="28"/>
          <w:szCs w:val="28"/>
          <w:lang w:eastAsia="zh-CN"/>
        </w:rPr>
        <w:t>六、</w:t>
      </w:r>
      <w:r>
        <w:rPr>
          <w:rFonts w:hint="eastAsia"/>
          <w:b/>
          <w:bCs/>
          <w:sz w:val="28"/>
          <w:szCs w:val="28"/>
        </w:rPr>
        <w:t>售后服务要求</w:t>
      </w:r>
      <w:bookmarkEnd w:id="65"/>
      <w:bookmarkEnd w:id="73"/>
    </w:p>
    <w:p w14:paraId="5164F11D">
      <w:pPr>
        <w:spacing w:line="360" w:lineRule="auto"/>
        <w:ind w:firstLine="480"/>
        <w:rPr>
          <w:rFonts w:hint="eastAsia"/>
          <w:sz w:val="24"/>
          <w:szCs w:val="24"/>
        </w:rPr>
      </w:pPr>
      <w:r>
        <w:rPr>
          <w:rFonts w:hint="eastAsia"/>
          <w:sz w:val="24"/>
          <w:szCs w:val="24"/>
        </w:rPr>
        <w:t>1、系统管理员培训</w:t>
      </w:r>
    </w:p>
    <w:p w14:paraId="731FBD07">
      <w:pPr>
        <w:spacing w:line="360" w:lineRule="auto"/>
        <w:ind w:firstLine="480"/>
        <w:rPr>
          <w:rFonts w:hint="eastAsia"/>
          <w:sz w:val="24"/>
          <w:szCs w:val="24"/>
        </w:rPr>
      </w:pPr>
      <w:r>
        <w:rPr>
          <w:rFonts w:hint="eastAsia"/>
          <w:sz w:val="24"/>
          <w:szCs w:val="24"/>
        </w:rPr>
        <w:t>系统试运行期间，中标人负责为院方免费培训1-2名系统维护人员，通过培训，使维护人员能熟练规范的进行操作，对一般故障能进行处理和日常维护。</w:t>
      </w:r>
    </w:p>
    <w:p w14:paraId="3B762D31">
      <w:pPr>
        <w:spacing w:line="360" w:lineRule="auto"/>
        <w:ind w:firstLine="480"/>
        <w:rPr>
          <w:rFonts w:hint="eastAsia"/>
          <w:sz w:val="24"/>
          <w:szCs w:val="24"/>
        </w:rPr>
      </w:pPr>
      <w:r>
        <w:rPr>
          <w:rFonts w:hint="eastAsia"/>
          <w:sz w:val="24"/>
          <w:szCs w:val="24"/>
        </w:rPr>
        <w:t>2、远程电话咨询支持</w:t>
      </w:r>
    </w:p>
    <w:p w14:paraId="276B67A1">
      <w:pPr>
        <w:spacing w:line="360" w:lineRule="auto"/>
        <w:ind w:firstLine="480"/>
        <w:rPr>
          <w:rFonts w:hint="eastAsia"/>
          <w:sz w:val="24"/>
          <w:szCs w:val="24"/>
        </w:rPr>
      </w:pPr>
      <w:r>
        <w:rPr>
          <w:rFonts w:hint="eastAsia"/>
          <w:sz w:val="24"/>
          <w:szCs w:val="24"/>
        </w:rPr>
        <w:t>免费提供全天24小时的电话支持服务，解答院方在系统使用、维护过程中遇到的问题，及时提出解决问题的建议和操作方法。</w:t>
      </w:r>
    </w:p>
    <w:p w14:paraId="21A9075C">
      <w:pPr>
        <w:spacing w:line="360" w:lineRule="auto"/>
        <w:ind w:firstLine="480"/>
        <w:rPr>
          <w:rFonts w:hint="eastAsia"/>
          <w:sz w:val="24"/>
          <w:szCs w:val="24"/>
        </w:rPr>
      </w:pPr>
      <w:r>
        <w:rPr>
          <w:rFonts w:hint="eastAsia"/>
          <w:sz w:val="24"/>
          <w:szCs w:val="24"/>
        </w:rPr>
        <w:t>3、远程在线诊断和故障排除</w:t>
      </w:r>
    </w:p>
    <w:p w14:paraId="1DAB7550">
      <w:pPr>
        <w:spacing w:line="360" w:lineRule="auto"/>
        <w:ind w:firstLine="480"/>
        <w:rPr>
          <w:rFonts w:hint="eastAsia"/>
          <w:sz w:val="24"/>
          <w:szCs w:val="24"/>
        </w:rPr>
      </w:pPr>
      <w:r>
        <w:rPr>
          <w:rFonts w:hint="eastAsia"/>
          <w:sz w:val="24"/>
          <w:szCs w:val="24"/>
        </w:rPr>
        <w:t>投标人能为采购方提供远程维护，对于电话咨询无法解决的问题，工程师经采购方授权通过电话线、宽带网等方式远程登录到院方网络系统进行在线接入处理。</w:t>
      </w:r>
    </w:p>
    <w:p w14:paraId="10E3B886">
      <w:pPr>
        <w:spacing w:line="360" w:lineRule="auto"/>
        <w:ind w:firstLine="480"/>
        <w:rPr>
          <w:rFonts w:hint="eastAsia"/>
          <w:sz w:val="24"/>
          <w:szCs w:val="24"/>
        </w:rPr>
      </w:pPr>
      <w:r>
        <w:rPr>
          <w:rFonts w:hint="eastAsia"/>
          <w:sz w:val="24"/>
          <w:szCs w:val="24"/>
        </w:rPr>
        <w:t>4、应急响应机制</w:t>
      </w:r>
    </w:p>
    <w:p w14:paraId="4773B8C6">
      <w:pPr>
        <w:spacing w:line="360" w:lineRule="auto"/>
        <w:ind w:firstLine="480"/>
        <w:rPr>
          <w:rFonts w:hint="eastAsia"/>
          <w:sz w:val="24"/>
          <w:szCs w:val="24"/>
        </w:rPr>
      </w:pPr>
      <w:r>
        <w:rPr>
          <w:rFonts w:hint="eastAsia"/>
          <w:sz w:val="24"/>
          <w:szCs w:val="24"/>
        </w:rPr>
        <w:t>免费质保期内，如遇紧急故障工作人员在得到通知后2小时内提供在线支持，如不能远程解决，投标人工作人员4</w:t>
      </w:r>
      <w:r>
        <w:rPr>
          <w:sz w:val="24"/>
          <w:szCs w:val="24"/>
        </w:rPr>
        <w:t>8</w:t>
      </w:r>
      <w:r>
        <w:rPr>
          <w:rFonts w:hint="eastAsia"/>
          <w:sz w:val="24"/>
          <w:szCs w:val="24"/>
        </w:rPr>
        <w:t>小时内必须到达医院并设法排除故障。</w:t>
      </w:r>
    </w:p>
    <w:p w14:paraId="1145597C">
      <w:pPr>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5、售后服务保证</w:t>
      </w:r>
    </w:p>
    <w:p w14:paraId="25B71071">
      <w:pPr>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提供2年免费售后服务。</w:t>
      </w:r>
    </w:p>
    <w:p w14:paraId="5EF98637">
      <w:pPr>
        <w:pStyle w:val="2"/>
        <w:rPr>
          <w:rFonts w:hint="eastAsia"/>
          <w:sz w:val="28"/>
          <w:szCs w:val="28"/>
        </w:rPr>
      </w:pPr>
      <w:bookmarkStart w:id="74" w:name="_Toc193866520"/>
      <w:r>
        <w:rPr>
          <w:rFonts w:hint="eastAsia"/>
          <w:sz w:val="28"/>
          <w:szCs w:val="28"/>
          <w:lang w:eastAsia="zh-CN"/>
        </w:rPr>
        <w:t>七、</w:t>
      </w:r>
      <w:r>
        <w:rPr>
          <w:rFonts w:hint="eastAsia"/>
          <w:sz w:val="28"/>
          <w:szCs w:val="28"/>
        </w:rPr>
        <w:t>项目实施要求</w:t>
      </w:r>
      <w:bookmarkEnd w:id="74"/>
    </w:p>
    <w:p w14:paraId="469BF6C0">
      <w:pPr>
        <w:spacing w:line="480" w:lineRule="exact"/>
        <w:ind w:firstLine="480"/>
        <w:textAlignment w:val="center"/>
        <w:rPr>
          <w:rFonts w:hint="eastAsia"/>
          <w:sz w:val="24"/>
          <w:szCs w:val="24"/>
          <w:highlight w:val="none"/>
        </w:rPr>
      </w:pPr>
      <w:r>
        <w:rPr>
          <w:rFonts w:hint="eastAsia"/>
          <w:sz w:val="24"/>
          <w:szCs w:val="24"/>
          <w:highlight w:val="none"/>
        </w:rPr>
        <w:t>实施周期：10个月</w:t>
      </w:r>
    </w:p>
    <w:p w14:paraId="3787E4CB">
      <w:pPr>
        <w:spacing w:line="480" w:lineRule="exact"/>
        <w:ind w:firstLine="480"/>
        <w:textAlignment w:val="center"/>
        <w:rPr>
          <w:sz w:val="24"/>
          <w:szCs w:val="24"/>
          <w:highlight w:val="none"/>
        </w:rPr>
      </w:pPr>
      <w:r>
        <w:rPr>
          <w:rFonts w:hint="eastAsia"/>
          <w:sz w:val="24"/>
          <w:szCs w:val="24"/>
          <w:highlight w:val="none"/>
        </w:rPr>
        <w:t>供应商应提供绩效咨询服务和软件系统的实施方案，以及实施组织、管理办法和应急方案等。</w:t>
      </w:r>
    </w:p>
    <w:p w14:paraId="5761B9AD">
      <w:pPr>
        <w:spacing w:line="480" w:lineRule="exact"/>
        <w:ind w:firstLine="480"/>
        <w:textAlignment w:val="center"/>
        <w:rPr>
          <w:rFonts w:hint="eastAsia"/>
          <w:color w:val="auto"/>
          <w:sz w:val="24"/>
          <w:szCs w:val="24"/>
          <w:highlight w:val="none"/>
        </w:rPr>
      </w:pPr>
      <w:r>
        <w:rPr>
          <w:rFonts w:hint="eastAsia"/>
          <w:color w:val="auto"/>
          <w:sz w:val="24"/>
          <w:szCs w:val="24"/>
          <w:highlight w:val="none"/>
        </w:rPr>
        <w:t>供应商</w:t>
      </w:r>
      <w:r>
        <w:rPr>
          <w:rFonts w:hint="eastAsia"/>
          <w:color w:val="auto"/>
          <w:sz w:val="24"/>
          <w:szCs w:val="24"/>
          <w:highlight w:val="none"/>
          <w:lang w:val="en-US" w:eastAsia="zh-CN"/>
        </w:rPr>
        <w:t>负责</w:t>
      </w:r>
      <w:r>
        <w:rPr>
          <w:rFonts w:hint="eastAsia"/>
          <w:color w:val="auto"/>
          <w:sz w:val="24"/>
          <w:szCs w:val="24"/>
          <w:highlight w:val="none"/>
        </w:rPr>
        <w:t>本项目对应的相关接口服务</w:t>
      </w:r>
      <w:r>
        <w:rPr>
          <w:rFonts w:hint="eastAsia"/>
          <w:color w:val="auto"/>
          <w:sz w:val="24"/>
          <w:szCs w:val="24"/>
          <w:highlight w:val="none"/>
          <w:lang w:val="en-US" w:eastAsia="zh-CN"/>
        </w:rPr>
        <w:t>费用</w:t>
      </w:r>
      <w:r>
        <w:rPr>
          <w:rFonts w:hint="eastAsia"/>
          <w:color w:val="auto"/>
          <w:sz w:val="24"/>
          <w:szCs w:val="24"/>
          <w:highlight w:val="none"/>
        </w:rPr>
        <w:t>。</w:t>
      </w:r>
    </w:p>
    <w:p w14:paraId="5AC23DF5">
      <w:pPr>
        <w:spacing w:line="480" w:lineRule="exact"/>
        <w:ind w:firstLine="480"/>
        <w:textAlignment w:val="center"/>
        <w:rPr>
          <w:rFonts w:hint="eastAsia"/>
          <w:sz w:val="24"/>
          <w:szCs w:val="24"/>
          <w:highlight w:val="none"/>
        </w:rPr>
      </w:pPr>
      <w:r>
        <w:rPr>
          <w:rFonts w:hint="eastAsia"/>
          <w:sz w:val="24"/>
          <w:szCs w:val="24"/>
          <w:highlight w:val="none"/>
          <w:lang w:bidi="ar"/>
        </w:rPr>
        <w:t>本次报价不包含本项目所涉及配套的服务器、操作系统和数据库。</w:t>
      </w:r>
    </w:p>
    <w:p w14:paraId="30E42034">
      <w:pPr>
        <w:rPr>
          <w:highlight w:val="none"/>
        </w:rPr>
      </w:pPr>
    </w:p>
    <w:p w14:paraId="2DF39D20">
      <w:pPr>
        <w:bidi w:val="0"/>
        <w:jc w:val="left"/>
        <w:rPr>
          <w:rFonts w:hint="eastAsia" w:ascii="仿宋_GB2312" w:hAnsi="仿宋_GB2312" w:eastAsia="仿宋_GB2312" w:cs="仿宋_GB2312"/>
          <w:b/>
          <w:bCs/>
          <w:sz w:val="32"/>
          <w:szCs w:val="32"/>
          <w:highlight w:val="none"/>
          <w:lang w:val="en-US" w:eastAsia="zh-CN"/>
        </w:rPr>
      </w:pPr>
    </w:p>
    <w:p w14:paraId="212562D9">
      <w:pPr>
        <w:bidi w:val="0"/>
        <w:jc w:val="left"/>
        <w:rPr>
          <w:rFonts w:hint="eastAsia" w:ascii="仿宋_GB2312" w:hAnsi="仿宋_GB2312" w:eastAsia="仿宋_GB2312" w:cs="仿宋_GB2312"/>
          <w:b/>
          <w:bCs/>
          <w:sz w:val="32"/>
          <w:szCs w:val="32"/>
          <w:highlight w:val="none"/>
          <w:lang w:val="en-US" w:eastAsia="zh-CN"/>
        </w:rPr>
      </w:pPr>
    </w:p>
    <w:p w14:paraId="2C1545F3">
      <w:pPr>
        <w:bidi w:val="0"/>
        <w:jc w:val="left"/>
        <w:rPr>
          <w:rFonts w:hint="eastAsia" w:ascii="仿宋_GB2312" w:hAnsi="仿宋_GB2312" w:eastAsia="仿宋_GB2312" w:cs="仿宋_GB2312"/>
          <w:b/>
          <w:bCs/>
          <w:sz w:val="32"/>
          <w:szCs w:val="32"/>
          <w:highlight w:val="none"/>
          <w:lang w:val="en-US" w:eastAsia="zh-CN"/>
        </w:rPr>
      </w:pPr>
    </w:p>
    <w:p w14:paraId="7B1C0F4A">
      <w:pPr>
        <w:bidi w:val="0"/>
        <w:jc w:val="left"/>
        <w:rPr>
          <w:rFonts w:hint="eastAsia" w:ascii="仿宋_GB2312" w:hAnsi="仿宋_GB2312" w:eastAsia="仿宋_GB2312" w:cs="仿宋_GB2312"/>
          <w:b/>
          <w:bCs/>
          <w:sz w:val="32"/>
          <w:szCs w:val="32"/>
          <w:highlight w:val="none"/>
          <w:lang w:val="en-US" w:eastAsia="zh-CN"/>
        </w:rPr>
      </w:pPr>
    </w:p>
    <w:p w14:paraId="3302FA19">
      <w:pPr>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br w:type="page"/>
      </w:r>
    </w:p>
    <w:p w14:paraId="5A3B2CDC">
      <w:pPr>
        <w:pStyle w:val="2"/>
        <w:pageBreakBefore w:val="0"/>
        <w:widowControl w:val="0"/>
        <w:kinsoku/>
        <w:wordWrap/>
        <w:overflowPunct/>
        <w:topLinePunct w:val="0"/>
        <w:autoSpaceDE/>
        <w:autoSpaceDN/>
        <w:bidi w:val="0"/>
        <w:adjustRightInd/>
        <w:snapToGrid/>
        <w:spacing w:line="400" w:lineRule="exact"/>
        <w:ind w:right="0" w:rightChars="0"/>
        <w:jc w:val="center"/>
        <w:textAlignment w:val="auto"/>
        <w:outlineLvl w:val="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第六章  投标文件构成、要求及格式</w:t>
      </w:r>
      <w:bookmarkEnd w:id="38"/>
      <w:bookmarkEnd w:id="39"/>
      <w:bookmarkEnd w:id="40"/>
      <w:bookmarkEnd w:id="41"/>
    </w:p>
    <w:p w14:paraId="55480197">
      <w:pPr>
        <w:autoSpaceDE w:val="0"/>
        <w:autoSpaceDN w:val="0"/>
        <w:adjustRightInd w:val="0"/>
        <w:spacing w:line="520" w:lineRule="exact"/>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特别声明:</w:t>
      </w:r>
    </w:p>
    <w:p w14:paraId="76ADBBDC">
      <w:pPr>
        <w:tabs>
          <w:tab w:val="left" w:pos="709"/>
        </w:tabs>
        <w:autoSpaceDE w:val="0"/>
        <w:autoSpaceDN w:val="0"/>
        <w:adjustRightInd w:val="0"/>
        <w:spacing w:line="520" w:lineRule="exact"/>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1、投标人必须按照招标文件的规定投标文件分数提交投标文件，若有缺失、无效或者不符合招标文件要求，将导致其投标被拒绝。</w:t>
      </w:r>
    </w:p>
    <w:p w14:paraId="1771D64C">
      <w:pPr>
        <w:tabs>
          <w:tab w:val="left" w:pos="709"/>
        </w:tabs>
        <w:autoSpaceDE w:val="0"/>
        <w:autoSpaceDN w:val="0"/>
        <w:adjustRightInd w:val="0"/>
        <w:spacing w:line="520" w:lineRule="exact"/>
        <w:ind w:firstLine="540" w:firstLineChars="22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2、投标人提交的全部文件均须统一装订在投标文件中，其中原件装订在正本中，复印件装订在副本中。</w:t>
      </w:r>
      <w:r>
        <w:rPr>
          <w:rFonts w:hint="eastAsia" w:ascii="宋体" w:hAnsi="宋体" w:eastAsia="宋体" w:cs="宋体"/>
          <w:color w:val="auto"/>
          <w:kern w:val="0"/>
          <w:sz w:val="24"/>
          <w:highlight w:val="none"/>
          <w:lang w:val="zh-CN"/>
        </w:rPr>
        <w:t>投标人提交的文件材料均不予退还。</w:t>
      </w:r>
    </w:p>
    <w:p w14:paraId="6671E0BB">
      <w:pPr>
        <w:tabs>
          <w:tab w:val="left" w:pos="709"/>
        </w:tabs>
        <w:autoSpaceDE w:val="0"/>
        <w:autoSpaceDN w:val="0"/>
        <w:adjustRightInd w:val="0"/>
        <w:spacing w:line="52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3、投标人提交的全部文件均须按招标文件的规定有效签署和/或加盖公章。</w:t>
      </w:r>
    </w:p>
    <w:p w14:paraId="17099B37">
      <w:pPr>
        <w:tabs>
          <w:tab w:val="left" w:pos="709"/>
        </w:tabs>
        <w:autoSpaceDE w:val="0"/>
        <w:autoSpaceDN w:val="0"/>
        <w:adjustRightInd w:val="0"/>
        <w:spacing w:line="52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4、投标人应编制投标文件目录。</w:t>
      </w:r>
    </w:p>
    <w:p w14:paraId="36DAE1C0">
      <w:pPr>
        <w:tabs>
          <w:tab w:val="left" w:pos="709"/>
        </w:tabs>
        <w:autoSpaceDE w:val="0"/>
        <w:autoSpaceDN w:val="0"/>
        <w:adjustRightInd w:val="0"/>
        <w:spacing w:line="52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5、评标委员会将根据投标人提交的文件资料和自己的判断，决定投标人履行合同的合格性及能力。</w:t>
      </w:r>
    </w:p>
    <w:p w14:paraId="527EA6A0">
      <w:pPr>
        <w:autoSpaceDE w:val="0"/>
        <w:autoSpaceDN w:val="0"/>
        <w:adjustRightInd w:val="0"/>
        <w:spacing w:line="520" w:lineRule="exact"/>
        <w:rPr>
          <w:rFonts w:hint="eastAsia" w:ascii="宋体" w:hAnsi="宋体" w:eastAsia="宋体" w:cs="宋体"/>
          <w:color w:val="auto"/>
          <w:highlight w:val="none"/>
        </w:rPr>
      </w:pPr>
    </w:p>
    <w:p w14:paraId="6489C423">
      <w:pPr>
        <w:autoSpaceDE w:val="0"/>
        <w:autoSpaceDN w:val="0"/>
        <w:adjustRightInd w:val="0"/>
        <w:spacing w:line="520" w:lineRule="exact"/>
        <w:rPr>
          <w:rFonts w:hint="eastAsia" w:ascii="宋体" w:hAnsi="宋体" w:eastAsia="宋体" w:cs="宋体"/>
          <w:color w:val="auto"/>
          <w:highlight w:val="none"/>
        </w:rPr>
      </w:pPr>
    </w:p>
    <w:p w14:paraId="5057841C">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0CD6E09A">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5C8D9E4C">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7813DA92">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6DC654D7">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5787F9C9">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09A1168B">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5F40007F">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00962551">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07C4B8B3">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7BFAD0CE">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70C3A972">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3E769B1F">
      <w:pPr>
        <w:pStyle w:val="32"/>
        <w:rPr>
          <w:rFonts w:hint="eastAsia"/>
          <w:color w:val="auto"/>
          <w:highlight w:val="none"/>
          <w:lang w:val="zh-CN"/>
        </w:rPr>
      </w:pPr>
    </w:p>
    <w:p w14:paraId="064B276B">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01074EA9">
      <w:pPr>
        <w:spacing w:before="200"/>
        <w:rPr>
          <w:rFonts w:hint="eastAsia" w:ascii="宋体"/>
          <w:b/>
          <w:color w:val="auto"/>
          <w:sz w:val="28"/>
          <w:highlight w:val="none"/>
        </w:rPr>
      </w:pPr>
      <w:r>
        <w:rPr>
          <w:rFonts w:hint="eastAsia" w:ascii="宋体"/>
          <w:b/>
          <w:color w:val="auto"/>
          <w:sz w:val="24"/>
          <w:highlight w:val="none"/>
        </w:rPr>
        <w:t xml:space="preserve">格式1 </w:t>
      </w:r>
      <w:r>
        <w:rPr>
          <w:rFonts w:hint="eastAsia" w:ascii="宋体"/>
          <w:b/>
          <w:color w:val="auto"/>
          <w:sz w:val="28"/>
          <w:highlight w:val="none"/>
        </w:rPr>
        <w:t xml:space="preserve">                </w:t>
      </w:r>
    </w:p>
    <w:p w14:paraId="708D8BF4">
      <w:pPr>
        <w:spacing w:before="200"/>
        <w:jc w:val="center"/>
        <w:rPr>
          <w:rFonts w:hint="eastAsia" w:ascii="宋体" w:eastAsia="宋体"/>
          <w:b/>
          <w:color w:val="auto"/>
          <w:sz w:val="30"/>
          <w:szCs w:val="30"/>
          <w:highlight w:val="none"/>
          <w:lang w:eastAsia="zh-CN"/>
        </w:rPr>
      </w:pPr>
      <w:bookmarkStart w:id="75" w:name="_Toc3739_WPSOffice_Level1"/>
      <w:bookmarkStart w:id="76" w:name="_Toc98580425"/>
      <w:bookmarkStart w:id="77" w:name="_Toc48199907"/>
      <w:r>
        <w:rPr>
          <w:rFonts w:hint="eastAsia" w:ascii="宋体"/>
          <w:b/>
          <w:color w:val="auto"/>
          <w:sz w:val="30"/>
          <w:szCs w:val="30"/>
          <w:highlight w:val="none"/>
        </w:rPr>
        <w:t>开标一览表</w:t>
      </w:r>
      <w:bookmarkEnd w:id="75"/>
      <w:r>
        <w:rPr>
          <w:rFonts w:hint="eastAsia" w:ascii="宋体"/>
          <w:b/>
          <w:color w:val="auto"/>
          <w:sz w:val="30"/>
          <w:szCs w:val="30"/>
          <w:highlight w:val="none"/>
          <w:lang w:eastAsia="zh-CN"/>
        </w:rPr>
        <w:t>（</w:t>
      </w:r>
      <w:r>
        <w:rPr>
          <w:rFonts w:hint="eastAsia" w:ascii="宋体"/>
          <w:b/>
          <w:color w:val="auto"/>
          <w:sz w:val="30"/>
          <w:szCs w:val="30"/>
          <w:highlight w:val="none"/>
          <w:lang w:val="en-US" w:eastAsia="zh-CN"/>
        </w:rPr>
        <w:t>以政采云为准</w:t>
      </w:r>
      <w:r>
        <w:rPr>
          <w:rFonts w:hint="eastAsia" w:ascii="宋体"/>
          <w:b/>
          <w:color w:val="auto"/>
          <w:sz w:val="30"/>
          <w:szCs w:val="30"/>
          <w:highlight w:val="none"/>
          <w:lang w:eastAsia="zh-CN"/>
        </w:rPr>
        <w:t>）</w:t>
      </w:r>
    </w:p>
    <w:p w14:paraId="53BED861">
      <w:pPr>
        <w:rPr>
          <w:rFonts w:hint="eastAsia"/>
          <w:color w:val="auto"/>
          <w:sz w:val="24"/>
          <w:szCs w:val="24"/>
          <w:highlight w:val="none"/>
        </w:rPr>
      </w:pPr>
      <w:r>
        <w:rPr>
          <w:rFonts w:hint="eastAsia"/>
          <w:color w:val="auto"/>
          <w:sz w:val="24"/>
          <w:szCs w:val="24"/>
          <w:highlight w:val="none"/>
        </w:rPr>
        <w:t xml:space="preserve">招标编号：                                                     </w:t>
      </w:r>
    </w:p>
    <w:tbl>
      <w:tblPr>
        <w:tblStyle w:val="15"/>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96"/>
        <w:gridCol w:w="1620"/>
        <w:gridCol w:w="1473"/>
        <w:gridCol w:w="1575"/>
        <w:gridCol w:w="1625"/>
      </w:tblGrid>
      <w:tr w14:paraId="64DC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743" w:type="dxa"/>
            <w:tcBorders>
              <w:bottom w:val="single" w:color="auto" w:sz="4" w:space="0"/>
            </w:tcBorders>
            <w:noWrap w:val="0"/>
            <w:vAlign w:val="center"/>
          </w:tcPr>
          <w:p w14:paraId="39439022">
            <w:pPr>
              <w:spacing w:line="360" w:lineRule="auto"/>
              <w:jc w:val="center"/>
              <w:rPr>
                <w:rFonts w:hint="eastAsia"/>
                <w:color w:val="auto"/>
                <w:sz w:val="24"/>
                <w:szCs w:val="24"/>
                <w:highlight w:val="none"/>
              </w:rPr>
            </w:pPr>
            <w:r>
              <w:rPr>
                <w:rFonts w:hint="eastAsia"/>
                <w:color w:val="auto"/>
                <w:sz w:val="24"/>
                <w:szCs w:val="24"/>
                <w:highlight w:val="none"/>
              </w:rPr>
              <w:t>序号</w:t>
            </w:r>
          </w:p>
        </w:tc>
        <w:tc>
          <w:tcPr>
            <w:tcW w:w="1696" w:type="dxa"/>
            <w:tcBorders>
              <w:bottom w:val="single" w:color="auto" w:sz="4" w:space="0"/>
            </w:tcBorders>
            <w:noWrap w:val="0"/>
            <w:vAlign w:val="center"/>
          </w:tcPr>
          <w:p w14:paraId="33AAA0D1">
            <w:pPr>
              <w:spacing w:line="360" w:lineRule="auto"/>
              <w:jc w:val="center"/>
              <w:rPr>
                <w:rFonts w:hint="eastAsia"/>
                <w:color w:val="auto"/>
                <w:sz w:val="24"/>
                <w:szCs w:val="24"/>
                <w:highlight w:val="none"/>
              </w:rPr>
            </w:pPr>
            <w:r>
              <w:rPr>
                <w:rFonts w:hint="eastAsia"/>
                <w:color w:val="auto"/>
                <w:sz w:val="24"/>
                <w:szCs w:val="24"/>
                <w:highlight w:val="none"/>
              </w:rPr>
              <w:t>投标</w:t>
            </w:r>
            <w:r>
              <w:rPr>
                <w:rFonts w:hint="eastAsia"/>
                <w:color w:val="auto"/>
                <w:sz w:val="24"/>
                <w:szCs w:val="24"/>
                <w:highlight w:val="none"/>
                <w:lang w:eastAsia="zh-CN"/>
              </w:rPr>
              <w:t>单位</w:t>
            </w:r>
            <w:r>
              <w:rPr>
                <w:rFonts w:hint="eastAsia"/>
                <w:color w:val="auto"/>
                <w:sz w:val="24"/>
                <w:szCs w:val="24"/>
                <w:highlight w:val="none"/>
              </w:rPr>
              <w:t>名称</w:t>
            </w:r>
          </w:p>
        </w:tc>
        <w:tc>
          <w:tcPr>
            <w:tcW w:w="1620" w:type="dxa"/>
            <w:tcBorders>
              <w:bottom w:val="single" w:color="auto" w:sz="4" w:space="0"/>
            </w:tcBorders>
            <w:noWrap w:val="0"/>
            <w:vAlign w:val="center"/>
          </w:tcPr>
          <w:p w14:paraId="00C17B59">
            <w:pPr>
              <w:spacing w:line="360" w:lineRule="auto"/>
              <w:jc w:val="center"/>
              <w:rPr>
                <w:rFonts w:hint="eastAsia"/>
                <w:color w:val="auto"/>
                <w:sz w:val="24"/>
                <w:szCs w:val="24"/>
                <w:highlight w:val="none"/>
              </w:rPr>
            </w:pPr>
            <w:r>
              <w:rPr>
                <w:rFonts w:hint="eastAsia"/>
                <w:color w:val="auto"/>
                <w:sz w:val="24"/>
                <w:szCs w:val="24"/>
                <w:highlight w:val="none"/>
              </w:rPr>
              <w:t>投标报价</w:t>
            </w:r>
          </w:p>
          <w:p w14:paraId="7FFB9EEF">
            <w:pPr>
              <w:spacing w:line="360" w:lineRule="auto"/>
              <w:jc w:val="center"/>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eastAsia="zh-CN"/>
              </w:rPr>
              <w:t>万元</w:t>
            </w:r>
            <w:r>
              <w:rPr>
                <w:rFonts w:hint="eastAsia"/>
                <w:color w:val="auto"/>
                <w:sz w:val="24"/>
                <w:szCs w:val="24"/>
                <w:highlight w:val="none"/>
              </w:rPr>
              <w:t>）</w:t>
            </w:r>
          </w:p>
        </w:tc>
        <w:tc>
          <w:tcPr>
            <w:tcW w:w="1473" w:type="dxa"/>
            <w:tcBorders>
              <w:bottom w:val="single" w:color="auto" w:sz="4" w:space="0"/>
            </w:tcBorders>
            <w:noWrap w:val="0"/>
            <w:vAlign w:val="center"/>
          </w:tcPr>
          <w:p w14:paraId="3C91E653">
            <w:pPr>
              <w:spacing w:line="360" w:lineRule="auto"/>
              <w:jc w:val="center"/>
              <w:rPr>
                <w:rFonts w:hint="eastAsia" w:eastAsia="宋体"/>
                <w:color w:val="auto"/>
                <w:sz w:val="24"/>
                <w:szCs w:val="24"/>
                <w:highlight w:val="none"/>
                <w:lang w:eastAsia="zh-CN"/>
              </w:rPr>
            </w:pPr>
            <w:r>
              <w:rPr>
                <w:rFonts w:hint="eastAsia"/>
                <w:color w:val="auto"/>
                <w:sz w:val="24"/>
                <w:szCs w:val="24"/>
                <w:highlight w:val="none"/>
                <w:lang w:eastAsia="zh-CN"/>
              </w:rPr>
              <w:t>服务期限</w:t>
            </w:r>
          </w:p>
        </w:tc>
        <w:tc>
          <w:tcPr>
            <w:tcW w:w="1575" w:type="dxa"/>
            <w:tcBorders>
              <w:bottom w:val="single" w:color="auto" w:sz="4" w:space="0"/>
            </w:tcBorders>
            <w:noWrap w:val="0"/>
            <w:vAlign w:val="center"/>
          </w:tcPr>
          <w:p w14:paraId="405A424A">
            <w:pPr>
              <w:spacing w:line="360" w:lineRule="auto"/>
              <w:jc w:val="center"/>
              <w:rPr>
                <w:rFonts w:hint="eastAsia"/>
                <w:color w:val="auto"/>
                <w:sz w:val="24"/>
                <w:szCs w:val="24"/>
                <w:highlight w:val="none"/>
              </w:rPr>
            </w:pPr>
            <w:r>
              <w:rPr>
                <w:rFonts w:hint="eastAsia"/>
                <w:color w:val="auto"/>
                <w:sz w:val="24"/>
                <w:szCs w:val="24"/>
                <w:highlight w:val="none"/>
              </w:rPr>
              <w:t>投标保证金</w:t>
            </w:r>
          </w:p>
          <w:p w14:paraId="16E74927">
            <w:pPr>
              <w:spacing w:line="360" w:lineRule="auto"/>
              <w:jc w:val="center"/>
              <w:rPr>
                <w:rFonts w:hint="eastAsia"/>
                <w:color w:val="auto"/>
                <w:sz w:val="24"/>
                <w:szCs w:val="24"/>
                <w:highlight w:val="none"/>
              </w:rPr>
            </w:pPr>
            <w:r>
              <w:rPr>
                <w:rFonts w:hint="eastAsia"/>
                <w:color w:val="auto"/>
                <w:sz w:val="24"/>
                <w:szCs w:val="24"/>
                <w:highlight w:val="none"/>
              </w:rPr>
              <w:t>（有/无）</w:t>
            </w:r>
          </w:p>
        </w:tc>
        <w:tc>
          <w:tcPr>
            <w:tcW w:w="1625" w:type="dxa"/>
            <w:tcBorders>
              <w:bottom w:val="single" w:color="auto" w:sz="4" w:space="0"/>
            </w:tcBorders>
            <w:noWrap w:val="0"/>
            <w:vAlign w:val="center"/>
          </w:tcPr>
          <w:p w14:paraId="08C78F2A">
            <w:pPr>
              <w:spacing w:line="360" w:lineRule="auto"/>
              <w:jc w:val="center"/>
              <w:rPr>
                <w:rFonts w:hint="eastAsia"/>
                <w:color w:val="auto"/>
                <w:sz w:val="24"/>
                <w:szCs w:val="24"/>
                <w:highlight w:val="none"/>
              </w:rPr>
            </w:pPr>
            <w:r>
              <w:rPr>
                <w:rFonts w:hint="eastAsia"/>
                <w:color w:val="auto"/>
                <w:sz w:val="24"/>
                <w:szCs w:val="24"/>
                <w:highlight w:val="none"/>
                <w:lang w:eastAsia="zh-CN"/>
              </w:rPr>
              <w:t>服务</w:t>
            </w:r>
            <w:r>
              <w:rPr>
                <w:rFonts w:hint="eastAsia"/>
                <w:color w:val="auto"/>
                <w:sz w:val="24"/>
                <w:szCs w:val="24"/>
                <w:highlight w:val="none"/>
              </w:rPr>
              <w:t>标准</w:t>
            </w:r>
          </w:p>
        </w:tc>
      </w:tr>
      <w:tr w14:paraId="4C1E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3" w:type="dxa"/>
            <w:noWrap w:val="0"/>
            <w:vAlign w:val="center"/>
          </w:tcPr>
          <w:p w14:paraId="2BF98E19">
            <w:pPr>
              <w:spacing w:line="360" w:lineRule="auto"/>
              <w:jc w:val="center"/>
              <w:rPr>
                <w:rFonts w:hint="eastAsia"/>
                <w:color w:val="auto"/>
                <w:sz w:val="24"/>
                <w:szCs w:val="24"/>
                <w:highlight w:val="none"/>
              </w:rPr>
            </w:pPr>
            <w:r>
              <w:rPr>
                <w:rFonts w:hint="eastAsia"/>
                <w:color w:val="auto"/>
                <w:sz w:val="24"/>
                <w:szCs w:val="24"/>
                <w:highlight w:val="none"/>
              </w:rPr>
              <w:t>1</w:t>
            </w:r>
          </w:p>
        </w:tc>
        <w:tc>
          <w:tcPr>
            <w:tcW w:w="1696" w:type="dxa"/>
            <w:noWrap w:val="0"/>
            <w:vAlign w:val="center"/>
          </w:tcPr>
          <w:p w14:paraId="4C5D8FCB">
            <w:pPr>
              <w:spacing w:line="360" w:lineRule="auto"/>
              <w:jc w:val="center"/>
              <w:rPr>
                <w:rFonts w:hint="eastAsia"/>
                <w:color w:val="auto"/>
                <w:sz w:val="24"/>
                <w:szCs w:val="24"/>
                <w:highlight w:val="none"/>
              </w:rPr>
            </w:pPr>
          </w:p>
        </w:tc>
        <w:tc>
          <w:tcPr>
            <w:tcW w:w="1620" w:type="dxa"/>
            <w:noWrap w:val="0"/>
            <w:vAlign w:val="center"/>
          </w:tcPr>
          <w:p w14:paraId="1C7492F6">
            <w:pPr>
              <w:spacing w:line="360" w:lineRule="auto"/>
              <w:jc w:val="center"/>
              <w:rPr>
                <w:rFonts w:hint="eastAsia"/>
                <w:color w:val="auto"/>
                <w:sz w:val="24"/>
                <w:szCs w:val="24"/>
                <w:highlight w:val="none"/>
              </w:rPr>
            </w:pPr>
          </w:p>
        </w:tc>
        <w:tc>
          <w:tcPr>
            <w:tcW w:w="1473" w:type="dxa"/>
            <w:noWrap w:val="0"/>
            <w:vAlign w:val="center"/>
          </w:tcPr>
          <w:p w14:paraId="06139BA6">
            <w:pPr>
              <w:spacing w:line="360" w:lineRule="auto"/>
              <w:jc w:val="center"/>
              <w:rPr>
                <w:rFonts w:hint="eastAsia"/>
                <w:color w:val="auto"/>
                <w:sz w:val="24"/>
                <w:szCs w:val="24"/>
                <w:highlight w:val="none"/>
              </w:rPr>
            </w:pPr>
          </w:p>
        </w:tc>
        <w:tc>
          <w:tcPr>
            <w:tcW w:w="1575" w:type="dxa"/>
            <w:noWrap w:val="0"/>
            <w:vAlign w:val="center"/>
          </w:tcPr>
          <w:p w14:paraId="1A27F541">
            <w:pPr>
              <w:spacing w:line="360" w:lineRule="auto"/>
              <w:jc w:val="center"/>
              <w:rPr>
                <w:rFonts w:hint="eastAsia"/>
                <w:color w:val="auto"/>
                <w:sz w:val="24"/>
                <w:szCs w:val="24"/>
                <w:highlight w:val="none"/>
              </w:rPr>
            </w:pPr>
          </w:p>
        </w:tc>
        <w:tc>
          <w:tcPr>
            <w:tcW w:w="1625" w:type="dxa"/>
            <w:noWrap w:val="0"/>
            <w:vAlign w:val="center"/>
          </w:tcPr>
          <w:p w14:paraId="0AB8153B">
            <w:pPr>
              <w:spacing w:line="360" w:lineRule="auto"/>
              <w:jc w:val="center"/>
              <w:rPr>
                <w:rFonts w:hint="eastAsia"/>
                <w:color w:val="auto"/>
                <w:sz w:val="24"/>
                <w:szCs w:val="24"/>
                <w:highlight w:val="none"/>
              </w:rPr>
            </w:pPr>
          </w:p>
        </w:tc>
      </w:tr>
    </w:tbl>
    <w:p w14:paraId="3189C2D2">
      <w:pPr>
        <w:rPr>
          <w:rFonts w:hint="eastAsia" w:ascii="宋体"/>
          <w:color w:val="auto"/>
          <w:sz w:val="24"/>
          <w:szCs w:val="24"/>
          <w:highlight w:val="none"/>
        </w:rPr>
      </w:pPr>
    </w:p>
    <w:p w14:paraId="4AF23BC6">
      <w:pPr>
        <w:rPr>
          <w:rFonts w:hint="eastAsia"/>
          <w:b/>
          <w:color w:val="auto"/>
          <w:sz w:val="24"/>
          <w:szCs w:val="24"/>
          <w:highlight w:val="none"/>
        </w:rPr>
      </w:pPr>
      <w:r>
        <w:rPr>
          <w:rFonts w:hint="eastAsia"/>
          <w:b/>
          <w:color w:val="auto"/>
          <w:sz w:val="24"/>
          <w:szCs w:val="24"/>
          <w:highlight w:val="none"/>
        </w:rPr>
        <w:t>注：1、投标总价为本项目</w:t>
      </w:r>
      <w:r>
        <w:rPr>
          <w:rFonts w:hint="eastAsia"/>
          <w:b/>
          <w:color w:val="auto"/>
          <w:sz w:val="24"/>
          <w:szCs w:val="24"/>
          <w:highlight w:val="none"/>
          <w:lang w:val="en-US" w:eastAsia="zh-CN"/>
        </w:rPr>
        <w:t>相关的伴随</w:t>
      </w:r>
      <w:r>
        <w:rPr>
          <w:rFonts w:hint="eastAsia"/>
          <w:b/>
          <w:color w:val="auto"/>
          <w:sz w:val="24"/>
          <w:szCs w:val="24"/>
          <w:highlight w:val="none"/>
        </w:rPr>
        <w:t>服务及与其相关的设备采购、运输、税及相关费用的单项总和。</w:t>
      </w:r>
    </w:p>
    <w:p w14:paraId="2BE43F05">
      <w:pPr>
        <w:ind w:firstLine="482" w:firstLineChars="200"/>
        <w:rPr>
          <w:rFonts w:hint="eastAsia"/>
          <w:b/>
          <w:color w:val="auto"/>
          <w:sz w:val="24"/>
          <w:szCs w:val="24"/>
          <w:highlight w:val="none"/>
        </w:rPr>
      </w:pPr>
      <w:r>
        <w:rPr>
          <w:rFonts w:hint="eastAsia"/>
          <w:b/>
          <w:color w:val="auto"/>
          <w:sz w:val="24"/>
          <w:szCs w:val="24"/>
          <w:highlight w:val="none"/>
        </w:rPr>
        <w:t>2、开标一览表应再另做一份单独密封和标记，与投标文件同时递交。</w:t>
      </w:r>
    </w:p>
    <w:p w14:paraId="0E6DC955">
      <w:pPr>
        <w:ind w:firstLine="482" w:firstLineChars="200"/>
        <w:rPr>
          <w:rFonts w:hint="eastAsia"/>
          <w:b/>
          <w:color w:val="auto"/>
          <w:sz w:val="24"/>
          <w:szCs w:val="24"/>
          <w:highlight w:val="none"/>
        </w:rPr>
      </w:pPr>
      <w:r>
        <w:rPr>
          <w:rFonts w:hint="eastAsia"/>
          <w:b/>
          <w:color w:val="auto"/>
          <w:sz w:val="24"/>
          <w:szCs w:val="24"/>
          <w:highlight w:val="none"/>
        </w:rPr>
        <w:t>3、未按规定签字盖章的开标一览表，视为无效投标。</w:t>
      </w:r>
    </w:p>
    <w:p w14:paraId="59ADD6FF">
      <w:pPr>
        <w:rPr>
          <w:rFonts w:hint="eastAsia"/>
          <w:color w:val="auto"/>
          <w:highlight w:val="none"/>
        </w:rPr>
      </w:pPr>
    </w:p>
    <w:p w14:paraId="04E49D9C">
      <w:pPr>
        <w:rPr>
          <w:rFonts w:hint="eastAsia"/>
          <w:color w:val="auto"/>
          <w:sz w:val="24"/>
          <w:szCs w:val="24"/>
          <w:highlight w:val="none"/>
        </w:rPr>
      </w:pPr>
    </w:p>
    <w:p w14:paraId="092FF9D6">
      <w:pPr>
        <w:rPr>
          <w:rFonts w:hint="eastAsia"/>
          <w:color w:val="auto"/>
          <w:sz w:val="24"/>
          <w:szCs w:val="24"/>
          <w:highlight w:val="none"/>
        </w:rPr>
      </w:pPr>
      <w:r>
        <w:rPr>
          <w:rFonts w:hint="eastAsia"/>
          <w:color w:val="auto"/>
          <w:sz w:val="24"/>
          <w:szCs w:val="24"/>
          <w:highlight w:val="none"/>
        </w:rPr>
        <w:t>投标单位：（印刷体及公章）</w:t>
      </w:r>
    </w:p>
    <w:p w14:paraId="4B2B237F">
      <w:pPr>
        <w:rPr>
          <w:rFonts w:hint="eastAsia"/>
          <w:color w:val="auto"/>
          <w:sz w:val="24"/>
          <w:szCs w:val="24"/>
          <w:highlight w:val="none"/>
        </w:rPr>
      </w:pPr>
    </w:p>
    <w:p w14:paraId="36B831AA">
      <w:pPr>
        <w:rPr>
          <w:rFonts w:hint="eastAsia"/>
          <w:color w:val="auto"/>
          <w:highlight w:val="none"/>
        </w:rPr>
      </w:pPr>
      <w:r>
        <w:rPr>
          <w:rFonts w:hint="eastAsia"/>
          <w:color w:val="auto"/>
          <w:sz w:val="24"/>
          <w:szCs w:val="24"/>
          <w:highlight w:val="none"/>
        </w:rPr>
        <w:t>法定代表人或其授权代表人：（签字</w:t>
      </w:r>
      <w:r>
        <w:rPr>
          <w:rFonts w:hint="eastAsia"/>
          <w:color w:val="auto"/>
          <w:sz w:val="24"/>
          <w:szCs w:val="24"/>
          <w:highlight w:val="none"/>
          <w:lang w:val="en-US" w:eastAsia="zh-CN"/>
        </w:rPr>
        <w:t>或</w:t>
      </w:r>
      <w:r>
        <w:rPr>
          <w:rFonts w:hint="eastAsia"/>
          <w:color w:val="auto"/>
          <w:sz w:val="24"/>
          <w:szCs w:val="24"/>
          <w:highlight w:val="none"/>
        </w:rPr>
        <w:t>盖章）</w:t>
      </w:r>
      <w:r>
        <w:rPr>
          <w:rFonts w:hint="eastAsia" w:ascii="宋体"/>
          <w:color w:val="auto"/>
          <w:sz w:val="28"/>
          <w:highlight w:val="none"/>
        </w:rPr>
        <w:br w:type="page"/>
      </w:r>
      <w:r>
        <w:rPr>
          <w:rFonts w:hint="eastAsia" w:ascii="宋体"/>
          <w:b/>
          <w:color w:val="auto"/>
          <w:sz w:val="24"/>
          <w:szCs w:val="24"/>
          <w:highlight w:val="none"/>
        </w:rPr>
        <w:t xml:space="preserve">格式2   </w:t>
      </w:r>
      <w:r>
        <w:rPr>
          <w:rFonts w:hint="eastAsia" w:ascii="宋体"/>
          <w:color w:val="auto"/>
          <w:sz w:val="24"/>
          <w:szCs w:val="24"/>
          <w:highlight w:val="none"/>
        </w:rPr>
        <w:t xml:space="preserve">     　</w:t>
      </w:r>
      <w:r>
        <w:rPr>
          <w:rFonts w:hint="eastAsia" w:ascii="宋体"/>
          <w:color w:val="auto"/>
          <w:sz w:val="28"/>
          <w:highlight w:val="none"/>
        </w:rPr>
        <w:t xml:space="preserve">  </w:t>
      </w:r>
    </w:p>
    <w:p w14:paraId="4C7814B4">
      <w:pPr>
        <w:jc w:val="center"/>
        <w:rPr>
          <w:rFonts w:hint="eastAsia"/>
          <w:b/>
          <w:color w:val="auto"/>
          <w:sz w:val="30"/>
          <w:szCs w:val="30"/>
          <w:highlight w:val="none"/>
        </w:rPr>
      </w:pPr>
      <w:r>
        <w:rPr>
          <w:rFonts w:hint="eastAsia"/>
          <w:b/>
          <w:color w:val="auto"/>
          <w:sz w:val="30"/>
          <w:szCs w:val="30"/>
          <w:highlight w:val="none"/>
        </w:rPr>
        <w:t>分项报价表</w:t>
      </w:r>
      <w:bookmarkEnd w:id="76"/>
      <w:bookmarkEnd w:id="77"/>
    </w:p>
    <w:p w14:paraId="1E2FA86F">
      <w:pPr>
        <w:jc w:val="center"/>
        <w:rPr>
          <w:rFonts w:hint="eastAsia" w:ascii="宋体"/>
          <w:b/>
          <w:color w:val="auto"/>
          <w:sz w:val="32"/>
          <w:highlight w:val="none"/>
          <w:lang w:eastAsia="zh-CN"/>
        </w:rPr>
      </w:pPr>
    </w:p>
    <w:p w14:paraId="5F8BC566">
      <w:pPr>
        <w:jc w:val="center"/>
        <w:rPr>
          <w:rFonts w:hint="eastAsia" w:ascii="宋体" w:eastAsia="宋体"/>
          <w:b/>
          <w:color w:val="auto"/>
          <w:sz w:val="32"/>
          <w:highlight w:val="none"/>
          <w:lang w:eastAsia="zh-CN"/>
        </w:rPr>
      </w:pPr>
      <w:r>
        <w:rPr>
          <w:rFonts w:hint="eastAsia" w:ascii="宋体"/>
          <w:b/>
          <w:color w:val="auto"/>
          <w:sz w:val="32"/>
          <w:highlight w:val="none"/>
          <w:lang w:eastAsia="zh-CN"/>
        </w:rPr>
        <w:t>投标单位需对本项目进行分项报价，格式自拟。</w:t>
      </w:r>
    </w:p>
    <w:p w14:paraId="3C52D5C6">
      <w:pPr>
        <w:rPr>
          <w:rFonts w:hint="eastAsia" w:ascii="宋体"/>
          <w:color w:val="auto"/>
          <w:highlight w:val="none"/>
        </w:rPr>
      </w:pPr>
    </w:p>
    <w:p w14:paraId="176D614B">
      <w:pPr>
        <w:rPr>
          <w:rFonts w:hint="eastAsia"/>
          <w:color w:val="auto"/>
          <w:sz w:val="24"/>
          <w:szCs w:val="24"/>
          <w:highlight w:val="none"/>
        </w:rPr>
      </w:pPr>
      <w:r>
        <w:rPr>
          <w:rFonts w:hint="eastAsia"/>
          <w:color w:val="auto"/>
          <w:sz w:val="24"/>
          <w:szCs w:val="24"/>
          <w:highlight w:val="none"/>
        </w:rPr>
        <w:t>投标单位：（印刷体及公章）</w:t>
      </w:r>
    </w:p>
    <w:p w14:paraId="6BFD725A">
      <w:pPr>
        <w:rPr>
          <w:rFonts w:hint="eastAsia"/>
          <w:color w:val="auto"/>
          <w:sz w:val="24"/>
          <w:szCs w:val="24"/>
          <w:highlight w:val="none"/>
        </w:rPr>
      </w:pPr>
    </w:p>
    <w:p w14:paraId="20BC9AC3">
      <w:pPr>
        <w:rPr>
          <w:rFonts w:hint="eastAsia"/>
          <w:color w:val="auto"/>
          <w:sz w:val="24"/>
          <w:szCs w:val="24"/>
          <w:highlight w:val="none"/>
        </w:rPr>
      </w:pPr>
      <w:r>
        <w:rPr>
          <w:rFonts w:hint="eastAsia"/>
          <w:color w:val="auto"/>
          <w:sz w:val="24"/>
          <w:szCs w:val="24"/>
          <w:highlight w:val="none"/>
        </w:rPr>
        <w:t>法定代表人或其授权代表人：（签字）</w:t>
      </w:r>
    </w:p>
    <w:p w14:paraId="4806AA30">
      <w:pPr>
        <w:rPr>
          <w:rFonts w:hint="eastAsia" w:ascii="宋体"/>
          <w:color w:val="auto"/>
          <w:sz w:val="24"/>
          <w:highlight w:val="none"/>
        </w:rPr>
      </w:pPr>
    </w:p>
    <w:p w14:paraId="517B6508">
      <w:pPr>
        <w:rPr>
          <w:rFonts w:hint="eastAsia" w:ascii="宋体"/>
          <w:color w:val="auto"/>
          <w:highlight w:val="none"/>
        </w:rPr>
      </w:pPr>
    </w:p>
    <w:p w14:paraId="1C4E3181">
      <w:pPr>
        <w:rPr>
          <w:rFonts w:hint="eastAsia"/>
          <w:b/>
          <w:color w:val="auto"/>
          <w:sz w:val="24"/>
          <w:szCs w:val="24"/>
          <w:highlight w:val="none"/>
        </w:rPr>
      </w:pPr>
      <w:r>
        <w:rPr>
          <w:rFonts w:hint="eastAsia" w:ascii="宋体"/>
          <w:color w:val="auto"/>
          <w:highlight w:val="none"/>
        </w:rPr>
        <w:br w:type="page"/>
      </w:r>
      <w:r>
        <w:rPr>
          <w:rFonts w:hint="eastAsia"/>
          <w:b/>
          <w:color w:val="auto"/>
          <w:sz w:val="24"/>
          <w:szCs w:val="24"/>
          <w:highlight w:val="none"/>
        </w:rPr>
        <w:t xml:space="preserve">格式3　　　     </w:t>
      </w:r>
    </w:p>
    <w:p w14:paraId="6E83AEE8">
      <w:pPr>
        <w:jc w:val="center"/>
        <w:rPr>
          <w:rFonts w:hint="eastAsia"/>
          <w:b/>
          <w:color w:val="auto"/>
          <w:sz w:val="30"/>
          <w:szCs w:val="30"/>
          <w:highlight w:val="none"/>
        </w:rPr>
      </w:pPr>
      <w:r>
        <w:rPr>
          <w:rFonts w:hint="eastAsia"/>
          <w:b/>
          <w:color w:val="auto"/>
          <w:sz w:val="30"/>
          <w:szCs w:val="30"/>
          <w:highlight w:val="none"/>
        </w:rPr>
        <w:t>投标函</w:t>
      </w:r>
    </w:p>
    <w:p w14:paraId="0740B30A">
      <w:pPr>
        <w:spacing w:line="408" w:lineRule="auto"/>
        <w:rPr>
          <w:rFonts w:hint="eastAsia" w:ascii="宋体"/>
          <w:color w:val="auto"/>
          <w:highlight w:val="none"/>
        </w:rPr>
      </w:pPr>
    </w:p>
    <w:p w14:paraId="0CED93DF">
      <w:pPr>
        <w:autoSpaceDE w:val="0"/>
        <w:autoSpaceDN w:val="0"/>
        <w:adjustRightInd w:val="0"/>
        <w:spacing w:line="52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u w:val="single"/>
          <w:lang w:val="zh-CN"/>
        </w:rPr>
        <w:t>中源国际招标有限公司</w:t>
      </w:r>
      <w:r>
        <w:rPr>
          <w:rFonts w:hint="eastAsia" w:ascii="宋体" w:hAnsi="宋体" w:eastAsia="宋体" w:cs="宋体"/>
          <w:color w:val="auto"/>
          <w:kern w:val="0"/>
          <w:sz w:val="24"/>
          <w:highlight w:val="none"/>
          <w:u w:val="none"/>
          <w:lang w:val="zh-CN"/>
        </w:rPr>
        <w:t>：</w:t>
      </w:r>
    </w:p>
    <w:p w14:paraId="28C78A1B">
      <w:pPr>
        <w:autoSpaceDE w:val="0"/>
        <w:autoSpaceDN w:val="0"/>
        <w:adjustRightInd w:val="0"/>
        <w:spacing w:line="520" w:lineRule="exact"/>
        <w:rPr>
          <w:rFonts w:hint="eastAsia" w:ascii="宋体" w:hAnsi="宋体" w:eastAsia="宋体" w:cs="宋体"/>
          <w:color w:val="auto"/>
          <w:kern w:val="0"/>
          <w:sz w:val="24"/>
          <w:highlight w:val="none"/>
          <w:u w:val="single"/>
          <w:lang w:val="zh-CN"/>
        </w:rPr>
      </w:pPr>
    </w:p>
    <w:p w14:paraId="3236F5C4">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根据你方采购</w:t>
      </w:r>
      <w:r>
        <w:rPr>
          <w:rFonts w:hint="eastAsia" w:ascii="宋体" w:hAnsi="宋体" w:eastAsia="宋体" w:cs="宋体"/>
          <w:color w:val="auto"/>
          <w:sz w:val="24"/>
          <w:highlight w:val="none"/>
          <w:u w:val="single"/>
          <w:lang w:val="zh-CN"/>
        </w:rPr>
        <w:t xml:space="preserve">  （项目名称） </w:t>
      </w:r>
      <w:r>
        <w:rPr>
          <w:rFonts w:hint="eastAsia" w:ascii="宋体" w:hAnsi="宋体" w:eastAsia="宋体" w:cs="宋体"/>
          <w:color w:val="auto"/>
          <w:sz w:val="24"/>
          <w:highlight w:val="none"/>
          <w:lang w:val="zh-CN"/>
        </w:rPr>
        <w:t>项目编号为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招标文件，我方正式授权的下述签字人</w:t>
      </w:r>
      <w:r>
        <w:rPr>
          <w:rFonts w:hint="eastAsia" w:ascii="宋体" w:hAnsi="宋体" w:eastAsia="宋体" w:cs="宋体"/>
          <w:color w:val="auto"/>
          <w:sz w:val="24"/>
          <w:highlight w:val="none"/>
          <w:u w:val="single"/>
          <w:lang w:val="zh-CN"/>
        </w:rPr>
        <w:t xml:space="preserve">  （姓名和职务）  </w:t>
      </w:r>
      <w:r>
        <w:rPr>
          <w:rFonts w:hint="eastAsia" w:ascii="宋体" w:hAnsi="宋体" w:eastAsia="宋体" w:cs="宋体"/>
          <w:color w:val="auto"/>
          <w:sz w:val="24"/>
          <w:highlight w:val="none"/>
          <w:lang w:val="zh-CN"/>
        </w:rPr>
        <w:t>代表我方</w:t>
      </w:r>
      <w:r>
        <w:rPr>
          <w:rFonts w:hint="eastAsia" w:ascii="宋体" w:hAnsi="宋体" w:eastAsia="宋体" w:cs="宋体"/>
          <w:color w:val="auto"/>
          <w:sz w:val="24"/>
          <w:highlight w:val="none"/>
          <w:u w:val="single"/>
          <w:lang w:val="zh-CN"/>
        </w:rPr>
        <w:t xml:space="preserve">  （投标人的名称）  </w:t>
      </w:r>
      <w:r>
        <w:rPr>
          <w:rFonts w:hint="eastAsia" w:ascii="宋体" w:hAnsi="宋体" w:eastAsia="宋体" w:cs="宋体"/>
          <w:color w:val="auto"/>
          <w:sz w:val="24"/>
          <w:highlight w:val="none"/>
          <w:lang w:val="zh-CN"/>
        </w:rPr>
        <w:t>，按照你方招标文件的规定，提交《投标人须知》</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投标文件构成</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要求的全部文件正本</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份、副本</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份，并保证所提供的全部文件是真实的、有效的和准确的。</w:t>
      </w:r>
    </w:p>
    <w:p w14:paraId="130D6F11">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据此函，签字人兹宣布同意如下：</w:t>
      </w:r>
    </w:p>
    <w:p w14:paraId="0AE42AD2">
      <w:pPr>
        <w:tabs>
          <w:tab w:val="left" w:pos="8175"/>
        </w:tabs>
        <w:autoSpaceDE w:val="0"/>
        <w:autoSpaceDN w:val="0"/>
        <w:adjustRightInd w:val="0"/>
        <w:spacing w:line="5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1.按招标文件规定提供货物及服务的投标报价为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万元。</w:t>
      </w:r>
    </w:p>
    <w:p w14:paraId="08AC923B">
      <w:pPr>
        <w:tabs>
          <w:tab w:val="left" w:pos="8175"/>
        </w:tabs>
        <w:autoSpaceDE w:val="0"/>
        <w:autoSpaceDN w:val="0"/>
        <w:adjustRightInd w:val="0"/>
        <w:spacing w:line="5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2.如果我方中标，我们保证根据招标文件规定履行合同责任和义务。具体交货</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val="zh-CN"/>
        </w:rPr>
        <w:t>时间承诺如下</w:t>
      </w:r>
      <w:r>
        <w:rPr>
          <w:rFonts w:hint="eastAsia" w:ascii="宋体" w:hAnsi="宋体" w:eastAsia="宋体" w:cs="宋体"/>
          <w:color w:val="auto"/>
          <w:sz w:val="24"/>
          <w:highlight w:val="none"/>
          <w:u w:val="single"/>
          <w:lang w:val="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w:t>
      </w:r>
    </w:p>
    <w:p w14:paraId="484B3BAD">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3.我方人民币</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元的投标保证金与本投标文件同时提交。</w:t>
      </w:r>
    </w:p>
    <w:p w14:paraId="04A64356">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4.如果我方中标，我方保证按照招标文件规定提交履约保证金，承担履约责任。</w:t>
      </w:r>
    </w:p>
    <w:p w14:paraId="0848DA39">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0FBE8E77">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6.我们对招标文件关于时限、程序方面的规定没有异议，保证按照招标文件规定的时限和程序参加投标活动。</w:t>
      </w:r>
    </w:p>
    <w:p w14:paraId="5D31D386">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7.我们同意在投标人须知规定的开标时间起遵循本投标书，并在投标人须知规定的投标有效期满之前均具有约束力，并有可能中标。</w:t>
      </w:r>
    </w:p>
    <w:p w14:paraId="4272DE80">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8.我们如果在规定的投标有效期内撤回投标，则你方可不予退还我们的投标保证金。</w:t>
      </w:r>
    </w:p>
    <w:p w14:paraId="24A845A3">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9.我们保证向你方提供你方可能要求的与本投标有关的任何证据或资料。</w:t>
      </w:r>
    </w:p>
    <w:p w14:paraId="3FE11A2D">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10.我们完全理解你方不一定要接受最低报价的投标或收到的任何投标。</w:t>
      </w:r>
    </w:p>
    <w:p w14:paraId="13323F0F">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11.本投标自开标之时起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天内有效。</w:t>
      </w:r>
    </w:p>
    <w:p w14:paraId="1A58E57F">
      <w:pPr>
        <w:tabs>
          <w:tab w:val="left" w:pos="709"/>
        </w:tabs>
        <w:autoSpaceDE w:val="0"/>
        <w:autoSpaceDN w:val="0"/>
        <w:adjustRightInd w:val="0"/>
        <w:spacing w:line="520" w:lineRule="exact"/>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220C5A1E">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）提供虚假材料谋取中标、成交的；</w:t>
      </w:r>
    </w:p>
    <w:p w14:paraId="75ABDFC0">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）采取不正当手段诋毁、排挤其他投标人的；</w:t>
      </w:r>
    </w:p>
    <w:p w14:paraId="62433AA3">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）与其他投标人、招标机构或者采购单位人员或者其他有关人员恶意串通的；</w:t>
      </w:r>
    </w:p>
    <w:p w14:paraId="494DBB6F">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）向评标委员会成员、招标机构或者采购单位人员或者其他有关人员行贿或者提供其他不正当利益的；</w:t>
      </w:r>
    </w:p>
    <w:p w14:paraId="00BBCB08">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7D196970">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）将中标项目转让给他人或者将中标项目分包给他人的；</w:t>
      </w:r>
    </w:p>
    <w:p w14:paraId="34561D3C">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）签订合同后拒绝履行合同义务的；</w:t>
      </w:r>
    </w:p>
    <w:p w14:paraId="53A59871">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）拒绝有关部门监督检查或提供虚假情况的。</w:t>
      </w:r>
    </w:p>
    <w:p w14:paraId="49B090AE">
      <w:pPr>
        <w:autoSpaceDE w:val="0"/>
        <w:autoSpaceDN w:val="0"/>
        <w:adjustRightInd w:val="0"/>
        <w:spacing w:line="520" w:lineRule="exact"/>
        <w:ind w:firstLine="482"/>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投标人名称（加盖公章）：</w:t>
      </w:r>
      <w:r>
        <w:rPr>
          <w:rFonts w:hint="eastAsia" w:ascii="宋体" w:hAnsi="宋体" w:eastAsia="宋体" w:cs="宋体"/>
          <w:color w:val="auto"/>
          <w:sz w:val="24"/>
          <w:highlight w:val="none"/>
          <w:u w:val="single"/>
          <w:lang w:val="zh-CN"/>
        </w:rPr>
        <w:t xml:space="preserve">                      </w:t>
      </w:r>
    </w:p>
    <w:p w14:paraId="7E81DE9F">
      <w:pPr>
        <w:autoSpaceDE w:val="0"/>
        <w:autoSpaceDN w:val="0"/>
        <w:adjustRightInd w:val="0"/>
        <w:spacing w:line="52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投标人代表姓名：</w:t>
      </w:r>
      <w:r>
        <w:rPr>
          <w:rFonts w:hint="eastAsia" w:ascii="宋体" w:hAnsi="宋体" w:eastAsia="宋体" w:cs="宋体"/>
          <w:color w:val="auto"/>
          <w:sz w:val="24"/>
          <w:highlight w:val="none"/>
          <w:u w:val="single"/>
          <w:lang w:val="zh-CN"/>
        </w:rPr>
        <w:t xml:space="preserve">                  </w:t>
      </w:r>
    </w:p>
    <w:p w14:paraId="437965C8">
      <w:pPr>
        <w:autoSpaceDE w:val="0"/>
        <w:autoSpaceDN w:val="0"/>
        <w:adjustRightInd w:val="0"/>
        <w:spacing w:line="520" w:lineRule="exact"/>
        <w:ind w:firstLine="480"/>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地址：</w:t>
      </w:r>
      <w:r>
        <w:rPr>
          <w:rFonts w:hint="eastAsia" w:ascii="宋体" w:hAnsi="宋体" w:eastAsia="宋体" w:cs="宋体"/>
          <w:color w:val="auto"/>
          <w:sz w:val="24"/>
          <w:highlight w:val="none"/>
          <w:u w:val="single"/>
          <w:lang w:val="zh-CN"/>
        </w:rPr>
        <w:t xml:space="preserve">                                       </w:t>
      </w:r>
    </w:p>
    <w:p w14:paraId="5FF688F5">
      <w:pPr>
        <w:autoSpaceDE w:val="0"/>
        <w:autoSpaceDN w:val="0"/>
        <w:adjustRightInd w:val="0"/>
        <w:spacing w:line="520" w:lineRule="exact"/>
        <w:ind w:firstLine="480"/>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电话、传真或电传：</w:t>
      </w:r>
      <w:r>
        <w:rPr>
          <w:rFonts w:hint="eastAsia" w:ascii="宋体" w:hAnsi="宋体" w:eastAsia="宋体" w:cs="宋体"/>
          <w:color w:val="auto"/>
          <w:sz w:val="24"/>
          <w:highlight w:val="none"/>
          <w:u w:val="single"/>
          <w:lang w:val="zh-CN"/>
        </w:rPr>
        <w:t xml:space="preserve">                           </w:t>
      </w:r>
    </w:p>
    <w:p w14:paraId="253AD7AB">
      <w:pPr>
        <w:autoSpaceDE w:val="0"/>
        <w:autoSpaceDN w:val="0"/>
        <w:adjustRightInd w:val="0"/>
        <w:spacing w:line="520" w:lineRule="exact"/>
        <w:ind w:firstLine="480"/>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邮政编码：</w:t>
      </w:r>
      <w:r>
        <w:rPr>
          <w:rFonts w:hint="eastAsia" w:ascii="宋体" w:hAnsi="宋体" w:eastAsia="宋体" w:cs="宋体"/>
          <w:color w:val="auto"/>
          <w:sz w:val="24"/>
          <w:highlight w:val="none"/>
          <w:u w:val="single"/>
          <w:lang w:val="zh-CN"/>
        </w:rPr>
        <w:t xml:space="preserve">                                   </w:t>
      </w:r>
    </w:p>
    <w:p w14:paraId="3AD88D7F">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p>
    <w:p w14:paraId="257629AE">
      <w:pPr>
        <w:autoSpaceDE w:val="0"/>
        <w:autoSpaceDN w:val="0"/>
        <w:adjustRightInd w:val="0"/>
        <w:spacing w:line="520" w:lineRule="exact"/>
        <w:ind w:firstLine="480"/>
        <w:rPr>
          <w:rFonts w:hint="eastAsia" w:ascii="宋体" w:hAnsi="宋体" w:eastAsia="宋体" w:cs="宋体"/>
          <w:color w:val="auto"/>
          <w:sz w:val="24"/>
          <w:highlight w:val="none"/>
          <w:lang w:val="zh-CN"/>
        </w:rPr>
      </w:pPr>
    </w:p>
    <w:p w14:paraId="02A9478A">
      <w:pPr>
        <w:autoSpaceDE w:val="0"/>
        <w:autoSpaceDN w:val="0"/>
        <w:adjustRightInd w:val="0"/>
        <w:spacing w:line="520" w:lineRule="exact"/>
        <w:ind w:firstLine="47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请投标人注意：投标函必须按规定有效签署和加盖公章。</w:t>
      </w:r>
    </w:p>
    <w:p w14:paraId="640BFE89">
      <w:pPr>
        <w:autoSpaceDE w:val="0"/>
        <w:autoSpaceDN w:val="0"/>
        <w:adjustRightInd w:val="0"/>
        <w:spacing w:line="520" w:lineRule="exact"/>
        <w:rPr>
          <w:rFonts w:hint="eastAsia" w:ascii="宋体" w:hAnsi="宋体" w:eastAsia="宋体" w:cs="宋体"/>
          <w:color w:val="auto"/>
          <w:sz w:val="24"/>
          <w:highlight w:val="none"/>
          <w:lang w:val="zh-CN"/>
        </w:rPr>
      </w:pPr>
    </w:p>
    <w:p w14:paraId="761DBF54">
      <w:pPr>
        <w:tabs>
          <w:tab w:val="left" w:pos="-525"/>
          <w:tab w:val="left" w:pos="420"/>
        </w:tabs>
        <w:spacing w:line="408" w:lineRule="auto"/>
        <w:ind w:left="-525" w:hanging="45"/>
        <w:rPr>
          <w:rFonts w:hint="eastAsia" w:ascii="宋体"/>
          <w:color w:val="auto"/>
          <w:sz w:val="24"/>
          <w:szCs w:val="24"/>
          <w:highlight w:val="none"/>
        </w:rPr>
      </w:pPr>
      <w:r>
        <w:rPr>
          <w:rFonts w:hint="eastAsia" w:ascii="宋体"/>
          <w:color w:val="auto"/>
          <w:sz w:val="24"/>
          <w:szCs w:val="24"/>
          <w:highlight w:val="none"/>
        </w:rPr>
        <w:t xml:space="preserve">                      </w:t>
      </w:r>
    </w:p>
    <w:p w14:paraId="5C623C38">
      <w:pPr>
        <w:tabs>
          <w:tab w:val="left" w:pos="420"/>
        </w:tabs>
        <w:spacing w:line="360" w:lineRule="auto"/>
        <w:rPr>
          <w:rFonts w:hint="eastAsia" w:ascii="宋体"/>
          <w:color w:val="auto"/>
          <w:sz w:val="24"/>
          <w:highlight w:val="none"/>
        </w:rPr>
      </w:pPr>
    </w:p>
    <w:p w14:paraId="4F0A56ED">
      <w:pPr>
        <w:rPr>
          <w:rFonts w:hint="eastAsia" w:ascii="宋体"/>
          <w:b/>
          <w:color w:val="auto"/>
          <w:sz w:val="24"/>
          <w:szCs w:val="24"/>
          <w:highlight w:val="none"/>
        </w:rPr>
      </w:pPr>
      <w:r>
        <w:rPr>
          <w:rFonts w:hint="eastAsia" w:ascii="宋体"/>
          <w:b/>
          <w:color w:val="auto"/>
          <w:sz w:val="24"/>
          <w:szCs w:val="24"/>
          <w:highlight w:val="none"/>
        </w:rPr>
        <w:t>格式4</w:t>
      </w:r>
    </w:p>
    <w:p w14:paraId="6CE3CD9B">
      <w:pPr>
        <w:jc w:val="center"/>
        <w:rPr>
          <w:rFonts w:hint="eastAsia" w:ascii="宋体"/>
          <w:b/>
          <w:color w:val="auto"/>
          <w:sz w:val="30"/>
          <w:szCs w:val="30"/>
          <w:highlight w:val="none"/>
        </w:rPr>
      </w:pPr>
      <w:r>
        <w:rPr>
          <w:rFonts w:hint="eastAsia" w:ascii="宋体"/>
          <w:b/>
          <w:color w:val="auto"/>
          <w:sz w:val="30"/>
          <w:szCs w:val="30"/>
          <w:highlight w:val="none"/>
        </w:rPr>
        <w:t>投标保证金</w:t>
      </w:r>
    </w:p>
    <w:p w14:paraId="12BCA068">
      <w:pPr>
        <w:jc w:val="center"/>
        <w:rPr>
          <w:rFonts w:hint="eastAsia" w:ascii="宋体"/>
          <w:b/>
          <w:color w:val="auto"/>
          <w:sz w:val="30"/>
          <w:szCs w:val="30"/>
          <w:highlight w:val="none"/>
        </w:rPr>
      </w:pPr>
    </w:p>
    <w:p w14:paraId="5E39931A">
      <w:pPr>
        <w:jc w:val="center"/>
        <w:rPr>
          <w:rFonts w:hint="eastAsia" w:ascii="宋体"/>
          <w:b/>
          <w:color w:val="auto"/>
          <w:sz w:val="30"/>
          <w:szCs w:val="30"/>
          <w:highlight w:val="none"/>
        </w:rPr>
      </w:pPr>
      <w:r>
        <w:rPr>
          <w:rFonts w:hint="eastAsia" w:ascii="宋体"/>
          <w:b/>
          <w:color w:val="auto"/>
          <w:sz w:val="30"/>
          <w:szCs w:val="30"/>
          <w:highlight w:val="none"/>
        </w:rPr>
        <w:t>递交凭证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14:paraId="0F37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8970" w:type="dxa"/>
            <w:noWrap w:val="0"/>
            <w:vAlign w:val="top"/>
          </w:tcPr>
          <w:p w14:paraId="4BDAF658">
            <w:pPr>
              <w:rPr>
                <w:rFonts w:hint="eastAsia" w:ascii="宋体"/>
                <w:color w:val="auto"/>
                <w:highlight w:val="none"/>
              </w:rPr>
            </w:pPr>
          </w:p>
        </w:tc>
      </w:tr>
    </w:tbl>
    <w:p w14:paraId="49E5F878">
      <w:pPr>
        <w:rPr>
          <w:rFonts w:hint="eastAsia" w:ascii="宋体"/>
          <w:b/>
          <w:color w:val="auto"/>
          <w:highlight w:val="none"/>
        </w:rPr>
      </w:pPr>
      <w:r>
        <w:rPr>
          <w:rFonts w:hint="eastAsia" w:ascii="宋体"/>
          <w:b/>
          <w:color w:val="auto"/>
          <w:highlight w:val="none"/>
        </w:rPr>
        <w:t>注：后附开户许可证复印件</w:t>
      </w:r>
    </w:p>
    <w:p w14:paraId="365FF9BA">
      <w:pPr>
        <w:rPr>
          <w:rFonts w:hint="eastAsia" w:ascii="宋体"/>
          <w:color w:val="auto"/>
          <w:highlight w:val="none"/>
        </w:rPr>
      </w:pPr>
    </w:p>
    <w:p w14:paraId="474AD88A">
      <w:pPr>
        <w:rPr>
          <w:rFonts w:hint="eastAsia" w:ascii="宋体"/>
          <w:color w:val="auto"/>
          <w:highlight w:val="none"/>
        </w:rPr>
      </w:pPr>
    </w:p>
    <w:p w14:paraId="5BD1E042">
      <w:pPr>
        <w:rPr>
          <w:rFonts w:hint="eastAsia" w:ascii="宋体"/>
          <w:color w:val="auto"/>
          <w:highlight w:val="none"/>
        </w:rPr>
      </w:pPr>
    </w:p>
    <w:p w14:paraId="650F428B">
      <w:pPr>
        <w:rPr>
          <w:rFonts w:hint="eastAsia" w:ascii="宋体"/>
          <w:color w:val="auto"/>
          <w:highlight w:val="none"/>
        </w:rPr>
      </w:pPr>
    </w:p>
    <w:p w14:paraId="08270175">
      <w:pPr>
        <w:rPr>
          <w:rFonts w:hint="eastAsia" w:ascii="宋体"/>
          <w:color w:val="auto"/>
          <w:highlight w:val="none"/>
        </w:rPr>
      </w:pPr>
    </w:p>
    <w:p w14:paraId="37A07F9D">
      <w:pPr>
        <w:rPr>
          <w:rFonts w:hint="eastAsia" w:ascii="宋体"/>
          <w:color w:val="auto"/>
          <w:highlight w:val="none"/>
        </w:rPr>
      </w:pPr>
    </w:p>
    <w:p w14:paraId="71606412">
      <w:pPr>
        <w:rPr>
          <w:rFonts w:hint="eastAsia" w:ascii="宋体"/>
          <w:color w:val="auto"/>
          <w:highlight w:val="none"/>
        </w:rPr>
      </w:pPr>
    </w:p>
    <w:p w14:paraId="68FF03AD">
      <w:pPr>
        <w:rPr>
          <w:rFonts w:hint="eastAsia" w:ascii="宋体"/>
          <w:color w:val="auto"/>
          <w:highlight w:val="none"/>
        </w:rPr>
      </w:pPr>
    </w:p>
    <w:p w14:paraId="2164B9A7">
      <w:pPr>
        <w:rPr>
          <w:rFonts w:hint="eastAsia" w:ascii="宋体"/>
          <w:color w:val="auto"/>
          <w:highlight w:val="none"/>
        </w:rPr>
      </w:pPr>
    </w:p>
    <w:p w14:paraId="2C62E3E7">
      <w:pPr>
        <w:rPr>
          <w:rFonts w:hint="eastAsia" w:ascii="宋体"/>
          <w:color w:val="auto"/>
          <w:highlight w:val="none"/>
        </w:rPr>
      </w:pPr>
    </w:p>
    <w:p w14:paraId="71F6D4E6">
      <w:pPr>
        <w:rPr>
          <w:rFonts w:hint="eastAsia" w:ascii="宋体"/>
          <w:color w:val="auto"/>
          <w:highlight w:val="none"/>
        </w:rPr>
      </w:pPr>
    </w:p>
    <w:p w14:paraId="1F8810B8">
      <w:pPr>
        <w:rPr>
          <w:rFonts w:hint="eastAsia" w:ascii="宋体"/>
          <w:color w:val="auto"/>
          <w:highlight w:val="none"/>
        </w:rPr>
      </w:pPr>
    </w:p>
    <w:p w14:paraId="64B52B09">
      <w:pPr>
        <w:rPr>
          <w:rFonts w:hint="eastAsia" w:ascii="宋体"/>
          <w:b/>
          <w:color w:val="auto"/>
          <w:sz w:val="24"/>
          <w:highlight w:val="none"/>
        </w:rPr>
      </w:pPr>
      <w:r>
        <w:rPr>
          <w:rFonts w:hint="eastAsia" w:ascii="宋体"/>
          <w:b/>
          <w:color w:val="auto"/>
          <w:sz w:val="24"/>
          <w:highlight w:val="none"/>
        </w:rPr>
        <w:t>格式5</w:t>
      </w:r>
    </w:p>
    <w:p w14:paraId="3C779CA0">
      <w:pPr>
        <w:jc w:val="center"/>
        <w:rPr>
          <w:rFonts w:hint="eastAsia"/>
          <w:b/>
          <w:color w:val="auto"/>
          <w:sz w:val="30"/>
          <w:szCs w:val="30"/>
          <w:highlight w:val="none"/>
        </w:rPr>
      </w:pPr>
      <w:bookmarkStart w:id="78" w:name="_Toc362678237"/>
      <w:bookmarkStart w:id="79" w:name="_Toc362678354"/>
      <w:bookmarkStart w:id="80" w:name="_Toc321313718"/>
      <w:bookmarkStart w:id="81" w:name="_Toc369620788"/>
    </w:p>
    <w:p w14:paraId="06170DC8">
      <w:pPr>
        <w:jc w:val="center"/>
        <w:rPr>
          <w:rFonts w:hint="eastAsia"/>
          <w:b/>
          <w:color w:val="auto"/>
          <w:sz w:val="30"/>
          <w:szCs w:val="30"/>
          <w:highlight w:val="none"/>
        </w:rPr>
      </w:pPr>
      <w:r>
        <w:rPr>
          <w:rFonts w:hint="eastAsia"/>
          <w:b/>
          <w:color w:val="auto"/>
          <w:sz w:val="30"/>
          <w:szCs w:val="30"/>
          <w:highlight w:val="none"/>
        </w:rPr>
        <w:t>法定代表人身份证明</w:t>
      </w:r>
      <w:bookmarkEnd w:id="78"/>
      <w:bookmarkEnd w:id="79"/>
      <w:bookmarkEnd w:id="80"/>
      <w:bookmarkEnd w:id="81"/>
    </w:p>
    <w:p w14:paraId="11418C4A">
      <w:pPr>
        <w:spacing w:line="480" w:lineRule="auto"/>
        <w:jc w:val="center"/>
        <w:rPr>
          <w:rFonts w:hint="eastAsia"/>
          <w:b/>
          <w:color w:val="auto"/>
          <w:sz w:val="30"/>
          <w:szCs w:val="30"/>
          <w:highlight w:val="none"/>
        </w:rPr>
      </w:pPr>
    </w:p>
    <w:p w14:paraId="2432159A">
      <w:pPr>
        <w:spacing w:line="240" w:lineRule="auto"/>
        <w:rPr>
          <w:color w:val="auto"/>
          <w:sz w:val="24"/>
          <w:szCs w:val="24"/>
          <w:highlight w:val="none"/>
        </w:rPr>
      </w:pPr>
      <w:r>
        <w:rPr>
          <w:color w:val="auto"/>
          <w:sz w:val="24"/>
          <w:szCs w:val="24"/>
          <w:highlight w:val="none"/>
        </w:rPr>
        <w:t>投标人名称：</w:t>
      </w:r>
      <w:r>
        <w:rPr>
          <w:color w:val="auto"/>
          <w:sz w:val="24"/>
          <w:szCs w:val="24"/>
          <w:highlight w:val="none"/>
          <w:u w:val="single"/>
        </w:rPr>
        <w:t xml:space="preserve">                            </w:t>
      </w:r>
      <w:r>
        <w:rPr>
          <w:color w:val="auto"/>
          <w:sz w:val="24"/>
          <w:szCs w:val="24"/>
          <w:highlight w:val="none"/>
        </w:rPr>
        <w:t xml:space="preserve"> </w:t>
      </w:r>
    </w:p>
    <w:p w14:paraId="420BDD3F">
      <w:pPr>
        <w:spacing w:line="240" w:lineRule="auto"/>
        <w:rPr>
          <w:color w:val="auto"/>
          <w:sz w:val="24"/>
          <w:szCs w:val="24"/>
          <w:highlight w:val="none"/>
        </w:rPr>
      </w:pPr>
      <w:r>
        <w:rPr>
          <w:color w:val="auto"/>
          <w:sz w:val="24"/>
          <w:szCs w:val="24"/>
          <w:highlight w:val="none"/>
        </w:rPr>
        <w:t>单位性质：</w:t>
      </w:r>
      <w:r>
        <w:rPr>
          <w:color w:val="auto"/>
          <w:sz w:val="24"/>
          <w:szCs w:val="24"/>
          <w:highlight w:val="none"/>
          <w:u w:val="single"/>
        </w:rPr>
        <w:t xml:space="preserve">                               </w:t>
      </w:r>
      <w:r>
        <w:rPr>
          <w:color w:val="auto"/>
          <w:sz w:val="24"/>
          <w:szCs w:val="24"/>
          <w:highlight w:val="none"/>
        </w:rPr>
        <w:t xml:space="preserve"> </w:t>
      </w:r>
    </w:p>
    <w:p w14:paraId="5FF06B2C">
      <w:pPr>
        <w:spacing w:line="240" w:lineRule="auto"/>
        <w:rPr>
          <w:color w:val="auto"/>
          <w:sz w:val="24"/>
          <w:szCs w:val="24"/>
          <w:highlight w:val="none"/>
        </w:rPr>
      </w:pPr>
      <w:r>
        <w:rPr>
          <w:color w:val="auto"/>
          <w:sz w:val="24"/>
          <w:szCs w:val="24"/>
          <w:highlight w:val="none"/>
        </w:rPr>
        <w:t>地址：</w:t>
      </w:r>
      <w:r>
        <w:rPr>
          <w:color w:val="auto"/>
          <w:sz w:val="24"/>
          <w:szCs w:val="24"/>
          <w:highlight w:val="none"/>
          <w:u w:val="single"/>
        </w:rPr>
        <w:t xml:space="preserve">                                   </w:t>
      </w:r>
    </w:p>
    <w:p w14:paraId="4830CACC">
      <w:pPr>
        <w:spacing w:line="240" w:lineRule="auto"/>
        <w:rPr>
          <w:color w:val="auto"/>
          <w:sz w:val="24"/>
          <w:szCs w:val="24"/>
          <w:highlight w:val="none"/>
        </w:rPr>
      </w:pPr>
      <w:r>
        <w:rPr>
          <w:color w:val="auto"/>
          <w:sz w:val="24"/>
          <w:szCs w:val="24"/>
          <w:highlight w:val="none"/>
        </w:rPr>
        <w:t>成立时间：</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4A6ED93D">
      <w:pPr>
        <w:spacing w:line="240" w:lineRule="auto"/>
        <w:rPr>
          <w:color w:val="auto"/>
          <w:sz w:val="24"/>
          <w:szCs w:val="24"/>
          <w:highlight w:val="none"/>
        </w:rPr>
      </w:pPr>
      <w:r>
        <w:rPr>
          <w:color w:val="auto"/>
          <w:sz w:val="24"/>
          <w:szCs w:val="24"/>
          <w:highlight w:val="none"/>
        </w:rPr>
        <w:t>经营期限：</w:t>
      </w:r>
      <w:r>
        <w:rPr>
          <w:color w:val="auto"/>
          <w:sz w:val="24"/>
          <w:szCs w:val="24"/>
          <w:highlight w:val="none"/>
          <w:u w:val="single"/>
        </w:rPr>
        <w:t xml:space="preserve">                               </w:t>
      </w:r>
    </w:p>
    <w:p w14:paraId="691FC022">
      <w:pPr>
        <w:spacing w:line="240" w:lineRule="auto"/>
        <w:rPr>
          <w:color w:val="auto"/>
          <w:sz w:val="24"/>
          <w:szCs w:val="24"/>
          <w:highlight w:val="none"/>
        </w:rPr>
      </w:pPr>
      <w:r>
        <w:rPr>
          <w:color w:val="auto"/>
          <w:sz w:val="24"/>
          <w:szCs w:val="24"/>
          <w:highlight w:val="none"/>
        </w:rPr>
        <w:t>姓名：</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rPr>
        <w:t xml:space="preserve"> 性别：</w:t>
      </w:r>
      <w:r>
        <w:rPr>
          <w:color w:val="auto"/>
          <w:sz w:val="24"/>
          <w:szCs w:val="24"/>
          <w:highlight w:val="none"/>
          <w:u w:val="single"/>
        </w:rPr>
        <w:t xml:space="preserve">         </w:t>
      </w:r>
      <w:r>
        <w:rPr>
          <w:color w:val="auto"/>
          <w:sz w:val="24"/>
          <w:szCs w:val="24"/>
          <w:highlight w:val="none"/>
        </w:rPr>
        <w:t>年龄：</w:t>
      </w:r>
      <w:r>
        <w:rPr>
          <w:color w:val="auto"/>
          <w:sz w:val="24"/>
          <w:szCs w:val="24"/>
          <w:highlight w:val="none"/>
          <w:u w:val="single"/>
        </w:rPr>
        <w:t xml:space="preserve">        </w:t>
      </w:r>
      <w:r>
        <w:rPr>
          <w:color w:val="auto"/>
          <w:sz w:val="24"/>
          <w:szCs w:val="24"/>
          <w:highlight w:val="none"/>
        </w:rPr>
        <w:t>职务：</w:t>
      </w:r>
      <w:r>
        <w:rPr>
          <w:color w:val="auto"/>
          <w:sz w:val="24"/>
          <w:szCs w:val="24"/>
          <w:highlight w:val="none"/>
          <w:u w:val="single"/>
        </w:rPr>
        <w:t xml:space="preserve">        </w:t>
      </w:r>
    </w:p>
    <w:p w14:paraId="2A05EE13">
      <w:pPr>
        <w:spacing w:line="240" w:lineRule="auto"/>
        <w:rPr>
          <w:color w:val="auto"/>
          <w:sz w:val="24"/>
          <w:szCs w:val="24"/>
          <w:highlight w:val="none"/>
        </w:rPr>
      </w:pPr>
      <w:r>
        <w:rPr>
          <w:color w:val="auto"/>
          <w:sz w:val="24"/>
          <w:szCs w:val="24"/>
          <w:highlight w:val="none"/>
        </w:rPr>
        <w:t>系</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w:t>
      </w:r>
      <w:r>
        <w:rPr>
          <w:color w:val="auto"/>
          <w:sz w:val="24"/>
          <w:szCs w:val="24"/>
          <w:highlight w:val="none"/>
        </w:rPr>
        <w:t>投标人名称</w:t>
      </w:r>
      <w:r>
        <w:rPr>
          <w:rFonts w:hint="eastAsia"/>
          <w:color w:val="auto"/>
          <w:sz w:val="24"/>
          <w:szCs w:val="24"/>
          <w:highlight w:val="none"/>
        </w:rPr>
        <w:t>）</w:t>
      </w:r>
      <w:r>
        <w:rPr>
          <w:color w:val="auto"/>
          <w:sz w:val="24"/>
          <w:szCs w:val="24"/>
          <w:highlight w:val="none"/>
        </w:rPr>
        <w:t>的法定代表人。</w:t>
      </w:r>
    </w:p>
    <w:p w14:paraId="4E898AF0">
      <w:pPr>
        <w:spacing w:line="240" w:lineRule="auto"/>
        <w:ind w:firstLine="480" w:firstLineChars="200"/>
        <w:rPr>
          <w:color w:val="auto"/>
          <w:sz w:val="24"/>
          <w:szCs w:val="24"/>
          <w:highlight w:val="none"/>
        </w:rPr>
      </w:pPr>
      <w:r>
        <w:rPr>
          <w:color w:val="auto"/>
          <w:sz w:val="24"/>
          <w:szCs w:val="24"/>
          <w:highlight w:val="none"/>
        </w:rPr>
        <w:t>特此证明。</w:t>
      </w:r>
    </w:p>
    <w:p w14:paraId="21971DF4">
      <w:pPr>
        <w:spacing w:line="480" w:lineRule="auto"/>
        <w:rPr>
          <w:color w:val="auto"/>
          <w:sz w:val="24"/>
          <w:szCs w:val="24"/>
          <w:highlight w:val="none"/>
        </w:rPr>
      </w:pPr>
    </w:p>
    <w:p w14:paraId="2C0F232D">
      <w:pPr>
        <w:spacing w:line="480" w:lineRule="auto"/>
        <w:rPr>
          <w:color w:val="auto"/>
          <w:sz w:val="24"/>
          <w:szCs w:val="24"/>
          <w:highlight w:val="none"/>
        </w:rPr>
      </w:pPr>
    </w:p>
    <w:p w14:paraId="7E7676E5">
      <w:pPr>
        <w:rPr>
          <w:color w:val="auto"/>
          <w:sz w:val="24"/>
          <w:szCs w:val="24"/>
          <w:highlight w:val="none"/>
        </w:rPr>
      </w:pPr>
      <w:r>
        <w:rPr>
          <w:color w:val="auto"/>
          <w:sz w:val="24"/>
          <w:szCs w:val="24"/>
          <w:highlight w:val="none"/>
        </w:rPr>
        <w:t xml:space="preserve">                          投标人：</w:t>
      </w:r>
      <w:r>
        <w:rPr>
          <w:color w:val="auto"/>
          <w:sz w:val="24"/>
          <w:szCs w:val="24"/>
          <w:highlight w:val="none"/>
          <w:u w:val="single"/>
        </w:rPr>
        <w:t xml:space="preserve">                 </w:t>
      </w:r>
      <w:r>
        <w:rPr>
          <w:color w:val="auto"/>
          <w:sz w:val="24"/>
          <w:szCs w:val="24"/>
          <w:highlight w:val="none"/>
        </w:rPr>
        <w:t>（</w:t>
      </w:r>
      <w:r>
        <w:rPr>
          <w:rFonts w:hint="eastAsia"/>
          <w:color w:val="auto"/>
          <w:sz w:val="24"/>
          <w:szCs w:val="24"/>
          <w:highlight w:val="none"/>
        </w:rPr>
        <w:t>印刷体及公章</w:t>
      </w:r>
      <w:r>
        <w:rPr>
          <w:color w:val="auto"/>
          <w:sz w:val="24"/>
          <w:szCs w:val="24"/>
          <w:highlight w:val="none"/>
        </w:rPr>
        <w:t>盖单位章）</w:t>
      </w:r>
    </w:p>
    <w:p w14:paraId="466FFA02">
      <w:pPr>
        <w:spacing w:line="240" w:lineRule="auto"/>
        <w:rPr>
          <w:rFonts w:hint="eastAsia"/>
          <w:color w:val="auto"/>
          <w:sz w:val="24"/>
          <w:szCs w:val="24"/>
          <w:highlight w:val="none"/>
        </w:rPr>
      </w:pPr>
      <w:r>
        <w:rPr>
          <w:color w:val="auto"/>
          <w:highlight w:val="none"/>
        </w:rPr>
        <w:t xml:space="preserve">                                </w:t>
      </w:r>
      <w:r>
        <w:rPr>
          <w:rFonts w:hint="eastAsia"/>
          <w:color w:val="auto"/>
          <w:sz w:val="24"/>
          <w:szCs w:val="24"/>
          <w:highlight w:val="none"/>
        </w:rPr>
        <w:t xml:space="preserve">   </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 xml:space="preserve">日        </w:t>
      </w:r>
      <w:r>
        <w:rPr>
          <w:color w:val="auto"/>
          <w:highlight w:val="none"/>
        </w:rPr>
        <w:t xml:space="preserve">   </w:t>
      </w:r>
      <w:r>
        <w:rPr>
          <w:color w:val="auto"/>
          <w:sz w:val="28"/>
          <w:szCs w:val="28"/>
          <w:highlight w:val="none"/>
        </w:rPr>
        <w:br w:type="page"/>
      </w:r>
      <w:r>
        <w:rPr>
          <w:rFonts w:hint="eastAsia"/>
          <w:b/>
          <w:color w:val="auto"/>
          <w:sz w:val="24"/>
          <w:szCs w:val="24"/>
          <w:highlight w:val="none"/>
        </w:rPr>
        <w:t>格式6</w:t>
      </w:r>
    </w:p>
    <w:p w14:paraId="21339A24">
      <w:pPr>
        <w:jc w:val="center"/>
        <w:rPr>
          <w:b/>
          <w:color w:val="auto"/>
          <w:sz w:val="30"/>
          <w:szCs w:val="30"/>
          <w:highlight w:val="none"/>
        </w:rPr>
      </w:pPr>
      <w:r>
        <w:rPr>
          <w:rFonts w:hint="eastAsia"/>
          <w:b/>
          <w:color w:val="auto"/>
          <w:sz w:val="30"/>
          <w:szCs w:val="30"/>
          <w:highlight w:val="none"/>
        </w:rPr>
        <w:t>法定代表人授权委托书</w:t>
      </w:r>
    </w:p>
    <w:p w14:paraId="19530455">
      <w:pPr>
        <w:spacing w:line="440" w:lineRule="exact"/>
        <w:rPr>
          <w:rFonts w:eastAsia="黑体"/>
          <w:color w:val="auto"/>
          <w:szCs w:val="21"/>
          <w:highlight w:val="none"/>
        </w:rPr>
      </w:pPr>
    </w:p>
    <w:p w14:paraId="6AFC05C0">
      <w:pPr>
        <w:topLinePunct/>
        <w:spacing w:line="240" w:lineRule="auto"/>
        <w:ind w:firstLine="480" w:firstLineChars="200"/>
        <w:rPr>
          <w:color w:val="auto"/>
          <w:sz w:val="24"/>
          <w:szCs w:val="24"/>
          <w:highlight w:val="none"/>
        </w:rPr>
      </w:pPr>
      <w:r>
        <w:rPr>
          <w:color w:val="auto"/>
          <w:sz w:val="24"/>
          <w:szCs w:val="24"/>
          <w:highlight w:val="none"/>
        </w:rPr>
        <w:t>本人</w:t>
      </w:r>
      <w:r>
        <w:rPr>
          <w:color w:val="auto"/>
          <w:sz w:val="24"/>
          <w:szCs w:val="24"/>
          <w:highlight w:val="none"/>
          <w:u w:val="single"/>
        </w:rPr>
        <w:t xml:space="preserve">       </w:t>
      </w:r>
      <w:r>
        <w:rPr>
          <w:color w:val="auto"/>
          <w:sz w:val="24"/>
          <w:szCs w:val="24"/>
          <w:highlight w:val="none"/>
        </w:rPr>
        <w:t>（姓名）系</w:t>
      </w:r>
      <w:r>
        <w:rPr>
          <w:color w:val="auto"/>
          <w:sz w:val="24"/>
          <w:szCs w:val="24"/>
          <w:highlight w:val="none"/>
          <w:u w:val="single"/>
        </w:rPr>
        <w:t xml:space="preserve">        </w:t>
      </w:r>
      <w:r>
        <w:rPr>
          <w:color w:val="auto"/>
          <w:sz w:val="24"/>
          <w:szCs w:val="24"/>
          <w:highlight w:val="none"/>
        </w:rPr>
        <w:t>（投标人名称）的法定代表人，现委托</w:t>
      </w:r>
      <w:r>
        <w:rPr>
          <w:color w:val="auto"/>
          <w:sz w:val="24"/>
          <w:szCs w:val="24"/>
          <w:highlight w:val="none"/>
          <w:u w:val="single"/>
        </w:rPr>
        <w:t xml:space="preserve">        </w:t>
      </w:r>
      <w:r>
        <w:rPr>
          <w:color w:val="auto"/>
          <w:sz w:val="24"/>
          <w:szCs w:val="24"/>
          <w:highlight w:val="none"/>
        </w:rPr>
        <w:t>（姓名）为我方代理人。代理人根据授权，以我方名义签署、澄清</w:t>
      </w:r>
      <w:r>
        <w:rPr>
          <w:rFonts w:hint="eastAsia"/>
          <w:color w:val="auto"/>
          <w:sz w:val="24"/>
          <w:szCs w:val="24"/>
          <w:highlight w:val="none"/>
        </w:rPr>
        <w:t>、说明、补正</w:t>
      </w:r>
      <w:r>
        <w:rPr>
          <w:color w:val="auto"/>
          <w:sz w:val="24"/>
          <w:szCs w:val="24"/>
          <w:highlight w:val="none"/>
        </w:rPr>
        <w:t>、递交、撤回、修改</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（项目名称）投标文件、签订合同和处理有关事宜，其法律后果由我方承担。</w:t>
      </w:r>
    </w:p>
    <w:p w14:paraId="27138CC1">
      <w:pPr>
        <w:spacing w:line="240" w:lineRule="auto"/>
        <w:rPr>
          <w:color w:val="auto"/>
          <w:sz w:val="24"/>
          <w:szCs w:val="24"/>
          <w:highlight w:val="none"/>
        </w:rPr>
      </w:pPr>
      <w:r>
        <w:rPr>
          <w:color w:val="auto"/>
          <w:sz w:val="24"/>
          <w:szCs w:val="24"/>
          <w:highlight w:val="none"/>
        </w:rPr>
        <w:t xml:space="preserve">    委托期限：</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p>
    <w:p w14:paraId="65729072">
      <w:pPr>
        <w:spacing w:line="240" w:lineRule="auto"/>
        <w:ind w:firstLine="480" w:firstLineChars="200"/>
        <w:rPr>
          <w:rFonts w:hint="eastAsia"/>
          <w:color w:val="auto"/>
          <w:sz w:val="24"/>
          <w:szCs w:val="24"/>
          <w:highlight w:val="none"/>
        </w:rPr>
      </w:pPr>
      <w:r>
        <w:rPr>
          <w:color w:val="auto"/>
          <w:sz w:val="24"/>
          <w:szCs w:val="24"/>
          <w:highlight w:val="none"/>
        </w:rPr>
        <w:t>代理人无转委托权。</w:t>
      </w:r>
    </w:p>
    <w:p w14:paraId="7A78A013">
      <w:pPr>
        <w:spacing w:line="240" w:lineRule="auto"/>
        <w:ind w:firstLine="480" w:firstLineChars="200"/>
        <w:rPr>
          <w:rFonts w:hint="eastAsia"/>
          <w:color w:val="auto"/>
          <w:sz w:val="24"/>
          <w:szCs w:val="24"/>
          <w:highlight w:val="none"/>
        </w:rPr>
      </w:pPr>
    </w:p>
    <w:p w14:paraId="67889ABF">
      <w:pPr>
        <w:spacing w:line="240" w:lineRule="auto"/>
        <w:ind w:firstLine="480" w:firstLineChars="200"/>
        <w:rPr>
          <w:rFonts w:hint="eastAsia"/>
          <w:color w:val="auto"/>
          <w:sz w:val="24"/>
          <w:szCs w:val="24"/>
          <w:highlight w:val="none"/>
        </w:rPr>
      </w:pPr>
    </w:p>
    <w:p w14:paraId="2951A663">
      <w:pPr>
        <w:spacing w:line="240" w:lineRule="auto"/>
        <w:ind w:firstLine="480" w:firstLineChars="200"/>
        <w:rPr>
          <w:rFonts w:hint="eastAsia"/>
          <w:color w:val="auto"/>
          <w:sz w:val="24"/>
          <w:szCs w:val="24"/>
          <w:highlight w:val="none"/>
        </w:rPr>
      </w:pPr>
      <w:r>
        <w:rPr>
          <w:rFonts w:hint="eastAsia"/>
          <w:color w:val="auto"/>
          <w:sz w:val="24"/>
          <w:szCs w:val="24"/>
          <w:highlight w:val="none"/>
        </w:rPr>
        <w:t>附：法定代表人身份证复印件</w:t>
      </w:r>
    </w:p>
    <w:p w14:paraId="0E9B3D87">
      <w:pPr>
        <w:spacing w:line="240" w:lineRule="auto"/>
        <w:ind w:firstLine="480" w:firstLineChars="200"/>
        <w:rPr>
          <w:rFonts w:hint="eastAsia"/>
          <w:color w:val="auto"/>
          <w:sz w:val="24"/>
          <w:szCs w:val="24"/>
          <w:highlight w:val="none"/>
        </w:rPr>
      </w:pPr>
      <w:r>
        <w:rPr>
          <w:rFonts w:hint="eastAsia"/>
          <w:color w:val="auto"/>
          <w:sz w:val="24"/>
          <w:szCs w:val="24"/>
          <w:highlight w:val="none"/>
        </w:rPr>
        <w:t xml:space="preserve">    授权代表人身份证复印件</w:t>
      </w:r>
    </w:p>
    <w:p w14:paraId="1CC02669">
      <w:pPr>
        <w:spacing w:line="240" w:lineRule="auto"/>
        <w:ind w:firstLine="120" w:firstLineChars="50"/>
        <w:rPr>
          <w:rFonts w:hint="eastAsia"/>
          <w:color w:val="auto"/>
          <w:sz w:val="24"/>
          <w:szCs w:val="24"/>
          <w:highlight w:val="none"/>
        </w:rPr>
      </w:pPr>
      <w:r>
        <w:rPr>
          <w:rFonts w:hint="eastAsia"/>
          <w:color w:val="auto"/>
          <w:sz w:val="24"/>
          <w:szCs w:val="24"/>
          <w:highlight w:val="none"/>
        </w:rPr>
        <w:t>（如法定代表人全权代表无需填写此表，仅需附法定代表人身份证复印件。）</w:t>
      </w:r>
    </w:p>
    <w:p w14:paraId="20DB2D71">
      <w:pPr>
        <w:spacing w:line="240" w:lineRule="auto"/>
        <w:rPr>
          <w:color w:val="auto"/>
          <w:sz w:val="24"/>
          <w:szCs w:val="24"/>
          <w:highlight w:val="none"/>
        </w:rPr>
      </w:pPr>
    </w:p>
    <w:p w14:paraId="76F525C1">
      <w:pPr>
        <w:spacing w:line="240" w:lineRule="auto"/>
        <w:rPr>
          <w:color w:val="auto"/>
          <w:sz w:val="24"/>
          <w:szCs w:val="24"/>
          <w:highlight w:val="none"/>
        </w:rPr>
      </w:pPr>
    </w:p>
    <w:p w14:paraId="0E3DC343">
      <w:pPr>
        <w:spacing w:line="240" w:lineRule="auto"/>
        <w:rPr>
          <w:color w:val="auto"/>
          <w:sz w:val="24"/>
          <w:szCs w:val="24"/>
          <w:highlight w:val="none"/>
        </w:rPr>
      </w:pPr>
      <w:r>
        <w:rPr>
          <w:color w:val="auto"/>
          <w:sz w:val="24"/>
          <w:szCs w:val="24"/>
          <w:highlight w:val="none"/>
        </w:rPr>
        <w:t>投标人：</w:t>
      </w:r>
      <w:r>
        <w:rPr>
          <w:color w:val="auto"/>
          <w:sz w:val="24"/>
          <w:szCs w:val="24"/>
          <w:highlight w:val="none"/>
          <w:u w:val="single"/>
        </w:rPr>
        <w:t xml:space="preserve">                               </w:t>
      </w:r>
      <w:r>
        <w:rPr>
          <w:color w:val="auto"/>
          <w:sz w:val="24"/>
          <w:szCs w:val="24"/>
          <w:highlight w:val="none"/>
        </w:rPr>
        <w:t>（</w:t>
      </w:r>
      <w:r>
        <w:rPr>
          <w:rFonts w:hint="eastAsia"/>
          <w:color w:val="auto"/>
          <w:sz w:val="24"/>
          <w:szCs w:val="24"/>
          <w:highlight w:val="none"/>
        </w:rPr>
        <w:t>印刷体加公章</w:t>
      </w:r>
      <w:r>
        <w:rPr>
          <w:color w:val="auto"/>
          <w:sz w:val="24"/>
          <w:szCs w:val="24"/>
          <w:highlight w:val="none"/>
        </w:rPr>
        <w:t>）</w:t>
      </w:r>
    </w:p>
    <w:p w14:paraId="1553CD3F">
      <w:pPr>
        <w:spacing w:line="240" w:lineRule="auto"/>
        <w:rPr>
          <w:color w:val="auto"/>
          <w:sz w:val="24"/>
          <w:szCs w:val="24"/>
          <w:highlight w:val="none"/>
        </w:rPr>
      </w:pPr>
      <w:r>
        <w:rPr>
          <w:color w:val="auto"/>
          <w:sz w:val="24"/>
          <w:szCs w:val="24"/>
          <w:highlight w:val="none"/>
        </w:rPr>
        <w:t>法定代表人：</w:t>
      </w:r>
      <w:r>
        <w:rPr>
          <w:color w:val="auto"/>
          <w:sz w:val="24"/>
          <w:szCs w:val="24"/>
          <w:highlight w:val="none"/>
          <w:u w:val="single"/>
        </w:rPr>
        <w:t xml:space="preserve">                               </w:t>
      </w:r>
      <w:r>
        <w:rPr>
          <w:color w:val="auto"/>
          <w:sz w:val="24"/>
          <w:szCs w:val="24"/>
          <w:highlight w:val="none"/>
        </w:rPr>
        <w:t>（签字</w:t>
      </w:r>
      <w:r>
        <w:rPr>
          <w:rFonts w:hint="eastAsia"/>
          <w:color w:val="auto"/>
          <w:sz w:val="24"/>
          <w:szCs w:val="24"/>
          <w:highlight w:val="none"/>
        </w:rPr>
        <w:t>或盖章</w:t>
      </w:r>
      <w:r>
        <w:rPr>
          <w:color w:val="auto"/>
          <w:sz w:val="24"/>
          <w:szCs w:val="24"/>
          <w:highlight w:val="none"/>
        </w:rPr>
        <w:t>）</w:t>
      </w:r>
    </w:p>
    <w:p w14:paraId="71FF567C">
      <w:pPr>
        <w:spacing w:line="240" w:lineRule="auto"/>
        <w:rPr>
          <w:color w:val="auto"/>
          <w:sz w:val="24"/>
          <w:szCs w:val="24"/>
          <w:highlight w:val="none"/>
        </w:rPr>
      </w:pPr>
      <w:r>
        <w:rPr>
          <w:color w:val="auto"/>
          <w:sz w:val="24"/>
          <w:szCs w:val="24"/>
          <w:highlight w:val="none"/>
        </w:rPr>
        <w:t>身份证号码：</w:t>
      </w:r>
      <w:r>
        <w:rPr>
          <w:color w:val="auto"/>
          <w:sz w:val="24"/>
          <w:szCs w:val="24"/>
          <w:highlight w:val="none"/>
          <w:u w:val="single"/>
        </w:rPr>
        <w:t xml:space="preserve">                                     </w:t>
      </w:r>
    </w:p>
    <w:p w14:paraId="6B14570D">
      <w:pPr>
        <w:spacing w:line="240" w:lineRule="auto"/>
        <w:rPr>
          <w:color w:val="auto"/>
          <w:sz w:val="24"/>
          <w:szCs w:val="24"/>
          <w:highlight w:val="none"/>
        </w:rPr>
      </w:pPr>
      <w:r>
        <w:rPr>
          <w:color w:val="auto"/>
          <w:sz w:val="24"/>
          <w:szCs w:val="24"/>
          <w:highlight w:val="none"/>
        </w:rPr>
        <w:t>委托代理人：</w:t>
      </w:r>
      <w:r>
        <w:rPr>
          <w:color w:val="auto"/>
          <w:sz w:val="24"/>
          <w:szCs w:val="24"/>
          <w:highlight w:val="none"/>
          <w:u w:val="single"/>
        </w:rPr>
        <w:t xml:space="preserve">                                   </w:t>
      </w:r>
      <w:r>
        <w:rPr>
          <w:color w:val="auto"/>
          <w:sz w:val="24"/>
          <w:szCs w:val="24"/>
          <w:highlight w:val="none"/>
        </w:rPr>
        <w:t>（</w:t>
      </w:r>
      <w:r>
        <w:rPr>
          <w:rFonts w:hint="eastAsia"/>
          <w:color w:val="auto"/>
          <w:sz w:val="24"/>
          <w:szCs w:val="24"/>
          <w:highlight w:val="none"/>
          <w:lang w:eastAsia="zh-CN"/>
        </w:rPr>
        <w:t>印刷体</w:t>
      </w:r>
      <w:r>
        <w:rPr>
          <w:color w:val="auto"/>
          <w:sz w:val="24"/>
          <w:szCs w:val="24"/>
          <w:highlight w:val="none"/>
        </w:rPr>
        <w:t>签字</w:t>
      </w:r>
      <w:r>
        <w:rPr>
          <w:rFonts w:hint="eastAsia"/>
          <w:color w:val="auto"/>
          <w:sz w:val="24"/>
          <w:szCs w:val="24"/>
          <w:highlight w:val="none"/>
          <w:lang w:eastAsia="zh-CN"/>
        </w:rPr>
        <w:t>且盖章</w:t>
      </w:r>
      <w:r>
        <w:rPr>
          <w:color w:val="auto"/>
          <w:sz w:val="24"/>
          <w:szCs w:val="24"/>
          <w:highlight w:val="none"/>
        </w:rPr>
        <w:t xml:space="preserve">） </w:t>
      </w:r>
    </w:p>
    <w:p w14:paraId="5A10D2B6">
      <w:pPr>
        <w:spacing w:line="240" w:lineRule="auto"/>
        <w:rPr>
          <w:color w:val="auto"/>
          <w:sz w:val="24"/>
          <w:szCs w:val="24"/>
          <w:highlight w:val="none"/>
        </w:rPr>
      </w:pPr>
      <w:r>
        <w:rPr>
          <w:color w:val="auto"/>
          <w:sz w:val="24"/>
          <w:szCs w:val="24"/>
          <w:highlight w:val="none"/>
        </w:rPr>
        <w:t>身份证号码：</w:t>
      </w:r>
      <w:r>
        <w:rPr>
          <w:color w:val="auto"/>
          <w:sz w:val="24"/>
          <w:szCs w:val="24"/>
          <w:highlight w:val="none"/>
          <w:u w:val="single"/>
        </w:rPr>
        <w:t xml:space="preserve">                                      </w:t>
      </w:r>
    </w:p>
    <w:p w14:paraId="53E71636">
      <w:pPr>
        <w:spacing w:line="240" w:lineRule="auto"/>
        <w:rPr>
          <w:color w:val="auto"/>
          <w:sz w:val="24"/>
          <w:szCs w:val="24"/>
          <w:highlight w:val="none"/>
        </w:rPr>
      </w:pPr>
    </w:p>
    <w:p w14:paraId="3F7C3B2F">
      <w:pPr>
        <w:spacing w:line="240" w:lineRule="auto"/>
        <w:rPr>
          <w:rFonts w:eastAsia="黑体"/>
          <w:color w:val="auto"/>
          <w:sz w:val="24"/>
          <w:szCs w:val="24"/>
          <w:highlight w:val="none"/>
        </w:rPr>
      </w:pP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727D9922">
      <w:pPr>
        <w:spacing w:line="240" w:lineRule="auto"/>
        <w:rPr>
          <w:rFonts w:hint="eastAsia"/>
          <w:b/>
          <w:color w:val="auto"/>
          <w:sz w:val="24"/>
          <w:szCs w:val="24"/>
          <w:highlight w:val="none"/>
        </w:rPr>
      </w:pPr>
      <w:r>
        <w:rPr>
          <w:rFonts w:hint="eastAsia"/>
          <w:color w:val="auto"/>
          <w:sz w:val="24"/>
          <w:szCs w:val="24"/>
          <w:highlight w:val="none"/>
        </w:rPr>
        <w:br w:type="page"/>
      </w:r>
      <w:r>
        <w:rPr>
          <w:rFonts w:hint="eastAsia"/>
          <w:b/>
          <w:color w:val="auto"/>
          <w:sz w:val="24"/>
          <w:szCs w:val="24"/>
          <w:highlight w:val="none"/>
        </w:rPr>
        <w:t>格式7</w:t>
      </w:r>
    </w:p>
    <w:p w14:paraId="2E29CC4F">
      <w:pPr>
        <w:jc w:val="center"/>
        <w:rPr>
          <w:rFonts w:hint="eastAsia" w:ascii="宋体"/>
          <w:b/>
          <w:color w:val="auto"/>
          <w:sz w:val="30"/>
          <w:szCs w:val="30"/>
          <w:highlight w:val="none"/>
        </w:rPr>
      </w:pPr>
      <w:r>
        <w:rPr>
          <w:rFonts w:hint="eastAsia"/>
          <w:b/>
          <w:color w:val="auto"/>
          <w:sz w:val="30"/>
          <w:szCs w:val="30"/>
          <w:highlight w:val="none"/>
        </w:rPr>
        <w:t>投标单位基本情况表</w:t>
      </w:r>
    </w:p>
    <w:p w14:paraId="1FB4483D">
      <w:pPr>
        <w:pStyle w:val="5"/>
        <w:ind w:firstLine="0"/>
        <w:rPr>
          <w:rFonts w:hint="eastAsia" w:ascii="宋体"/>
          <w:color w:val="auto"/>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042"/>
        <w:gridCol w:w="554"/>
        <w:gridCol w:w="1445"/>
        <w:gridCol w:w="282"/>
        <w:gridCol w:w="1460"/>
        <w:gridCol w:w="29"/>
        <w:gridCol w:w="1151"/>
        <w:gridCol w:w="2022"/>
      </w:tblGrid>
      <w:tr w14:paraId="0E9B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475" w:type="dxa"/>
            <w:noWrap w:val="0"/>
            <w:vAlign w:val="center"/>
          </w:tcPr>
          <w:p w14:paraId="199CDDB6">
            <w:pPr>
              <w:widowControl w:val="0"/>
              <w:spacing w:line="240" w:lineRule="auto"/>
              <w:jc w:val="center"/>
              <w:rPr>
                <w:rFonts w:hint="eastAsia" w:ascii="宋体"/>
                <w:color w:val="auto"/>
                <w:sz w:val="24"/>
                <w:highlight w:val="none"/>
              </w:rPr>
            </w:pPr>
            <w:r>
              <w:rPr>
                <w:rFonts w:hint="eastAsia" w:ascii="宋体"/>
                <w:color w:val="auto"/>
                <w:sz w:val="24"/>
                <w:highlight w:val="none"/>
              </w:rPr>
              <w:t>企业名称</w:t>
            </w:r>
          </w:p>
        </w:tc>
        <w:tc>
          <w:tcPr>
            <w:tcW w:w="3041" w:type="dxa"/>
            <w:gridSpan w:val="3"/>
            <w:noWrap w:val="0"/>
            <w:vAlign w:val="center"/>
          </w:tcPr>
          <w:p w14:paraId="355134FB">
            <w:pPr>
              <w:widowControl w:val="0"/>
              <w:spacing w:line="240" w:lineRule="auto"/>
              <w:jc w:val="center"/>
              <w:rPr>
                <w:rFonts w:hint="eastAsia" w:ascii="宋体"/>
                <w:color w:val="auto"/>
                <w:sz w:val="24"/>
                <w:highlight w:val="none"/>
              </w:rPr>
            </w:pPr>
          </w:p>
        </w:tc>
        <w:tc>
          <w:tcPr>
            <w:tcW w:w="1771" w:type="dxa"/>
            <w:gridSpan w:val="3"/>
            <w:noWrap w:val="0"/>
            <w:vAlign w:val="center"/>
          </w:tcPr>
          <w:p w14:paraId="266A3AF9">
            <w:pPr>
              <w:widowControl w:val="0"/>
              <w:spacing w:line="240" w:lineRule="auto"/>
              <w:jc w:val="center"/>
              <w:rPr>
                <w:rFonts w:hint="eastAsia" w:ascii="宋体"/>
                <w:color w:val="auto"/>
                <w:sz w:val="24"/>
                <w:highlight w:val="none"/>
              </w:rPr>
            </w:pPr>
            <w:r>
              <w:rPr>
                <w:rFonts w:hint="eastAsia" w:ascii="宋体"/>
                <w:color w:val="auto"/>
                <w:sz w:val="24"/>
                <w:highlight w:val="none"/>
              </w:rPr>
              <w:t>主管部门</w:t>
            </w:r>
          </w:p>
        </w:tc>
        <w:tc>
          <w:tcPr>
            <w:tcW w:w="3173" w:type="dxa"/>
            <w:gridSpan w:val="2"/>
            <w:noWrap w:val="0"/>
            <w:vAlign w:val="center"/>
          </w:tcPr>
          <w:p w14:paraId="7E38BA76">
            <w:pPr>
              <w:widowControl w:val="0"/>
              <w:spacing w:line="240" w:lineRule="auto"/>
              <w:jc w:val="center"/>
              <w:rPr>
                <w:rFonts w:hint="eastAsia" w:ascii="宋体"/>
                <w:color w:val="auto"/>
                <w:sz w:val="24"/>
                <w:highlight w:val="none"/>
              </w:rPr>
            </w:pPr>
          </w:p>
        </w:tc>
      </w:tr>
      <w:tr w14:paraId="3C22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475" w:type="dxa"/>
            <w:noWrap w:val="0"/>
            <w:vAlign w:val="center"/>
          </w:tcPr>
          <w:p w14:paraId="654D3F0E">
            <w:pPr>
              <w:widowControl w:val="0"/>
              <w:spacing w:line="240" w:lineRule="auto"/>
              <w:jc w:val="center"/>
              <w:rPr>
                <w:rFonts w:hint="eastAsia" w:ascii="宋体"/>
                <w:color w:val="auto"/>
                <w:sz w:val="24"/>
                <w:highlight w:val="none"/>
              </w:rPr>
            </w:pPr>
            <w:r>
              <w:rPr>
                <w:rFonts w:hint="eastAsia" w:ascii="宋体"/>
                <w:color w:val="auto"/>
                <w:sz w:val="24"/>
                <w:highlight w:val="none"/>
              </w:rPr>
              <w:t>公司类型</w:t>
            </w:r>
          </w:p>
        </w:tc>
        <w:tc>
          <w:tcPr>
            <w:tcW w:w="3041" w:type="dxa"/>
            <w:gridSpan w:val="3"/>
            <w:noWrap w:val="0"/>
            <w:vAlign w:val="center"/>
          </w:tcPr>
          <w:p w14:paraId="04375D2C">
            <w:pPr>
              <w:widowControl w:val="0"/>
              <w:spacing w:line="240" w:lineRule="auto"/>
              <w:jc w:val="center"/>
              <w:rPr>
                <w:rFonts w:hint="eastAsia" w:ascii="宋体"/>
                <w:color w:val="auto"/>
                <w:sz w:val="24"/>
                <w:highlight w:val="none"/>
              </w:rPr>
            </w:pPr>
          </w:p>
        </w:tc>
        <w:tc>
          <w:tcPr>
            <w:tcW w:w="1771" w:type="dxa"/>
            <w:gridSpan w:val="3"/>
            <w:noWrap w:val="0"/>
            <w:vAlign w:val="center"/>
          </w:tcPr>
          <w:p w14:paraId="25AF9145">
            <w:pPr>
              <w:widowControl w:val="0"/>
              <w:spacing w:line="240" w:lineRule="auto"/>
              <w:jc w:val="center"/>
              <w:rPr>
                <w:rFonts w:hint="eastAsia" w:ascii="宋体"/>
                <w:color w:val="auto"/>
                <w:sz w:val="24"/>
                <w:highlight w:val="none"/>
              </w:rPr>
            </w:pPr>
            <w:r>
              <w:rPr>
                <w:rFonts w:hint="eastAsia" w:ascii="宋体"/>
                <w:color w:val="auto"/>
                <w:sz w:val="24"/>
                <w:highlight w:val="none"/>
              </w:rPr>
              <w:t>法定代表人</w:t>
            </w:r>
          </w:p>
        </w:tc>
        <w:tc>
          <w:tcPr>
            <w:tcW w:w="3173" w:type="dxa"/>
            <w:gridSpan w:val="2"/>
            <w:noWrap w:val="0"/>
            <w:vAlign w:val="center"/>
          </w:tcPr>
          <w:p w14:paraId="5BA8A21A">
            <w:pPr>
              <w:widowControl w:val="0"/>
              <w:spacing w:line="240" w:lineRule="auto"/>
              <w:jc w:val="center"/>
              <w:rPr>
                <w:rFonts w:hint="eastAsia" w:ascii="宋体"/>
                <w:color w:val="auto"/>
                <w:sz w:val="24"/>
                <w:highlight w:val="none"/>
              </w:rPr>
            </w:pPr>
          </w:p>
        </w:tc>
      </w:tr>
      <w:tr w14:paraId="5AF5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475" w:type="dxa"/>
            <w:noWrap w:val="0"/>
            <w:vAlign w:val="center"/>
          </w:tcPr>
          <w:p w14:paraId="7556BB06">
            <w:pPr>
              <w:widowControl w:val="0"/>
              <w:spacing w:line="240" w:lineRule="auto"/>
              <w:jc w:val="center"/>
              <w:rPr>
                <w:rFonts w:hint="eastAsia" w:ascii="宋体"/>
                <w:color w:val="auto"/>
                <w:sz w:val="24"/>
                <w:highlight w:val="none"/>
              </w:rPr>
            </w:pPr>
            <w:r>
              <w:rPr>
                <w:rFonts w:hint="eastAsia" w:ascii="宋体"/>
                <w:color w:val="auto"/>
                <w:sz w:val="24"/>
                <w:highlight w:val="none"/>
              </w:rPr>
              <w:t>单位简介</w:t>
            </w:r>
          </w:p>
        </w:tc>
        <w:tc>
          <w:tcPr>
            <w:tcW w:w="7985" w:type="dxa"/>
            <w:gridSpan w:val="8"/>
            <w:noWrap w:val="0"/>
            <w:vAlign w:val="center"/>
          </w:tcPr>
          <w:p w14:paraId="6C5D5798">
            <w:pPr>
              <w:widowControl w:val="0"/>
              <w:spacing w:line="240" w:lineRule="auto"/>
              <w:jc w:val="center"/>
              <w:rPr>
                <w:rFonts w:hint="eastAsia" w:ascii="宋体"/>
                <w:color w:val="auto"/>
                <w:sz w:val="24"/>
                <w:highlight w:val="none"/>
              </w:rPr>
            </w:pPr>
          </w:p>
        </w:tc>
      </w:tr>
      <w:tr w14:paraId="388E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475" w:type="dxa"/>
            <w:noWrap w:val="0"/>
            <w:vAlign w:val="center"/>
          </w:tcPr>
          <w:p w14:paraId="5562773F">
            <w:pPr>
              <w:widowControl w:val="0"/>
              <w:spacing w:line="240" w:lineRule="auto"/>
              <w:jc w:val="center"/>
              <w:rPr>
                <w:rFonts w:hint="eastAsia" w:ascii="宋体"/>
                <w:color w:val="auto"/>
                <w:sz w:val="24"/>
                <w:highlight w:val="none"/>
              </w:rPr>
            </w:pPr>
            <w:r>
              <w:rPr>
                <w:rFonts w:hint="eastAsia" w:ascii="宋体"/>
                <w:color w:val="auto"/>
                <w:sz w:val="24"/>
                <w:highlight w:val="none"/>
              </w:rPr>
              <w:t>单位优势</w:t>
            </w:r>
          </w:p>
          <w:p w14:paraId="4E5F5BB5">
            <w:pPr>
              <w:widowControl w:val="0"/>
              <w:spacing w:line="240" w:lineRule="auto"/>
              <w:jc w:val="center"/>
              <w:rPr>
                <w:rFonts w:hint="eastAsia" w:ascii="宋体"/>
                <w:color w:val="auto"/>
                <w:sz w:val="24"/>
                <w:highlight w:val="none"/>
              </w:rPr>
            </w:pPr>
            <w:r>
              <w:rPr>
                <w:rFonts w:hint="eastAsia" w:ascii="宋体"/>
                <w:color w:val="auto"/>
                <w:sz w:val="24"/>
                <w:highlight w:val="none"/>
              </w:rPr>
              <w:t>及 特 长</w:t>
            </w:r>
          </w:p>
        </w:tc>
        <w:tc>
          <w:tcPr>
            <w:tcW w:w="7985" w:type="dxa"/>
            <w:gridSpan w:val="8"/>
            <w:noWrap w:val="0"/>
            <w:vAlign w:val="center"/>
          </w:tcPr>
          <w:p w14:paraId="6CD22D62">
            <w:pPr>
              <w:pStyle w:val="12"/>
              <w:widowControl w:val="0"/>
              <w:tabs>
                <w:tab w:val="right" w:leader="dot" w:pos="8636"/>
              </w:tabs>
              <w:spacing w:before="0" w:after="0" w:line="240" w:lineRule="auto"/>
              <w:rPr>
                <w:color w:val="auto"/>
                <w:highlight w:val="none"/>
              </w:rPr>
            </w:pPr>
          </w:p>
        </w:tc>
      </w:tr>
      <w:tr w14:paraId="5763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475" w:type="dxa"/>
            <w:vMerge w:val="restart"/>
            <w:noWrap w:val="0"/>
            <w:textDirection w:val="tbRlV"/>
            <w:vAlign w:val="center"/>
          </w:tcPr>
          <w:p w14:paraId="0C3A6A61">
            <w:pPr>
              <w:widowControl w:val="0"/>
              <w:spacing w:line="240" w:lineRule="auto"/>
              <w:jc w:val="center"/>
              <w:rPr>
                <w:rFonts w:hint="eastAsia" w:ascii="宋体"/>
                <w:color w:val="auto"/>
                <w:sz w:val="24"/>
                <w:highlight w:val="none"/>
              </w:rPr>
            </w:pPr>
            <w:r>
              <w:rPr>
                <w:rFonts w:hint="eastAsia" w:ascii="宋体"/>
                <w:color w:val="auto"/>
                <w:sz w:val="24"/>
                <w:highlight w:val="none"/>
              </w:rPr>
              <w:t>单 位 概 况</w:t>
            </w:r>
          </w:p>
        </w:tc>
        <w:tc>
          <w:tcPr>
            <w:tcW w:w="1596" w:type="dxa"/>
            <w:gridSpan w:val="2"/>
            <w:noWrap w:val="0"/>
            <w:vAlign w:val="center"/>
          </w:tcPr>
          <w:p w14:paraId="2038DA39">
            <w:pPr>
              <w:widowControl w:val="0"/>
              <w:spacing w:line="240" w:lineRule="auto"/>
              <w:jc w:val="center"/>
              <w:rPr>
                <w:rFonts w:hint="eastAsia" w:ascii="宋体"/>
                <w:color w:val="auto"/>
                <w:sz w:val="24"/>
                <w:highlight w:val="none"/>
              </w:rPr>
            </w:pPr>
            <w:r>
              <w:rPr>
                <w:rFonts w:hint="eastAsia" w:ascii="宋体"/>
                <w:color w:val="auto"/>
                <w:sz w:val="24"/>
                <w:highlight w:val="none"/>
              </w:rPr>
              <w:t>职工总人数</w:t>
            </w:r>
          </w:p>
        </w:tc>
        <w:tc>
          <w:tcPr>
            <w:tcW w:w="1727" w:type="dxa"/>
            <w:gridSpan w:val="2"/>
            <w:noWrap w:val="0"/>
            <w:vAlign w:val="center"/>
          </w:tcPr>
          <w:p w14:paraId="023C6BB0">
            <w:pPr>
              <w:widowControl w:val="0"/>
              <w:spacing w:line="240" w:lineRule="auto"/>
              <w:jc w:val="center"/>
              <w:rPr>
                <w:rFonts w:hint="eastAsia" w:ascii="宋体"/>
                <w:color w:val="auto"/>
                <w:sz w:val="24"/>
                <w:highlight w:val="none"/>
              </w:rPr>
            </w:pPr>
            <w:r>
              <w:rPr>
                <w:rFonts w:hint="eastAsia" w:ascii="宋体"/>
                <w:color w:val="auto"/>
                <w:sz w:val="24"/>
                <w:highlight w:val="none"/>
              </w:rPr>
              <w:t>人</w:t>
            </w:r>
          </w:p>
        </w:tc>
        <w:tc>
          <w:tcPr>
            <w:tcW w:w="2640" w:type="dxa"/>
            <w:gridSpan w:val="3"/>
            <w:noWrap w:val="0"/>
            <w:vAlign w:val="center"/>
          </w:tcPr>
          <w:p w14:paraId="39AEFE24">
            <w:pPr>
              <w:widowControl w:val="0"/>
              <w:spacing w:line="240" w:lineRule="auto"/>
              <w:jc w:val="center"/>
              <w:rPr>
                <w:rFonts w:hint="eastAsia" w:ascii="宋体"/>
                <w:color w:val="auto"/>
                <w:sz w:val="24"/>
                <w:highlight w:val="none"/>
              </w:rPr>
            </w:pPr>
            <w:r>
              <w:rPr>
                <w:rFonts w:hint="eastAsia" w:ascii="宋体"/>
                <w:color w:val="auto"/>
                <w:sz w:val="24"/>
                <w:highlight w:val="none"/>
              </w:rPr>
              <w:t>工程技术人员</w:t>
            </w:r>
          </w:p>
        </w:tc>
        <w:tc>
          <w:tcPr>
            <w:tcW w:w="2022" w:type="dxa"/>
            <w:noWrap w:val="0"/>
            <w:vAlign w:val="center"/>
          </w:tcPr>
          <w:p w14:paraId="2DF9EB5D">
            <w:pPr>
              <w:widowControl w:val="0"/>
              <w:spacing w:line="240" w:lineRule="auto"/>
              <w:jc w:val="center"/>
              <w:rPr>
                <w:rFonts w:hint="eastAsia" w:ascii="宋体"/>
                <w:color w:val="auto"/>
                <w:sz w:val="24"/>
                <w:highlight w:val="none"/>
              </w:rPr>
            </w:pPr>
            <w:r>
              <w:rPr>
                <w:rFonts w:hint="eastAsia" w:ascii="宋体"/>
                <w:color w:val="auto"/>
                <w:sz w:val="24"/>
                <w:highlight w:val="none"/>
              </w:rPr>
              <w:t>人</w:t>
            </w:r>
          </w:p>
        </w:tc>
      </w:tr>
      <w:tr w14:paraId="0691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475" w:type="dxa"/>
            <w:vMerge w:val="continue"/>
            <w:noWrap w:val="0"/>
            <w:vAlign w:val="center"/>
          </w:tcPr>
          <w:p w14:paraId="2925AEDB">
            <w:pPr>
              <w:widowControl w:val="0"/>
              <w:spacing w:line="240" w:lineRule="auto"/>
              <w:jc w:val="center"/>
              <w:rPr>
                <w:color w:val="auto"/>
                <w:highlight w:val="none"/>
              </w:rPr>
            </w:pPr>
          </w:p>
        </w:tc>
        <w:tc>
          <w:tcPr>
            <w:tcW w:w="1596" w:type="dxa"/>
            <w:gridSpan w:val="2"/>
            <w:noWrap w:val="0"/>
            <w:vAlign w:val="center"/>
          </w:tcPr>
          <w:p w14:paraId="49C99F49">
            <w:pPr>
              <w:widowControl w:val="0"/>
              <w:spacing w:line="240" w:lineRule="auto"/>
              <w:jc w:val="center"/>
              <w:rPr>
                <w:rFonts w:hint="eastAsia" w:ascii="宋体"/>
                <w:color w:val="auto"/>
                <w:sz w:val="24"/>
                <w:highlight w:val="none"/>
              </w:rPr>
            </w:pPr>
            <w:r>
              <w:rPr>
                <w:rFonts w:hint="eastAsia" w:ascii="宋体"/>
                <w:color w:val="auto"/>
                <w:sz w:val="24"/>
                <w:highlight w:val="none"/>
              </w:rPr>
              <w:t>生产工人</w:t>
            </w:r>
          </w:p>
        </w:tc>
        <w:tc>
          <w:tcPr>
            <w:tcW w:w="1727" w:type="dxa"/>
            <w:gridSpan w:val="2"/>
            <w:noWrap w:val="0"/>
            <w:vAlign w:val="center"/>
          </w:tcPr>
          <w:p w14:paraId="25FE0798">
            <w:pPr>
              <w:widowControl w:val="0"/>
              <w:spacing w:line="240" w:lineRule="auto"/>
              <w:jc w:val="center"/>
              <w:rPr>
                <w:rFonts w:hint="eastAsia" w:ascii="宋体"/>
                <w:color w:val="auto"/>
                <w:sz w:val="24"/>
                <w:highlight w:val="none"/>
              </w:rPr>
            </w:pPr>
            <w:r>
              <w:rPr>
                <w:rFonts w:hint="eastAsia" w:ascii="宋体"/>
                <w:color w:val="auto"/>
                <w:sz w:val="24"/>
                <w:highlight w:val="none"/>
              </w:rPr>
              <w:t>人</w:t>
            </w:r>
          </w:p>
        </w:tc>
        <w:tc>
          <w:tcPr>
            <w:tcW w:w="2640" w:type="dxa"/>
            <w:gridSpan w:val="3"/>
            <w:noWrap w:val="0"/>
            <w:vAlign w:val="center"/>
          </w:tcPr>
          <w:p w14:paraId="59A35A62">
            <w:pPr>
              <w:widowControl w:val="0"/>
              <w:spacing w:line="240" w:lineRule="auto"/>
              <w:jc w:val="center"/>
              <w:rPr>
                <w:rFonts w:hint="eastAsia" w:ascii="宋体"/>
                <w:color w:val="auto"/>
                <w:sz w:val="24"/>
                <w:highlight w:val="none"/>
              </w:rPr>
            </w:pPr>
            <w:r>
              <w:rPr>
                <w:rFonts w:hint="eastAsia" w:ascii="宋体"/>
                <w:color w:val="auto"/>
                <w:sz w:val="24"/>
                <w:highlight w:val="none"/>
              </w:rPr>
              <w:t>销售人员</w:t>
            </w:r>
          </w:p>
        </w:tc>
        <w:tc>
          <w:tcPr>
            <w:tcW w:w="2022" w:type="dxa"/>
            <w:noWrap w:val="0"/>
            <w:vAlign w:val="center"/>
          </w:tcPr>
          <w:p w14:paraId="200AA0BB">
            <w:pPr>
              <w:widowControl w:val="0"/>
              <w:spacing w:line="240" w:lineRule="auto"/>
              <w:jc w:val="center"/>
              <w:rPr>
                <w:rFonts w:hint="eastAsia" w:ascii="宋体"/>
                <w:color w:val="auto"/>
                <w:sz w:val="24"/>
                <w:highlight w:val="none"/>
              </w:rPr>
            </w:pPr>
            <w:r>
              <w:rPr>
                <w:rFonts w:hint="eastAsia" w:ascii="宋体"/>
                <w:color w:val="auto"/>
                <w:sz w:val="24"/>
                <w:highlight w:val="none"/>
              </w:rPr>
              <w:t>人</w:t>
            </w:r>
          </w:p>
        </w:tc>
      </w:tr>
      <w:tr w14:paraId="5E6A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1475" w:type="dxa"/>
            <w:vMerge w:val="continue"/>
            <w:noWrap w:val="0"/>
            <w:vAlign w:val="center"/>
          </w:tcPr>
          <w:p w14:paraId="205F496E">
            <w:pPr>
              <w:widowControl w:val="0"/>
              <w:spacing w:line="240" w:lineRule="auto"/>
              <w:jc w:val="center"/>
              <w:rPr>
                <w:color w:val="auto"/>
                <w:highlight w:val="none"/>
              </w:rPr>
            </w:pPr>
          </w:p>
        </w:tc>
        <w:tc>
          <w:tcPr>
            <w:tcW w:w="1042" w:type="dxa"/>
            <w:noWrap w:val="0"/>
            <w:vAlign w:val="center"/>
          </w:tcPr>
          <w:p w14:paraId="4C761FC6">
            <w:pPr>
              <w:widowControl w:val="0"/>
              <w:spacing w:line="240" w:lineRule="auto"/>
              <w:jc w:val="center"/>
              <w:rPr>
                <w:rFonts w:hint="eastAsia" w:ascii="宋体"/>
                <w:color w:val="auto"/>
                <w:sz w:val="24"/>
                <w:highlight w:val="none"/>
              </w:rPr>
            </w:pPr>
            <w:r>
              <w:rPr>
                <w:rFonts w:hint="eastAsia" w:ascii="宋体"/>
                <w:color w:val="auto"/>
                <w:sz w:val="24"/>
                <w:highlight w:val="none"/>
              </w:rPr>
              <w:t>固定</w:t>
            </w:r>
          </w:p>
          <w:p w14:paraId="0C19FF38">
            <w:pPr>
              <w:widowControl w:val="0"/>
              <w:spacing w:line="240" w:lineRule="auto"/>
              <w:jc w:val="center"/>
              <w:rPr>
                <w:rFonts w:hint="eastAsia" w:ascii="宋体"/>
                <w:color w:val="auto"/>
                <w:sz w:val="24"/>
                <w:highlight w:val="none"/>
              </w:rPr>
            </w:pPr>
            <w:r>
              <w:rPr>
                <w:rFonts w:hint="eastAsia" w:ascii="宋体"/>
                <w:color w:val="auto"/>
                <w:sz w:val="24"/>
                <w:highlight w:val="none"/>
              </w:rPr>
              <w:t>资产</w:t>
            </w:r>
          </w:p>
        </w:tc>
        <w:tc>
          <w:tcPr>
            <w:tcW w:w="2281" w:type="dxa"/>
            <w:gridSpan w:val="3"/>
            <w:noWrap w:val="0"/>
            <w:vAlign w:val="center"/>
          </w:tcPr>
          <w:p w14:paraId="19E5517C">
            <w:pPr>
              <w:widowControl w:val="0"/>
              <w:spacing w:line="240" w:lineRule="auto"/>
              <w:jc w:val="center"/>
              <w:rPr>
                <w:rFonts w:hint="eastAsia" w:ascii="宋体"/>
                <w:color w:val="auto"/>
                <w:sz w:val="24"/>
                <w:highlight w:val="none"/>
              </w:rPr>
            </w:pPr>
            <w:r>
              <w:rPr>
                <w:rFonts w:hint="eastAsia" w:ascii="宋体"/>
                <w:color w:val="auto"/>
                <w:sz w:val="24"/>
                <w:highlight w:val="none"/>
              </w:rPr>
              <w:t>万元</w:t>
            </w:r>
          </w:p>
        </w:tc>
        <w:tc>
          <w:tcPr>
            <w:tcW w:w="1460" w:type="dxa"/>
            <w:noWrap w:val="0"/>
            <w:vAlign w:val="center"/>
          </w:tcPr>
          <w:p w14:paraId="6B162381">
            <w:pPr>
              <w:widowControl w:val="0"/>
              <w:spacing w:line="240" w:lineRule="auto"/>
              <w:jc w:val="center"/>
              <w:rPr>
                <w:rFonts w:hint="eastAsia" w:ascii="宋体"/>
                <w:color w:val="auto"/>
                <w:sz w:val="24"/>
                <w:highlight w:val="none"/>
              </w:rPr>
            </w:pPr>
            <w:r>
              <w:rPr>
                <w:rFonts w:hint="eastAsia" w:ascii="宋体"/>
                <w:color w:val="auto"/>
                <w:sz w:val="24"/>
                <w:highlight w:val="none"/>
              </w:rPr>
              <w:t>流动</w:t>
            </w:r>
          </w:p>
          <w:p w14:paraId="1403D77A">
            <w:pPr>
              <w:widowControl w:val="0"/>
              <w:spacing w:line="240" w:lineRule="auto"/>
              <w:jc w:val="center"/>
              <w:rPr>
                <w:rFonts w:hint="eastAsia" w:ascii="宋体"/>
                <w:color w:val="auto"/>
                <w:sz w:val="24"/>
                <w:highlight w:val="none"/>
              </w:rPr>
            </w:pPr>
            <w:r>
              <w:rPr>
                <w:rFonts w:hint="eastAsia" w:ascii="宋体"/>
                <w:color w:val="auto"/>
                <w:sz w:val="24"/>
                <w:highlight w:val="none"/>
              </w:rPr>
              <w:t>资金</w:t>
            </w:r>
          </w:p>
        </w:tc>
        <w:tc>
          <w:tcPr>
            <w:tcW w:w="3202" w:type="dxa"/>
            <w:gridSpan w:val="3"/>
            <w:noWrap w:val="0"/>
            <w:vAlign w:val="center"/>
          </w:tcPr>
          <w:p w14:paraId="7292C8DC">
            <w:pPr>
              <w:widowControl w:val="0"/>
              <w:spacing w:line="240" w:lineRule="auto"/>
              <w:jc w:val="center"/>
              <w:rPr>
                <w:rFonts w:hint="eastAsia" w:ascii="宋体"/>
                <w:color w:val="auto"/>
                <w:sz w:val="24"/>
                <w:highlight w:val="none"/>
              </w:rPr>
            </w:pPr>
            <w:r>
              <w:rPr>
                <w:rFonts w:hint="eastAsia" w:ascii="宋体"/>
                <w:color w:val="auto"/>
                <w:sz w:val="24"/>
                <w:highlight w:val="none"/>
              </w:rPr>
              <w:t>万元</w:t>
            </w:r>
          </w:p>
        </w:tc>
      </w:tr>
      <w:tr w14:paraId="6BED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1475" w:type="dxa"/>
            <w:noWrap w:val="0"/>
            <w:vAlign w:val="center"/>
          </w:tcPr>
          <w:p w14:paraId="17B4532A">
            <w:pPr>
              <w:widowControl w:val="0"/>
              <w:spacing w:line="240" w:lineRule="auto"/>
              <w:jc w:val="center"/>
              <w:rPr>
                <w:rFonts w:hint="eastAsia" w:ascii="宋体" w:eastAsia="宋体"/>
                <w:color w:val="auto"/>
                <w:sz w:val="24"/>
                <w:highlight w:val="none"/>
                <w:lang w:eastAsia="zh-CN"/>
              </w:rPr>
            </w:pPr>
            <w:r>
              <w:rPr>
                <w:rFonts w:hint="eastAsia" w:ascii="宋体"/>
                <w:color w:val="auto"/>
                <w:sz w:val="24"/>
                <w:highlight w:val="none"/>
                <w:lang w:eastAsia="zh-CN"/>
              </w:rPr>
              <w:t>企业资质</w:t>
            </w:r>
          </w:p>
        </w:tc>
        <w:tc>
          <w:tcPr>
            <w:tcW w:w="7985" w:type="dxa"/>
            <w:gridSpan w:val="8"/>
            <w:noWrap w:val="0"/>
            <w:vAlign w:val="center"/>
          </w:tcPr>
          <w:p w14:paraId="1D3760FD">
            <w:pPr>
              <w:widowControl w:val="0"/>
              <w:spacing w:line="240" w:lineRule="auto"/>
              <w:jc w:val="center"/>
              <w:rPr>
                <w:rFonts w:hint="eastAsia" w:ascii="宋体"/>
                <w:color w:val="auto"/>
                <w:sz w:val="24"/>
                <w:highlight w:val="none"/>
              </w:rPr>
            </w:pPr>
          </w:p>
          <w:p w14:paraId="54B01B47">
            <w:pPr>
              <w:widowControl w:val="0"/>
              <w:spacing w:line="240" w:lineRule="auto"/>
              <w:jc w:val="center"/>
              <w:rPr>
                <w:rFonts w:hint="eastAsia" w:ascii="宋体"/>
                <w:color w:val="auto"/>
                <w:sz w:val="24"/>
                <w:highlight w:val="none"/>
              </w:rPr>
            </w:pPr>
          </w:p>
        </w:tc>
      </w:tr>
      <w:tr w14:paraId="30AC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1475" w:type="dxa"/>
            <w:noWrap w:val="0"/>
            <w:vAlign w:val="center"/>
          </w:tcPr>
          <w:p w14:paraId="1688D954">
            <w:pPr>
              <w:widowControl w:val="0"/>
              <w:spacing w:line="240" w:lineRule="auto"/>
              <w:jc w:val="center"/>
              <w:rPr>
                <w:rFonts w:hint="eastAsia" w:ascii="宋体"/>
                <w:color w:val="auto"/>
                <w:sz w:val="24"/>
                <w:highlight w:val="none"/>
              </w:rPr>
            </w:pPr>
            <w:r>
              <w:rPr>
                <w:rFonts w:hint="eastAsia" w:ascii="宋体"/>
                <w:color w:val="auto"/>
                <w:sz w:val="24"/>
                <w:highlight w:val="none"/>
                <w:lang w:eastAsia="zh-CN"/>
              </w:rPr>
              <w:t>经营范围</w:t>
            </w:r>
          </w:p>
        </w:tc>
        <w:tc>
          <w:tcPr>
            <w:tcW w:w="7985" w:type="dxa"/>
            <w:gridSpan w:val="8"/>
            <w:noWrap w:val="0"/>
            <w:vAlign w:val="center"/>
          </w:tcPr>
          <w:p w14:paraId="676BFCA2">
            <w:pPr>
              <w:widowControl w:val="0"/>
              <w:spacing w:line="240" w:lineRule="auto"/>
              <w:jc w:val="center"/>
              <w:rPr>
                <w:rFonts w:hint="eastAsia" w:ascii="宋体"/>
                <w:color w:val="auto"/>
                <w:sz w:val="24"/>
                <w:highlight w:val="none"/>
              </w:rPr>
            </w:pPr>
          </w:p>
        </w:tc>
      </w:tr>
    </w:tbl>
    <w:p w14:paraId="0CCA0BAE">
      <w:pPr>
        <w:widowControl w:val="0"/>
        <w:spacing w:line="480" w:lineRule="auto"/>
        <w:ind w:left="422" w:hanging="422" w:hangingChars="200"/>
        <w:jc w:val="both"/>
        <w:rPr>
          <w:rFonts w:hint="eastAsia" w:ascii="宋体" w:eastAsia="宋体"/>
          <w:b/>
          <w:color w:val="auto"/>
          <w:sz w:val="21"/>
          <w:szCs w:val="21"/>
          <w:highlight w:val="none"/>
          <w:lang w:eastAsia="zh-CN"/>
        </w:rPr>
      </w:pPr>
      <w:r>
        <w:rPr>
          <w:rFonts w:hint="eastAsia" w:ascii="宋体"/>
          <w:b/>
          <w:color w:val="auto"/>
          <w:sz w:val="21"/>
          <w:szCs w:val="21"/>
          <w:highlight w:val="none"/>
        </w:rPr>
        <w:t>注：后附营业执照复印件、组织机构代码证复印件、税务登记证复印件、资质证书复印件</w:t>
      </w:r>
      <w:r>
        <w:rPr>
          <w:rFonts w:hint="eastAsia" w:ascii="宋体"/>
          <w:b/>
          <w:color w:val="auto"/>
          <w:sz w:val="21"/>
          <w:szCs w:val="21"/>
          <w:highlight w:val="none"/>
          <w:lang w:eastAsia="zh-CN"/>
        </w:rPr>
        <w:t>（如有）</w:t>
      </w:r>
    </w:p>
    <w:p w14:paraId="6980EF04">
      <w:pPr>
        <w:rPr>
          <w:rFonts w:hint="eastAsia"/>
          <w:color w:val="auto"/>
          <w:sz w:val="24"/>
          <w:szCs w:val="24"/>
          <w:highlight w:val="none"/>
        </w:rPr>
      </w:pPr>
      <w:r>
        <w:rPr>
          <w:rFonts w:hint="eastAsia"/>
          <w:color w:val="auto"/>
          <w:sz w:val="24"/>
          <w:szCs w:val="24"/>
          <w:highlight w:val="none"/>
        </w:rPr>
        <w:t>投标单位：（印刷体及公章）</w:t>
      </w:r>
    </w:p>
    <w:p w14:paraId="292FA872">
      <w:pPr>
        <w:rPr>
          <w:rFonts w:hint="eastAsia"/>
          <w:color w:val="auto"/>
          <w:sz w:val="24"/>
          <w:szCs w:val="24"/>
          <w:highlight w:val="none"/>
        </w:rPr>
      </w:pPr>
      <w:r>
        <w:rPr>
          <w:rFonts w:hint="eastAsia"/>
          <w:color w:val="auto"/>
          <w:sz w:val="24"/>
          <w:szCs w:val="24"/>
          <w:highlight w:val="none"/>
        </w:rPr>
        <w:t>法定代表人或其授权代表人：（签字</w:t>
      </w:r>
      <w:r>
        <w:rPr>
          <w:rFonts w:hint="eastAsia"/>
          <w:color w:val="auto"/>
          <w:sz w:val="24"/>
          <w:szCs w:val="24"/>
          <w:highlight w:val="none"/>
          <w:lang w:val="en-US" w:eastAsia="zh-CN"/>
        </w:rPr>
        <w:t>或</w:t>
      </w:r>
      <w:r>
        <w:rPr>
          <w:rFonts w:hint="eastAsia"/>
          <w:color w:val="auto"/>
          <w:sz w:val="24"/>
          <w:szCs w:val="24"/>
          <w:highlight w:val="none"/>
          <w:lang w:eastAsia="zh-CN"/>
        </w:rPr>
        <w:t>盖章</w:t>
      </w:r>
      <w:r>
        <w:rPr>
          <w:rFonts w:hint="eastAsia"/>
          <w:color w:val="auto"/>
          <w:sz w:val="24"/>
          <w:szCs w:val="24"/>
          <w:highlight w:val="none"/>
        </w:rPr>
        <w:t>）</w:t>
      </w:r>
    </w:p>
    <w:p w14:paraId="4CE3CE8D">
      <w:pPr>
        <w:pStyle w:val="5"/>
        <w:ind w:left="0" w:leftChars="0" w:firstLine="0" w:firstLineChars="0"/>
        <w:rPr>
          <w:rFonts w:hint="eastAsia"/>
          <w:color w:val="auto"/>
          <w:highlight w:val="none"/>
        </w:rPr>
      </w:pPr>
    </w:p>
    <w:p w14:paraId="38AC1EB9">
      <w:pPr>
        <w:pStyle w:val="5"/>
        <w:ind w:left="0" w:leftChars="0" w:firstLine="0" w:firstLineChars="0"/>
        <w:rPr>
          <w:rFonts w:hint="eastAsia"/>
          <w:color w:val="auto"/>
          <w:highlight w:val="none"/>
        </w:rPr>
      </w:pPr>
    </w:p>
    <w:p w14:paraId="68117749">
      <w:pPr>
        <w:spacing w:line="360" w:lineRule="auto"/>
        <w:rPr>
          <w:rFonts w:hint="eastAsia" w:ascii="宋体"/>
          <w:b/>
          <w:color w:val="auto"/>
          <w:sz w:val="24"/>
          <w:highlight w:val="none"/>
        </w:rPr>
      </w:pPr>
    </w:p>
    <w:p w14:paraId="5A2A147E">
      <w:pPr>
        <w:spacing w:line="240" w:lineRule="auto"/>
        <w:rPr>
          <w:rFonts w:hint="eastAsia" w:ascii="宋体"/>
          <w:b/>
          <w:color w:val="auto"/>
          <w:sz w:val="24"/>
          <w:highlight w:val="none"/>
        </w:rPr>
      </w:pPr>
      <w:r>
        <w:rPr>
          <w:rFonts w:hint="eastAsia" w:ascii="宋体"/>
          <w:b/>
          <w:color w:val="auto"/>
          <w:sz w:val="24"/>
          <w:highlight w:val="none"/>
        </w:rPr>
        <w:t>格式8</w:t>
      </w:r>
    </w:p>
    <w:p w14:paraId="1F34C369">
      <w:pPr>
        <w:spacing w:line="360" w:lineRule="auto"/>
        <w:jc w:val="center"/>
        <w:rPr>
          <w:rFonts w:hint="eastAsia" w:ascii="宋体"/>
          <w:b/>
          <w:color w:val="auto"/>
          <w:sz w:val="30"/>
          <w:szCs w:val="30"/>
          <w:highlight w:val="none"/>
        </w:rPr>
      </w:pPr>
      <w:r>
        <w:rPr>
          <w:rFonts w:hint="eastAsia" w:ascii="宋体"/>
          <w:b/>
          <w:color w:val="auto"/>
          <w:sz w:val="30"/>
          <w:szCs w:val="30"/>
          <w:highlight w:val="none"/>
          <w:lang w:val="en-US" w:eastAsia="zh-CN"/>
        </w:rPr>
        <w:t>2022年-至今</w:t>
      </w:r>
      <w:r>
        <w:rPr>
          <w:rFonts w:hint="eastAsia" w:ascii="宋体"/>
          <w:b/>
          <w:color w:val="auto"/>
          <w:sz w:val="30"/>
          <w:szCs w:val="30"/>
          <w:highlight w:val="none"/>
          <w:lang w:eastAsia="zh-CN"/>
        </w:rPr>
        <w:t>类似项目</w:t>
      </w:r>
      <w:r>
        <w:rPr>
          <w:rFonts w:hint="eastAsia" w:ascii="宋体"/>
          <w:b/>
          <w:color w:val="auto"/>
          <w:sz w:val="30"/>
          <w:szCs w:val="30"/>
          <w:highlight w:val="none"/>
        </w:rPr>
        <w:t>业绩</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746"/>
        <w:gridCol w:w="2506"/>
        <w:gridCol w:w="2501"/>
      </w:tblGrid>
      <w:tr w14:paraId="0C7E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798A82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color w:val="auto"/>
                <w:sz w:val="24"/>
                <w:highlight w:val="none"/>
              </w:rPr>
            </w:pPr>
            <w:r>
              <w:rPr>
                <w:rFonts w:hint="eastAsia" w:ascii="宋体"/>
                <w:color w:val="auto"/>
                <w:sz w:val="24"/>
                <w:highlight w:val="none"/>
              </w:rPr>
              <w:t>序号</w:t>
            </w:r>
          </w:p>
        </w:tc>
        <w:tc>
          <w:tcPr>
            <w:tcW w:w="3746" w:type="dxa"/>
            <w:noWrap w:val="0"/>
            <w:vAlign w:val="center"/>
          </w:tcPr>
          <w:p w14:paraId="3B2EAC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color w:val="auto"/>
                <w:sz w:val="24"/>
                <w:highlight w:val="none"/>
              </w:rPr>
            </w:pPr>
            <w:r>
              <w:rPr>
                <w:rFonts w:hint="eastAsia" w:ascii="宋体"/>
                <w:color w:val="auto"/>
                <w:sz w:val="24"/>
                <w:highlight w:val="none"/>
              </w:rPr>
              <w:t>合同名称/内容</w:t>
            </w:r>
          </w:p>
        </w:tc>
        <w:tc>
          <w:tcPr>
            <w:tcW w:w="2506" w:type="dxa"/>
            <w:noWrap w:val="0"/>
            <w:vAlign w:val="center"/>
          </w:tcPr>
          <w:p w14:paraId="57AE99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color w:val="auto"/>
                <w:sz w:val="24"/>
                <w:highlight w:val="none"/>
              </w:rPr>
            </w:pPr>
            <w:r>
              <w:rPr>
                <w:rFonts w:hint="eastAsia" w:ascii="宋体"/>
                <w:color w:val="auto"/>
                <w:sz w:val="24"/>
                <w:highlight w:val="none"/>
              </w:rPr>
              <w:t>合同金额</w:t>
            </w:r>
          </w:p>
        </w:tc>
        <w:tc>
          <w:tcPr>
            <w:tcW w:w="2501" w:type="dxa"/>
            <w:noWrap w:val="0"/>
            <w:vAlign w:val="center"/>
          </w:tcPr>
          <w:p w14:paraId="52DD2C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color w:val="auto"/>
                <w:sz w:val="24"/>
                <w:highlight w:val="none"/>
              </w:rPr>
            </w:pPr>
            <w:r>
              <w:rPr>
                <w:rFonts w:hint="eastAsia" w:ascii="宋体"/>
                <w:color w:val="auto"/>
                <w:sz w:val="24"/>
                <w:highlight w:val="none"/>
              </w:rPr>
              <w:t>合同签订日期（年）</w:t>
            </w:r>
          </w:p>
        </w:tc>
      </w:tr>
      <w:tr w14:paraId="5017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303103DB">
            <w:pPr>
              <w:spacing w:line="360" w:lineRule="auto"/>
              <w:jc w:val="center"/>
              <w:rPr>
                <w:rFonts w:hint="eastAsia" w:ascii="宋体"/>
                <w:color w:val="auto"/>
                <w:sz w:val="24"/>
                <w:highlight w:val="none"/>
              </w:rPr>
            </w:pPr>
          </w:p>
        </w:tc>
        <w:tc>
          <w:tcPr>
            <w:tcW w:w="3746" w:type="dxa"/>
            <w:noWrap w:val="0"/>
            <w:vAlign w:val="center"/>
          </w:tcPr>
          <w:p w14:paraId="6D7CD691">
            <w:pPr>
              <w:spacing w:line="360" w:lineRule="auto"/>
              <w:jc w:val="center"/>
              <w:rPr>
                <w:rFonts w:hint="eastAsia" w:ascii="宋体"/>
                <w:color w:val="auto"/>
                <w:sz w:val="24"/>
                <w:highlight w:val="none"/>
              </w:rPr>
            </w:pPr>
          </w:p>
        </w:tc>
        <w:tc>
          <w:tcPr>
            <w:tcW w:w="2506" w:type="dxa"/>
            <w:noWrap w:val="0"/>
            <w:vAlign w:val="center"/>
          </w:tcPr>
          <w:p w14:paraId="615C0D46">
            <w:pPr>
              <w:spacing w:line="360" w:lineRule="auto"/>
              <w:jc w:val="center"/>
              <w:rPr>
                <w:rFonts w:hint="eastAsia" w:ascii="宋体"/>
                <w:color w:val="auto"/>
                <w:sz w:val="24"/>
                <w:highlight w:val="none"/>
              </w:rPr>
            </w:pPr>
          </w:p>
        </w:tc>
        <w:tc>
          <w:tcPr>
            <w:tcW w:w="2501" w:type="dxa"/>
            <w:noWrap w:val="0"/>
            <w:vAlign w:val="center"/>
          </w:tcPr>
          <w:p w14:paraId="3A86BA47">
            <w:pPr>
              <w:spacing w:line="360" w:lineRule="auto"/>
              <w:jc w:val="center"/>
              <w:rPr>
                <w:rFonts w:hint="eastAsia" w:ascii="宋体"/>
                <w:color w:val="auto"/>
                <w:sz w:val="24"/>
                <w:highlight w:val="none"/>
              </w:rPr>
            </w:pPr>
          </w:p>
        </w:tc>
      </w:tr>
      <w:tr w14:paraId="0763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496E8A58">
            <w:pPr>
              <w:spacing w:line="360" w:lineRule="auto"/>
              <w:jc w:val="center"/>
              <w:rPr>
                <w:rFonts w:hint="eastAsia" w:ascii="宋体"/>
                <w:color w:val="auto"/>
                <w:sz w:val="24"/>
                <w:highlight w:val="none"/>
              </w:rPr>
            </w:pPr>
          </w:p>
        </w:tc>
        <w:tc>
          <w:tcPr>
            <w:tcW w:w="3746" w:type="dxa"/>
            <w:noWrap w:val="0"/>
            <w:vAlign w:val="center"/>
          </w:tcPr>
          <w:p w14:paraId="5DC923E9">
            <w:pPr>
              <w:spacing w:line="360" w:lineRule="auto"/>
              <w:jc w:val="center"/>
              <w:rPr>
                <w:rFonts w:hint="eastAsia" w:ascii="宋体"/>
                <w:color w:val="auto"/>
                <w:sz w:val="24"/>
                <w:highlight w:val="none"/>
              </w:rPr>
            </w:pPr>
          </w:p>
        </w:tc>
        <w:tc>
          <w:tcPr>
            <w:tcW w:w="2506" w:type="dxa"/>
            <w:noWrap w:val="0"/>
            <w:vAlign w:val="center"/>
          </w:tcPr>
          <w:p w14:paraId="71054BFE">
            <w:pPr>
              <w:spacing w:line="360" w:lineRule="auto"/>
              <w:jc w:val="center"/>
              <w:rPr>
                <w:rFonts w:hint="eastAsia" w:ascii="宋体"/>
                <w:color w:val="auto"/>
                <w:sz w:val="24"/>
                <w:highlight w:val="none"/>
              </w:rPr>
            </w:pPr>
          </w:p>
        </w:tc>
        <w:tc>
          <w:tcPr>
            <w:tcW w:w="2501" w:type="dxa"/>
            <w:noWrap w:val="0"/>
            <w:vAlign w:val="center"/>
          </w:tcPr>
          <w:p w14:paraId="757E5C14">
            <w:pPr>
              <w:spacing w:line="360" w:lineRule="auto"/>
              <w:jc w:val="center"/>
              <w:rPr>
                <w:rFonts w:hint="eastAsia" w:ascii="宋体"/>
                <w:color w:val="auto"/>
                <w:sz w:val="24"/>
                <w:highlight w:val="none"/>
              </w:rPr>
            </w:pPr>
          </w:p>
        </w:tc>
      </w:tr>
      <w:tr w14:paraId="6D0E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23FAE760">
            <w:pPr>
              <w:spacing w:line="360" w:lineRule="auto"/>
              <w:jc w:val="center"/>
              <w:rPr>
                <w:rFonts w:hint="eastAsia" w:ascii="宋体"/>
                <w:color w:val="auto"/>
                <w:sz w:val="24"/>
                <w:highlight w:val="none"/>
              </w:rPr>
            </w:pPr>
          </w:p>
        </w:tc>
        <w:tc>
          <w:tcPr>
            <w:tcW w:w="3746" w:type="dxa"/>
            <w:noWrap w:val="0"/>
            <w:vAlign w:val="center"/>
          </w:tcPr>
          <w:p w14:paraId="6DE877D6">
            <w:pPr>
              <w:spacing w:line="360" w:lineRule="auto"/>
              <w:jc w:val="center"/>
              <w:rPr>
                <w:rFonts w:hint="eastAsia" w:ascii="宋体"/>
                <w:color w:val="auto"/>
                <w:sz w:val="24"/>
                <w:highlight w:val="none"/>
              </w:rPr>
            </w:pPr>
          </w:p>
        </w:tc>
        <w:tc>
          <w:tcPr>
            <w:tcW w:w="2506" w:type="dxa"/>
            <w:noWrap w:val="0"/>
            <w:vAlign w:val="center"/>
          </w:tcPr>
          <w:p w14:paraId="22F4E90E">
            <w:pPr>
              <w:spacing w:line="360" w:lineRule="auto"/>
              <w:jc w:val="center"/>
              <w:rPr>
                <w:rFonts w:hint="eastAsia" w:ascii="宋体"/>
                <w:color w:val="auto"/>
                <w:sz w:val="24"/>
                <w:highlight w:val="none"/>
              </w:rPr>
            </w:pPr>
          </w:p>
        </w:tc>
        <w:tc>
          <w:tcPr>
            <w:tcW w:w="2501" w:type="dxa"/>
            <w:noWrap w:val="0"/>
            <w:vAlign w:val="center"/>
          </w:tcPr>
          <w:p w14:paraId="6D980CB9">
            <w:pPr>
              <w:spacing w:line="360" w:lineRule="auto"/>
              <w:jc w:val="center"/>
              <w:rPr>
                <w:rFonts w:hint="eastAsia" w:ascii="宋体"/>
                <w:color w:val="auto"/>
                <w:sz w:val="24"/>
                <w:highlight w:val="none"/>
              </w:rPr>
            </w:pPr>
          </w:p>
        </w:tc>
      </w:tr>
      <w:tr w14:paraId="6305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6923DD45">
            <w:pPr>
              <w:spacing w:line="360" w:lineRule="auto"/>
              <w:jc w:val="center"/>
              <w:rPr>
                <w:rFonts w:hint="eastAsia" w:ascii="宋体"/>
                <w:color w:val="auto"/>
                <w:sz w:val="24"/>
                <w:highlight w:val="none"/>
              </w:rPr>
            </w:pPr>
          </w:p>
        </w:tc>
        <w:tc>
          <w:tcPr>
            <w:tcW w:w="3746" w:type="dxa"/>
            <w:noWrap w:val="0"/>
            <w:vAlign w:val="center"/>
          </w:tcPr>
          <w:p w14:paraId="6696E9BC">
            <w:pPr>
              <w:spacing w:line="360" w:lineRule="auto"/>
              <w:jc w:val="center"/>
              <w:rPr>
                <w:rFonts w:hint="eastAsia" w:ascii="宋体"/>
                <w:color w:val="auto"/>
                <w:sz w:val="24"/>
                <w:highlight w:val="none"/>
              </w:rPr>
            </w:pPr>
          </w:p>
        </w:tc>
        <w:tc>
          <w:tcPr>
            <w:tcW w:w="2506" w:type="dxa"/>
            <w:noWrap w:val="0"/>
            <w:vAlign w:val="center"/>
          </w:tcPr>
          <w:p w14:paraId="4F5F38EC">
            <w:pPr>
              <w:spacing w:line="360" w:lineRule="auto"/>
              <w:jc w:val="center"/>
              <w:rPr>
                <w:rFonts w:hint="eastAsia" w:ascii="宋体"/>
                <w:color w:val="auto"/>
                <w:sz w:val="24"/>
                <w:highlight w:val="none"/>
              </w:rPr>
            </w:pPr>
          </w:p>
        </w:tc>
        <w:tc>
          <w:tcPr>
            <w:tcW w:w="2501" w:type="dxa"/>
            <w:noWrap w:val="0"/>
            <w:vAlign w:val="center"/>
          </w:tcPr>
          <w:p w14:paraId="5ED05A16">
            <w:pPr>
              <w:spacing w:line="360" w:lineRule="auto"/>
              <w:jc w:val="center"/>
              <w:rPr>
                <w:rFonts w:hint="eastAsia" w:ascii="宋体"/>
                <w:color w:val="auto"/>
                <w:sz w:val="24"/>
                <w:highlight w:val="none"/>
              </w:rPr>
            </w:pPr>
          </w:p>
        </w:tc>
      </w:tr>
      <w:tr w14:paraId="4E67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322B83D7">
            <w:pPr>
              <w:spacing w:line="360" w:lineRule="auto"/>
              <w:jc w:val="center"/>
              <w:rPr>
                <w:rFonts w:hint="eastAsia" w:ascii="宋体"/>
                <w:color w:val="auto"/>
                <w:sz w:val="24"/>
                <w:highlight w:val="none"/>
              </w:rPr>
            </w:pPr>
          </w:p>
        </w:tc>
        <w:tc>
          <w:tcPr>
            <w:tcW w:w="3746" w:type="dxa"/>
            <w:noWrap w:val="0"/>
            <w:vAlign w:val="center"/>
          </w:tcPr>
          <w:p w14:paraId="3A3F9C29">
            <w:pPr>
              <w:spacing w:line="360" w:lineRule="auto"/>
              <w:jc w:val="center"/>
              <w:rPr>
                <w:rFonts w:hint="eastAsia" w:ascii="宋体"/>
                <w:color w:val="auto"/>
                <w:sz w:val="24"/>
                <w:highlight w:val="none"/>
              </w:rPr>
            </w:pPr>
          </w:p>
        </w:tc>
        <w:tc>
          <w:tcPr>
            <w:tcW w:w="2506" w:type="dxa"/>
            <w:noWrap w:val="0"/>
            <w:vAlign w:val="center"/>
          </w:tcPr>
          <w:p w14:paraId="059115EC">
            <w:pPr>
              <w:spacing w:line="360" w:lineRule="auto"/>
              <w:jc w:val="center"/>
              <w:rPr>
                <w:rFonts w:hint="eastAsia" w:ascii="宋体"/>
                <w:color w:val="auto"/>
                <w:sz w:val="24"/>
                <w:highlight w:val="none"/>
              </w:rPr>
            </w:pPr>
          </w:p>
        </w:tc>
        <w:tc>
          <w:tcPr>
            <w:tcW w:w="2501" w:type="dxa"/>
            <w:noWrap w:val="0"/>
            <w:vAlign w:val="center"/>
          </w:tcPr>
          <w:p w14:paraId="1CD529B9">
            <w:pPr>
              <w:spacing w:line="360" w:lineRule="auto"/>
              <w:jc w:val="center"/>
              <w:rPr>
                <w:rFonts w:hint="eastAsia" w:ascii="宋体"/>
                <w:color w:val="auto"/>
                <w:sz w:val="24"/>
                <w:highlight w:val="none"/>
              </w:rPr>
            </w:pPr>
          </w:p>
        </w:tc>
      </w:tr>
      <w:tr w14:paraId="3FCA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17060DCD">
            <w:pPr>
              <w:spacing w:line="360" w:lineRule="auto"/>
              <w:jc w:val="center"/>
              <w:rPr>
                <w:rFonts w:hint="eastAsia" w:ascii="宋体"/>
                <w:color w:val="auto"/>
                <w:sz w:val="24"/>
                <w:highlight w:val="none"/>
              </w:rPr>
            </w:pPr>
          </w:p>
        </w:tc>
        <w:tc>
          <w:tcPr>
            <w:tcW w:w="3746" w:type="dxa"/>
            <w:noWrap w:val="0"/>
            <w:vAlign w:val="center"/>
          </w:tcPr>
          <w:p w14:paraId="2343E123">
            <w:pPr>
              <w:adjustRightInd w:val="0"/>
              <w:snapToGrid w:val="0"/>
              <w:spacing w:line="360" w:lineRule="auto"/>
              <w:jc w:val="center"/>
              <w:rPr>
                <w:rFonts w:hint="eastAsia" w:ascii="宋体"/>
                <w:color w:val="auto"/>
                <w:sz w:val="24"/>
                <w:highlight w:val="none"/>
              </w:rPr>
            </w:pPr>
          </w:p>
        </w:tc>
        <w:tc>
          <w:tcPr>
            <w:tcW w:w="2506" w:type="dxa"/>
            <w:noWrap w:val="0"/>
            <w:vAlign w:val="center"/>
          </w:tcPr>
          <w:p w14:paraId="6620E8BA">
            <w:pPr>
              <w:spacing w:line="360" w:lineRule="auto"/>
              <w:jc w:val="center"/>
              <w:rPr>
                <w:rFonts w:hint="eastAsia" w:ascii="宋体"/>
                <w:color w:val="auto"/>
                <w:sz w:val="24"/>
                <w:highlight w:val="none"/>
              </w:rPr>
            </w:pPr>
          </w:p>
        </w:tc>
        <w:tc>
          <w:tcPr>
            <w:tcW w:w="2501" w:type="dxa"/>
            <w:noWrap w:val="0"/>
            <w:vAlign w:val="center"/>
          </w:tcPr>
          <w:p w14:paraId="68F520EF">
            <w:pPr>
              <w:spacing w:line="360" w:lineRule="auto"/>
              <w:jc w:val="center"/>
              <w:rPr>
                <w:rFonts w:hint="eastAsia" w:ascii="宋体"/>
                <w:color w:val="auto"/>
                <w:sz w:val="24"/>
                <w:highlight w:val="none"/>
              </w:rPr>
            </w:pPr>
          </w:p>
        </w:tc>
      </w:tr>
      <w:tr w14:paraId="1A28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6A246A01">
            <w:pPr>
              <w:spacing w:line="360" w:lineRule="auto"/>
              <w:jc w:val="center"/>
              <w:rPr>
                <w:rFonts w:hint="eastAsia" w:ascii="宋体"/>
                <w:color w:val="auto"/>
                <w:sz w:val="24"/>
                <w:highlight w:val="none"/>
              </w:rPr>
            </w:pPr>
          </w:p>
        </w:tc>
        <w:tc>
          <w:tcPr>
            <w:tcW w:w="3746" w:type="dxa"/>
            <w:noWrap w:val="0"/>
            <w:vAlign w:val="center"/>
          </w:tcPr>
          <w:p w14:paraId="0287FDF4">
            <w:pPr>
              <w:spacing w:line="360" w:lineRule="auto"/>
              <w:jc w:val="center"/>
              <w:rPr>
                <w:rFonts w:hint="eastAsia" w:ascii="宋体"/>
                <w:color w:val="auto"/>
                <w:sz w:val="24"/>
                <w:highlight w:val="none"/>
              </w:rPr>
            </w:pPr>
          </w:p>
        </w:tc>
        <w:tc>
          <w:tcPr>
            <w:tcW w:w="2506" w:type="dxa"/>
            <w:noWrap w:val="0"/>
            <w:vAlign w:val="center"/>
          </w:tcPr>
          <w:p w14:paraId="15EBD618">
            <w:pPr>
              <w:spacing w:line="360" w:lineRule="auto"/>
              <w:jc w:val="center"/>
              <w:rPr>
                <w:rFonts w:hint="eastAsia" w:ascii="宋体"/>
                <w:color w:val="auto"/>
                <w:sz w:val="24"/>
                <w:highlight w:val="none"/>
              </w:rPr>
            </w:pPr>
          </w:p>
        </w:tc>
        <w:tc>
          <w:tcPr>
            <w:tcW w:w="2501" w:type="dxa"/>
            <w:noWrap w:val="0"/>
            <w:vAlign w:val="center"/>
          </w:tcPr>
          <w:p w14:paraId="15CE33C5">
            <w:pPr>
              <w:spacing w:line="360" w:lineRule="auto"/>
              <w:jc w:val="center"/>
              <w:rPr>
                <w:rFonts w:hint="eastAsia" w:ascii="宋体"/>
                <w:color w:val="auto"/>
                <w:sz w:val="24"/>
                <w:highlight w:val="none"/>
              </w:rPr>
            </w:pPr>
          </w:p>
        </w:tc>
      </w:tr>
      <w:tr w14:paraId="5089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2F74D8E8">
            <w:pPr>
              <w:spacing w:line="360" w:lineRule="auto"/>
              <w:jc w:val="center"/>
              <w:rPr>
                <w:rFonts w:hint="eastAsia" w:ascii="宋体"/>
                <w:color w:val="auto"/>
                <w:sz w:val="24"/>
                <w:highlight w:val="none"/>
              </w:rPr>
            </w:pPr>
          </w:p>
        </w:tc>
        <w:tc>
          <w:tcPr>
            <w:tcW w:w="3746" w:type="dxa"/>
            <w:noWrap w:val="0"/>
            <w:vAlign w:val="center"/>
          </w:tcPr>
          <w:p w14:paraId="77DD1251">
            <w:pPr>
              <w:spacing w:line="360" w:lineRule="auto"/>
              <w:jc w:val="center"/>
              <w:rPr>
                <w:rFonts w:hint="eastAsia" w:ascii="宋体"/>
                <w:color w:val="auto"/>
                <w:sz w:val="24"/>
                <w:highlight w:val="none"/>
              </w:rPr>
            </w:pPr>
          </w:p>
        </w:tc>
        <w:tc>
          <w:tcPr>
            <w:tcW w:w="2506" w:type="dxa"/>
            <w:noWrap w:val="0"/>
            <w:vAlign w:val="center"/>
          </w:tcPr>
          <w:p w14:paraId="38105A64">
            <w:pPr>
              <w:spacing w:line="360" w:lineRule="auto"/>
              <w:jc w:val="center"/>
              <w:rPr>
                <w:rFonts w:hint="eastAsia" w:ascii="宋体"/>
                <w:color w:val="auto"/>
                <w:sz w:val="24"/>
                <w:highlight w:val="none"/>
              </w:rPr>
            </w:pPr>
          </w:p>
        </w:tc>
        <w:tc>
          <w:tcPr>
            <w:tcW w:w="2501" w:type="dxa"/>
            <w:noWrap w:val="0"/>
            <w:vAlign w:val="center"/>
          </w:tcPr>
          <w:p w14:paraId="3F205F0C">
            <w:pPr>
              <w:spacing w:line="360" w:lineRule="auto"/>
              <w:jc w:val="center"/>
              <w:rPr>
                <w:rFonts w:hint="eastAsia" w:ascii="宋体"/>
                <w:color w:val="auto"/>
                <w:sz w:val="24"/>
                <w:highlight w:val="none"/>
              </w:rPr>
            </w:pPr>
          </w:p>
        </w:tc>
      </w:tr>
    </w:tbl>
    <w:p w14:paraId="5835271D">
      <w:pPr>
        <w:spacing w:line="360" w:lineRule="auto"/>
        <w:rPr>
          <w:rFonts w:hint="eastAsia" w:ascii="宋体"/>
          <w:b/>
          <w:color w:val="auto"/>
          <w:sz w:val="24"/>
          <w:szCs w:val="24"/>
          <w:highlight w:val="none"/>
        </w:rPr>
      </w:pPr>
      <w:r>
        <w:rPr>
          <w:rFonts w:hint="eastAsia" w:ascii="宋体"/>
          <w:b/>
          <w:color w:val="auto"/>
          <w:sz w:val="24"/>
          <w:szCs w:val="24"/>
          <w:highlight w:val="none"/>
        </w:rPr>
        <w:t>注：后附中标通知书或</w:t>
      </w:r>
      <w:r>
        <w:rPr>
          <w:rFonts w:hint="eastAsia" w:ascii="宋体"/>
          <w:b/>
          <w:color w:val="auto"/>
          <w:sz w:val="24"/>
          <w:szCs w:val="24"/>
          <w:highlight w:val="none"/>
          <w:lang w:eastAsia="zh-CN"/>
        </w:rPr>
        <w:t>服务</w:t>
      </w:r>
      <w:r>
        <w:rPr>
          <w:rFonts w:hint="eastAsia" w:ascii="宋体"/>
          <w:b/>
          <w:color w:val="auto"/>
          <w:sz w:val="24"/>
          <w:szCs w:val="24"/>
          <w:highlight w:val="none"/>
        </w:rPr>
        <w:t>合同，否则业绩视为无效。</w:t>
      </w:r>
    </w:p>
    <w:p w14:paraId="7C1A5820">
      <w:pPr>
        <w:spacing w:line="360" w:lineRule="auto"/>
        <w:rPr>
          <w:rFonts w:hint="eastAsia" w:ascii="宋体"/>
          <w:color w:val="auto"/>
          <w:sz w:val="24"/>
          <w:highlight w:val="none"/>
        </w:rPr>
      </w:pPr>
    </w:p>
    <w:p w14:paraId="1050CE33">
      <w:pPr>
        <w:spacing w:line="360" w:lineRule="auto"/>
        <w:rPr>
          <w:rFonts w:hint="eastAsia" w:ascii="宋体"/>
          <w:color w:val="auto"/>
          <w:sz w:val="24"/>
          <w:highlight w:val="none"/>
        </w:rPr>
      </w:pPr>
    </w:p>
    <w:p w14:paraId="07E8E70F">
      <w:pPr>
        <w:spacing w:line="360" w:lineRule="auto"/>
        <w:rPr>
          <w:rFonts w:hint="eastAsia" w:ascii="宋体"/>
          <w:b/>
          <w:color w:val="auto"/>
          <w:sz w:val="24"/>
          <w:highlight w:val="none"/>
        </w:rPr>
      </w:pPr>
    </w:p>
    <w:p w14:paraId="116B3F5C">
      <w:pPr>
        <w:spacing w:line="360" w:lineRule="auto"/>
        <w:rPr>
          <w:rFonts w:hint="eastAsia" w:ascii="宋体"/>
          <w:b/>
          <w:color w:val="auto"/>
          <w:sz w:val="24"/>
          <w:highlight w:val="none"/>
        </w:rPr>
      </w:pPr>
    </w:p>
    <w:p w14:paraId="3E3A185F">
      <w:pPr>
        <w:spacing w:line="360" w:lineRule="auto"/>
        <w:rPr>
          <w:rFonts w:hint="eastAsia" w:ascii="宋体"/>
          <w:b/>
          <w:color w:val="auto"/>
          <w:sz w:val="24"/>
          <w:highlight w:val="none"/>
        </w:rPr>
      </w:pPr>
    </w:p>
    <w:p w14:paraId="54F73C02">
      <w:pPr>
        <w:spacing w:line="360" w:lineRule="auto"/>
        <w:rPr>
          <w:rFonts w:hint="eastAsia" w:ascii="宋体"/>
          <w:b/>
          <w:color w:val="auto"/>
          <w:sz w:val="24"/>
          <w:highlight w:val="none"/>
        </w:rPr>
      </w:pPr>
    </w:p>
    <w:p w14:paraId="6A736F9A">
      <w:pPr>
        <w:spacing w:line="360" w:lineRule="auto"/>
        <w:rPr>
          <w:rFonts w:hint="eastAsia" w:ascii="宋体"/>
          <w:b/>
          <w:color w:val="auto"/>
          <w:sz w:val="24"/>
          <w:highlight w:val="none"/>
        </w:rPr>
      </w:pPr>
    </w:p>
    <w:p w14:paraId="3E51F0E7">
      <w:pPr>
        <w:spacing w:line="360" w:lineRule="auto"/>
        <w:rPr>
          <w:rFonts w:hint="eastAsia" w:ascii="宋体"/>
          <w:b/>
          <w:color w:val="auto"/>
          <w:sz w:val="24"/>
          <w:highlight w:val="none"/>
        </w:rPr>
      </w:pPr>
      <w:r>
        <w:rPr>
          <w:rFonts w:hint="eastAsia" w:ascii="宋体"/>
          <w:b/>
          <w:color w:val="auto"/>
          <w:sz w:val="24"/>
          <w:highlight w:val="none"/>
        </w:rPr>
        <w:t>格式9</w:t>
      </w:r>
    </w:p>
    <w:p w14:paraId="7B32F3EF">
      <w:pPr>
        <w:spacing w:line="360" w:lineRule="auto"/>
        <w:jc w:val="center"/>
        <w:rPr>
          <w:rFonts w:hint="eastAsia" w:ascii="宋体"/>
          <w:b/>
          <w:color w:val="auto"/>
          <w:sz w:val="30"/>
          <w:szCs w:val="30"/>
          <w:highlight w:val="none"/>
        </w:rPr>
      </w:pPr>
      <w:r>
        <w:rPr>
          <w:rFonts w:hint="eastAsia" w:ascii="宋体"/>
          <w:b/>
          <w:color w:val="auto"/>
          <w:sz w:val="30"/>
          <w:szCs w:val="30"/>
          <w:highlight w:val="none"/>
        </w:rPr>
        <w:t>无政府不良行为记录承诺</w:t>
      </w:r>
    </w:p>
    <w:p w14:paraId="464D43D1">
      <w:pPr>
        <w:spacing w:line="240" w:lineRule="auto"/>
        <w:rPr>
          <w:rFonts w:hint="eastAsia" w:ascii="宋体"/>
          <w:color w:val="auto"/>
          <w:sz w:val="28"/>
          <w:szCs w:val="28"/>
          <w:highlight w:val="none"/>
        </w:rPr>
      </w:pPr>
    </w:p>
    <w:p w14:paraId="37083FB7">
      <w:pPr>
        <w:spacing w:line="240" w:lineRule="auto"/>
        <w:ind w:firstLine="480" w:firstLineChars="200"/>
        <w:rPr>
          <w:rFonts w:hint="eastAsia" w:ascii="宋体"/>
          <w:color w:val="auto"/>
          <w:sz w:val="24"/>
          <w:szCs w:val="24"/>
          <w:highlight w:val="none"/>
        </w:rPr>
      </w:pPr>
      <w:r>
        <w:rPr>
          <w:rFonts w:hint="eastAsia" w:ascii="宋体"/>
          <w:color w:val="auto"/>
          <w:sz w:val="24"/>
          <w:szCs w:val="24"/>
          <w:highlight w:val="none"/>
        </w:rPr>
        <w:t>致：</w:t>
      </w:r>
      <w:r>
        <w:rPr>
          <w:rFonts w:hint="eastAsia"/>
          <w:color w:val="auto"/>
          <w:sz w:val="24"/>
          <w:szCs w:val="24"/>
          <w:highlight w:val="none"/>
          <w:lang w:eastAsia="zh-CN"/>
        </w:rPr>
        <w:t>中源国际招标有限公司</w:t>
      </w:r>
    </w:p>
    <w:p w14:paraId="2CC7F460">
      <w:pPr>
        <w:spacing w:line="240" w:lineRule="auto"/>
        <w:ind w:firstLine="480" w:firstLineChars="200"/>
        <w:rPr>
          <w:rFonts w:hint="eastAsia" w:ascii="宋体"/>
          <w:color w:val="auto"/>
          <w:sz w:val="24"/>
          <w:szCs w:val="24"/>
          <w:highlight w:val="none"/>
        </w:rPr>
      </w:pPr>
    </w:p>
    <w:p w14:paraId="4C19DB73">
      <w:pPr>
        <w:spacing w:line="240" w:lineRule="auto"/>
        <w:rPr>
          <w:rFonts w:hint="eastAsia" w:ascii="宋体"/>
          <w:color w:val="auto"/>
          <w:sz w:val="24"/>
          <w:szCs w:val="24"/>
          <w:highlight w:val="none"/>
        </w:rPr>
      </w:pPr>
      <w:r>
        <w:rPr>
          <w:rFonts w:hint="eastAsia" w:ascii="宋体"/>
          <w:color w:val="auto"/>
          <w:sz w:val="24"/>
          <w:szCs w:val="24"/>
          <w:highlight w:val="none"/>
        </w:rPr>
        <w:t xml:space="preserve">    本公司具有履行合同、项目执行能力的保障能力，且公司成立至今无重大质量事故，现经营阶段无重大经济纠纷，无商业贿赂、投标期间没有列入政府不良行为记录等不良行为记录。现本公司自愿作出以上郑重承诺，如承诺虚假，本公司愿意承担一切法律后果。</w:t>
      </w:r>
    </w:p>
    <w:p w14:paraId="34E39455">
      <w:pPr>
        <w:spacing w:line="240" w:lineRule="auto"/>
        <w:rPr>
          <w:rFonts w:hint="eastAsia" w:ascii="宋体"/>
          <w:color w:val="auto"/>
          <w:sz w:val="24"/>
          <w:szCs w:val="24"/>
          <w:highlight w:val="none"/>
        </w:rPr>
      </w:pPr>
    </w:p>
    <w:p w14:paraId="39CCA84F">
      <w:pPr>
        <w:spacing w:line="240" w:lineRule="auto"/>
        <w:rPr>
          <w:rFonts w:hint="eastAsia" w:ascii="宋体"/>
          <w:color w:val="auto"/>
          <w:sz w:val="24"/>
          <w:szCs w:val="24"/>
          <w:highlight w:val="none"/>
        </w:rPr>
      </w:pPr>
    </w:p>
    <w:p w14:paraId="3A7696F4">
      <w:pPr>
        <w:spacing w:line="240" w:lineRule="auto"/>
        <w:rPr>
          <w:rFonts w:hint="eastAsia"/>
          <w:color w:val="auto"/>
          <w:sz w:val="24"/>
          <w:szCs w:val="24"/>
          <w:highlight w:val="none"/>
        </w:rPr>
      </w:pPr>
      <w:r>
        <w:rPr>
          <w:rFonts w:hint="eastAsia"/>
          <w:color w:val="auto"/>
          <w:sz w:val="24"/>
          <w:szCs w:val="24"/>
          <w:highlight w:val="none"/>
        </w:rPr>
        <w:t>投标单位：（印刷体及公章）</w:t>
      </w:r>
    </w:p>
    <w:p w14:paraId="2EC799A9">
      <w:pPr>
        <w:spacing w:line="240" w:lineRule="auto"/>
        <w:rPr>
          <w:rFonts w:hint="eastAsia"/>
          <w:color w:val="auto"/>
          <w:sz w:val="24"/>
          <w:szCs w:val="24"/>
          <w:highlight w:val="none"/>
        </w:rPr>
      </w:pPr>
    </w:p>
    <w:p w14:paraId="0672D32D">
      <w:pPr>
        <w:spacing w:line="240" w:lineRule="auto"/>
        <w:rPr>
          <w:rFonts w:hint="eastAsia"/>
          <w:color w:val="auto"/>
          <w:sz w:val="24"/>
          <w:szCs w:val="24"/>
          <w:highlight w:val="none"/>
        </w:rPr>
      </w:pPr>
    </w:p>
    <w:p w14:paraId="1510BD99">
      <w:pPr>
        <w:spacing w:line="240" w:lineRule="auto"/>
        <w:rPr>
          <w:rFonts w:hint="eastAsia"/>
          <w:color w:val="auto"/>
          <w:sz w:val="24"/>
          <w:szCs w:val="24"/>
          <w:highlight w:val="none"/>
        </w:rPr>
      </w:pPr>
      <w:r>
        <w:rPr>
          <w:rFonts w:hint="eastAsia"/>
          <w:color w:val="auto"/>
          <w:sz w:val="24"/>
          <w:szCs w:val="24"/>
          <w:highlight w:val="none"/>
        </w:rPr>
        <w:t>法定代表人或其授权代表人：（签字）</w:t>
      </w:r>
    </w:p>
    <w:p w14:paraId="3DAFA426">
      <w:pPr>
        <w:spacing w:line="240" w:lineRule="auto"/>
        <w:rPr>
          <w:rFonts w:hint="eastAsia"/>
          <w:color w:val="auto"/>
          <w:sz w:val="24"/>
          <w:szCs w:val="24"/>
          <w:highlight w:val="none"/>
        </w:rPr>
      </w:pPr>
    </w:p>
    <w:p w14:paraId="48F6AD42">
      <w:pPr>
        <w:spacing w:line="240" w:lineRule="auto"/>
        <w:rPr>
          <w:rFonts w:hint="eastAsia"/>
          <w:color w:val="auto"/>
          <w:sz w:val="24"/>
          <w:szCs w:val="24"/>
          <w:highlight w:val="none"/>
        </w:rPr>
      </w:pPr>
    </w:p>
    <w:p w14:paraId="74E079DF">
      <w:pPr>
        <w:spacing w:line="240" w:lineRule="auto"/>
        <w:rPr>
          <w:rFonts w:hint="eastAsia" w:ascii="宋体"/>
          <w:color w:val="auto"/>
          <w:sz w:val="24"/>
          <w:highlight w:val="none"/>
        </w:rPr>
      </w:pPr>
      <w:r>
        <w:rPr>
          <w:rFonts w:hint="eastAsia" w:ascii="宋体"/>
          <w:color w:val="auto"/>
          <w:sz w:val="24"/>
          <w:highlight w:val="none"/>
        </w:rPr>
        <w:t>日期：</w:t>
      </w:r>
    </w:p>
    <w:p w14:paraId="5E267F8B">
      <w:pPr>
        <w:spacing w:line="240" w:lineRule="auto"/>
        <w:rPr>
          <w:rFonts w:hint="eastAsia" w:ascii="宋体"/>
          <w:color w:val="auto"/>
          <w:sz w:val="24"/>
          <w:highlight w:val="none"/>
        </w:rPr>
      </w:pPr>
    </w:p>
    <w:p w14:paraId="708375B3">
      <w:pPr>
        <w:spacing w:line="360" w:lineRule="auto"/>
        <w:rPr>
          <w:rFonts w:hint="eastAsia" w:ascii="宋体"/>
          <w:color w:val="auto"/>
          <w:sz w:val="24"/>
          <w:highlight w:val="none"/>
        </w:rPr>
      </w:pPr>
    </w:p>
    <w:p w14:paraId="5B462186">
      <w:pPr>
        <w:spacing w:line="240" w:lineRule="auto"/>
        <w:rPr>
          <w:rFonts w:hint="eastAsia" w:ascii="宋体"/>
          <w:b/>
          <w:color w:val="auto"/>
          <w:sz w:val="24"/>
          <w:highlight w:val="none"/>
        </w:rPr>
      </w:pPr>
    </w:p>
    <w:p w14:paraId="40D039F1">
      <w:pPr>
        <w:spacing w:line="240" w:lineRule="auto"/>
        <w:rPr>
          <w:rFonts w:hint="eastAsia" w:ascii="宋体"/>
          <w:b/>
          <w:color w:val="auto"/>
          <w:sz w:val="24"/>
          <w:highlight w:val="none"/>
        </w:rPr>
      </w:pPr>
    </w:p>
    <w:p w14:paraId="29DD5B67">
      <w:pPr>
        <w:spacing w:line="240" w:lineRule="auto"/>
        <w:rPr>
          <w:rFonts w:hint="eastAsia" w:ascii="宋体"/>
          <w:b/>
          <w:color w:val="auto"/>
          <w:sz w:val="24"/>
          <w:highlight w:val="none"/>
        </w:rPr>
      </w:pPr>
    </w:p>
    <w:p w14:paraId="1577A4CA">
      <w:pPr>
        <w:spacing w:line="240" w:lineRule="auto"/>
        <w:rPr>
          <w:rFonts w:hint="eastAsia" w:ascii="宋体"/>
          <w:b/>
          <w:color w:val="auto"/>
          <w:sz w:val="24"/>
          <w:highlight w:val="none"/>
        </w:rPr>
      </w:pPr>
    </w:p>
    <w:p w14:paraId="3FCAFA2C">
      <w:pPr>
        <w:spacing w:line="240" w:lineRule="auto"/>
        <w:rPr>
          <w:rFonts w:hint="eastAsia" w:ascii="宋体"/>
          <w:b/>
          <w:color w:val="auto"/>
          <w:sz w:val="24"/>
          <w:highlight w:val="none"/>
        </w:rPr>
      </w:pPr>
    </w:p>
    <w:p w14:paraId="2CEA16FA">
      <w:pPr>
        <w:spacing w:line="240" w:lineRule="auto"/>
        <w:rPr>
          <w:rFonts w:hint="eastAsia" w:ascii="宋体"/>
          <w:b/>
          <w:color w:val="auto"/>
          <w:sz w:val="24"/>
          <w:highlight w:val="none"/>
        </w:rPr>
      </w:pPr>
    </w:p>
    <w:p w14:paraId="543C62DE">
      <w:pPr>
        <w:spacing w:line="240" w:lineRule="auto"/>
        <w:rPr>
          <w:rFonts w:hint="eastAsia" w:ascii="宋体"/>
          <w:b/>
          <w:color w:val="auto"/>
          <w:sz w:val="24"/>
          <w:highlight w:val="none"/>
        </w:rPr>
      </w:pPr>
      <w:r>
        <w:rPr>
          <w:rFonts w:hint="eastAsia" w:ascii="宋体"/>
          <w:b/>
          <w:color w:val="auto"/>
          <w:sz w:val="24"/>
          <w:highlight w:val="none"/>
        </w:rPr>
        <w:t>格式10</w:t>
      </w:r>
    </w:p>
    <w:p w14:paraId="0E485A4D">
      <w:pPr>
        <w:spacing w:line="240" w:lineRule="auto"/>
        <w:jc w:val="center"/>
        <w:rPr>
          <w:rFonts w:hint="eastAsia" w:ascii="宋体"/>
          <w:color w:val="auto"/>
          <w:sz w:val="24"/>
          <w:highlight w:val="none"/>
        </w:rPr>
      </w:pPr>
      <w:r>
        <w:rPr>
          <w:rFonts w:hint="eastAsia" w:ascii="宋体"/>
          <w:b/>
          <w:color w:val="auto"/>
          <w:sz w:val="30"/>
          <w:szCs w:val="30"/>
          <w:highlight w:val="none"/>
        </w:rPr>
        <w:t>政府采购供应商诚信承诺书</w:t>
      </w:r>
    </w:p>
    <w:p w14:paraId="6DC13701">
      <w:pPr>
        <w:spacing w:line="240" w:lineRule="auto"/>
        <w:rPr>
          <w:rFonts w:hint="eastAsia" w:ascii="宋体" w:hAnsi="宋体"/>
          <w:color w:val="auto"/>
          <w:sz w:val="24"/>
          <w:szCs w:val="24"/>
          <w:highlight w:val="none"/>
        </w:rPr>
      </w:pPr>
      <w:r>
        <w:rPr>
          <w:rFonts w:hint="eastAsia"/>
          <w:color w:val="auto"/>
          <w:sz w:val="24"/>
          <w:szCs w:val="24"/>
          <w:highlight w:val="none"/>
          <w:lang w:eastAsia="zh-CN"/>
        </w:rPr>
        <w:t>中源国际招标有限公司</w:t>
      </w:r>
      <w:r>
        <w:rPr>
          <w:rFonts w:hint="eastAsia" w:ascii="宋体" w:hAnsi="宋体"/>
          <w:color w:val="auto"/>
          <w:sz w:val="24"/>
          <w:szCs w:val="24"/>
          <w:highlight w:val="none"/>
        </w:rPr>
        <w:t>：</w:t>
      </w:r>
    </w:p>
    <w:p w14:paraId="34F89345">
      <w:pPr>
        <w:spacing w:line="24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我公司自愿参与贵公司组织的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14:paraId="5079DE3A">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（一）提供虚假材料谋取中标(成交)的；</w:t>
      </w:r>
    </w:p>
    <w:p w14:paraId="3397C451">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（二）采取不正当手段诋毁、排挤其他供应商的；</w:t>
      </w:r>
    </w:p>
    <w:p w14:paraId="3F5FA74D">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（三）与招标采购单位、其他投标人恶意串通的；</w:t>
      </w:r>
    </w:p>
    <w:p w14:paraId="7B71E5B1">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（四）向招标采购单位行贿或提供其他不正当利益的；</w:t>
      </w:r>
    </w:p>
    <w:p w14:paraId="5689EF02">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（五）在招标过程中与招标采购单位进行协商谈判、不按照招标文件和投标文件订立合同，或者与采购人另立背离合同实质性内容协议的；</w:t>
      </w:r>
    </w:p>
    <w:p w14:paraId="1CD0B9A8">
      <w:pPr>
        <w:spacing w:line="240" w:lineRule="auto"/>
        <w:ind w:firstLine="120" w:firstLineChars="50"/>
        <w:rPr>
          <w:rFonts w:ascii="宋体" w:hAnsi="宋体"/>
          <w:color w:val="auto"/>
          <w:sz w:val="24"/>
          <w:szCs w:val="24"/>
          <w:highlight w:val="none"/>
        </w:rPr>
      </w:pPr>
      <w:r>
        <w:rPr>
          <w:rFonts w:hint="eastAsia" w:ascii="宋体" w:hAnsi="宋体"/>
          <w:color w:val="auto"/>
          <w:sz w:val="24"/>
          <w:szCs w:val="24"/>
          <w:highlight w:val="none"/>
        </w:rPr>
        <w:t>（六）开标后擅自撤销投标，影响招标继续进行的或领取招标文件缴纳投标保证金后不投标导致废标的；</w:t>
      </w:r>
    </w:p>
    <w:p w14:paraId="2070755B">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（七）中标后无正当理由，在规定时间内不与采购单位签订合同的；</w:t>
      </w:r>
    </w:p>
    <w:p w14:paraId="3A5771B8">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（八）将中标项目转让给他人或非法分包他人的；</w:t>
      </w:r>
    </w:p>
    <w:p w14:paraId="73C04A9A">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（九）无正当理由，拒绝履行合同义务的；</w:t>
      </w:r>
    </w:p>
    <w:p w14:paraId="5DC79CA7">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（十）无正当理由放弃中标（成交）项目的；</w:t>
      </w:r>
    </w:p>
    <w:p w14:paraId="20534901">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（十一）擅自或与采购人串通或接受采购人要求，在履约合同中通过减少货物数量，更换品牌、降低配置、技术要求、质量和服务标准等，却仍按原合同进行虚假验收或终止政府采购合同的；</w:t>
      </w:r>
    </w:p>
    <w:p w14:paraId="0809AB61">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（十二）与采购人串通，对尚未履约完毕的采购项目出具虚假验收报告的；</w:t>
      </w:r>
    </w:p>
    <w:p w14:paraId="278B7CF8">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（十三）无不可抗力因素，拒绝提供售后服务、售后服务态度恶劣、故意提高维修配件价格（高于市场平均价）的；</w:t>
      </w:r>
    </w:p>
    <w:p w14:paraId="23D5350C">
      <w:pPr>
        <w:spacing w:line="24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（十四）开标后对招标文件的相关内容再进行质疑的；</w:t>
      </w:r>
    </w:p>
    <w:p w14:paraId="659FD975">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（十五）恶意投诉的行为：投诉经查无实据的、捏造事实或者提供虚假投诉材的；</w:t>
      </w:r>
    </w:p>
    <w:p w14:paraId="508ED83D">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（十六）拒绝有关部门监督检查或者提供虚假情况的；</w:t>
      </w:r>
    </w:p>
    <w:p w14:paraId="080780D1">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（十七）财政、监察部门和政府采购中心认定的其他不诚信行为。</w:t>
      </w:r>
    </w:p>
    <w:p w14:paraId="50396AA1">
      <w:pPr>
        <w:spacing w:line="240" w:lineRule="auto"/>
        <w:rPr>
          <w:rFonts w:hint="eastAsia" w:ascii="宋体"/>
          <w:color w:val="auto"/>
          <w:sz w:val="24"/>
          <w:highlight w:val="none"/>
        </w:rPr>
      </w:pPr>
    </w:p>
    <w:p w14:paraId="6EF7D155">
      <w:pPr>
        <w:spacing w:line="240" w:lineRule="auto"/>
        <w:rPr>
          <w:rFonts w:hint="eastAsia"/>
          <w:color w:val="auto"/>
          <w:sz w:val="24"/>
          <w:szCs w:val="24"/>
          <w:highlight w:val="none"/>
        </w:rPr>
      </w:pPr>
      <w:r>
        <w:rPr>
          <w:rFonts w:hint="eastAsia"/>
          <w:color w:val="auto"/>
          <w:sz w:val="24"/>
          <w:szCs w:val="24"/>
          <w:highlight w:val="none"/>
        </w:rPr>
        <w:t>投标单位：（印刷体及公章）</w:t>
      </w:r>
    </w:p>
    <w:p w14:paraId="5AF09E83">
      <w:pPr>
        <w:spacing w:line="240" w:lineRule="auto"/>
        <w:rPr>
          <w:rFonts w:hint="eastAsia"/>
          <w:color w:val="auto"/>
          <w:sz w:val="24"/>
          <w:szCs w:val="24"/>
          <w:highlight w:val="none"/>
        </w:rPr>
      </w:pPr>
      <w:r>
        <w:rPr>
          <w:rFonts w:hint="eastAsia"/>
          <w:color w:val="auto"/>
          <w:sz w:val="24"/>
          <w:szCs w:val="24"/>
          <w:highlight w:val="none"/>
        </w:rPr>
        <w:t>法定代表人或其授权代表人：（签字）</w:t>
      </w:r>
    </w:p>
    <w:p w14:paraId="4DEAED0A">
      <w:pPr>
        <w:spacing w:line="240" w:lineRule="auto"/>
        <w:rPr>
          <w:rFonts w:hint="eastAsia" w:ascii="宋体"/>
          <w:color w:val="auto"/>
          <w:sz w:val="24"/>
          <w:highlight w:val="none"/>
        </w:rPr>
      </w:pPr>
      <w:r>
        <w:rPr>
          <w:rFonts w:hint="eastAsia" w:ascii="宋体"/>
          <w:color w:val="auto"/>
          <w:sz w:val="24"/>
          <w:highlight w:val="none"/>
        </w:rPr>
        <w:t>日期：</w:t>
      </w:r>
    </w:p>
    <w:p w14:paraId="42E855B5">
      <w:pPr>
        <w:spacing w:line="360" w:lineRule="auto"/>
        <w:rPr>
          <w:rFonts w:hint="eastAsia" w:ascii="宋体"/>
          <w:color w:val="auto"/>
          <w:sz w:val="24"/>
          <w:highlight w:val="none"/>
        </w:rPr>
      </w:pPr>
    </w:p>
    <w:p w14:paraId="2DC70191">
      <w:pPr>
        <w:spacing w:line="360" w:lineRule="auto"/>
        <w:rPr>
          <w:rFonts w:hint="eastAsia" w:ascii="宋体"/>
          <w:b/>
          <w:color w:val="auto"/>
          <w:sz w:val="24"/>
          <w:highlight w:val="none"/>
        </w:rPr>
      </w:pPr>
      <w:r>
        <w:rPr>
          <w:rFonts w:hint="eastAsia" w:ascii="宋体"/>
          <w:b/>
          <w:color w:val="auto"/>
          <w:sz w:val="24"/>
          <w:highlight w:val="none"/>
        </w:rPr>
        <w:br w:type="page"/>
      </w:r>
      <w:r>
        <w:rPr>
          <w:rFonts w:hint="eastAsia" w:ascii="宋体"/>
          <w:b/>
          <w:color w:val="auto"/>
          <w:sz w:val="24"/>
          <w:highlight w:val="none"/>
        </w:rPr>
        <w:t>格式11</w:t>
      </w:r>
    </w:p>
    <w:p w14:paraId="284D1FCC">
      <w:pPr>
        <w:spacing w:line="360" w:lineRule="auto"/>
        <w:jc w:val="center"/>
        <w:rPr>
          <w:rFonts w:hint="eastAsia" w:ascii="宋体"/>
          <w:color w:val="auto"/>
          <w:sz w:val="24"/>
          <w:highlight w:val="none"/>
        </w:rPr>
      </w:pPr>
      <w:r>
        <w:rPr>
          <w:rFonts w:hint="eastAsia" w:ascii="宋体"/>
          <w:b/>
          <w:color w:val="auto"/>
          <w:sz w:val="30"/>
          <w:szCs w:val="30"/>
          <w:highlight w:val="none"/>
        </w:rPr>
        <w:t>投标技术响应情况</w:t>
      </w:r>
    </w:p>
    <w:p w14:paraId="3ABA5959">
      <w:pPr>
        <w:spacing w:line="360" w:lineRule="auto"/>
        <w:rPr>
          <w:rFonts w:hint="eastAsia" w:ascii="宋体"/>
          <w:b/>
          <w:color w:val="auto"/>
          <w:sz w:val="28"/>
          <w:highlight w:val="none"/>
        </w:rPr>
      </w:pPr>
      <w:r>
        <w:rPr>
          <w:rFonts w:hint="eastAsia" w:ascii="宋体"/>
          <w:color w:val="auto"/>
          <w:sz w:val="24"/>
          <w:highlight w:val="none"/>
        </w:rPr>
        <w:t>招标编号：</w:t>
      </w:r>
    </w:p>
    <w:tbl>
      <w:tblPr>
        <w:tblStyle w:val="15"/>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381"/>
        <w:gridCol w:w="1858"/>
        <w:gridCol w:w="4059"/>
        <w:gridCol w:w="1731"/>
      </w:tblGrid>
      <w:tr w14:paraId="5B2F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88" w:type="dxa"/>
            <w:vMerge w:val="restart"/>
            <w:noWrap w:val="0"/>
            <w:vAlign w:val="center"/>
          </w:tcPr>
          <w:p w14:paraId="64BF9502">
            <w:pPr>
              <w:spacing w:before="120" w:line="240" w:lineRule="auto"/>
              <w:jc w:val="center"/>
              <w:rPr>
                <w:rFonts w:hint="eastAsia" w:ascii="宋体"/>
                <w:color w:val="auto"/>
                <w:sz w:val="24"/>
                <w:highlight w:val="none"/>
              </w:rPr>
            </w:pPr>
            <w:r>
              <w:rPr>
                <w:rFonts w:hint="eastAsia" w:ascii="宋体"/>
                <w:color w:val="auto"/>
                <w:sz w:val="24"/>
                <w:highlight w:val="none"/>
              </w:rPr>
              <w:t>序号</w:t>
            </w:r>
          </w:p>
        </w:tc>
        <w:tc>
          <w:tcPr>
            <w:tcW w:w="3239" w:type="dxa"/>
            <w:gridSpan w:val="2"/>
            <w:noWrap w:val="0"/>
            <w:vAlign w:val="center"/>
          </w:tcPr>
          <w:p w14:paraId="5511564B">
            <w:pPr>
              <w:spacing w:before="120" w:after="120" w:line="240" w:lineRule="auto"/>
              <w:jc w:val="center"/>
              <w:rPr>
                <w:rFonts w:hint="eastAsia" w:ascii="宋体"/>
                <w:color w:val="auto"/>
                <w:sz w:val="24"/>
                <w:highlight w:val="none"/>
              </w:rPr>
            </w:pPr>
            <w:r>
              <w:rPr>
                <w:rFonts w:hint="eastAsia" w:ascii="宋体"/>
                <w:color w:val="auto"/>
                <w:sz w:val="24"/>
                <w:highlight w:val="none"/>
              </w:rPr>
              <w:t>招标文件要求</w:t>
            </w:r>
          </w:p>
        </w:tc>
        <w:tc>
          <w:tcPr>
            <w:tcW w:w="4059" w:type="dxa"/>
            <w:noWrap w:val="0"/>
            <w:vAlign w:val="center"/>
          </w:tcPr>
          <w:p w14:paraId="47EDA039">
            <w:pPr>
              <w:spacing w:before="120" w:after="120" w:line="240" w:lineRule="auto"/>
              <w:jc w:val="center"/>
              <w:rPr>
                <w:rFonts w:hint="eastAsia" w:ascii="宋体"/>
                <w:color w:val="auto"/>
                <w:sz w:val="24"/>
                <w:highlight w:val="none"/>
              </w:rPr>
            </w:pPr>
            <w:r>
              <w:rPr>
                <w:rFonts w:hint="eastAsia" w:ascii="宋体"/>
                <w:color w:val="auto"/>
                <w:sz w:val="24"/>
                <w:highlight w:val="none"/>
              </w:rPr>
              <w:t>投标服务目标</w:t>
            </w:r>
          </w:p>
        </w:tc>
        <w:tc>
          <w:tcPr>
            <w:tcW w:w="1731" w:type="dxa"/>
            <w:vMerge w:val="restart"/>
            <w:noWrap w:val="0"/>
            <w:vAlign w:val="center"/>
          </w:tcPr>
          <w:p w14:paraId="02A2F2B2">
            <w:pPr>
              <w:spacing w:before="120" w:line="240" w:lineRule="auto"/>
              <w:jc w:val="center"/>
              <w:rPr>
                <w:rFonts w:hint="eastAsia" w:ascii="宋体"/>
                <w:color w:val="auto"/>
                <w:sz w:val="24"/>
                <w:highlight w:val="none"/>
              </w:rPr>
            </w:pPr>
            <w:r>
              <w:rPr>
                <w:rFonts w:hint="eastAsia" w:ascii="宋体"/>
                <w:color w:val="auto"/>
                <w:sz w:val="24"/>
                <w:highlight w:val="none"/>
              </w:rPr>
              <w:t>偏差</w:t>
            </w:r>
          </w:p>
        </w:tc>
      </w:tr>
      <w:tr w14:paraId="4F46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88" w:type="dxa"/>
            <w:vMerge w:val="continue"/>
            <w:noWrap w:val="0"/>
            <w:vAlign w:val="center"/>
          </w:tcPr>
          <w:p w14:paraId="0F5B9F5D">
            <w:pPr>
              <w:spacing w:line="240" w:lineRule="auto"/>
              <w:jc w:val="center"/>
              <w:rPr>
                <w:color w:val="auto"/>
                <w:highlight w:val="none"/>
              </w:rPr>
            </w:pPr>
          </w:p>
        </w:tc>
        <w:tc>
          <w:tcPr>
            <w:tcW w:w="1381" w:type="dxa"/>
            <w:noWrap w:val="0"/>
            <w:vAlign w:val="center"/>
          </w:tcPr>
          <w:p w14:paraId="7FF97895">
            <w:pPr>
              <w:spacing w:before="120" w:after="120" w:line="240" w:lineRule="auto"/>
              <w:jc w:val="center"/>
              <w:rPr>
                <w:rFonts w:hint="eastAsia" w:ascii="宋体"/>
                <w:color w:val="auto"/>
                <w:sz w:val="24"/>
                <w:highlight w:val="none"/>
              </w:rPr>
            </w:pPr>
            <w:r>
              <w:rPr>
                <w:rFonts w:hint="eastAsia" w:ascii="宋体"/>
                <w:color w:val="auto"/>
                <w:sz w:val="24"/>
                <w:highlight w:val="none"/>
              </w:rPr>
              <w:t>服务内容</w:t>
            </w:r>
          </w:p>
        </w:tc>
        <w:tc>
          <w:tcPr>
            <w:tcW w:w="1858" w:type="dxa"/>
            <w:noWrap w:val="0"/>
            <w:vAlign w:val="center"/>
          </w:tcPr>
          <w:p w14:paraId="7031B3C1">
            <w:pPr>
              <w:spacing w:before="120" w:after="120" w:line="240" w:lineRule="auto"/>
              <w:jc w:val="center"/>
              <w:rPr>
                <w:rFonts w:hint="eastAsia" w:ascii="宋体"/>
                <w:color w:val="auto"/>
                <w:sz w:val="24"/>
                <w:highlight w:val="none"/>
              </w:rPr>
            </w:pPr>
            <w:r>
              <w:rPr>
                <w:rFonts w:hint="eastAsia" w:ascii="宋体"/>
                <w:color w:val="auto"/>
                <w:sz w:val="24"/>
                <w:highlight w:val="none"/>
              </w:rPr>
              <w:t>指标要求</w:t>
            </w:r>
          </w:p>
        </w:tc>
        <w:tc>
          <w:tcPr>
            <w:tcW w:w="4059" w:type="dxa"/>
            <w:noWrap w:val="0"/>
            <w:vAlign w:val="center"/>
          </w:tcPr>
          <w:p w14:paraId="02A4FE0B">
            <w:pPr>
              <w:spacing w:before="120" w:after="120" w:line="240" w:lineRule="auto"/>
              <w:jc w:val="center"/>
              <w:rPr>
                <w:rFonts w:hint="eastAsia" w:ascii="宋体"/>
                <w:color w:val="auto"/>
                <w:sz w:val="24"/>
                <w:highlight w:val="none"/>
              </w:rPr>
            </w:pPr>
            <w:r>
              <w:rPr>
                <w:rFonts w:hint="eastAsia" w:ascii="宋体"/>
                <w:color w:val="auto"/>
                <w:sz w:val="24"/>
                <w:highlight w:val="none"/>
              </w:rPr>
              <w:t>目标</w:t>
            </w:r>
          </w:p>
        </w:tc>
        <w:tc>
          <w:tcPr>
            <w:tcW w:w="1731" w:type="dxa"/>
            <w:vMerge w:val="continue"/>
            <w:noWrap w:val="0"/>
            <w:vAlign w:val="center"/>
          </w:tcPr>
          <w:p w14:paraId="68AD2390">
            <w:pPr>
              <w:spacing w:line="240" w:lineRule="auto"/>
              <w:jc w:val="center"/>
              <w:rPr>
                <w:color w:val="auto"/>
                <w:highlight w:val="none"/>
              </w:rPr>
            </w:pPr>
          </w:p>
        </w:tc>
      </w:tr>
      <w:tr w14:paraId="1BAC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8" w:type="dxa"/>
            <w:noWrap w:val="0"/>
            <w:vAlign w:val="center"/>
          </w:tcPr>
          <w:p w14:paraId="369516EF">
            <w:pPr>
              <w:spacing w:before="120" w:after="120" w:line="240" w:lineRule="auto"/>
              <w:jc w:val="center"/>
              <w:rPr>
                <w:rFonts w:hint="eastAsia" w:ascii="宋体"/>
                <w:color w:val="auto"/>
                <w:sz w:val="32"/>
                <w:highlight w:val="none"/>
              </w:rPr>
            </w:pPr>
          </w:p>
        </w:tc>
        <w:tc>
          <w:tcPr>
            <w:tcW w:w="1381" w:type="dxa"/>
            <w:noWrap w:val="0"/>
            <w:vAlign w:val="center"/>
          </w:tcPr>
          <w:p w14:paraId="64041697">
            <w:pPr>
              <w:spacing w:before="120" w:after="120" w:line="240" w:lineRule="auto"/>
              <w:jc w:val="center"/>
              <w:rPr>
                <w:rFonts w:hint="eastAsia" w:ascii="宋体"/>
                <w:color w:val="auto"/>
                <w:sz w:val="32"/>
                <w:highlight w:val="none"/>
              </w:rPr>
            </w:pPr>
          </w:p>
        </w:tc>
        <w:tc>
          <w:tcPr>
            <w:tcW w:w="1858" w:type="dxa"/>
            <w:noWrap w:val="0"/>
            <w:vAlign w:val="center"/>
          </w:tcPr>
          <w:p w14:paraId="685128E1">
            <w:pPr>
              <w:spacing w:before="120" w:after="120" w:line="240" w:lineRule="auto"/>
              <w:jc w:val="center"/>
              <w:rPr>
                <w:rFonts w:hint="eastAsia" w:ascii="宋体"/>
                <w:color w:val="auto"/>
                <w:sz w:val="32"/>
                <w:highlight w:val="none"/>
              </w:rPr>
            </w:pPr>
          </w:p>
        </w:tc>
        <w:tc>
          <w:tcPr>
            <w:tcW w:w="4059" w:type="dxa"/>
            <w:noWrap w:val="0"/>
            <w:vAlign w:val="center"/>
          </w:tcPr>
          <w:p w14:paraId="50AF4825">
            <w:pPr>
              <w:spacing w:before="120" w:after="120" w:line="240" w:lineRule="auto"/>
              <w:jc w:val="center"/>
              <w:rPr>
                <w:rFonts w:hint="eastAsia" w:ascii="宋体"/>
                <w:color w:val="auto"/>
                <w:sz w:val="32"/>
                <w:highlight w:val="none"/>
              </w:rPr>
            </w:pPr>
          </w:p>
        </w:tc>
        <w:tc>
          <w:tcPr>
            <w:tcW w:w="1731" w:type="dxa"/>
            <w:noWrap w:val="0"/>
            <w:vAlign w:val="center"/>
          </w:tcPr>
          <w:p w14:paraId="3F5F96BF">
            <w:pPr>
              <w:spacing w:before="120" w:after="120" w:line="240" w:lineRule="auto"/>
              <w:jc w:val="center"/>
              <w:rPr>
                <w:rFonts w:hint="eastAsia" w:ascii="宋体"/>
                <w:color w:val="auto"/>
                <w:sz w:val="32"/>
                <w:highlight w:val="none"/>
              </w:rPr>
            </w:pPr>
          </w:p>
        </w:tc>
      </w:tr>
      <w:tr w14:paraId="0ACF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8" w:type="dxa"/>
            <w:noWrap w:val="0"/>
            <w:vAlign w:val="center"/>
          </w:tcPr>
          <w:p w14:paraId="0E5060FA">
            <w:pPr>
              <w:spacing w:before="120" w:after="120" w:line="240" w:lineRule="auto"/>
              <w:jc w:val="center"/>
              <w:rPr>
                <w:rFonts w:hint="eastAsia" w:ascii="宋体"/>
                <w:color w:val="auto"/>
                <w:sz w:val="32"/>
                <w:highlight w:val="none"/>
              </w:rPr>
            </w:pPr>
          </w:p>
        </w:tc>
        <w:tc>
          <w:tcPr>
            <w:tcW w:w="1381" w:type="dxa"/>
            <w:noWrap w:val="0"/>
            <w:vAlign w:val="center"/>
          </w:tcPr>
          <w:p w14:paraId="09364A1A">
            <w:pPr>
              <w:spacing w:before="120" w:after="120" w:line="240" w:lineRule="auto"/>
              <w:jc w:val="center"/>
              <w:rPr>
                <w:rFonts w:hint="eastAsia" w:ascii="宋体"/>
                <w:color w:val="auto"/>
                <w:sz w:val="32"/>
                <w:highlight w:val="none"/>
              </w:rPr>
            </w:pPr>
          </w:p>
        </w:tc>
        <w:tc>
          <w:tcPr>
            <w:tcW w:w="1858" w:type="dxa"/>
            <w:noWrap w:val="0"/>
            <w:vAlign w:val="center"/>
          </w:tcPr>
          <w:p w14:paraId="1411AABA">
            <w:pPr>
              <w:spacing w:before="120" w:after="120" w:line="240" w:lineRule="auto"/>
              <w:jc w:val="center"/>
              <w:rPr>
                <w:rFonts w:hint="eastAsia" w:ascii="宋体"/>
                <w:color w:val="auto"/>
                <w:sz w:val="32"/>
                <w:highlight w:val="none"/>
              </w:rPr>
            </w:pPr>
          </w:p>
        </w:tc>
        <w:tc>
          <w:tcPr>
            <w:tcW w:w="4059" w:type="dxa"/>
            <w:noWrap w:val="0"/>
            <w:vAlign w:val="center"/>
          </w:tcPr>
          <w:p w14:paraId="2BD4F1CC">
            <w:pPr>
              <w:spacing w:before="120" w:after="120" w:line="240" w:lineRule="auto"/>
              <w:jc w:val="center"/>
              <w:rPr>
                <w:rFonts w:hint="eastAsia" w:ascii="宋体"/>
                <w:color w:val="auto"/>
                <w:sz w:val="32"/>
                <w:highlight w:val="none"/>
              </w:rPr>
            </w:pPr>
          </w:p>
        </w:tc>
        <w:tc>
          <w:tcPr>
            <w:tcW w:w="1731" w:type="dxa"/>
            <w:noWrap w:val="0"/>
            <w:vAlign w:val="center"/>
          </w:tcPr>
          <w:p w14:paraId="479EA19E">
            <w:pPr>
              <w:spacing w:before="120" w:after="120" w:line="240" w:lineRule="auto"/>
              <w:jc w:val="center"/>
              <w:rPr>
                <w:rFonts w:hint="eastAsia" w:ascii="宋体"/>
                <w:color w:val="auto"/>
                <w:sz w:val="32"/>
                <w:highlight w:val="none"/>
              </w:rPr>
            </w:pPr>
          </w:p>
        </w:tc>
      </w:tr>
      <w:tr w14:paraId="1083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8" w:type="dxa"/>
            <w:noWrap w:val="0"/>
            <w:vAlign w:val="center"/>
          </w:tcPr>
          <w:p w14:paraId="092D7787">
            <w:pPr>
              <w:spacing w:before="120" w:after="120" w:line="240" w:lineRule="auto"/>
              <w:jc w:val="center"/>
              <w:rPr>
                <w:rFonts w:hint="eastAsia" w:ascii="宋体"/>
                <w:color w:val="auto"/>
                <w:sz w:val="32"/>
                <w:highlight w:val="none"/>
              </w:rPr>
            </w:pPr>
          </w:p>
        </w:tc>
        <w:tc>
          <w:tcPr>
            <w:tcW w:w="1381" w:type="dxa"/>
            <w:noWrap w:val="0"/>
            <w:vAlign w:val="center"/>
          </w:tcPr>
          <w:p w14:paraId="05578333">
            <w:pPr>
              <w:spacing w:before="120" w:after="120" w:line="240" w:lineRule="auto"/>
              <w:jc w:val="center"/>
              <w:rPr>
                <w:rFonts w:hint="eastAsia" w:ascii="宋体"/>
                <w:color w:val="auto"/>
                <w:sz w:val="32"/>
                <w:highlight w:val="none"/>
              </w:rPr>
            </w:pPr>
          </w:p>
        </w:tc>
        <w:tc>
          <w:tcPr>
            <w:tcW w:w="1858" w:type="dxa"/>
            <w:noWrap w:val="0"/>
            <w:vAlign w:val="center"/>
          </w:tcPr>
          <w:p w14:paraId="6E9DC46F">
            <w:pPr>
              <w:spacing w:before="120" w:after="120" w:line="240" w:lineRule="auto"/>
              <w:jc w:val="center"/>
              <w:rPr>
                <w:rFonts w:hint="eastAsia" w:ascii="宋体"/>
                <w:color w:val="auto"/>
                <w:sz w:val="32"/>
                <w:highlight w:val="none"/>
              </w:rPr>
            </w:pPr>
          </w:p>
        </w:tc>
        <w:tc>
          <w:tcPr>
            <w:tcW w:w="4059" w:type="dxa"/>
            <w:noWrap w:val="0"/>
            <w:vAlign w:val="center"/>
          </w:tcPr>
          <w:p w14:paraId="15C5C5CE">
            <w:pPr>
              <w:spacing w:before="120" w:after="120" w:line="240" w:lineRule="auto"/>
              <w:jc w:val="center"/>
              <w:rPr>
                <w:rFonts w:hint="eastAsia" w:ascii="宋体"/>
                <w:color w:val="auto"/>
                <w:sz w:val="32"/>
                <w:highlight w:val="none"/>
              </w:rPr>
            </w:pPr>
          </w:p>
        </w:tc>
        <w:tc>
          <w:tcPr>
            <w:tcW w:w="1731" w:type="dxa"/>
            <w:noWrap w:val="0"/>
            <w:vAlign w:val="center"/>
          </w:tcPr>
          <w:p w14:paraId="1727F12F">
            <w:pPr>
              <w:spacing w:before="120" w:after="120" w:line="240" w:lineRule="auto"/>
              <w:jc w:val="center"/>
              <w:rPr>
                <w:rFonts w:hint="eastAsia" w:ascii="宋体"/>
                <w:color w:val="auto"/>
                <w:sz w:val="32"/>
                <w:highlight w:val="none"/>
              </w:rPr>
            </w:pPr>
          </w:p>
        </w:tc>
      </w:tr>
      <w:tr w14:paraId="5D16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8" w:type="dxa"/>
            <w:noWrap w:val="0"/>
            <w:vAlign w:val="center"/>
          </w:tcPr>
          <w:p w14:paraId="6868B79B">
            <w:pPr>
              <w:spacing w:before="120" w:after="120" w:line="240" w:lineRule="auto"/>
              <w:jc w:val="center"/>
              <w:rPr>
                <w:rFonts w:hint="eastAsia" w:ascii="宋体"/>
                <w:color w:val="auto"/>
                <w:sz w:val="32"/>
                <w:highlight w:val="none"/>
              </w:rPr>
            </w:pPr>
          </w:p>
        </w:tc>
        <w:tc>
          <w:tcPr>
            <w:tcW w:w="1381" w:type="dxa"/>
            <w:noWrap w:val="0"/>
            <w:vAlign w:val="center"/>
          </w:tcPr>
          <w:p w14:paraId="60A31AEE">
            <w:pPr>
              <w:spacing w:before="120" w:after="120" w:line="240" w:lineRule="auto"/>
              <w:jc w:val="center"/>
              <w:rPr>
                <w:rFonts w:hint="eastAsia" w:ascii="宋体"/>
                <w:color w:val="auto"/>
                <w:sz w:val="32"/>
                <w:highlight w:val="none"/>
              </w:rPr>
            </w:pPr>
          </w:p>
        </w:tc>
        <w:tc>
          <w:tcPr>
            <w:tcW w:w="1858" w:type="dxa"/>
            <w:noWrap w:val="0"/>
            <w:vAlign w:val="center"/>
          </w:tcPr>
          <w:p w14:paraId="2F9C6459">
            <w:pPr>
              <w:spacing w:before="120" w:after="120" w:line="240" w:lineRule="auto"/>
              <w:jc w:val="center"/>
              <w:rPr>
                <w:rFonts w:hint="eastAsia" w:ascii="宋体"/>
                <w:color w:val="auto"/>
                <w:sz w:val="32"/>
                <w:highlight w:val="none"/>
              </w:rPr>
            </w:pPr>
          </w:p>
        </w:tc>
        <w:tc>
          <w:tcPr>
            <w:tcW w:w="4059" w:type="dxa"/>
            <w:noWrap w:val="0"/>
            <w:vAlign w:val="center"/>
          </w:tcPr>
          <w:p w14:paraId="0778136F">
            <w:pPr>
              <w:spacing w:before="120" w:after="120" w:line="240" w:lineRule="auto"/>
              <w:jc w:val="center"/>
              <w:rPr>
                <w:rFonts w:hint="eastAsia" w:ascii="宋体"/>
                <w:color w:val="auto"/>
                <w:sz w:val="32"/>
                <w:highlight w:val="none"/>
              </w:rPr>
            </w:pPr>
          </w:p>
        </w:tc>
        <w:tc>
          <w:tcPr>
            <w:tcW w:w="1731" w:type="dxa"/>
            <w:noWrap w:val="0"/>
            <w:vAlign w:val="center"/>
          </w:tcPr>
          <w:p w14:paraId="676ED74A">
            <w:pPr>
              <w:spacing w:before="120" w:after="120" w:line="240" w:lineRule="auto"/>
              <w:jc w:val="center"/>
              <w:rPr>
                <w:rFonts w:hint="eastAsia" w:ascii="宋体"/>
                <w:color w:val="auto"/>
                <w:sz w:val="32"/>
                <w:highlight w:val="none"/>
              </w:rPr>
            </w:pPr>
          </w:p>
        </w:tc>
      </w:tr>
      <w:tr w14:paraId="7F09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8" w:type="dxa"/>
            <w:noWrap w:val="0"/>
            <w:vAlign w:val="center"/>
          </w:tcPr>
          <w:p w14:paraId="357C4F86">
            <w:pPr>
              <w:spacing w:before="120" w:after="120" w:line="240" w:lineRule="auto"/>
              <w:jc w:val="center"/>
              <w:rPr>
                <w:rFonts w:hint="eastAsia" w:ascii="宋体"/>
                <w:color w:val="auto"/>
                <w:sz w:val="32"/>
                <w:highlight w:val="none"/>
              </w:rPr>
            </w:pPr>
          </w:p>
        </w:tc>
        <w:tc>
          <w:tcPr>
            <w:tcW w:w="1381" w:type="dxa"/>
            <w:noWrap w:val="0"/>
            <w:vAlign w:val="center"/>
          </w:tcPr>
          <w:p w14:paraId="1023BAE5">
            <w:pPr>
              <w:spacing w:before="120" w:after="120" w:line="240" w:lineRule="auto"/>
              <w:jc w:val="center"/>
              <w:rPr>
                <w:rFonts w:hint="eastAsia" w:ascii="宋体"/>
                <w:color w:val="auto"/>
                <w:sz w:val="32"/>
                <w:highlight w:val="none"/>
              </w:rPr>
            </w:pPr>
          </w:p>
        </w:tc>
        <w:tc>
          <w:tcPr>
            <w:tcW w:w="1858" w:type="dxa"/>
            <w:noWrap w:val="0"/>
            <w:vAlign w:val="center"/>
          </w:tcPr>
          <w:p w14:paraId="1AB22FDA">
            <w:pPr>
              <w:spacing w:before="120" w:after="120" w:line="240" w:lineRule="auto"/>
              <w:jc w:val="center"/>
              <w:rPr>
                <w:rFonts w:hint="eastAsia" w:ascii="宋体"/>
                <w:color w:val="auto"/>
                <w:sz w:val="32"/>
                <w:highlight w:val="none"/>
              </w:rPr>
            </w:pPr>
          </w:p>
        </w:tc>
        <w:tc>
          <w:tcPr>
            <w:tcW w:w="4059" w:type="dxa"/>
            <w:noWrap w:val="0"/>
            <w:vAlign w:val="center"/>
          </w:tcPr>
          <w:p w14:paraId="622ACC23">
            <w:pPr>
              <w:spacing w:before="120" w:after="120" w:line="240" w:lineRule="auto"/>
              <w:jc w:val="center"/>
              <w:rPr>
                <w:rFonts w:hint="eastAsia" w:ascii="宋体"/>
                <w:color w:val="auto"/>
                <w:sz w:val="32"/>
                <w:highlight w:val="none"/>
              </w:rPr>
            </w:pPr>
          </w:p>
        </w:tc>
        <w:tc>
          <w:tcPr>
            <w:tcW w:w="1731" w:type="dxa"/>
            <w:noWrap w:val="0"/>
            <w:vAlign w:val="center"/>
          </w:tcPr>
          <w:p w14:paraId="3287AE65">
            <w:pPr>
              <w:spacing w:before="120" w:after="120" w:line="240" w:lineRule="auto"/>
              <w:jc w:val="center"/>
              <w:rPr>
                <w:rFonts w:hint="eastAsia" w:ascii="宋体"/>
                <w:color w:val="auto"/>
                <w:sz w:val="32"/>
                <w:highlight w:val="none"/>
              </w:rPr>
            </w:pPr>
          </w:p>
        </w:tc>
      </w:tr>
      <w:tr w14:paraId="6819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8" w:type="dxa"/>
            <w:noWrap w:val="0"/>
            <w:vAlign w:val="center"/>
          </w:tcPr>
          <w:p w14:paraId="7AAE376F">
            <w:pPr>
              <w:spacing w:before="120" w:after="120" w:line="240" w:lineRule="auto"/>
              <w:jc w:val="center"/>
              <w:rPr>
                <w:rFonts w:hint="eastAsia" w:ascii="宋体"/>
                <w:color w:val="auto"/>
                <w:sz w:val="32"/>
                <w:highlight w:val="none"/>
              </w:rPr>
            </w:pPr>
          </w:p>
        </w:tc>
        <w:tc>
          <w:tcPr>
            <w:tcW w:w="1381" w:type="dxa"/>
            <w:noWrap w:val="0"/>
            <w:vAlign w:val="center"/>
          </w:tcPr>
          <w:p w14:paraId="4C7C4010">
            <w:pPr>
              <w:spacing w:before="120" w:after="120" w:line="240" w:lineRule="auto"/>
              <w:jc w:val="center"/>
              <w:rPr>
                <w:rFonts w:hint="eastAsia" w:ascii="宋体"/>
                <w:color w:val="auto"/>
                <w:sz w:val="32"/>
                <w:highlight w:val="none"/>
              </w:rPr>
            </w:pPr>
          </w:p>
        </w:tc>
        <w:tc>
          <w:tcPr>
            <w:tcW w:w="1858" w:type="dxa"/>
            <w:noWrap w:val="0"/>
            <w:vAlign w:val="center"/>
          </w:tcPr>
          <w:p w14:paraId="2D87AA41">
            <w:pPr>
              <w:spacing w:before="120" w:after="120" w:line="240" w:lineRule="auto"/>
              <w:jc w:val="center"/>
              <w:rPr>
                <w:rFonts w:hint="eastAsia" w:ascii="宋体"/>
                <w:color w:val="auto"/>
                <w:sz w:val="32"/>
                <w:highlight w:val="none"/>
              </w:rPr>
            </w:pPr>
          </w:p>
        </w:tc>
        <w:tc>
          <w:tcPr>
            <w:tcW w:w="4059" w:type="dxa"/>
            <w:noWrap w:val="0"/>
            <w:vAlign w:val="center"/>
          </w:tcPr>
          <w:p w14:paraId="18B4B3C9">
            <w:pPr>
              <w:spacing w:before="120" w:after="120" w:line="240" w:lineRule="auto"/>
              <w:jc w:val="center"/>
              <w:rPr>
                <w:rFonts w:hint="eastAsia" w:ascii="宋体"/>
                <w:color w:val="auto"/>
                <w:sz w:val="32"/>
                <w:highlight w:val="none"/>
              </w:rPr>
            </w:pPr>
          </w:p>
        </w:tc>
        <w:tc>
          <w:tcPr>
            <w:tcW w:w="1731" w:type="dxa"/>
            <w:noWrap w:val="0"/>
            <w:vAlign w:val="center"/>
          </w:tcPr>
          <w:p w14:paraId="332E1944">
            <w:pPr>
              <w:spacing w:before="120" w:after="120" w:line="240" w:lineRule="auto"/>
              <w:jc w:val="center"/>
              <w:rPr>
                <w:rFonts w:hint="eastAsia" w:ascii="宋体"/>
                <w:color w:val="auto"/>
                <w:sz w:val="32"/>
                <w:highlight w:val="none"/>
              </w:rPr>
            </w:pPr>
          </w:p>
        </w:tc>
      </w:tr>
      <w:tr w14:paraId="36C8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88" w:type="dxa"/>
            <w:noWrap w:val="0"/>
            <w:vAlign w:val="center"/>
          </w:tcPr>
          <w:p w14:paraId="7C98FDF0">
            <w:pPr>
              <w:spacing w:before="120" w:after="120" w:line="240" w:lineRule="auto"/>
              <w:jc w:val="center"/>
              <w:rPr>
                <w:rFonts w:hint="eastAsia" w:ascii="宋体"/>
                <w:color w:val="auto"/>
                <w:sz w:val="32"/>
                <w:highlight w:val="none"/>
              </w:rPr>
            </w:pPr>
          </w:p>
        </w:tc>
        <w:tc>
          <w:tcPr>
            <w:tcW w:w="1381" w:type="dxa"/>
            <w:noWrap w:val="0"/>
            <w:vAlign w:val="center"/>
          </w:tcPr>
          <w:p w14:paraId="017D89C9">
            <w:pPr>
              <w:spacing w:before="120" w:after="120" w:line="240" w:lineRule="auto"/>
              <w:jc w:val="center"/>
              <w:rPr>
                <w:rFonts w:hint="eastAsia" w:ascii="宋体"/>
                <w:color w:val="auto"/>
                <w:sz w:val="32"/>
                <w:highlight w:val="none"/>
              </w:rPr>
            </w:pPr>
          </w:p>
        </w:tc>
        <w:tc>
          <w:tcPr>
            <w:tcW w:w="1858" w:type="dxa"/>
            <w:noWrap w:val="0"/>
            <w:vAlign w:val="center"/>
          </w:tcPr>
          <w:p w14:paraId="6EA231DE">
            <w:pPr>
              <w:spacing w:before="120" w:after="120" w:line="240" w:lineRule="auto"/>
              <w:jc w:val="center"/>
              <w:rPr>
                <w:rFonts w:hint="eastAsia" w:ascii="宋体"/>
                <w:color w:val="auto"/>
                <w:sz w:val="32"/>
                <w:highlight w:val="none"/>
              </w:rPr>
            </w:pPr>
          </w:p>
        </w:tc>
        <w:tc>
          <w:tcPr>
            <w:tcW w:w="4059" w:type="dxa"/>
            <w:noWrap w:val="0"/>
            <w:vAlign w:val="center"/>
          </w:tcPr>
          <w:p w14:paraId="28375420">
            <w:pPr>
              <w:spacing w:before="120" w:after="120" w:line="240" w:lineRule="auto"/>
              <w:jc w:val="center"/>
              <w:rPr>
                <w:rFonts w:hint="eastAsia" w:ascii="宋体"/>
                <w:color w:val="auto"/>
                <w:sz w:val="32"/>
                <w:highlight w:val="none"/>
              </w:rPr>
            </w:pPr>
          </w:p>
        </w:tc>
        <w:tc>
          <w:tcPr>
            <w:tcW w:w="1731" w:type="dxa"/>
            <w:noWrap w:val="0"/>
            <w:vAlign w:val="center"/>
          </w:tcPr>
          <w:p w14:paraId="7D229E2B">
            <w:pPr>
              <w:spacing w:before="120" w:after="120" w:line="240" w:lineRule="auto"/>
              <w:jc w:val="center"/>
              <w:rPr>
                <w:rFonts w:hint="eastAsia" w:ascii="宋体"/>
                <w:color w:val="auto"/>
                <w:sz w:val="32"/>
                <w:highlight w:val="none"/>
              </w:rPr>
            </w:pPr>
          </w:p>
        </w:tc>
      </w:tr>
    </w:tbl>
    <w:p w14:paraId="1C772D03">
      <w:pPr>
        <w:rPr>
          <w:rFonts w:hint="eastAsia" w:ascii="宋体"/>
          <w:b/>
          <w:color w:val="auto"/>
          <w:sz w:val="24"/>
          <w:highlight w:val="none"/>
        </w:rPr>
      </w:pPr>
      <w:r>
        <w:rPr>
          <w:rFonts w:hint="eastAsia" w:ascii="宋体"/>
          <w:b/>
          <w:color w:val="auto"/>
          <w:sz w:val="24"/>
          <w:highlight w:val="none"/>
        </w:rPr>
        <w:t>注：1、投标人所提供的文件与招标文件中的要求如有任何偏差，都应在“偏离表”中列出。</w:t>
      </w:r>
    </w:p>
    <w:p w14:paraId="4ED0241D">
      <w:pPr>
        <w:rPr>
          <w:rFonts w:hint="eastAsia"/>
          <w:color w:val="auto"/>
          <w:sz w:val="24"/>
          <w:szCs w:val="24"/>
          <w:highlight w:val="none"/>
        </w:rPr>
      </w:pPr>
      <w:bookmarkStart w:id="82" w:name="_Toc24696157"/>
      <w:bookmarkStart w:id="83" w:name="_Toc524834043"/>
      <w:r>
        <w:rPr>
          <w:rFonts w:hint="eastAsia"/>
          <w:color w:val="auto"/>
          <w:sz w:val="24"/>
          <w:szCs w:val="24"/>
          <w:highlight w:val="none"/>
        </w:rPr>
        <w:t>投标单位：（印刷体及公章）</w:t>
      </w:r>
    </w:p>
    <w:p w14:paraId="58416068">
      <w:pPr>
        <w:rPr>
          <w:rFonts w:hint="eastAsia"/>
          <w:color w:val="auto"/>
          <w:sz w:val="24"/>
          <w:szCs w:val="24"/>
          <w:highlight w:val="none"/>
        </w:rPr>
      </w:pPr>
    </w:p>
    <w:p w14:paraId="21B9761A">
      <w:pPr>
        <w:rPr>
          <w:rFonts w:hint="eastAsia"/>
          <w:color w:val="auto"/>
          <w:sz w:val="24"/>
          <w:szCs w:val="24"/>
          <w:highlight w:val="none"/>
        </w:rPr>
      </w:pPr>
      <w:r>
        <w:rPr>
          <w:rFonts w:hint="eastAsia"/>
          <w:color w:val="auto"/>
          <w:sz w:val="24"/>
          <w:szCs w:val="24"/>
          <w:highlight w:val="none"/>
        </w:rPr>
        <w:t>法定代表人或其授权代表人：（签字）</w:t>
      </w:r>
      <w:bookmarkEnd w:id="82"/>
      <w:bookmarkEnd w:id="83"/>
    </w:p>
    <w:p w14:paraId="2DE82D5C">
      <w:pPr>
        <w:widowControl w:val="0"/>
        <w:spacing w:line="240" w:lineRule="auto"/>
        <w:rPr>
          <w:rFonts w:hint="eastAsia" w:ascii="宋体"/>
          <w:b/>
          <w:color w:val="auto"/>
          <w:sz w:val="28"/>
          <w:highlight w:val="none"/>
        </w:rPr>
      </w:pPr>
      <w:r>
        <w:rPr>
          <w:rFonts w:hint="eastAsia" w:ascii="宋体"/>
          <w:b/>
          <w:color w:val="auto"/>
          <w:sz w:val="28"/>
          <w:highlight w:val="none"/>
        </w:rPr>
        <w:br w:type="page"/>
      </w:r>
      <w:r>
        <w:rPr>
          <w:rFonts w:hint="eastAsia" w:ascii="宋体"/>
          <w:b/>
          <w:color w:val="auto"/>
          <w:sz w:val="28"/>
          <w:highlight w:val="none"/>
        </w:rPr>
        <w:t xml:space="preserve">格式12                  </w:t>
      </w:r>
    </w:p>
    <w:p w14:paraId="1B5970EA">
      <w:pPr>
        <w:widowControl w:val="0"/>
        <w:spacing w:line="480" w:lineRule="auto"/>
        <w:jc w:val="center"/>
        <w:rPr>
          <w:rFonts w:hint="eastAsia" w:ascii="宋体" w:eastAsia="宋体"/>
          <w:b/>
          <w:color w:val="auto"/>
          <w:sz w:val="28"/>
          <w:highlight w:val="none"/>
          <w:lang w:val="en-US" w:eastAsia="zh-CN"/>
        </w:rPr>
      </w:pPr>
      <w:r>
        <w:rPr>
          <w:rFonts w:hint="eastAsia" w:ascii="宋体"/>
          <w:b/>
          <w:color w:val="auto"/>
          <w:sz w:val="28"/>
          <w:highlight w:val="none"/>
          <w:lang w:eastAsia="zh-CN"/>
        </w:rPr>
        <w:t>无</w:t>
      </w:r>
      <w:r>
        <w:rPr>
          <w:rFonts w:hint="eastAsia" w:ascii="宋体"/>
          <w:b/>
          <w:color w:val="auto"/>
          <w:sz w:val="28"/>
          <w:highlight w:val="none"/>
        </w:rPr>
        <w:t>行贿犯罪档案查询记录</w:t>
      </w:r>
      <w:r>
        <w:rPr>
          <w:rFonts w:hint="eastAsia" w:ascii="宋体"/>
          <w:b/>
          <w:color w:val="auto"/>
          <w:sz w:val="28"/>
          <w:highlight w:val="none"/>
          <w:lang w:eastAsia="zh-CN"/>
        </w:rPr>
        <w:t>（裁判文书网截图）</w:t>
      </w:r>
    </w:p>
    <w:p w14:paraId="541B846B">
      <w:pPr>
        <w:widowControl w:val="0"/>
        <w:spacing w:line="480" w:lineRule="auto"/>
        <w:rPr>
          <w:rFonts w:hint="eastAsia"/>
          <w:b/>
          <w:color w:val="auto"/>
          <w:sz w:val="32"/>
          <w:highlight w:val="none"/>
        </w:rPr>
      </w:pPr>
    </w:p>
    <w:p w14:paraId="6BCD72EC">
      <w:pPr>
        <w:widowControl w:val="0"/>
        <w:spacing w:line="480" w:lineRule="auto"/>
        <w:rPr>
          <w:rFonts w:hint="eastAsia"/>
          <w:b/>
          <w:color w:val="auto"/>
          <w:sz w:val="32"/>
          <w:highlight w:val="none"/>
        </w:rPr>
      </w:pPr>
    </w:p>
    <w:p w14:paraId="2FC77C61">
      <w:pPr>
        <w:widowControl w:val="0"/>
        <w:spacing w:line="480" w:lineRule="auto"/>
        <w:rPr>
          <w:rFonts w:hint="eastAsia"/>
          <w:b/>
          <w:color w:val="auto"/>
          <w:sz w:val="32"/>
          <w:highlight w:val="none"/>
        </w:rPr>
      </w:pPr>
    </w:p>
    <w:p w14:paraId="4A587946">
      <w:pPr>
        <w:widowControl w:val="0"/>
        <w:spacing w:line="480" w:lineRule="auto"/>
        <w:rPr>
          <w:rFonts w:hint="eastAsia"/>
          <w:b/>
          <w:color w:val="auto"/>
          <w:sz w:val="32"/>
          <w:highlight w:val="none"/>
        </w:rPr>
      </w:pPr>
    </w:p>
    <w:p w14:paraId="3285F65E">
      <w:pPr>
        <w:widowControl w:val="0"/>
        <w:spacing w:line="480" w:lineRule="auto"/>
        <w:rPr>
          <w:rFonts w:hint="eastAsia"/>
          <w:b/>
          <w:color w:val="auto"/>
          <w:sz w:val="32"/>
          <w:highlight w:val="none"/>
        </w:rPr>
      </w:pPr>
    </w:p>
    <w:p w14:paraId="2DE55BF6">
      <w:pPr>
        <w:widowControl w:val="0"/>
        <w:spacing w:line="480" w:lineRule="auto"/>
        <w:rPr>
          <w:rFonts w:hint="eastAsia"/>
          <w:b/>
          <w:color w:val="auto"/>
          <w:sz w:val="32"/>
          <w:highlight w:val="none"/>
        </w:rPr>
      </w:pPr>
    </w:p>
    <w:p w14:paraId="6BCDF077">
      <w:pPr>
        <w:widowControl w:val="0"/>
        <w:spacing w:line="480" w:lineRule="auto"/>
        <w:rPr>
          <w:rFonts w:hint="eastAsia"/>
          <w:b/>
          <w:color w:val="auto"/>
          <w:sz w:val="32"/>
          <w:highlight w:val="none"/>
        </w:rPr>
      </w:pPr>
    </w:p>
    <w:p w14:paraId="6FAC40BB">
      <w:pPr>
        <w:widowControl w:val="0"/>
        <w:spacing w:line="480" w:lineRule="auto"/>
        <w:rPr>
          <w:rFonts w:hint="eastAsia"/>
          <w:b/>
          <w:color w:val="auto"/>
          <w:sz w:val="32"/>
          <w:highlight w:val="none"/>
        </w:rPr>
      </w:pPr>
    </w:p>
    <w:p w14:paraId="58963622">
      <w:pPr>
        <w:widowControl w:val="0"/>
        <w:spacing w:line="480" w:lineRule="auto"/>
        <w:rPr>
          <w:rFonts w:hint="eastAsia"/>
          <w:b/>
          <w:color w:val="auto"/>
          <w:sz w:val="32"/>
          <w:highlight w:val="none"/>
        </w:rPr>
      </w:pPr>
    </w:p>
    <w:p w14:paraId="04106A95">
      <w:pPr>
        <w:widowControl w:val="0"/>
        <w:spacing w:line="480" w:lineRule="auto"/>
        <w:rPr>
          <w:rFonts w:hint="eastAsia"/>
          <w:b/>
          <w:color w:val="auto"/>
          <w:sz w:val="32"/>
          <w:highlight w:val="none"/>
        </w:rPr>
      </w:pPr>
    </w:p>
    <w:p w14:paraId="7F83D5F9">
      <w:pPr>
        <w:widowControl w:val="0"/>
        <w:spacing w:line="480" w:lineRule="auto"/>
        <w:rPr>
          <w:rFonts w:hint="eastAsia"/>
          <w:b/>
          <w:color w:val="auto"/>
          <w:sz w:val="32"/>
          <w:highlight w:val="none"/>
        </w:rPr>
      </w:pPr>
    </w:p>
    <w:p w14:paraId="600CA479">
      <w:pPr>
        <w:widowControl w:val="0"/>
        <w:spacing w:line="480" w:lineRule="auto"/>
        <w:rPr>
          <w:rFonts w:hint="eastAsia"/>
          <w:b/>
          <w:color w:val="auto"/>
          <w:sz w:val="32"/>
          <w:highlight w:val="none"/>
        </w:rPr>
      </w:pPr>
    </w:p>
    <w:p w14:paraId="69614983">
      <w:pPr>
        <w:widowControl w:val="0"/>
        <w:spacing w:line="240" w:lineRule="auto"/>
        <w:rPr>
          <w:rFonts w:hint="eastAsia" w:ascii="宋体"/>
          <w:b/>
          <w:color w:val="auto"/>
          <w:sz w:val="28"/>
          <w:szCs w:val="22"/>
          <w:highlight w:val="none"/>
        </w:rPr>
      </w:pPr>
      <w:r>
        <w:rPr>
          <w:rFonts w:hint="eastAsia" w:ascii="宋体"/>
          <w:b/>
          <w:color w:val="auto"/>
          <w:sz w:val="28"/>
          <w:szCs w:val="22"/>
          <w:highlight w:val="none"/>
        </w:rPr>
        <w:t>格式13</w:t>
      </w:r>
    </w:p>
    <w:p w14:paraId="5323F88E">
      <w:pPr>
        <w:widowControl w:val="0"/>
        <w:spacing w:line="480" w:lineRule="auto"/>
        <w:jc w:val="center"/>
        <w:rPr>
          <w:rFonts w:hint="eastAsia"/>
          <w:b/>
          <w:color w:val="auto"/>
          <w:sz w:val="32"/>
          <w:highlight w:val="none"/>
        </w:rPr>
      </w:pPr>
      <w:r>
        <w:rPr>
          <w:rFonts w:hint="eastAsia" w:ascii="宋体"/>
          <w:b/>
          <w:color w:val="auto"/>
          <w:sz w:val="28"/>
          <w:szCs w:val="22"/>
          <w:highlight w:val="none"/>
        </w:rPr>
        <w:t>符合《中华人民共和国政府采购法》第二十二条规定的证明</w:t>
      </w:r>
      <w:r>
        <w:rPr>
          <w:rFonts w:hint="eastAsia" w:ascii="宋体"/>
          <w:b/>
          <w:color w:val="auto"/>
          <w:sz w:val="30"/>
          <w:szCs w:val="30"/>
          <w:highlight w:val="none"/>
        </w:rPr>
        <w:t>材料</w:t>
      </w:r>
    </w:p>
    <w:p w14:paraId="66E5D865">
      <w:pPr>
        <w:spacing w:line="360" w:lineRule="auto"/>
        <w:jc w:val="center"/>
        <w:rPr>
          <w:rFonts w:hint="eastAsia" w:ascii="宋体"/>
          <w:b/>
          <w:color w:val="auto"/>
          <w:sz w:val="30"/>
          <w:szCs w:val="30"/>
          <w:highlight w:val="none"/>
        </w:rPr>
      </w:pPr>
    </w:p>
    <w:p w14:paraId="44ACE06F">
      <w:pPr>
        <w:numPr>
          <w:ilvl w:val="0"/>
          <w:numId w:val="3"/>
        </w:numPr>
        <w:spacing w:line="360" w:lineRule="auto"/>
        <w:jc w:val="both"/>
        <w:rPr>
          <w:rFonts w:hint="eastAsia" w:ascii="宋体"/>
          <w:b/>
          <w:color w:val="auto"/>
          <w:sz w:val="24"/>
          <w:szCs w:val="24"/>
          <w:highlight w:val="none"/>
        </w:rPr>
      </w:pPr>
      <w:r>
        <w:rPr>
          <w:rFonts w:ascii="宋体"/>
          <w:b/>
          <w:color w:val="auto"/>
          <w:sz w:val="24"/>
          <w:szCs w:val="24"/>
          <w:highlight w:val="none"/>
        </w:rPr>
        <w:t>具有良好的商业信誉和健全的</w:t>
      </w:r>
      <w:r>
        <w:rPr>
          <w:rFonts w:ascii="宋体"/>
          <w:b/>
          <w:color w:val="auto"/>
          <w:sz w:val="24"/>
          <w:szCs w:val="24"/>
          <w:highlight w:val="none"/>
        </w:rPr>
        <w:fldChar w:fldCharType="begin"/>
      </w:r>
      <w:r>
        <w:rPr>
          <w:rFonts w:ascii="宋体"/>
          <w:b/>
          <w:color w:val="auto"/>
          <w:sz w:val="24"/>
          <w:szCs w:val="24"/>
          <w:highlight w:val="none"/>
        </w:rPr>
        <w:instrText xml:space="preserve"> HYPERLINK "http://baike.baidu.com/view/4427954.htm" \t "_blank" </w:instrText>
      </w:r>
      <w:r>
        <w:rPr>
          <w:rFonts w:ascii="宋体"/>
          <w:b/>
          <w:color w:val="auto"/>
          <w:sz w:val="24"/>
          <w:szCs w:val="24"/>
          <w:highlight w:val="none"/>
        </w:rPr>
        <w:fldChar w:fldCharType="separate"/>
      </w:r>
      <w:r>
        <w:rPr>
          <w:rFonts w:ascii="宋体"/>
          <w:b/>
          <w:color w:val="auto"/>
          <w:sz w:val="24"/>
          <w:szCs w:val="24"/>
          <w:highlight w:val="none"/>
        </w:rPr>
        <w:t>财务会计制度</w:t>
      </w:r>
      <w:r>
        <w:rPr>
          <w:rFonts w:ascii="宋体"/>
          <w:b/>
          <w:color w:val="auto"/>
          <w:sz w:val="24"/>
          <w:szCs w:val="24"/>
          <w:highlight w:val="none"/>
        </w:rPr>
        <w:fldChar w:fldCharType="end"/>
      </w:r>
      <w:r>
        <w:rPr>
          <w:rFonts w:hint="eastAsia" w:ascii="宋体"/>
          <w:b/>
          <w:color w:val="auto"/>
          <w:sz w:val="24"/>
          <w:szCs w:val="24"/>
          <w:highlight w:val="none"/>
        </w:rPr>
        <w:t>的证明材料</w:t>
      </w:r>
    </w:p>
    <w:p w14:paraId="41165D99">
      <w:pPr>
        <w:spacing w:line="360" w:lineRule="auto"/>
        <w:ind w:left="720"/>
        <w:jc w:val="both"/>
        <w:rPr>
          <w:rFonts w:hint="eastAsia" w:ascii="宋体"/>
          <w:b/>
          <w:color w:val="auto"/>
          <w:sz w:val="24"/>
          <w:szCs w:val="24"/>
          <w:highlight w:val="none"/>
        </w:rPr>
      </w:pPr>
      <w:r>
        <w:rPr>
          <w:rFonts w:hint="eastAsia" w:ascii="宋体"/>
          <w:b/>
          <w:color w:val="auto"/>
          <w:sz w:val="24"/>
          <w:szCs w:val="24"/>
          <w:highlight w:val="none"/>
        </w:rPr>
        <w:t>提供</w:t>
      </w:r>
      <w:r>
        <w:rPr>
          <w:rFonts w:hint="eastAsia" w:ascii="宋体"/>
          <w:b/>
          <w:color w:val="auto"/>
          <w:sz w:val="24"/>
          <w:szCs w:val="24"/>
          <w:highlight w:val="none"/>
          <w:lang w:val="zh-CN"/>
        </w:rPr>
        <w:t>近三年</w:t>
      </w:r>
      <w:r>
        <w:rPr>
          <w:rFonts w:hint="eastAsia" w:ascii="宋体"/>
          <w:b/>
          <w:color w:val="auto"/>
          <w:sz w:val="24"/>
          <w:szCs w:val="24"/>
          <w:highlight w:val="none"/>
        </w:rPr>
        <w:t>的财务审计报告或财务报表</w:t>
      </w:r>
    </w:p>
    <w:p w14:paraId="57D4BE3D">
      <w:pPr>
        <w:numPr>
          <w:ilvl w:val="0"/>
          <w:numId w:val="3"/>
        </w:numPr>
        <w:spacing w:line="360" w:lineRule="auto"/>
        <w:jc w:val="both"/>
        <w:rPr>
          <w:rFonts w:hint="eastAsia" w:ascii="宋体"/>
          <w:b/>
          <w:color w:val="auto"/>
          <w:sz w:val="24"/>
          <w:szCs w:val="24"/>
          <w:highlight w:val="none"/>
        </w:rPr>
      </w:pPr>
      <w:r>
        <w:rPr>
          <w:rFonts w:ascii="宋体"/>
          <w:b/>
          <w:color w:val="auto"/>
          <w:sz w:val="24"/>
          <w:szCs w:val="24"/>
          <w:highlight w:val="none"/>
        </w:rPr>
        <w:t>有</w:t>
      </w:r>
      <w:r>
        <w:rPr>
          <w:rFonts w:hint="eastAsia" w:ascii="宋体"/>
          <w:b/>
          <w:color w:val="auto"/>
          <w:sz w:val="24"/>
          <w:szCs w:val="24"/>
          <w:highlight w:val="none"/>
          <w:lang w:eastAsia="zh-CN"/>
        </w:rPr>
        <w:t>近半年内任意一个月</w:t>
      </w:r>
      <w:r>
        <w:rPr>
          <w:rFonts w:ascii="宋体"/>
          <w:b/>
          <w:color w:val="auto"/>
          <w:sz w:val="24"/>
          <w:szCs w:val="24"/>
          <w:highlight w:val="none"/>
        </w:rPr>
        <w:t>依法缴纳税收和社会保障资金的良好记录</w:t>
      </w:r>
      <w:r>
        <w:rPr>
          <w:rFonts w:hint="eastAsia" w:ascii="宋体"/>
          <w:b/>
          <w:color w:val="auto"/>
          <w:sz w:val="24"/>
          <w:szCs w:val="24"/>
          <w:highlight w:val="none"/>
        </w:rPr>
        <w:t>的证明材料</w:t>
      </w:r>
    </w:p>
    <w:p w14:paraId="47D15D16">
      <w:pPr>
        <w:widowControl w:val="0"/>
        <w:spacing w:line="480" w:lineRule="auto"/>
        <w:jc w:val="center"/>
        <w:rPr>
          <w:rFonts w:hint="eastAsia"/>
          <w:b/>
          <w:color w:val="auto"/>
          <w:sz w:val="32"/>
          <w:highlight w:val="none"/>
        </w:rPr>
      </w:pPr>
    </w:p>
    <w:p w14:paraId="109F33FC">
      <w:pPr>
        <w:widowControl w:val="0"/>
        <w:spacing w:line="480" w:lineRule="auto"/>
        <w:jc w:val="center"/>
        <w:rPr>
          <w:rFonts w:hint="eastAsia"/>
          <w:b/>
          <w:color w:val="auto"/>
          <w:sz w:val="32"/>
          <w:highlight w:val="none"/>
        </w:rPr>
      </w:pPr>
    </w:p>
    <w:p w14:paraId="44BEE958">
      <w:pPr>
        <w:widowControl w:val="0"/>
        <w:spacing w:line="480" w:lineRule="auto"/>
        <w:jc w:val="center"/>
        <w:rPr>
          <w:rFonts w:hint="eastAsia"/>
          <w:b/>
          <w:color w:val="auto"/>
          <w:sz w:val="32"/>
          <w:highlight w:val="none"/>
        </w:rPr>
      </w:pPr>
    </w:p>
    <w:p w14:paraId="678BFDA6">
      <w:pPr>
        <w:widowControl w:val="0"/>
        <w:spacing w:line="480" w:lineRule="auto"/>
        <w:jc w:val="center"/>
        <w:rPr>
          <w:rFonts w:hint="eastAsia"/>
          <w:b/>
          <w:color w:val="auto"/>
          <w:sz w:val="32"/>
          <w:highlight w:val="none"/>
        </w:rPr>
      </w:pPr>
    </w:p>
    <w:p w14:paraId="0F884D48">
      <w:pPr>
        <w:widowControl w:val="0"/>
        <w:spacing w:line="480" w:lineRule="auto"/>
        <w:jc w:val="center"/>
        <w:rPr>
          <w:rFonts w:hint="eastAsia"/>
          <w:b/>
          <w:color w:val="auto"/>
          <w:sz w:val="32"/>
          <w:highlight w:val="none"/>
        </w:rPr>
      </w:pPr>
    </w:p>
    <w:p w14:paraId="242BBC7E">
      <w:pPr>
        <w:widowControl w:val="0"/>
        <w:spacing w:line="480" w:lineRule="auto"/>
        <w:jc w:val="center"/>
        <w:rPr>
          <w:rFonts w:hint="eastAsia"/>
          <w:b/>
          <w:color w:val="auto"/>
          <w:sz w:val="32"/>
          <w:highlight w:val="none"/>
        </w:rPr>
      </w:pPr>
    </w:p>
    <w:p w14:paraId="08E43D69">
      <w:pPr>
        <w:widowControl w:val="0"/>
        <w:spacing w:line="480" w:lineRule="auto"/>
        <w:jc w:val="center"/>
        <w:rPr>
          <w:rFonts w:hint="eastAsia"/>
          <w:b/>
          <w:color w:val="auto"/>
          <w:sz w:val="32"/>
          <w:highlight w:val="none"/>
        </w:rPr>
      </w:pPr>
    </w:p>
    <w:p w14:paraId="13CD6931">
      <w:pPr>
        <w:widowControl w:val="0"/>
        <w:spacing w:line="480" w:lineRule="auto"/>
        <w:jc w:val="center"/>
        <w:rPr>
          <w:rFonts w:hint="eastAsia"/>
          <w:b/>
          <w:color w:val="auto"/>
          <w:sz w:val="32"/>
          <w:highlight w:val="none"/>
        </w:rPr>
      </w:pPr>
    </w:p>
    <w:p w14:paraId="64688243">
      <w:pPr>
        <w:widowControl w:val="0"/>
        <w:spacing w:line="480" w:lineRule="auto"/>
        <w:jc w:val="center"/>
        <w:rPr>
          <w:rFonts w:hint="eastAsia"/>
          <w:b/>
          <w:color w:val="auto"/>
          <w:sz w:val="32"/>
          <w:highlight w:val="none"/>
        </w:rPr>
      </w:pPr>
    </w:p>
    <w:p w14:paraId="1AB3BB66">
      <w:pPr>
        <w:widowControl w:val="0"/>
        <w:spacing w:line="240" w:lineRule="auto"/>
        <w:jc w:val="both"/>
        <w:rPr>
          <w:rFonts w:hint="eastAsia"/>
          <w:b/>
          <w:color w:val="auto"/>
          <w:sz w:val="24"/>
          <w:szCs w:val="24"/>
          <w:highlight w:val="none"/>
        </w:rPr>
      </w:pPr>
      <w:r>
        <w:rPr>
          <w:rFonts w:hint="eastAsia"/>
          <w:b/>
          <w:color w:val="auto"/>
          <w:sz w:val="24"/>
          <w:szCs w:val="24"/>
          <w:highlight w:val="none"/>
        </w:rPr>
        <w:t>格式14</w:t>
      </w:r>
    </w:p>
    <w:p w14:paraId="29D27434">
      <w:pPr>
        <w:spacing w:line="360" w:lineRule="auto"/>
        <w:jc w:val="center"/>
        <w:rPr>
          <w:rFonts w:hint="eastAsia" w:ascii="宋体" w:eastAsia="宋体" w:cs="宋体"/>
          <w:b/>
          <w:color w:val="auto"/>
          <w:sz w:val="28"/>
          <w:szCs w:val="28"/>
          <w:highlight w:val="none"/>
          <w:lang w:bidi="ar-SA"/>
        </w:rPr>
      </w:pPr>
      <w:r>
        <w:rPr>
          <w:rFonts w:hint="eastAsia" w:ascii="宋体" w:eastAsia="宋体" w:cs="宋体"/>
          <w:b/>
          <w:color w:val="auto"/>
          <w:sz w:val="28"/>
          <w:szCs w:val="28"/>
          <w:highlight w:val="none"/>
          <w:lang w:bidi="ar-SA"/>
        </w:rPr>
        <w:t>中小企业声明函</w:t>
      </w:r>
    </w:p>
    <w:p w14:paraId="2D546E8E">
      <w:pPr>
        <w:autoSpaceDE w:val="0"/>
        <w:autoSpaceDN w:val="0"/>
        <w:spacing w:line="240" w:lineRule="auto"/>
        <w:ind w:firstLine="480" w:firstLineChars="200"/>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本公司（联合体）郑重声明，根据《政府采购促进中小企业发展管理办法》（财库﹝2020﹞46 号）的规定，本公司（联合体）参加</w:t>
      </w:r>
      <w:r>
        <w:rPr>
          <w:rFonts w:hint="eastAsia" w:ascii="宋体" w:hAnsi="宋体" w:eastAsia="宋体" w:cs="宋体"/>
          <w:bCs/>
          <w:color w:val="auto"/>
          <w:sz w:val="24"/>
          <w:szCs w:val="24"/>
          <w:highlight w:val="none"/>
          <w:u w:val="single"/>
          <w:lang w:val="zh-CN" w:bidi="zh-CN"/>
        </w:rPr>
        <w:t>（单位名称）</w:t>
      </w:r>
      <w:r>
        <w:rPr>
          <w:rFonts w:hint="eastAsia" w:ascii="宋体" w:hAnsi="宋体" w:eastAsia="宋体" w:cs="宋体"/>
          <w:bCs/>
          <w:color w:val="auto"/>
          <w:sz w:val="24"/>
          <w:szCs w:val="24"/>
          <w:highlight w:val="none"/>
          <w:lang w:val="zh-CN" w:bidi="zh-CN"/>
        </w:rPr>
        <w:t>的</w:t>
      </w:r>
      <w:r>
        <w:rPr>
          <w:rFonts w:hint="eastAsia" w:ascii="宋体" w:hAnsi="宋体" w:eastAsia="宋体" w:cs="宋体"/>
          <w:bCs/>
          <w:color w:val="auto"/>
          <w:sz w:val="24"/>
          <w:szCs w:val="24"/>
          <w:highlight w:val="none"/>
          <w:u w:val="single"/>
          <w:lang w:val="zh-CN" w:bidi="zh-CN"/>
        </w:rPr>
        <w:t>（项目名称）</w:t>
      </w:r>
      <w:r>
        <w:rPr>
          <w:rFonts w:hint="eastAsia" w:ascii="宋体" w:hAnsi="宋体" w:eastAsia="宋体" w:cs="宋体"/>
          <w:bCs/>
          <w:color w:val="auto"/>
          <w:sz w:val="24"/>
          <w:szCs w:val="24"/>
          <w:highlight w:val="none"/>
          <w:lang w:val="zh-CN" w:bidi="zh-CN"/>
        </w:rPr>
        <w:t>采购活动，工程的施工单位全部为符合政策要求的中小企业（或者：服务</w:t>
      </w:r>
      <w:r>
        <w:rPr>
          <w:rFonts w:hint="eastAsia" w:ascii="宋体" w:hAnsi="宋体" w:eastAsia="宋体" w:cs="宋体"/>
          <w:bCs/>
          <w:color w:val="auto"/>
          <w:w w:val="95"/>
          <w:sz w:val="24"/>
          <w:szCs w:val="24"/>
          <w:highlight w:val="none"/>
          <w:lang w:val="zh-CN" w:bidi="zh-CN"/>
        </w:rPr>
        <w:t>全部由符合政策要求的中小企业承接）。相关企业（含联合</w:t>
      </w:r>
      <w:r>
        <w:rPr>
          <w:rFonts w:hint="eastAsia" w:ascii="宋体" w:hAnsi="宋体" w:eastAsia="宋体" w:cs="宋体"/>
          <w:bCs/>
          <w:color w:val="auto"/>
          <w:sz w:val="24"/>
          <w:szCs w:val="24"/>
          <w:highlight w:val="none"/>
          <w:lang w:val="zh-CN" w:bidi="zh-CN"/>
        </w:rPr>
        <w:t>体中的中小企业、签订分包意向协议的中小企业）的具体情况如下：</w:t>
      </w:r>
    </w:p>
    <w:p w14:paraId="58C6484A">
      <w:pPr>
        <w:numPr>
          <w:ilvl w:val="0"/>
          <w:numId w:val="0"/>
        </w:numPr>
        <w:tabs>
          <w:tab w:val="left" w:pos="1243"/>
        </w:tabs>
        <w:autoSpaceDE w:val="0"/>
        <w:autoSpaceDN w:val="0"/>
        <w:spacing w:line="240" w:lineRule="auto"/>
        <w:ind w:firstLine="474" w:firstLineChars="200"/>
        <w:rPr>
          <w:rFonts w:hint="eastAsia" w:ascii="宋体" w:hAnsi="宋体" w:eastAsia="宋体" w:cs="宋体"/>
          <w:bCs/>
          <w:color w:val="auto"/>
          <w:sz w:val="24"/>
          <w:szCs w:val="24"/>
          <w:highlight w:val="none"/>
          <w:u w:val="single" w:color="000000"/>
          <w:lang w:val="zh-CN" w:bidi="zh-CN"/>
        </w:rPr>
      </w:pPr>
      <w:r>
        <w:rPr>
          <w:rFonts w:hint="eastAsia" w:ascii="宋体" w:hAnsi="宋体" w:eastAsia="宋体" w:cs="宋体"/>
          <w:bCs/>
          <w:color w:val="auto"/>
          <w:spacing w:val="0"/>
          <w:w w:val="99"/>
          <w:kern w:val="2"/>
          <w:sz w:val="24"/>
          <w:szCs w:val="24"/>
          <w:highlight w:val="none"/>
          <w:u w:color="000000"/>
          <w:lang w:val="zh-CN" w:eastAsia="zh-CN" w:bidi="zh-CN"/>
        </w:rPr>
        <w:t>1.</w:t>
      </w:r>
      <w:r>
        <w:rPr>
          <w:rFonts w:hint="eastAsia" w:ascii="宋体" w:hAnsi="宋体" w:eastAsia="宋体" w:cs="宋体"/>
          <w:bCs/>
          <w:color w:val="auto"/>
          <w:w w:val="96"/>
          <w:sz w:val="24"/>
          <w:szCs w:val="24"/>
          <w:highlight w:val="none"/>
          <w:u w:val="single" w:color="000000"/>
          <w:lang w:val="zh-CN" w:bidi="zh-CN"/>
        </w:rPr>
        <w:t>（标的名称）</w:t>
      </w:r>
      <w:r>
        <w:rPr>
          <w:rFonts w:hint="eastAsia" w:ascii="宋体" w:hAnsi="宋体" w:eastAsia="宋体" w:cs="宋体"/>
          <w:bCs/>
          <w:color w:val="auto"/>
          <w:w w:val="99"/>
          <w:sz w:val="24"/>
          <w:szCs w:val="24"/>
          <w:highlight w:val="none"/>
          <w:u w:color="000000"/>
          <w:lang w:val="zh-CN" w:bidi="zh-CN"/>
        </w:rPr>
        <w:t>，属于</w:t>
      </w:r>
      <w:r>
        <w:rPr>
          <w:rFonts w:hint="eastAsia" w:ascii="宋体" w:hAnsi="宋体" w:eastAsia="宋体" w:cs="宋体"/>
          <w:bCs/>
          <w:color w:val="auto"/>
          <w:w w:val="96"/>
          <w:sz w:val="24"/>
          <w:szCs w:val="24"/>
          <w:highlight w:val="none"/>
          <w:u w:color="000000"/>
          <w:lang w:val="zh-CN" w:bidi="zh-CN"/>
        </w:rPr>
        <w:t>（</w:t>
      </w:r>
      <w:r>
        <w:rPr>
          <w:rFonts w:hint="eastAsia" w:ascii="宋体" w:hAnsi="宋体" w:eastAsia="宋体" w:cs="宋体"/>
          <w:bCs/>
          <w:color w:val="auto"/>
          <w:w w:val="96"/>
          <w:sz w:val="24"/>
          <w:szCs w:val="24"/>
          <w:highlight w:val="none"/>
          <w:u w:val="single" w:color="000000"/>
          <w:lang w:val="zh-CN" w:bidi="zh-CN"/>
        </w:rPr>
        <w:t>采购文件中明确的所属行业）</w:t>
      </w:r>
      <w:r>
        <w:rPr>
          <w:rFonts w:hint="eastAsia" w:ascii="宋体" w:hAnsi="宋体" w:eastAsia="宋体" w:cs="宋体"/>
          <w:bCs/>
          <w:color w:val="auto"/>
          <w:w w:val="99"/>
          <w:sz w:val="24"/>
          <w:szCs w:val="24"/>
          <w:highlight w:val="none"/>
          <w:u w:color="000000"/>
          <w:lang w:val="zh-CN" w:bidi="zh-CN"/>
        </w:rPr>
        <w:t>；</w:t>
      </w:r>
      <w:r>
        <w:rPr>
          <w:rFonts w:hint="eastAsia" w:ascii="宋体" w:hAnsi="宋体" w:eastAsia="宋体" w:cs="宋体"/>
          <w:bCs/>
          <w:color w:val="auto"/>
          <w:w w:val="99"/>
          <w:sz w:val="24"/>
          <w:szCs w:val="24"/>
          <w:highlight w:val="none"/>
          <w:lang w:val="zh-CN" w:bidi="zh-CN"/>
        </w:rPr>
        <w:t>承建（承接）企业为</w:t>
      </w:r>
      <w:r>
        <w:rPr>
          <w:rFonts w:hint="eastAsia" w:ascii="宋体" w:hAnsi="宋体" w:eastAsia="宋体" w:cs="宋体"/>
          <w:bCs/>
          <w:color w:val="auto"/>
          <w:w w:val="96"/>
          <w:sz w:val="24"/>
          <w:szCs w:val="24"/>
          <w:highlight w:val="none"/>
          <w:u w:val="single" w:color="000000"/>
          <w:lang w:val="zh-CN" w:bidi="zh-CN"/>
        </w:rPr>
        <w:t>（企业名称）</w:t>
      </w:r>
      <w:r>
        <w:rPr>
          <w:rFonts w:hint="eastAsia" w:ascii="宋体" w:hAnsi="宋体" w:eastAsia="宋体" w:cs="宋体"/>
          <w:bCs/>
          <w:color w:val="auto"/>
          <w:w w:val="99"/>
          <w:sz w:val="24"/>
          <w:szCs w:val="24"/>
          <w:highlight w:val="none"/>
          <w:lang w:val="zh-CN" w:bidi="zh-CN"/>
        </w:rPr>
        <w:t>，从业人员</w:t>
      </w:r>
      <w:r>
        <w:rPr>
          <w:rFonts w:hint="eastAsia" w:ascii="宋体" w:hAnsi="宋体" w:eastAsia="宋体" w:cs="宋体"/>
          <w:bCs/>
          <w:color w:val="auto"/>
          <w:sz w:val="24"/>
          <w:szCs w:val="24"/>
          <w:highlight w:val="none"/>
          <w:u w:val="single" w:color="000000"/>
          <w:lang w:val="zh-CN" w:bidi="zh-CN"/>
        </w:rPr>
        <w:tab/>
      </w:r>
      <w:r>
        <w:rPr>
          <w:rFonts w:hint="eastAsia" w:ascii="宋体" w:hAnsi="宋体" w:eastAsia="宋体" w:cs="宋体"/>
          <w:bCs/>
          <w:color w:val="auto"/>
          <w:w w:val="99"/>
          <w:sz w:val="24"/>
          <w:szCs w:val="24"/>
          <w:highlight w:val="none"/>
          <w:lang w:val="zh-CN" w:bidi="zh-CN"/>
        </w:rPr>
        <w:t>人，营业</w:t>
      </w:r>
      <w:r>
        <w:rPr>
          <w:rFonts w:hint="eastAsia" w:ascii="宋体" w:hAnsi="宋体" w:eastAsia="宋体" w:cs="宋体"/>
          <w:bCs/>
          <w:color w:val="auto"/>
          <w:sz w:val="24"/>
          <w:szCs w:val="24"/>
          <w:highlight w:val="none"/>
          <w:lang w:val="zh-CN" w:bidi="zh-CN"/>
        </w:rPr>
        <w:t>收入为</w:t>
      </w:r>
      <w:r>
        <w:rPr>
          <w:rFonts w:hint="eastAsia" w:ascii="宋体" w:hAnsi="宋体" w:eastAsia="宋体" w:cs="宋体"/>
          <w:bCs/>
          <w:color w:val="auto"/>
          <w:sz w:val="24"/>
          <w:szCs w:val="24"/>
          <w:highlight w:val="none"/>
          <w:u w:val="single" w:color="000000"/>
          <w:lang w:val="zh-CN" w:bidi="zh-CN"/>
        </w:rPr>
        <w:tab/>
      </w:r>
      <w:r>
        <w:rPr>
          <w:rFonts w:hint="eastAsia" w:ascii="宋体" w:hAnsi="宋体" w:eastAsia="宋体" w:cs="宋体"/>
          <w:bCs/>
          <w:color w:val="auto"/>
          <w:sz w:val="24"/>
          <w:szCs w:val="24"/>
          <w:highlight w:val="none"/>
          <w:lang w:val="zh-CN" w:bidi="zh-CN"/>
        </w:rPr>
        <w:t>万元，资产总额为</w:t>
      </w:r>
      <w:r>
        <w:rPr>
          <w:rFonts w:hint="eastAsia" w:ascii="宋体" w:hAnsi="宋体" w:eastAsia="宋体" w:cs="宋体"/>
          <w:bCs/>
          <w:color w:val="auto"/>
          <w:sz w:val="24"/>
          <w:szCs w:val="24"/>
          <w:highlight w:val="none"/>
          <w:u w:val="single" w:color="000000"/>
          <w:lang w:val="zh-CN" w:bidi="zh-CN"/>
        </w:rPr>
        <w:tab/>
      </w:r>
      <w:r>
        <w:rPr>
          <w:rFonts w:hint="eastAsia" w:ascii="宋体" w:hAnsi="宋体" w:eastAsia="宋体" w:cs="宋体"/>
          <w:bCs/>
          <w:color w:val="auto"/>
          <w:sz w:val="24"/>
          <w:szCs w:val="24"/>
          <w:highlight w:val="none"/>
          <w:lang w:val="zh-CN" w:bidi="zh-CN"/>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position w:val="16"/>
          <w:sz w:val="24"/>
          <w:szCs w:val="24"/>
          <w:highlight w:val="none"/>
          <w:lang w:val="zh-CN" w:bidi="zh-CN"/>
        </w:rPr>
        <w:t>1</w:t>
      </w:r>
      <w:r>
        <w:rPr>
          <w:rFonts w:hint="eastAsia" w:ascii="宋体" w:hAnsi="宋体" w:eastAsia="宋体" w:cs="宋体"/>
          <w:bCs/>
          <w:color w:val="auto"/>
          <w:position w:val="16"/>
          <w:sz w:val="24"/>
          <w:szCs w:val="24"/>
          <w:highlight w:val="none"/>
          <w:lang w:val="zh-CN" w:bidi="zh-CN"/>
        </w:rPr>
        <w:fldChar w:fldCharType="end"/>
      </w:r>
      <w:r>
        <w:rPr>
          <w:rFonts w:hint="eastAsia" w:ascii="宋体" w:hAnsi="宋体" w:eastAsia="宋体" w:cs="宋体"/>
          <w:bCs/>
          <w:color w:val="auto"/>
          <w:sz w:val="24"/>
          <w:szCs w:val="24"/>
          <w:highlight w:val="none"/>
          <w:lang w:val="zh-CN" w:bidi="zh-CN"/>
        </w:rPr>
        <w:t>，属于</w:t>
      </w:r>
      <w:r>
        <w:rPr>
          <w:rFonts w:hint="eastAsia" w:ascii="宋体" w:hAnsi="宋体" w:eastAsia="宋体" w:cs="宋体"/>
          <w:bCs/>
          <w:color w:val="auto"/>
          <w:sz w:val="24"/>
          <w:szCs w:val="24"/>
          <w:highlight w:val="none"/>
          <w:u w:val="single"/>
          <w:lang w:val="zh-CN" w:bidi="zh-CN"/>
        </w:rPr>
        <w:t>（中</w:t>
      </w:r>
      <w:r>
        <w:rPr>
          <w:rFonts w:hint="eastAsia" w:ascii="宋体" w:hAnsi="宋体" w:eastAsia="宋体" w:cs="宋体"/>
          <w:bCs/>
          <w:color w:val="auto"/>
          <w:sz w:val="24"/>
          <w:szCs w:val="24"/>
          <w:highlight w:val="none"/>
          <w:u w:val="single" w:color="000000"/>
          <w:lang w:val="zh-CN" w:bidi="zh-CN"/>
        </w:rPr>
        <w:t>型企业、</w:t>
      </w:r>
      <w:r>
        <w:rPr>
          <w:rFonts w:hint="eastAsia" w:ascii="宋体" w:hAnsi="宋体" w:eastAsia="宋体" w:cs="宋体"/>
          <w:bCs/>
          <w:color w:val="auto"/>
          <w:w w:val="96"/>
          <w:sz w:val="24"/>
          <w:szCs w:val="24"/>
          <w:highlight w:val="none"/>
          <w:u w:val="single" w:color="000000"/>
          <w:lang w:val="zh-CN" w:bidi="zh-CN"/>
        </w:rPr>
        <w:t>小型企业、微型企业）</w:t>
      </w:r>
      <w:r>
        <w:rPr>
          <w:rFonts w:hint="eastAsia" w:ascii="宋体" w:hAnsi="宋体" w:eastAsia="宋体" w:cs="宋体"/>
          <w:bCs/>
          <w:color w:val="auto"/>
          <w:w w:val="99"/>
          <w:sz w:val="24"/>
          <w:szCs w:val="24"/>
          <w:highlight w:val="none"/>
          <w:lang w:val="zh-CN" w:bidi="zh-CN"/>
        </w:rPr>
        <w:t>；</w:t>
      </w:r>
    </w:p>
    <w:p w14:paraId="410B8D35">
      <w:pPr>
        <w:numPr>
          <w:ilvl w:val="0"/>
          <w:numId w:val="0"/>
        </w:numPr>
        <w:tabs>
          <w:tab w:val="left" w:pos="1243"/>
          <w:tab w:val="left" w:pos="1806"/>
          <w:tab w:val="left" w:pos="5005"/>
          <w:tab w:val="left" w:pos="7213"/>
        </w:tabs>
        <w:autoSpaceDE w:val="0"/>
        <w:autoSpaceDN w:val="0"/>
        <w:spacing w:line="240" w:lineRule="auto"/>
        <w:ind w:left="0" w:leftChars="0" w:firstLine="474" w:firstLineChars="200"/>
        <w:rPr>
          <w:rFonts w:hint="eastAsia" w:ascii="宋体" w:hAnsi="宋体" w:eastAsia="宋体" w:cs="宋体"/>
          <w:bCs/>
          <w:color w:val="auto"/>
          <w:sz w:val="24"/>
          <w:szCs w:val="24"/>
          <w:highlight w:val="none"/>
          <w:u w:color="000000"/>
          <w:lang w:val="zh-CN" w:bidi="zh-CN"/>
        </w:rPr>
      </w:pPr>
      <w:r>
        <w:rPr>
          <w:rFonts w:hint="eastAsia" w:ascii="宋体" w:hAnsi="宋体" w:eastAsia="宋体" w:cs="宋体"/>
          <w:bCs/>
          <w:color w:val="auto"/>
          <w:spacing w:val="0"/>
          <w:w w:val="99"/>
          <w:kern w:val="2"/>
          <w:sz w:val="24"/>
          <w:szCs w:val="24"/>
          <w:highlight w:val="none"/>
          <w:u w:color="000000"/>
          <w:lang w:val="zh-CN" w:eastAsia="zh-CN" w:bidi="zh-CN"/>
        </w:rPr>
        <w:t>2.</w:t>
      </w:r>
      <w:r>
        <w:rPr>
          <w:rFonts w:hint="eastAsia" w:ascii="宋体" w:hAnsi="宋体" w:eastAsia="宋体" w:cs="宋体"/>
          <w:bCs/>
          <w:color w:val="auto"/>
          <w:w w:val="96"/>
          <w:sz w:val="24"/>
          <w:szCs w:val="24"/>
          <w:highlight w:val="none"/>
          <w:u w:val="single" w:color="000000"/>
          <w:lang w:val="zh-CN" w:bidi="zh-CN"/>
        </w:rPr>
        <w:t>（标的名称）</w:t>
      </w:r>
      <w:r>
        <w:rPr>
          <w:rFonts w:hint="eastAsia" w:ascii="宋体" w:hAnsi="宋体" w:eastAsia="宋体" w:cs="宋体"/>
          <w:bCs/>
          <w:color w:val="auto"/>
          <w:w w:val="99"/>
          <w:sz w:val="24"/>
          <w:szCs w:val="24"/>
          <w:highlight w:val="none"/>
          <w:u w:color="000000"/>
          <w:lang w:val="zh-CN" w:bidi="zh-CN"/>
        </w:rPr>
        <w:t>，属于</w:t>
      </w:r>
      <w:r>
        <w:rPr>
          <w:rFonts w:hint="eastAsia" w:ascii="宋体" w:hAnsi="宋体" w:eastAsia="宋体" w:cs="宋体"/>
          <w:bCs/>
          <w:color w:val="auto"/>
          <w:w w:val="96"/>
          <w:sz w:val="24"/>
          <w:szCs w:val="24"/>
          <w:highlight w:val="none"/>
          <w:u w:color="000000"/>
          <w:lang w:val="zh-CN" w:bidi="zh-CN"/>
        </w:rPr>
        <w:t>（</w:t>
      </w:r>
      <w:r>
        <w:rPr>
          <w:rFonts w:hint="eastAsia" w:ascii="宋体" w:hAnsi="宋体" w:eastAsia="宋体" w:cs="宋体"/>
          <w:bCs/>
          <w:color w:val="auto"/>
          <w:w w:val="96"/>
          <w:sz w:val="24"/>
          <w:szCs w:val="24"/>
          <w:highlight w:val="none"/>
          <w:u w:val="single" w:color="000000"/>
          <w:lang w:val="zh-CN" w:bidi="zh-CN"/>
        </w:rPr>
        <w:t>采购文件中明确的所属行业）</w:t>
      </w:r>
      <w:r>
        <w:rPr>
          <w:rFonts w:hint="eastAsia" w:ascii="宋体" w:hAnsi="宋体" w:eastAsia="宋体" w:cs="宋体"/>
          <w:bCs/>
          <w:color w:val="auto"/>
          <w:w w:val="99"/>
          <w:sz w:val="24"/>
          <w:szCs w:val="24"/>
          <w:highlight w:val="none"/>
          <w:u w:color="000000"/>
          <w:lang w:val="zh-CN" w:bidi="zh-CN"/>
        </w:rPr>
        <w:t>；承建（承接）企业为</w:t>
      </w:r>
      <w:r>
        <w:rPr>
          <w:rFonts w:hint="eastAsia" w:ascii="宋体" w:hAnsi="宋体" w:eastAsia="宋体" w:cs="宋体"/>
          <w:bCs/>
          <w:color w:val="auto"/>
          <w:w w:val="96"/>
          <w:sz w:val="24"/>
          <w:szCs w:val="24"/>
          <w:highlight w:val="none"/>
          <w:u w:val="single" w:color="000000"/>
          <w:lang w:val="zh-CN" w:bidi="zh-CN"/>
        </w:rPr>
        <w:t>（企业名称）</w:t>
      </w:r>
      <w:r>
        <w:rPr>
          <w:rFonts w:hint="eastAsia" w:ascii="宋体" w:hAnsi="宋体" w:eastAsia="宋体" w:cs="宋体"/>
          <w:bCs/>
          <w:color w:val="auto"/>
          <w:w w:val="99"/>
          <w:sz w:val="24"/>
          <w:szCs w:val="24"/>
          <w:highlight w:val="none"/>
          <w:u w:color="000000"/>
          <w:lang w:val="zh-CN" w:bidi="zh-CN"/>
        </w:rPr>
        <w:t>，从业人员</w:t>
      </w:r>
      <w:r>
        <w:rPr>
          <w:rFonts w:hint="eastAsia" w:ascii="宋体" w:hAnsi="宋体" w:eastAsia="宋体" w:cs="宋体"/>
          <w:bCs/>
          <w:color w:val="auto"/>
          <w:sz w:val="24"/>
          <w:szCs w:val="24"/>
          <w:highlight w:val="none"/>
          <w:u w:val="single" w:color="000000"/>
          <w:lang w:val="zh-CN" w:bidi="zh-CN"/>
        </w:rPr>
        <w:tab/>
      </w:r>
      <w:r>
        <w:rPr>
          <w:rFonts w:hint="eastAsia" w:ascii="宋体" w:hAnsi="宋体" w:eastAsia="宋体" w:cs="宋体"/>
          <w:bCs/>
          <w:color w:val="auto"/>
          <w:w w:val="99"/>
          <w:sz w:val="24"/>
          <w:szCs w:val="24"/>
          <w:highlight w:val="none"/>
          <w:u w:color="000000"/>
          <w:lang w:val="zh-CN" w:bidi="zh-CN"/>
        </w:rPr>
        <w:t>人，营业</w:t>
      </w:r>
      <w:r>
        <w:rPr>
          <w:rFonts w:hint="eastAsia" w:ascii="宋体" w:hAnsi="宋体" w:eastAsia="宋体" w:cs="宋体"/>
          <w:bCs/>
          <w:color w:val="auto"/>
          <w:sz w:val="24"/>
          <w:szCs w:val="24"/>
          <w:highlight w:val="none"/>
          <w:u w:color="000000"/>
          <w:lang w:val="zh-CN" w:bidi="zh-CN"/>
        </w:rPr>
        <w:t>收入为</w:t>
      </w:r>
      <w:r>
        <w:rPr>
          <w:rFonts w:hint="eastAsia" w:ascii="宋体" w:hAnsi="宋体" w:eastAsia="宋体" w:cs="宋体"/>
          <w:bCs/>
          <w:color w:val="auto"/>
          <w:sz w:val="24"/>
          <w:szCs w:val="24"/>
          <w:highlight w:val="none"/>
          <w:u w:val="single" w:color="000000"/>
          <w:lang w:val="zh-CN" w:bidi="zh-CN"/>
        </w:rPr>
        <w:tab/>
      </w:r>
      <w:r>
        <w:rPr>
          <w:rFonts w:hint="eastAsia" w:ascii="宋体" w:hAnsi="宋体" w:eastAsia="宋体" w:cs="宋体"/>
          <w:bCs/>
          <w:color w:val="auto"/>
          <w:sz w:val="24"/>
          <w:szCs w:val="24"/>
          <w:highlight w:val="none"/>
          <w:u w:color="000000"/>
          <w:lang w:val="zh-CN" w:bidi="zh-CN"/>
        </w:rPr>
        <w:t>万元，资产总额为</w:t>
      </w:r>
      <w:r>
        <w:rPr>
          <w:rFonts w:hint="eastAsia" w:ascii="宋体" w:hAnsi="宋体" w:eastAsia="宋体" w:cs="宋体"/>
          <w:bCs/>
          <w:color w:val="auto"/>
          <w:sz w:val="24"/>
          <w:szCs w:val="24"/>
          <w:highlight w:val="none"/>
          <w:u w:val="single" w:color="000000"/>
          <w:lang w:val="zh-CN" w:bidi="zh-CN"/>
        </w:rPr>
        <w:tab/>
      </w:r>
      <w:r>
        <w:rPr>
          <w:rFonts w:hint="eastAsia" w:ascii="宋体" w:hAnsi="宋体" w:eastAsia="宋体" w:cs="宋体"/>
          <w:bCs/>
          <w:color w:val="auto"/>
          <w:sz w:val="24"/>
          <w:szCs w:val="24"/>
          <w:highlight w:val="none"/>
          <w:u w:color="000000"/>
          <w:lang w:val="zh-CN" w:bidi="zh-CN"/>
        </w:rPr>
        <w:t>万元，属于</w:t>
      </w:r>
      <w:r>
        <w:rPr>
          <w:rFonts w:hint="eastAsia" w:ascii="宋体" w:hAnsi="宋体" w:eastAsia="宋体" w:cs="宋体"/>
          <w:bCs/>
          <w:color w:val="auto"/>
          <w:sz w:val="24"/>
          <w:szCs w:val="24"/>
          <w:highlight w:val="none"/>
          <w:u w:val="single" w:color="000000"/>
          <w:lang w:val="zh-CN" w:bidi="zh-CN"/>
        </w:rPr>
        <w:t>（中型企业、</w:t>
      </w:r>
      <w:r>
        <w:rPr>
          <w:rFonts w:hint="eastAsia" w:ascii="宋体" w:hAnsi="宋体" w:eastAsia="宋体" w:cs="宋体"/>
          <w:bCs/>
          <w:color w:val="auto"/>
          <w:w w:val="96"/>
          <w:sz w:val="24"/>
          <w:szCs w:val="24"/>
          <w:highlight w:val="none"/>
          <w:u w:val="single" w:color="000000"/>
          <w:lang w:val="zh-CN" w:bidi="zh-CN"/>
        </w:rPr>
        <w:t>小型企业、微型企业）</w:t>
      </w:r>
      <w:r>
        <w:rPr>
          <w:rFonts w:hint="eastAsia" w:ascii="宋体" w:hAnsi="宋体" w:eastAsia="宋体" w:cs="宋体"/>
          <w:bCs/>
          <w:color w:val="auto"/>
          <w:w w:val="99"/>
          <w:sz w:val="24"/>
          <w:szCs w:val="24"/>
          <w:highlight w:val="none"/>
          <w:u w:color="000000"/>
          <w:lang w:val="zh-CN" w:bidi="zh-CN"/>
        </w:rPr>
        <w:t>；</w:t>
      </w:r>
    </w:p>
    <w:p w14:paraId="17B8C674">
      <w:pPr>
        <w:autoSpaceDE w:val="0"/>
        <w:autoSpaceDN w:val="0"/>
        <w:spacing w:line="240" w:lineRule="auto"/>
        <w:ind w:firstLine="480" w:firstLineChars="200"/>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w:t>
      </w:r>
    </w:p>
    <w:p w14:paraId="2F0CDC4A">
      <w:pPr>
        <w:autoSpaceDE w:val="0"/>
        <w:autoSpaceDN w:val="0"/>
        <w:spacing w:line="240" w:lineRule="auto"/>
        <w:ind w:firstLine="480" w:firstLineChars="200"/>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以上企业，不属于大企业的分支机构，不存在控股股东为大企业的情形，也不存在与大企业的负责人为同一人的情形。</w:t>
      </w:r>
    </w:p>
    <w:p w14:paraId="3248B18C">
      <w:pPr>
        <w:autoSpaceDE w:val="0"/>
        <w:autoSpaceDN w:val="0"/>
        <w:spacing w:line="240" w:lineRule="auto"/>
        <w:ind w:firstLine="480" w:firstLineChars="200"/>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本企业对上述声明内容的真实性负责。如有虚假，将依法承担相应责任。</w:t>
      </w:r>
    </w:p>
    <w:p w14:paraId="32886A51">
      <w:pPr>
        <w:autoSpaceDE w:val="0"/>
        <w:autoSpaceDN w:val="0"/>
        <w:spacing w:line="240" w:lineRule="auto"/>
        <w:ind w:firstLine="474" w:firstLineChars="200"/>
        <w:rPr>
          <w:rFonts w:hint="eastAsia" w:ascii="宋体" w:hAnsi="宋体" w:eastAsia="宋体" w:cs="宋体"/>
          <w:bCs/>
          <w:color w:val="auto"/>
          <w:w w:val="99"/>
          <w:sz w:val="24"/>
          <w:szCs w:val="24"/>
          <w:highlight w:val="none"/>
          <w:lang w:val="zh-CN" w:bidi="zh-CN"/>
        </w:rPr>
      </w:pPr>
    </w:p>
    <w:p w14:paraId="7EB44076">
      <w:pPr>
        <w:autoSpaceDE w:val="0"/>
        <w:autoSpaceDN w:val="0"/>
        <w:spacing w:line="240" w:lineRule="auto"/>
        <w:ind w:firstLine="474" w:firstLineChars="200"/>
        <w:rPr>
          <w:rFonts w:hint="eastAsia" w:ascii="宋体" w:hAnsi="宋体" w:eastAsia="宋体" w:cs="宋体"/>
          <w:bCs/>
          <w:color w:val="auto"/>
          <w:w w:val="99"/>
          <w:sz w:val="24"/>
          <w:szCs w:val="24"/>
          <w:highlight w:val="none"/>
          <w:lang w:val="zh-CN" w:bidi="zh-CN"/>
        </w:rPr>
      </w:pPr>
      <w:r>
        <w:rPr>
          <w:rFonts w:hint="eastAsia" w:ascii="宋体" w:hAnsi="宋体" w:eastAsia="宋体" w:cs="宋体"/>
          <w:bCs/>
          <w:color w:val="auto"/>
          <w:w w:val="99"/>
          <w:sz w:val="24"/>
          <w:szCs w:val="24"/>
          <w:highlight w:val="none"/>
          <w:lang w:val="zh-CN" w:bidi="zh-CN"/>
        </w:rPr>
        <w:t>企业名称（盖章）：</w:t>
      </w:r>
    </w:p>
    <w:p w14:paraId="30B8464B">
      <w:pPr>
        <w:autoSpaceDE w:val="0"/>
        <w:autoSpaceDN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bidi="zh-CN"/>
        </w:rPr>
        <w:t>日期：</w:t>
      </w:r>
    </w:p>
    <w:p w14:paraId="40E827D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position w:val="16"/>
          <w:sz w:val="24"/>
          <w:szCs w:val="24"/>
          <w:highlight w:val="none"/>
          <w:lang w:val="zh-CN" w:bidi="zh-CN"/>
        </w:rPr>
        <w:t>1</w:t>
      </w:r>
      <w:r>
        <w:rPr>
          <w:rFonts w:hint="eastAsia" w:ascii="宋体" w:hAnsi="宋体" w:eastAsia="宋体" w:cs="宋体"/>
          <w:bCs/>
          <w:color w:val="auto"/>
          <w:position w:val="16"/>
          <w:sz w:val="24"/>
          <w:szCs w:val="24"/>
          <w:highlight w:val="none"/>
          <w:lang w:val="zh-CN" w:bidi="zh-CN"/>
        </w:rPr>
        <w:fldChar w:fldCharType="end"/>
      </w:r>
      <w:r>
        <w:rPr>
          <w:rFonts w:hint="eastAsia" w:ascii="宋体" w:hAnsi="宋体" w:eastAsia="宋体" w:cs="宋体"/>
          <w:b/>
          <w:color w:val="auto"/>
          <w:sz w:val="24"/>
          <w:szCs w:val="24"/>
          <w:highlight w:val="none"/>
        </w:rPr>
        <w:t>从业人员、营业收入、资产总额填报上一年度数据，无上一年度数据的新成立企业可不填报。</w:t>
      </w:r>
    </w:p>
    <w:p w14:paraId="6BD0030C">
      <w:pPr>
        <w:spacing w:line="360" w:lineRule="auto"/>
        <w:rPr>
          <w:rFonts w:hint="eastAsia" w:ascii="宋体"/>
          <w:b/>
          <w:bCs/>
          <w:color w:val="auto"/>
          <w:sz w:val="24"/>
          <w:highlight w:val="none"/>
        </w:rPr>
      </w:pPr>
    </w:p>
    <w:p w14:paraId="1354B6EB">
      <w:pPr>
        <w:ind w:firstLine="405"/>
        <w:jc w:val="center"/>
        <w:rPr>
          <w:rFonts w:ascii="宋体" w:hAnsi="宋体" w:eastAsia="宋体" w:cs="宋体"/>
          <w:b/>
          <w:color w:val="auto"/>
          <w:sz w:val="24"/>
          <w:szCs w:val="24"/>
          <w:highlight w:val="none"/>
        </w:rPr>
      </w:pPr>
      <w:r>
        <w:rPr>
          <w:rFonts w:hint="eastAsia"/>
          <w:b/>
          <w:color w:val="auto"/>
          <w:sz w:val="32"/>
          <w:highlight w:val="none"/>
        </w:rPr>
        <w:br w:type="page"/>
      </w:r>
      <w:r>
        <w:rPr>
          <w:rFonts w:hint="eastAsia" w:ascii="宋体" w:hAnsi="宋体" w:eastAsia="宋体" w:cs="宋体"/>
          <w:b/>
          <w:color w:val="auto"/>
          <w:sz w:val="24"/>
          <w:szCs w:val="24"/>
          <w:highlight w:val="none"/>
        </w:rPr>
        <w:t>中小企业划型标准规定</w:t>
      </w:r>
    </w:p>
    <w:p w14:paraId="679C7AE3">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一、根据《中华人民共和国中小企业促进法》和《国务院关于进一步促进中小企业发展的若干意见》(国发〔2009〕36号)，制定本规定。</w:t>
      </w:r>
    </w:p>
    <w:p w14:paraId="02C52FA2">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二、中小企业划分为中型、小型、微型三种类型，具体标准根据企业从业人员、营业收入、资产总额等指标，结合行业特点制定。</w:t>
      </w:r>
    </w:p>
    <w:p w14:paraId="25D0FF44">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B099CDE">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四、各行业划型标准为：</w:t>
      </w:r>
    </w:p>
    <w:p w14:paraId="1896FC9B">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3CD0E58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481415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DF3814">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8EC8D10">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645226A">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ABDFC05">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4EF4E22">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6723E3">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FF303B">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F06358">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27AE27">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3C00DC1">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35118F2">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26A0232">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C2A8DED">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2622F417">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五、企业类型的划分以统计部门的统计数据为依据。</w:t>
      </w:r>
    </w:p>
    <w:p w14:paraId="6ADF386A">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六、本规定适用于在中华人民共和国境内依法设立的各类所有制和各种组织形式的企业。个体工商户和本规定以外的行业，参照本规定进行划型。</w:t>
      </w:r>
    </w:p>
    <w:p w14:paraId="4D5837AD">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7168B1E">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八、本规定由工业和信息化部、国家统计局会同有关部门根据《国民经济行业分类》修订情况和企业发展变化情况适时修订。</w:t>
      </w:r>
    </w:p>
    <w:p w14:paraId="31A20FA9">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九、本规定由工业和信息化部、国家统计局会同有关部门负责解释。</w:t>
      </w:r>
    </w:p>
    <w:p w14:paraId="303FC2D3">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十、本规定自发布之日起执行，原国家经贸委、原国家计委、财政部和国家统计局2003年颁布的《中小企业标准暂行规定》同时废止。</w:t>
      </w:r>
    </w:p>
    <w:p w14:paraId="030D79D5">
      <w:pPr>
        <w:rPr>
          <w:rFonts w:ascii="宋体" w:hAnsi="宋体" w:eastAsia="宋体" w:cs="宋体"/>
          <w:color w:val="auto"/>
          <w:sz w:val="24"/>
          <w:szCs w:val="24"/>
          <w:highlight w:val="none"/>
        </w:rPr>
      </w:pPr>
    </w:p>
    <w:p w14:paraId="6B03DE66">
      <w:pPr>
        <w:rPr>
          <w:rFonts w:ascii="宋体" w:hAnsi="宋体" w:eastAsia="宋体" w:cs="宋体"/>
          <w:color w:val="auto"/>
          <w:sz w:val="24"/>
          <w:szCs w:val="24"/>
          <w:highlight w:val="none"/>
        </w:rPr>
      </w:pPr>
    </w:p>
    <w:p w14:paraId="6C33B427">
      <w:pPr>
        <w:widowControl w:val="0"/>
        <w:spacing w:line="240" w:lineRule="auto"/>
        <w:rPr>
          <w:rFonts w:hint="eastAsia"/>
          <w:b/>
          <w:color w:val="auto"/>
          <w:sz w:val="24"/>
          <w:szCs w:val="24"/>
          <w:highlight w:val="none"/>
        </w:rPr>
      </w:pPr>
    </w:p>
    <w:p w14:paraId="76A9A6B0">
      <w:pPr>
        <w:widowControl w:val="0"/>
        <w:spacing w:line="240" w:lineRule="auto"/>
        <w:rPr>
          <w:rFonts w:hint="eastAsia"/>
          <w:b/>
          <w:color w:val="auto"/>
          <w:sz w:val="24"/>
          <w:szCs w:val="24"/>
          <w:highlight w:val="none"/>
        </w:rPr>
      </w:pPr>
    </w:p>
    <w:p w14:paraId="0CC32CC4">
      <w:pPr>
        <w:widowControl w:val="0"/>
        <w:spacing w:line="240" w:lineRule="auto"/>
        <w:rPr>
          <w:rFonts w:hint="eastAsia"/>
          <w:b/>
          <w:color w:val="auto"/>
          <w:sz w:val="24"/>
          <w:szCs w:val="24"/>
          <w:highlight w:val="none"/>
        </w:rPr>
      </w:pPr>
    </w:p>
    <w:p w14:paraId="6878BCB8">
      <w:pPr>
        <w:widowControl w:val="0"/>
        <w:spacing w:line="240" w:lineRule="auto"/>
        <w:rPr>
          <w:rFonts w:hint="eastAsia"/>
          <w:b/>
          <w:color w:val="auto"/>
          <w:sz w:val="24"/>
          <w:szCs w:val="24"/>
          <w:highlight w:val="none"/>
        </w:rPr>
      </w:pPr>
    </w:p>
    <w:p w14:paraId="6B092595">
      <w:pPr>
        <w:widowControl w:val="0"/>
        <w:spacing w:line="240" w:lineRule="auto"/>
        <w:rPr>
          <w:rFonts w:hint="eastAsia"/>
          <w:b/>
          <w:color w:val="auto"/>
          <w:sz w:val="24"/>
          <w:szCs w:val="24"/>
          <w:highlight w:val="none"/>
        </w:rPr>
      </w:pPr>
    </w:p>
    <w:p w14:paraId="4F4E398B">
      <w:pPr>
        <w:widowControl w:val="0"/>
        <w:spacing w:line="240" w:lineRule="auto"/>
        <w:rPr>
          <w:rFonts w:hint="eastAsia"/>
          <w:b/>
          <w:color w:val="auto"/>
          <w:sz w:val="24"/>
          <w:szCs w:val="24"/>
          <w:highlight w:val="none"/>
        </w:rPr>
      </w:pPr>
    </w:p>
    <w:p w14:paraId="4016CDD4">
      <w:pPr>
        <w:widowControl w:val="0"/>
        <w:spacing w:line="240" w:lineRule="auto"/>
        <w:rPr>
          <w:rFonts w:hint="eastAsia"/>
          <w:b/>
          <w:color w:val="auto"/>
          <w:sz w:val="24"/>
          <w:szCs w:val="24"/>
          <w:highlight w:val="none"/>
        </w:rPr>
      </w:pPr>
    </w:p>
    <w:p w14:paraId="1C5186F2">
      <w:pPr>
        <w:widowControl w:val="0"/>
        <w:spacing w:line="240" w:lineRule="auto"/>
        <w:rPr>
          <w:rFonts w:hint="eastAsia"/>
          <w:b/>
          <w:color w:val="auto"/>
          <w:sz w:val="24"/>
          <w:szCs w:val="24"/>
          <w:highlight w:val="none"/>
        </w:rPr>
      </w:pPr>
    </w:p>
    <w:p w14:paraId="5FF22986">
      <w:pPr>
        <w:widowControl w:val="0"/>
        <w:spacing w:line="240" w:lineRule="auto"/>
        <w:rPr>
          <w:rFonts w:hint="eastAsia"/>
          <w:b/>
          <w:color w:val="auto"/>
          <w:sz w:val="24"/>
          <w:szCs w:val="24"/>
          <w:highlight w:val="none"/>
        </w:rPr>
      </w:pPr>
    </w:p>
    <w:p w14:paraId="7F091964">
      <w:pPr>
        <w:widowControl w:val="0"/>
        <w:spacing w:line="240" w:lineRule="auto"/>
        <w:rPr>
          <w:rFonts w:hint="eastAsia"/>
          <w:b/>
          <w:color w:val="auto"/>
          <w:sz w:val="24"/>
          <w:szCs w:val="24"/>
          <w:highlight w:val="none"/>
        </w:rPr>
      </w:pPr>
    </w:p>
    <w:p w14:paraId="2BBBCD79">
      <w:pPr>
        <w:widowControl w:val="0"/>
        <w:spacing w:line="240" w:lineRule="auto"/>
        <w:rPr>
          <w:rFonts w:hint="eastAsia"/>
          <w:b/>
          <w:color w:val="auto"/>
          <w:sz w:val="24"/>
          <w:szCs w:val="24"/>
          <w:highlight w:val="none"/>
        </w:rPr>
      </w:pPr>
    </w:p>
    <w:p w14:paraId="27EAC44B">
      <w:pPr>
        <w:widowControl w:val="0"/>
        <w:spacing w:line="240" w:lineRule="auto"/>
        <w:rPr>
          <w:rFonts w:hint="eastAsia"/>
          <w:b/>
          <w:color w:val="auto"/>
          <w:sz w:val="24"/>
          <w:szCs w:val="24"/>
          <w:highlight w:val="none"/>
        </w:rPr>
      </w:pPr>
    </w:p>
    <w:p w14:paraId="2693C3FA">
      <w:pPr>
        <w:widowControl w:val="0"/>
        <w:spacing w:line="240" w:lineRule="auto"/>
        <w:rPr>
          <w:rFonts w:hint="eastAsia"/>
          <w:b/>
          <w:color w:val="auto"/>
          <w:sz w:val="24"/>
          <w:szCs w:val="24"/>
          <w:highlight w:val="none"/>
        </w:rPr>
      </w:pPr>
    </w:p>
    <w:p w14:paraId="08EEFC10">
      <w:pPr>
        <w:widowControl w:val="0"/>
        <w:spacing w:line="240" w:lineRule="auto"/>
        <w:rPr>
          <w:rFonts w:hint="eastAsia"/>
          <w:b/>
          <w:color w:val="auto"/>
          <w:sz w:val="24"/>
          <w:szCs w:val="24"/>
          <w:highlight w:val="none"/>
        </w:rPr>
      </w:pPr>
    </w:p>
    <w:p w14:paraId="304212BC">
      <w:pPr>
        <w:widowControl w:val="0"/>
        <w:spacing w:line="240" w:lineRule="auto"/>
        <w:rPr>
          <w:rFonts w:hint="eastAsia"/>
          <w:b/>
          <w:color w:val="auto"/>
          <w:sz w:val="24"/>
          <w:szCs w:val="24"/>
          <w:highlight w:val="none"/>
        </w:rPr>
      </w:pPr>
    </w:p>
    <w:p w14:paraId="282F162C">
      <w:pPr>
        <w:widowControl w:val="0"/>
        <w:spacing w:line="240" w:lineRule="auto"/>
        <w:rPr>
          <w:rFonts w:hint="eastAsia"/>
          <w:b/>
          <w:color w:val="auto"/>
          <w:sz w:val="24"/>
          <w:szCs w:val="24"/>
          <w:highlight w:val="none"/>
        </w:rPr>
      </w:pPr>
    </w:p>
    <w:p w14:paraId="54358318">
      <w:pPr>
        <w:widowControl w:val="0"/>
        <w:spacing w:line="240" w:lineRule="auto"/>
        <w:rPr>
          <w:rFonts w:hint="eastAsia"/>
          <w:b/>
          <w:color w:val="auto"/>
          <w:sz w:val="24"/>
          <w:szCs w:val="24"/>
          <w:highlight w:val="none"/>
        </w:rPr>
      </w:pPr>
    </w:p>
    <w:p w14:paraId="3D67649C">
      <w:pPr>
        <w:widowControl w:val="0"/>
        <w:spacing w:line="240" w:lineRule="auto"/>
        <w:rPr>
          <w:rFonts w:hint="eastAsia"/>
          <w:b/>
          <w:color w:val="auto"/>
          <w:sz w:val="24"/>
          <w:szCs w:val="24"/>
          <w:highlight w:val="none"/>
        </w:rPr>
      </w:pPr>
    </w:p>
    <w:p w14:paraId="6AE28AFE">
      <w:pPr>
        <w:widowControl w:val="0"/>
        <w:spacing w:line="240" w:lineRule="auto"/>
        <w:rPr>
          <w:rFonts w:hint="eastAsia"/>
          <w:b/>
          <w:color w:val="auto"/>
          <w:sz w:val="24"/>
          <w:szCs w:val="24"/>
          <w:highlight w:val="none"/>
        </w:rPr>
      </w:pPr>
    </w:p>
    <w:p w14:paraId="0F5DE4B0">
      <w:pPr>
        <w:widowControl w:val="0"/>
        <w:spacing w:line="240" w:lineRule="auto"/>
        <w:rPr>
          <w:rFonts w:hint="eastAsia"/>
          <w:b/>
          <w:color w:val="auto"/>
          <w:sz w:val="24"/>
          <w:szCs w:val="24"/>
          <w:highlight w:val="none"/>
        </w:rPr>
      </w:pPr>
    </w:p>
    <w:p w14:paraId="3AB16B12">
      <w:pPr>
        <w:widowControl w:val="0"/>
        <w:spacing w:line="240" w:lineRule="auto"/>
        <w:rPr>
          <w:rFonts w:hint="eastAsia"/>
          <w:b/>
          <w:color w:val="auto"/>
          <w:sz w:val="24"/>
          <w:szCs w:val="24"/>
          <w:highlight w:val="none"/>
        </w:rPr>
      </w:pPr>
    </w:p>
    <w:p w14:paraId="07734357">
      <w:pPr>
        <w:widowControl w:val="0"/>
        <w:spacing w:line="240" w:lineRule="auto"/>
        <w:rPr>
          <w:rFonts w:hint="eastAsia"/>
          <w:b/>
          <w:color w:val="auto"/>
          <w:sz w:val="24"/>
          <w:szCs w:val="24"/>
          <w:highlight w:val="none"/>
        </w:rPr>
      </w:pPr>
      <w:r>
        <w:rPr>
          <w:rFonts w:hint="eastAsia"/>
          <w:b/>
          <w:color w:val="auto"/>
          <w:sz w:val="24"/>
          <w:szCs w:val="24"/>
          <w:highlight w:val="none"/>
        </w:rPr>
        <w:t xml:space="preserve">格式15                      </w:t>
      </w:r>
    </w:p>
    <w:p w14:paraId="00D6FBF8">
      <w:pPr>
        <w:widowControl w:val="0"/>
        <w:spacing w:line="480" w:lineRule="auto"/>
        <w:jc w:val="center"/>
        <w:rPr>
          <w:rFonts w:hint="eastAsia"/>
          <w:b/>
          <w:color w:val="auto"/>
          <w:sz w:val="24"/>
          <w:szCs w:val="24"/>
          <w:highlight w:val="none"/>
        </w:rPr>
      </w:pPr>
      <w:r>
        <w:rPr>
          <w:rFonts w:hint="eastAsia"/>
          <w:b/>
          <w:color w:val="auto"/>
          <w:sz w:val="24"/>
          <w:szCs w:val="24"/>
          <w:highlight w:val="none"/>
        </w:rPr>
        <w:t>服务技术实施方案</w:t>
      </w:r>
    </w:p>
    <w:p w14:paraId="317C4A71">
      <w:pPr>
        <w:widowControl w:val="0"/>
        <w:spacing w:line="480" w:lineRule="auto"/>
        <w:rPr>
          <w:rFonts w:hint="eastAsia"/>
          <w:b/>
          <w:color w:val="auto"/>
          <w:sz w:val="32"/>
          <w:highlight w:val="none"/>
        </w:rPr>
      </w:pPr>
    </w:p>
    <w:p w14:paraId="0A44CA7D">
      <w:pPr>
        <w:widowControl w:val="0"/>
        <w:spacing w:line="480" w:lineRule="auto"/>
        <w:rPr>
          <w:rFonts w:hint="eastAsia"/>
          <w:b/>
          <w:color w:val="auto"/>
          <w:sz w:val="32"/>
          <w:highlight w:val="none"/>
        </w:rPr>
      </w:pPr>
    </w:p>
    <w:p w14:paraId="66AD93B6">
      <w:pPr>
        <w:widowControl w:val="0"/>
        <w:spacing w:line="480" w:lineRule="auto"/>
        <w:rPr>
          <w:rFonts w:hint="eastAsia"/>
          <w:b/>
          <w:color w:val="auto"/>
          <w:sz w:val="32"/>
          <w:highlight w:val="none"/>
        </w:rPr>
      </w:pPr>
    </w:p>
    <w:p w14:paraId="4199BFF3">
      <w:pPr>
        <w:widowControl w:val="0"/>
        <w:spacing w:line="480" w:lineRule="auto"/>
        <w:rPr>
          <w:rFonts w:hint="eastAsia"/>
          <w:b/>
          <w:color w:val="auto"/>
          <w:sz w:val="32"/>
          <w:highlight w:val="none"/>
        </w:rPr>
      </w:pPr>
    </w:p>
    <w:p w14:paraId="1552B9FF">
      <w:pPr>
        <w:widowControl w:val="0"/>
        <w:spacing w:line="480" w:lineRule="auto"/>
        <w:rPr>
          <w:rFonts w:hint="eastAsia"/>
          <w:b/>
          <w:color w:val="auto"/>
          <w:sz w:val="32"/>
          <w:highlight w:val="none"/>
        </w:rPr>
      </w:pPr>
    </w:p>
    <w:p w14:paraId="31CEEF43">
      <w:pPr>
        <w:widowControl w:val="0"/>
        <w:spacing w:line="480" w:lineRule="auto"/>
        <w:rPr>
          <w:rFonts w:hint="eastAsia"/>
          <w:b/>
          <w:color w:val="auto"/>
          <w:sz w:val="32"/>
          <w:highlight w:val="none"/>
        </w:rPr>
      </w:pPr>
    </w:p>
    <w:p w14:paraId="5703EAC6">
      <w:pPr>
        <w:widowControl w:val="0"/>
        <w:spacing w:line="480" w:lineRule="auto"/>
        <w:rPr>
          <w:rFonts w:hint="eastAsia"/>
          <w:b/>
          <w:color w:val="auto"/>
          <w:sz w:val="32"/>
          <w:highlight w:val="none"/>
        </w:rPr>
      </w:pPr>
    </w:p>
    <w:p w14:paraId="7184F1C6">
      <w:pPr>
        <w:widowControl w:val="0"/>
        <w:spacing w:line="480" w:lineRule="auto"/>
        <w:rPr>
          <w:rFonts w:hint="eastAsia"/>
          <w:b/>
          <w:color w:val="auto"/>
          <w:sz w:val="32"/>
          <w:highlight w:val="none"/>
        </w:rPr>
      </w:pPr>
    </w:p>
    <w:p w14:paraId="420B4539">
      <w:pPr>
        <w:widowControl w:val="0"/>
        <w:spacing w:line="480" w:lineRule="auto"/>
        <w:rPr>
          <w:rFonts w:hint="eastAsia"/>
          <w:b/>
          <w:color w:val="auto"/>
          <w:sz w:val="32"/>
          <w:highlight w:val="none"/>
        </w:rPr>
      </w:pPr>
    </w:p>
    <w:p w14:paraId="1603C9C4">
      <w:pPr>
        <w:widowControl w:val="0"/>
        <w:spacing w:line="480" w:lineRule="auto"/>
        <w:rPr>
          <w:rFonts w:hint="eastAsia"/>
          <w:b/>
          <w:color w:val="auto"/>
          <w:sz w:val="32"/>
          <w:highlight w:val="none"/>
        </w:rPr>
      </w:pPr>
    </w:p>
    <w:p w14:paraId="22AA02FE">
      <w:pPr>
        <w:widowControl w:val="0"/>
        <w:spacing w:line="480" w:lineRule="auto"/>
        <w:rPr>
          <w:rFonts w:hint="eastAsia"/>
          <w:b/>
          <w:color w:val="auto"/>
          <w:sz w:val="32"/>
          <w:highlight w:val="none"/>
        </w:rPr>
      </w:pPr>
    </w:p>
    <w:p w14:paraId="32077FC4">
      <w:pPr>
        <w:widowControl w:val="0"/>
        <w:spacing w:line="480" w:lineRule="auto"/>
        <w:rPr>
          <w:rFonts w:hint="eastAsia"/>
          <w:b/>
          <w:color w:val="auto"/>
          <w:sz w:val="32"/>
          <w:highlight w:val="none"/>
        </w:rPr>
      </w:pPr>
    </w:p>
    <w:p w14:paraId="43963F03">
      <w:pPr>
        <w:widowControl w:val="0"/>
        <w:spacing w:line="240" w:lineRule="auto"/>
        <w:rPr>
          <w:rFonts w:hint="eastAsia"/>
          <w:b/>
          <w:color w:val="auto"/>
          <w:sz w:val="24"/>
          <w:szCs w:val="24"/>
          <w:highlight w:val="none"/>
        </w:rPr>
      </w:pPr>
      <w:r>
        <w:rPr>
          <w:rFonts w:hint="eastAsia"/>
          <w:b/>
          <w:color w:val="auto"/>
          <w:sz w:val="24"/>
          <w:szCs w:val="24"/>
          <w:highlight w:val="none"/>
        </w:rPr>
        <w:t>格式1</w:t>
      </w:r>
      <w:r>
        <w:rPr>
          <w:rFonts w:hint="eastAsia"/>
          <w:b/>
          <w:color w:val="auto"/>
          <w:sz w:val="24"/>
          <w:szCs w:val="24"/>
          <w:highlight w:val="none"/>
          <w:lang w:val="en-US" w:eastAsia="zh-CN"/>
        </w:rPr>
        <w:t>6</w:t>
      </w:r>
      <w:r>
        <w:rPr>
          <w:rFonts w:hint="eastAsia"/>
          <w:b/>
          <w:color w:val="auto"/>
          <w:sz w:val="24"/>
          <w:szCs w:val="24"/>
          <w:highlight w:val="none"/>
        </w:rPr>
        <w:t xml:space="preserve">                     </w:t>
      </w:r>
    </w:p>
    <w:p w14:paraId="55FFB7A9">
      <w:pPr>
        <w:widowControl w:val="0"/>
        <w:spacing w:line="480" w:lineRule="auto"/>
        <w:jc w:val="center"/>
        <w:rPr>
          <w:rFonts w:hint="eastAsia"/>
          <w:b/>
          <w:color w:val="auto"/>
          <w:sz w:val="24"/>
          <w:szCs w:val="24"/>
          <w:highlight w:val="none"/>
          <w:lang w:val="en-US" w:eastAsia="zh-CN"/>
        </w:rPr>
      </w:pPr>
      <w:r>
        <w:rPr>
          <w:rFonts w:hint="eastAsia"/>
          <w:b/>
          <w:color w:val="auto"/>
          <w:sz w:val="24"/>
          <w:szCs w:val="24"/>
          <w:highlight w:val="none"/>
          <w:lang w:val="en-US" w:eastAsia="zh-CN"/>
        </w:rPr>
        <w:t>服务承诺</w:t>
      </w:r>
    </w:p>
    <w:p w14:paraId="0639E5EC">
      <w:pPr>
        <w:widowControl w:val="0"/>
        <w:spacing w:line="480" w:lineRule="auto"/>
        <w:jc w:val="center"/>
        <w:rPr>
          <w:rFonts w:hint="eastAsia"/>
          <w:b/>
          <w:color w:val="auto"/>
          <w:sz w:val="24"/>
          <w:szCs w:val="24"/>
          <w:highlight w:val="none"/>
          <w:lang w:val="en-US" w:eastAsia="zh-CN"/>
        </w:rPr>
      </w:pPr>
    </w:p>
    <w:p w14:paraId="617D1094">
      <w:pPr>
        <w:widowControl w:val="0"/>
        <w:spacing w:line="480" w:lineRule="auto"/>
        <w:jc w:val="center"/>
        <w:rPr>
          <w:rFonts w:hint="eastAsia"/>
          <w:b/>
          <w:color w:val="auto"/>
          <w:sz w:val="24"/>
          <w:szCs w:val="24"/>
          <w:highlight w:val="none"/>
          <w:lang w:val="en-US" w:eastAsia="zh-CN"/>
        </w:rPr>
      </w:pPr>
    </w:p>
    <w:p w14:paraId="4139F850">
      <w:pPr>
        <w:widowControl w:val="0"/>
        <w:spacing w:line="480" w:lineRule="auto"/>
        <w:jc w:val="center"/>
        <w:rPr>
          <w:rFonts w:hint="eastAsia"/>
          <w:b/>
          <w:color w:val="auto"/>
          <w:sz w:val="24"/>
          <w:szCs w:val="24"/>
          <w:highlight w:val="none"/>
          <w:lang w:val="en-US" w:eastAsia="zh-CN"/>
        </w:rPr>
      </w:pPr>
    </w:p>
    <w:p w14:paraId="0998A6DA">
      <w:pPr>
        <w:widowControl w:val="0"/>
        <w:spacing w:line="480" w:lineRule="auto"/>
        <w:jc w:val="center"/>
        <w:rPr>
          <w:rFonts w:hint="eastAsia"/>
          <w:b/>
          <w:color w:val="auto"/>
          <w:sz w:val="24"/>
          <w:szCs w:val="24"/>
          <w:highlight w:val="none"/>
          <w:lang w:val="en-US" w:eastAsia="zh-CN"/>
        </w:rPr>
      </w:pPr>
    </w:p>
    <w:p w14:paraId="5D8A2666">
      <w:pPr>
        <w:widowControl w:val="0"/>
        <w:spacing w:line="480" w:lineRule="auto"/>
        <w:jc w:val="center"/>
        <w:rPr>
          <w:rFonts w:hint="eastAsia"/>
          <w:b/>
          <w:color w:val="auto"/>
          <w:sz w:val="24"/>
          <w:szCs w:val="24"/>
          <w:highlight w:val="none"/>
          <w:lang w:val="en-US" w:eastAsia="zh-CN"/>
        </w:rPr>
      </w:pPr>
    </w:p>
    <w:p w14:paraId="6F191A67">
      <w:pPr>
        <w:widowControl w:val="0"/>
        <w:spacing w:line="480" w:lineRule="auto"/>
        <w:jc w:val="center"/>
        <w:rPr>
          <w:rFonts w:hint="eastAsia"/>
          <w:b/>
          <w:color w:val="auto"/>
          <w:sz w:val="24"/>
          <w:szCs w:val="24"/>
          <w:highlight w:val="none"/>
          <w:lang w:val="en-US" w:eastAsia="zh-CN"/>
        </w:rPr>
      </w:pPr>
    </w:p>
    <w:p w14:paraId="0DB45A51">
      <w:pPr>
        <w:widowControl w:val="0"/>
        <w:spacing w:line="480" w:lineRule="auto"/>
        <w:jc w:val="center"/>
        <w:rPr>
          <w:rFonts w:hint="eastAsia"/>
          <w:b/>
          <w:color w:val="auto"/>
          <w:sz w:val="24"/>
          <w:szCs w:val="24"/>
          <w:highlight w:val="none"/>
          <w:lang w:val="en-US" w:eastAsia="zh-CN"/>
        </w:rPr>
      </w:pPr>
    </w:p>
    <w:p w14:paraId="77DB7F50">
      <w:pPr>
        <w:widowControl w:val="0"/>
        <w:spacing w:line="480" w:lineRule="auto"/>
        <w:jc w:val="center"/>
        <w:rPr>
          <w:rFonts w:hint="eastAsia"/>
          <w:b/>
          <w:color w:val="auto"/>
          <w:sz w:val="24"/>
          <w:szCs w:val="24"/>
          <w:highlight w:val="none"/>
          <w:lang w:val="en-US" w:eastAsia="zh-CN"/>
        </w:rPr>
      </w:pPr>
    </w:p>
    <w:p w14:paraId="45C81396">
      <w:pPr>
        <w:widowControl w:val="0"/>
        <w:spacing w:line="480" w:lineRule="auto"/>
        <w:jc w:val="center"/>
        <w:rPr>
          <w:rFonts w:hint="eastAsia"/>
          <w:b/>
          <w:color w:val="auto"/>
          <w:sz w:val="24"/>
          <w:szCs w:val="24"/>
          <w:highlight w:val="none"/>
          <w:lang w:val="en-US" w:eastAsia="zh-CN"/>
        </w:rPr>
      </w:pPr>
    </w:p>
    <w:p w14:paraId="6EDC47F9">
      <w:pPr>
        <w:widowControl w:val="0"/>
        <w:spacing w:line="480" w:lineRule="auto"/>
        <w:jc w:val="center"/>
        <w:rPr>
          <w:rFonts w:hint="eastAsia"/>
          <w:b/>
          <w:color w:val="auto"/>
          <w:sz w:val="24"/>
          <w:szCs w:val="24"/>
          <w:highlight w:val="none"/>
          <w:lang w:val="en-US" w:eastAsia="zh-CN"/>
        </w:rPr>
      </w:pPr>
    </w:p>
    <w:p w14:paraId="7531D7CE">
      <w:pPr>
        <w:widowControl w:val="0"/>
        <w:spacing w:line="480" w:lineRule="auto"/>
        <w:jc w:val="center"/>
        <w:rPr>
          <w:rFonts w:hint="eastAsia"/>
          <w:b/>
          <w:color w:val="auto"/>
          <w:sz w:val="24"/>
          <w:szCs w:val="24"/>
          <w:highlight w:val="none"/>
          <w:lang w:val="en-US" w:eastAsia="zh-CN"/>
        </w:rPr>
      </w:pPr>
    </w:p>
    <w:p w14:paraId="0F976704">
      <w:pPr>
        <w:widowControl w:val="0"/>
        <w:spacing w:line="240" w:lineRule="auto"/>
        <w:rPr>
          <w:rFonts w:hint="eastAsia"/>
          <w:b/>
          <w:color w:val="auto"/>
          <w:sz w:val="24"/>
          <w:szCs w:val="24"/>
          <w:highlight w:val="none"/>
        </w:rPr>
      </w:pPr>
    </w:p>
    <w:p w14:paraId="2326793B">
      <w:pPr>
        <w:widowControl w:val="0"/>
        <w:spacing w:line="240" w:lineRule="auto"/>
        <w:rPr>
          <w:rFonts w:hint="eastAsia"/>
          <w:b/>
          <w:color w:val="auto"/>
          <w:sz w:val="24"/>
          <w:szCs w:val="24"/>
          <w:highlight w:val="none"/>
        </w:rPr>
      </w:pPr>
    </w:p>
    <w:p w14:paraId="3FB519A6">
      <w:pPr>
        <w:widowControl w:val="0"/>
        <w:spacing w:line="240" w:lineRule="auto"/>
        <w:rPr>
          <w:rFonts w:hint="eastAsia"/>
          <w:b/>
          <w:color w:val="auto"/>
          <w:sz w:val="24"/>
          <w:szCs w:val="24"/>
          <w:highlight w:val="none"/>
        </w:rPr>
      </w:pPr>
      <w:r>
        <w:rPr>
          <w:rFonts w:hint="eastAsia"/>
          <w:b/>
          <w:color w:val="auto"/>
          <w:sz w:val="24"/>
          <w:szCs w:val="24"/>
          <w:highlight w:val="none"/>
        </w:rPr>
        <w:t>格式</w:t>
      </w:r>
      <w:r>
        <w:rPr>
          <w:rFonts w:hint="eastAsia"/>
          <w:b/>
          <w:color w:val="auto"/>
          <w:sz w:val="24"/>
          <w:szCs w:val="24"/>
          <w:highlight w:val="none"/>
          <w:lang w:val="en-US" w:eastAsia="zh-CN"/>
        </w:rPr>
        <w:t>17</w:t>
      </w:r>
      <w:r>
        <w:rPr>
          <w:rFonts w:hint="eastAsia"/>
          <w:b/>
          <w:color w:val="auto"/>
          <w:sz w:val="24"/>
          <w:szCs w:val="24"/>
          <w:highlight w:val="none"/>
        </w:rPr>
        <w:t xml:space="preserve">                    </w:t>
      </w:r>
    </w:p>
    <w:p w14:paraId="5D3B941B">
      <w:pPr>
        <w:pStyle w:val="40"/>
        <w:ind w:left="0" w:leftChars="0" w:firstLine="0" w:firstLineChars="0"/>
        <w:jc w:val="center"/>
        <w:rPr>
          <w:rFonts w:hint="default" w:eastAsia="宋体"/>
          <w:b/>
          <w:color w:val="auto"/>
          <w:sz w:val="24"/>
          <w:szCs w:val="24"/>
          <w:highlight w:val="none"/>
          <w:lang w:val="en-US" w:eastAsia="zh-CN"/>
        </w:rPr>
      </w:pPr>
      <w:r>
        <w:rPr>
          <w:rFonts w:hint="eastAsia"/>
          <w:b/>
          <w:color w:val="auto"/>
          <w:sz w:val="24"/>
          <w:szCs w:val="24"/>
          <w:highlight w:val="none"/>
          <w:lang w:val="en-US" w:eastAsia="zh-CN"/>
        </w:rPr>
        <w:t>其他证明材料</w:t>
      </w:r>
    </w:p>
    <w:p w14:paraId="3600976B">
      <w:pPr>
        <w:widowControl w:val="0"/>
        <w:spacing w:line="480" w:lineRule="auto"/>
        <w:rPr>
          <w:rFonts w:hint="eastAsia"/>
          <w:b/>
          <w:color w:val="auto"/>
          <w:sz w:val="32"/>
          <w:highlight w:val="none"/>
        </w:rPr>
      </w:pPr>
    </w:p>
    <w:p w14:paraId="28705184">
      <w:pPr>
        <w:widowControl w:val="0"/>
        <w:spacing w:line="480" w:lineRule="auto"/>
        <w:rPr>
          <w:rFonts w:hint="eastAsia"/>
          <w:b/>
          <w:color w:val="auto"/>
          <w:sz w:val="32"/>
          <w:highlight w:val="none"/>
        </w:rPr>
      </w:pPr>
    </w:p>
    <w:p w14:paraId="46E092D4">
      <w:pPr>
        <w:widowControl w:val="0"/>
        <w:spacing w:line="480" w:lineRule="auto"/>
        <w:rPr>
          <w:rFonts w:hint="eastAsia"/>
          <w:b/>
          <w:color w:val="auto"/>
          <w:sz w:val="32"/>
          <w:highlight w:val="none"/>
        </w:rPr>
      </w:pPr>
    </w:p>
    <w:p w14:paraId="08652282">
      <w:pPr>
        <w:widowControl w:val="0"/>
        <w:spacing w:line="480" w:lineRule="auto"/>
        <w:rPr>
          <w:rFonts w:hint="eastAsia"/>
          <w:b/>
          <w:color w:val="auto"/>
          <w:sz w:val="32"/>
          <w:highlight w:val="none"/>
        </w:rPr>
      </w:pPr>
    </w:p>
    <w:p w14:paraId="74391FC3">
      <w:pPr>
        <w:widowControl w:val="0"/>
        <w:spacing w:line="480" w:lineRule="auto"/>
        <w:rPr>
          <w:rFonts w:hint="eastAsia"/>
          <w:b/>
          <w:color w:val="auto"/>
          <w:sz w:val="32"/>
          <w:highlight w:val="none"/>
        </w:rPr>
      </w:pPr>
    </w:p>
    <w:p w14:paraId="4FE14509">
      <w:pPr>
        <w:widowControl w:val="0"/>
        <w:spacing w:line="480" w:lineRule="auto"/>
        <w:rPr>
          <w:rFonts w:hint="eastAsia"/>
          <w:b/>
          <w:color w:val="auto"/>
          <w:sz w:val="32"/>
          <w:highlight w:val="none"/>
        </w:rPr>
      </w:pPr>
    </w:p>
    <w:p w14:paraId="4170E955">
      <w:pPr>
        <w:widowControl w:val="0"/>
        <w:spacing w:line="480" w:lineRule="auto"/>
        <w:rPr>
          <w:rFonts w:hint="eastAsia"/>
          <w:b/>
          <w:color w:val="auto"/>
          <w:sz w:val="32"/>
          <w:highlight w:val="none"/>
        </w:rPr>
      </w:pPr>
    </w:p>
    <w:p w14:paraId="4D4ED832">
      <w:pPr>
        <w:widowControl w:val="0"/>
        <w:spacing w:line="480" w:lineRule="auto"/>
        <w:rPr>
          <w:rFonts w:hint="eastAsia"/>
          <w:b/>
          <w:color w:val="auto"/>
          <w:sz w:val="32"/>
          <w:highlight w:val="none"/>
        </w:rPr>
      </w:pPr>
    </w:p>
    <w:p w14:paraId="5B40C384">
      <w:pPr>
        <w:widowControl w:val="0"/>
        <w:spacing w:line="480" w:lineRule="auto"/>
        <w:rPr>
          <w:rFonts w:hint="eastAsia"/>
          <w:b/>
          <w:color w:val="auto"/>
          <w:sz w:val="32"/>
          <w:highlight w:val="none"/>
        </w:rPr>
      </w:pPr>
    </w:p>
    <w:p w14:paraId="649FE0BE">
      <w:pPr>
        <w:widowControl w:val="0"/>
        <w:spacing w:line="480" w:lineRule="auto"/>
        <w:rPr>
          <w:rFonts w:hint="eastAsia"/>
          <w:b/>
          <w:color w:val="auto"/>
          <w:sz w:val="32"/>
          <w:highlight w:val="none"/>
        </w:rPr>
      </w:pPr>
    </w:p>
    <w:p w14:paraId="28C6FF4A">
      <w:pPr>
        <w:widowControl w:val="0"/>
        <w:spacing w:line="480" w:lineRule="auto"/>
        <w:rPr>
          <w:rFonts w:hint="eastAsia"/>
          <w:b/>
          <w:color w:val="auto"/>
          <w:sz w:val="32"/>
          <w:highlight w:val="none"/>
        </w:rPr>
      </w:pPr>
    </w:p>
    <w:p w14:paraId="78940259">
      <w:pPr>
        <w:widowControl w:val="0"/>
        <w:spacing w:line="480" w:lineRule="auto"/>
        <w:rPr>
          <w:rFonts w:hint="eastAsia"/>
          <w:b/>
          <w:color w:val="auto"/>
          <w:sz w:val="32"/>
          <w:highlight w:val="none"/>
        </w:rPr>
      </w:pPr>
    </w:p>
    <w:p w14:paraId="4329C975">
      <w:pPr>
        <w:widowControl w:val="0"/>
        <w:spacing w:line="480" w:lineRule="auto"/>
        <w:jc w:val="both"/>
        <w:outlineLvl w:val="0"/>
        <w:rPr>
          <w:rFonts w:hint="eastAsia"/>
          <w:b/>
          <w:color w:val="auto"/>
          <w:sz w:val="32"/>
          <w:highlight w:val="none"/>
        </w:rPr>
      </w:pPr>
      <w:bookmarkStart w:id="84" w:name="_Toc12929"/>
      <w:bookmarkStart w:id="85" w:name="_Toc5729_WPSOffice_Level1"/>
    </w:p>
    <w:p w14:paraId="7252362D">
      <w:pPr>
        <w:widowControl w:val="0"/>
        <w:spacing w:line="480" w:lineRule="auto"/>
        <w:jc w:val="center"/>
        <w:outlineLvl w:val="0"/>
        <w:rPr>
          <w:rFonts w:hint="eastAsia" w:eastAsia="宋体"/>
          <w:b/>
          <w:color w:val="auto"/>
          <w:sz w:val="32"/>
          <w:highlight w:val="none"/>
          <w:lang w:eastAsia="zh-CN"/>
        </w:rPr>
      </w:pPr>
      <w:r>
        <w:rPr>
          <w:rFonts w:hint="eastAsia"/>
          <w:b/>
          <w:color w:val="auto"/>
          <w:sz w:val="32"/>
          <w:highlight w:val="none"/>
        </w:rPr>
        <w:t>第</w:t>
      </w:r>
      <w:r>
        <w:rPr>
          <w:rFonts w:hint="eastAsia"/>
          <w:b/>
          <w:color w:val="auto"/>
          <w:sz w:val="32"/>
          <w:highlight w:val="none"/>
          <w:lang w:eastAsia="zh-CN"/>
        </w:rPr>
        <w:t>七章</w:t>
      </w:r>
      <w:r>
        <w:rPr>
          <w:rFonts w:hint="eastAsia"/>
          <w:b/>
          <w:color w:val="auto"/>
          <w:sz w:val="32"/>
          <w:highlight w:val="none"/>
          <w:lang w:val="en-US" w:eastAsia="zh-CN"/>
        </w:rPr>
        <w:t xml:space="preserve"> </w:t>
      </w:r>
      <w:r>
        <w:rPr>
          <w:rFonts w:hint="eastAsia"/>
          <w:b/>
          <w:color w:val="auto"/>
          <w:sz w:val="32"/>
          <w:highlight w:val="none"/>
        </w:rPr>
        <w:t xml:space="preserve"> </w:t>
      </w:r>
      <w:r>
        <w:rPr>
          <w:rFonts w:hint="eastAsia"/>
          <w:b/>
          <w:color w:val="auto"/>
          <w:sz w:val="32"/>
          <w:highlight w:val="none"/>
          <w:lang w:eastAsia="zh-CN"/>
        </w:rPr>
        <w:t>评审办法</w:t>
      </w:r>
      <w:bookmarkEnd w:id="84"/>
    </w:p>
    <w:bookmarkEnd w:id="85"/>
    <w:p w14:paraId="2AEB63B2">
      <w:pPr>
        <w:widowControl w:val="0"/>
        <w:spacing w:line="480" w:lineRule="auto"/>
        <w:jc w:val="center"/>
        <w:rPr>
          <w:rFonts w:hint="eastAsia"/>
          <w:b/>
          <w:color w:val="auto"/>
          <w:sz w:val="32"/>
          <w:highlight w:val="none"/>
          <w:lang w:eastAsia="zh-CN"/>
        </w:rPr>
      </w:pPr>
      <w:r>
        <w:rPr>
          <w:rFonts w:hint="eastAsia"/>
          <w:b/>
          <w:color w:val="auto"/>
          <w:sz w:val="32"/>
          <w:highlight w:val="none"/>
          <w:lang w:eastAsia="zh-CN"/>
        </w:rPr>
        <w:t>初步评审</w:t>
      </w:r>
    </w:p>
    <w:tbl>
      <w:tblPr>
        <w:tblStyle w:val="15"/>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121"/>
        <w:gridCol w:w="1912"/>
        <w:gridCol w:w="5956"/>
      </w:tblGrid>
      <w:tr w14:paraId="562C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851" w:type="dxa"/>
            <w:gridSpan w:val="2"/>
            <w:noWrap w:val="0"/>
            <w:tcMar>
              <w:left w:w="57" w:type="dxa"/>
              <w:right w:w="57" w:type="dxa"/>
            </w:tcMar>
            <w:vAlign w:val="center"/>
          </w:tcPr>
          <w:p w14:paraId="7D98C3A2">
            <w:pPr>
              <w:keepNext w:val="0"/>
              <w:keepLines w:val="0"/>
              <w:pageBreakBefore w:val="0"/>
              <w:widowControl w:val="0"/>
              <w:kinsoku/>
              <w:wordWrap/>
              <w:overflowPunct/>
              <w:topLinePunct w:val="0"/>
              <w:autoSpaceDE w:val="0"/>
              <w:autoSpaceDN w:val="0"/>
              <w:bidi w:val="0"/>
              <w:snapToGrid/>
              <w:spacing w:line="300" w:lineRule="exact"/>
              <w:jc w:val="center"/>
              <w:textAlignment w:val="auto"/>
              <w:rPr>
                <w:rFonts w:ascii="宋体" w:hAnsi="宋体" w:cs="宋体"/>
                <w:color w:val="auto"/>
                <w:sz w:val="24"/>
                <w:szCs w:val="24"/>
                <w:lang w:val="zh-CN"/>
              </w:rPr>
            </w:pPr>
            <w:r>
              <w:rPr>
                <w:rFonts w:hint="eastAsia" w:ascii="宋体" w:hAnsi="宋体" w:cs="宋体"/>
                <w:color w:val="auto"/>
                <w:sz w:val="24"/>
                <w:szCs w:val="24"/>
                <w:lang w:val="zh-CN"/>
              </w:rPr>
              <w:t>条款号</w:t>
            </w:r>
          </w:p>
        </w:tc>
        <w:tc>
          <w:tcPr>
            <w:tcW w:w="1912" w:type="dxa"/>
            <w:noWrap w:val="0"/>
            <w:tcMar>
              <w:left w:w="57" w:type="dxa"/>
              <w:right w:w="57" w:type="dxa"/>
            </w:tcMar>
            <w:vAlign w:val="center"/>
          </w:tcPr>
          <w:p w14:paraId="483EA034">
            <w:pPr>
              <w:keepNext w:val="0"/>
              <w:keepLines w:val="0"/>
              <w:pageBreakBefore w:val="0"/>
              <w:widowControl w:val="0"/>
              <w:kinsoku/>
              <w:wordWrap/>
              <w:overflowPunct/>
              <w:topLinePunct w:val="0"/>
              <w:autoSpaceDE w:val="0"/>
              <w:autoSpaceDN w:val="0"/>
              <w:bidi w:val="0"/>
              <w:snapToGrid/>
              <w:spacing w:line="300" w:lineRule="exact"/>
              <w:jc w:val="center"/>
              <w:textAlignment w:val="auto"/>
              <w:rPr>
                <w:rFonts w:ascii="宋体" w:hAnsi="宋体" w:cs="宋体"/>
                <w:color w:val="auto"/>
                <w:sz w:val="24"/>
                <w:szCs w:val="24"/>
                <w:lang w:val="zh-CN"/>
              </w:rPr>
            </w:pPr>
            <w:r>
              <w:rPr>
                <w:rFonts w:hint="eastAsia" w:ascii="宋体" w:hAnsi="宋体" w:cs="宋体"/>
                <w:color w:val="auto"/>
                <w:sz w:val="24"/>
                <w:szCs w:val="24"/>
                <w:lang w:val="zh-CN"/>
              </w:rPr>
              <w:t>评审因素</w:t>
            </w:r>
          </w:p>
        </w:tc>
        <w:tc>
          <w:tcPr>
            <w:tcW w:w="5956" w:type="dxa"/>
            <w:noWrap w:val="0"/>
            <w:tcMar>
              <w:left w:w="57" w:type="dxa"/>
              <w:right w:w="57" w:type="dxa"/>
            </w:tcMar>
            <w:vAlign w:val="center"/>
          </w:tcPr>
          <w:p w14:paraId="4212A9FB">
            <w:pPr>
              <w:keepNext w:val="0"/>
              <w:keepLines w:val="0"/>
              <w:pageBreakBefore w:val="0"/>
              <w:widowControl w:val="0"/>
              <w:kinsoku/>
              <w:wordWrap/>
              <w:overflowPunct/>
              <w:topLinePunct w:val="0"/>
              <w:autoSpaceDE w:val="0"/>
              <w:autoSpaceDN w:val="0"/>
              <w:bidi w:val="0"/>
              <w:snapToGrid/>
              <w:spacing w:line="300" w:lineRule="exact"/>
              <w:jc w:val="center"/>
              <w:textAlignment w:val="auto"/>
              <w:rPr>
                <w:rFonts w:ascii="宋体" w:hAnsi="宋体" w:cs="宋体"/>
                <w:color w:val="auto"/>
                <w:sz w:val="24"/>
                <w:szCs w:val="24"/>
                <w:lang w:val="zh-CN"/>
              </w:rPr>
            </w:pPr>
            <w:r>
              <w:rPr>
                <w:rFonts w:hint="eastAsia" w:ascii="宋体" w:hAnsi="宋体" w:cs="宋体"/>
                <w:color w:val="auto"/>
                <w:sz w:val="24"/>
                <w:szCs w:val="24"/>
                <w:lang w:val="zh-CN"/>
              </w:rPr>
              <w:t>评审标准</w:t>
            </w:r>
          </w:p>
        </w:tc>
      </w:tr>
      <w:tr w14:paraId="5FB5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jc w:val="center"/>
        </w:trPr>
        <w:tc>
          <w:tcPr>
            <w:tcW w:w="730" w:type="dxa"/>
            <w:vMerge w:val="restart"/>
            <w:noWrap w:val="0"/>
            <w:tcMar>
              <w:left w:w="57" w:type="dxa"/>
              <w:right w:w="57" w:type="dxa"/>
            </w:tcMar>
            <w:vAlign w:val="center"/>
          </w:tcPr>
          <w:p w14:paraId="33C0C211">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121" w:type="dxa"/>
            <w:vMerge w:val="restart"/>
            <w:noWrap w:val="0"/>
            <w:tcMar>
              <w:left w:w="57" w:type="dxa"/>
              <w:right w:w="57" w:type="dxa"/>
            </w:tcMar>
            <w:vAlign w:val="center"/>
          </w:tcPr>
          <w:p w14:paraId="0B50EE49">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lang w:val="zh-CN"/>
              </w:rPr>
            </w:pPr>
            <w:r>
              <w:rPr>
                <w:rFonts w:hint="eastAsia" w:ascii="宋体" w:hAnsi="宋体" w:cs="宋体"/>
                <w:color w:val="auto"/>
                <w:sz w:val="24"/>
                <w:szCs w:val="24"/>
                <w:lang w:val="zh-CN"/>
              </w:rPr>
              <w:t>资格评审</w:t>
            </w:r>
          </w:p>
          <w:p w14:paraId="74CF57BD">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lang w:val="zh-CN"/>
              </w:rPr>
            </w:pPr>
            <w:r>
              <w:rPr>
                <w:rFonts w:hint="eastAsia" w:ascii="宋体" w:hAnsi="宋体" w:cs="宋体"/>
                <w:color w:val="auto"/>
                <w:sz w:val="24"/>
                <w:szCs w:val="24"/>
                <w:lang w:val="zh-CN"/>
              </w:rPr>
              <w:t>标准</w:t>
            </w:r>
          </w:p>
        </w:tc>
        <w:tc>
          <w:tcPr>
            <w:tcW w:w="1912" w:type="dxa"/>
            <w:noWrap w:val="0"/>
            <w:tcMar>
              <w:left w:w="57" w:type="dxa"/>
              <w:right w:w="57" w:type="dxa"/>
            </w:tcMar>
            <w:vAlign w:val="center"/>
          </w:tcPr>
          <w:p w14:paraId="75082AF9">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lang w:val="zh-CN"/>
              </w:rPr>
            </w:pPr>
            <w:r>
              <w:rPr>
                <w:rFonts w:hint="eastAsia" w:ascii="宋体" w:hAnsi="宋体" w:cs="宋体"/>
                <w:color w:val="auto"/>
                <w:sz w:val="24"/>
                <w:szCs w:val="24"/>
                <w:lang w:val="zh-CN"/>
              </w:rPr>
              <w:t>营业执照</w:t>
            </w:r>
          </w:p>
        </w:tc>
        <w:tc>
          <w:tcPr>
            <w:tcW w:w="5956" w:type="dxa"/>
            <w:noWrap w:val="0"/>
            <w:vAlign w:val="center"/>
          </w:tcPr>
          <w:p w14:paraId="7B907C39">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lang w:val="zh-CN"/>
              </w:rPr>
            </w:pPr>
            <w:r>
              <w:rPr>
                <w:rFonts w:hint="eastAsia" w:hAnsi="宋体"/>
                <w:color w:val="auto"/>
                <w:kern w:val="2"/>
                <w:sz w:val="24"/>
                <w:szCs w:val="24"/>
              </w:rPr>
              <w:t>投标人应在中华人民共和国注册具有独立法人资格或其他组织，具有有效的营业执照且具有独立承担民事责任和履行合同所必需的设备和专业技术能力</w:t>
            </w:r>
            <w:r>
              <w:rPr>
                <w:rFonts w:hint="eastAsia" w:hAnsi="宋体"/>
                <w:color w:val="auto"/>
                <w:kern w:val="2"/>
                <w:sz w:val="24"/>
                <w:szCs w:val="24"/>
                <w:lang w:eastAsia="zh-CN"/>
              </w:rPr>
              <w:t>；</w:t>
            </w:r>
          </w:p>
        </w:tc>
      </w:tr>
      <w:tr w14:paraId="469F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exact"/>
          <w:jc w:val="center"/>
        </w:trPr>
        <w:tc>
          <w:tcPr>
            <w:tcW w:w="730" w:type="dxa"/>
            <w:vMerge w:val="continue"/>
            <w:noWrap w:val="0"/>
            <w:tcMar>
              <w:left w:w="57" w:type="dxa"/>
              <w:right w:w="57" w:type="dxa"/>
            </w:tcMar>
            <w:vAlign w:val="center"/>
          </w:tcPr>
          <w:p w14:paraId="0D70B80B">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ascii="宋体" w:hAnsi="宋体" w:cs="宋体"/>
                <w:color w:val="auto"/>
                <w:sz w:val="24"/>
                <w:szCs w:val="24"/>
                <w:lang w:val="en-US" w:eastAsia="zh-CN"/>
              </w:rPr>
            </w:pPr>
          </w:p>
        </w:tc>
        <w:tc>
          <w:tcPr>
            <w:tcW w:w="1121" w:type="dxa"/>
            <w:vMerge w:val="continue"/>
            <w:noWrap w:val="0"/>
            <w:tcMar>
              <w:left w:w="57" w:type="dxa"/>
              <w:right w:w="57" w:type="dxa"/>
            </w:tcMar>
            <w:vAlign w:val="center"/>
          </w:tcPr>
          <w:p w14:paraId="325C1C91">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ascii="宋体" w:hAnsi="宋体" w:cs="宋体"/>
                <w:color w:val="auto"/>
                <w:sz w:val="24"/>
                <w:szCs w:val="24"/>
                <w:lang w:val="zh-CN"/>
              </w:rPr>
            </w:pPr>
          </w:p>
        </w:tc>
        <w:tc>
          <w:tcPr>
            <w:tcW w:w="1912" w:type="dxa"/>
            <w:noWrap w:val="0"/>
            <w:tcMar>
              <w:left w:w="57" w:type="dxa"/>
              <w:right w:w="57" w:type="dxa"/>
            </w:tcMar>
            <w:vAlign w:val="center"/>
          </w:tcPr>
          <w:p w14:paraId="275A098F">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ascii="宋体" w:hAnsi="宋体" w:cs="宋体"/>
                <w:color w:val="auto"/>
                <w:sz w:val="24"/>
                <w:szCs w:val="24"/>
                <w:lang w:val="zh-CN"/>
              </w:rPr>
            </w:pPr>
            <w:r>
              <w:rPr>
                <w:rFonts w:hint="eastAsia" w:ascii="宋体" w:hAnsi="宋体" w:cs="宋体"/>
                <w:bCs/>
                <w:color w:val="auto"/>
                <w:sz w:val="24"/>
                <w:szCs w:val="24"/>
                <w:lang w:val="zh-CN"/>
              </w:rPr>
              <w:t>财务状况</w:t>
            </w:r>
          </w:p>
        </w:tc>
        <w:tc>
          <w:tcPr>
            <w:tcW w:w="5956" w:type="dxa"/>
            <w:noWrap w:val="0"/>
            <w:vAlign w:val="center"/>
          </w:tcPr>
          <w:p w14:paraId="6D07C06C">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hAnsi="宋体"/>
                <w:color w:val="auto"/>
                <w:kern w:val="2"/>
                <w:sz w:val="24"/>
                <w:szCs w:val="24"/>
              </w:rPr>
            </w:pPr>
            <w:r>
              <w:rPr>
                <w:rFonts w:hint="eastAsia" w:hAnsi="宋体"/>
                <w:color w:val="auto"/>
                <w:kern w:val="2"/>
                <w:sz w:val="24"/>
                <w:szCs w:val="24"/>
                <w:lang w:eastAsia="zh-CN"/>
              </w:rPr>
              <w:t>具有良好的商业信誉和健全的财务会计制度（提供2022年至2024年财务审计报告，2022年以后成立企业提供成立之日起至2024年财务审计报告，2025年1月1日后新成立企业提供财务状况良好承诺）</w:t>
            </w:r>
          </w:p>
        </w:tc>
      </w:tr>
      <w:tr w14:paraId="2368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30" w:type="dxa"/>
            <w:vMerge w:val="continue"/>
            <w:noWrap w:val="0"/>
            <w:tcMar>
              <w:left w:w="57" w:type="dxa"/>
              <w:right w:w="57" w:type="dxa"/>
            </w:tcMar>
            <w:vAlign w:val="center"/>
          </w:tcPr>
          <w:p w14:paraId="43ACDC06">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121" w:type="dxa"/>
            <w:vMerge w:val="continue"/>
            <w:noWrap w:val="0"/>
            <w:tcMar>
              <w:left w:w="57" w:type="dxa"/>
              <w:right w:w="57" w:type="dxa"/>
            </w:tcMar>
            <w:vAlign w:val="center"/>
          </w:tcPr>
          <w:p w14:paraId="247A9666">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912" w:type="dxa"/>
            <w:noWrap w:val="0"/>
            <w:tcMar>
              <w:left w:w="57" w:type="dxa"/>
              <w:right w:w="57" w:type="dxa"/>
            </w:tcMar>
            <w:vAlign w:val="center"/>
          </w:tcPr>
          <w:p w14:paraId="5D13240C">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cs="宋体"/>
                <w:color w:val="auto"/>
                <w:sz w:val="24"/>
                <w:szCs w:val="24"/>
                <w:lang w:val="zh-CN"/>
              </w:rPr>
            </w:pPr>
            <w:r>
              <w:rPr>
                <w:rFonts w:hint="eastAsia" w:ascii="宋体" w:hAnsi="宋体" w:cs="宋体"/>
                <w:bCs/>
                <w:color w:val="auto"/>
                <w:sz w:val="24"/>
                <w:szCs w:val="24"/>
                <w:lang w:val="zh-CN"/>
              </w:rPr>
              <w:t>税收社保</w:t>
            </w:r>
          </w:p>
        </w:tc>
        <w:tc>
          <w:tcPr>
            <w:tcW w:w="5956" w:type="dxa"/>
            <w:noWrap w:val="0"/>
            <w:vAlign w:val="center"/>
          </w:tcPr>
          <w:p w14:paraId="2930296B">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lang w:val="zh-CN"/>
              </w:rPr>
            </w:pPr>
            <w:r>
              <w:rPr>
                <w:rFonts w:hint="eastAsia" w:ascii="Times New Roman" w:hAnsi="宋体" w:eastAsia="宋体" w:cs="Times New Roman"/>
                <w:color w:val="auto"/>
                <w:kern w:val="2"/>
                <w:sz w:val="24"/>
                <w:szCs w:val="24"/>
                <w:lang w:eastAsia="zh-CN"/>
              </w:rPr>
              <w:t>有依法缴纳税收和社会保障资金的良好记录提供投标截止时间前近半年任意三个月依法缴纳税收及社保证明</w:t>
            </w:r>
          </w:p>
        </w:tc>
      </w:tr>
      <w:tr w14:paraId="525B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exact"/>
          <w:jc w:val="center"/>
        </w:trPr>
        <w:tc>
          <w:tcPr>
            <w:tcW w:w="730" w:type="dxa"/>
            <w:vMerge w:val="continue"/>
            <w:noWrap w:val="0"/>
            <w:tcMar>
              <w:left w:w="57" w:type="dxa"/>
              <w:right w:w="57" w:type="dxa"/>
            </w:tcMar>
            <w:vAlign w:val="center"/>
          </w:tcPr>
          <w:p w14:paraId="2617249E">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121" w:type="dxa"/>
            <w:vMerge w:val="continue"/>
            <w:noWrap w:val="0"/>
            <w:tcMar>
              <w:left w:w="57" w:type="dxa"/>
              <w:right w:w="57" w:type="dxa"/>
            </w:tcMar>
            <w:vAlign w:val="center"/>
          </w:tcPr>
          <w:p w14:paraId="4E890FA5">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912" w:type="dxa"/>
            <w:noWrap w:val="0"/>
            <w:tcMar>
              <w:left w:w="57" w:type="dxa"/>
              <w:right w:w="57" w:type="dxa"/>
            </w:tcMar>
            <w:vAlign w:val="center"/>
          </w:tcPr>
          <w:p w14:paraId="0AC5A051">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lang w:val="zh-CN"/>
              </w:rPr>
            </w:pPr>
            <w:r>
              <w:rPr>
                <w:rFonts w:hint="eastAsia" w:ascii="宋体" w:hAnsi="宋体" w:cs="宋体"/>
                <w:color w:val="auto"/>
                <w:sz w:val="24"/>
                <w:szCs w:val="24"/>
                <w:lang w:val="zh-CN"/>
              </w:rPr>
              <w:t>信誉</w:t>
            </w:r>
          </w:p>
        </w:tc>
        <w:tc>
          <w:tcPr>
            <w:tcW w:w="5956" w:type="dxa"/>
            <w:noWrap w:val="0"/>
            <w:vAlign w:val="center"/>
          </w:tcPr>
          <w:p w14:paraId="14869C27">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rPr>
            </w:pPr>
            <w:r>
              <w:rPr>
                <w:rFonts w:hint="eastAsia" w:ascii="Times New Roman" w:hAnsi="宋体" w:eastAsia="宋体" w:cs="Times New Roman"/>
                <w:color w:val="auto"/>
                <w:kern w:val="2"/>
                <w:sz w:val="24"/>
                <w:szCs w:val="24"/>
                <w:lang w:eastAsia="zh-CN"/>
              </w:rPr>
              <w:t>2022年1月1日至今无行贿犯罪及不良行为记录；“中国裁判文书网”网站（https://wenshu.court.gov.cn/）上无行贿犯罪记录；“信用中国”网站（www.creditchina.gov.cn）未列入①失信被执行人及②重大税收违法失信主体名单；国家企业信用信息公示系统（http://www.gsxt.gov.cn/index.html）未列入严重违法失信企业名单及中国政府采购网（http://www.ccgp.gov.cn/search/cr/）未列入政府采购严重违法失信行为记录名单。以上均须提供截图</w:t>
            </w:r>
          </w:p>
        </w:tc>
      </w:tr>
      <w:tr w14:paraId="5BD1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30" w:type="dxa"/>
            <w:vMerge w:val="restart"/>
            <w:noWrap w:val="0"/>
            <w:tcMar>
              <w:left w:w="57" w:type="dxa"/>
              <w:right w:w="57" w:type="dxa"/>
            </w:tcMar>
            <w:vAlign w:val="center"/>
          </w:tcPr>
          <w:p w14:paraId="1AD34C2E">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121" w:type="dxa"/>
            <w:vMerge w:val="restart"/>
            <w:noWrap w:val="0"/>
            <w:tcMar>
              <w:left w:w="57" w:type="dxa"/>
              <w:right w:w="57" w:type="dxa"/>
            </w:tcMar>
            <w:vAlign w:val="center"/>
          </w:tcPr>
          <w:p w14:paraId="0DF1B637">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lang w:val="zh-CN"/>
              </w:rPr>
            </w:pPr>
            <w:r>
              <w:rPr>
                <w:rFonts w:hint="eastAsia" w:ascii="宋体" w:hAnsi="宋体" w:cs="宋体"/>
                <w:color w:val="auto"/>
                <w:sz w:val="24"/>
                <w:szCs w:val="24"/>
                <w:lang w:val="zh-CN"/>
              </w:rPr>
              <w:t>符合性评审标准</w:t>
            </w:r>
          </w:p>
        </w:tc>
        <w:tc>
          <w:tcPr>
            <w:tcW w:w="1912" w:type="dxa"/>
            <w:noWrap w:val="0"/>
            <w:tcMar>
              <w:left w:w="57" w:type="dxa"/>
              <w:right w:w="57" w:type="dxa"/>
            </w:tcMar>
            <w:vAlign w:val="center"/>
          </w:tcPr>
          <w:p w14:paraId="2FCBE0D4">
            <w:pPr>
              <w:spacing w:line="360" w:lineRule="exact"/>
              <w:jc w:val="both"/>
              <w:rPr>
                <w:rFonts w:ascii="宋体" w:hAnsi="宋体" w:cs="宋体"/>
                <w:color w:val="auto"/>
                <w:sz w:val="24"/>
                <w:szCs w:val="24"/>
                <w:lang w:val="zh-CN"/>
              </w:rPr>
            </w:pPr>
            <w:r>
              <w:rPr>
                <w:rFonts w:hint="eastAsia" w:ascii="宋体" w:hAnsi="宋体" w:cs="宋体"/>
                <w:bCs/>
                <w:color w:val="auto"/>
                <w:sz w:val="24"/>
                <w:szCs w:val="24"/>
                <w:lang w:val="zh-CN"/>
              </w:rPr>
              <w:t>投标内容、格式</w:t>
            </w:r>
          </w:p>
        </w:tc>
        <w:tc>
          <w:tcPr>
            <w:tcW w:w="5956" w:type="dxa"/>
            <w:noWrap w:val="0"/>
            <w:vAlign w:val="center"/>
          </w:tcPr>
          <w:p w14:paraId="2CBDD863">
            <w:pPr>
              <w:spacing w:line="360" w:lineRule="exact"/>
              <w:jc w:val="left"/>
              <w:rPr>
                <w:rFonts w:ascii="宋体" w:hAnsi="宋体" w:cs="宋体"/>
                <w:color w:val="auto"/>
                <w:sz w:val="24"/>
                <w:szCs w:val="24"/>
                <w:lang w:val="zh-CN"/>
              </w:rPr>
            </w:pPr>
            <w:r>
              <w:rPr>
                <w:rFonts w:hint="eastAsia" w:ascii="宋体" w:hAnsi="宋体" w:eastAsia="宋体" w:cs="宋体"/>
                <w:bCs/>
                <w:color w:val="auto"/>
                <w:sz w:val="24"/>
                <w:szCs w:val="24"/>
                <w:lang w:val="zh-CN"/>
              </w:rPr>
              <w:t>符合招标文件规定</w:t>
            </w:r>
          </w:p>
        </w:tc>
      </w:tr>
      <w:tr w14:paraId="0387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30" w:type="dxa"/>
            <w:vMerge w:val="continue"/>
            <w:noWrap w:val="0"/>
            <w:tcMar>
              <w:left w:w="57" w:type="dxa"/>
              <w:right w:w="57" w:type="dxa"/>
            </w:tcMar>
            <w:vAlign w:val="center"/>
          </w:tcPr>
          <w:p w14:paraId="3AAE071C">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121" w:type="dxa"/>
            <w:vMerge w:val="continue"/>
            <w:noWrap w:val="0"/>
            <w:tcMar>
              <w:left w:w="57" w:type="dxa"/>
              <w:right w:w="57" w:type="dxa"/>
            </w:tcMar>
            <w:vAlign w:val="center"/>
          </w:tcPr>
          <w:p w14:paraId="4EEF43CC">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912" w:type="dxa"/>
            <w:noWrap w:val="0"/>
            <w:tcMar>
              <w:left w:w="57" w:type="dxa"/>
              <w:right w:w="57" w:type="dxa"/>
            </w:tcMar>
            <w:vAlign w:val="center"/>
          </w:tcPr>
          <w:p w14:paraId="31BB82F0">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lang w:val="zh-CN"/>
              </w:rPr>
            </w:pPr>
            <w:r>
              <w:rPr>
                <w:rFonts w:hint="eastAsia" w:ascii="宋体" w:hAnsi="宋体" w:cs="宋体"/>
                <w:color w:val="auto"/>
                <w:sz w:val="24"/>
                <w:szCs w:val="24"/>
                <w:lang w:val="zh-CN"/>
              </w:rPr>
              <w:t>投标有效期</w:t>
            </w:r>
          </w:p>
        </w:tc>
        <w:tc>
          <w:tcPr>
            <w:tcW w:w="5956" w:type="dxa"/>
            <w:noWrap w:val="0"/>
            <w:vAlign w:val="center"/>
          </w:tcPr>
          <w:p w14:paraId="59324DF5">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60</w:t>
            </w:r>
            <w:r>
              <w:rPr>
                <w:rFonts w:hint="eastAsia" w:ascii="宋体" w:hAnsi="宋体" w:cs="宋体"/>
                <w:color w:val="auto"/>
                <w:sz w:val="24"/>
                <w:szCs w:val="24"/>
                <w:lang w:val="zh-CN"/>
              </w:rPr>
              <w:t>天</w:t>
            </w:r>
          </w:p>
        </w:tc>
      </w:tr>
      <w:tr w14:paraId="1CC1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30" w:type="dxa"/>
            <w:vMerge w:val="continue"/>
            <w:noWrap w:val="0"/>
            <w:tcMar>
              <w:left w:w="57" w:type="dxa"/>
              <w:right w:w="57" w:type="dxa"/>
            </w:tcMar>
            <w:vAlign w:val="center"/>
          </w:tcPr>
          <w:p w14:paraId="4EA60D84">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121" w:type="dxa"/>
            <w:vMerge w:val="continue"/>
            <w:noWrap w:val="0"/>
            <w:tcMar>
              <w:left w:w="57" w:type="dxa"/>
              <w:right w:w="57" w:type="dxa"/>
            </w:tcMar>
            <w:vAlign w:val="center"/>
          </w:tcPr>
          <w:p w14:paraId="6E8F5E84">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912" w:type="dxa"/>
            <w:noWrap w:val="0"/>
            <w:tcMar>
              <w:left w:w="57" w:type="dxa"/>
              <w:right w:w="57" w:type="dxa"/>
            </w:tcMar>
            <w:vAlign w:val="center"/>
          </w:tcPr>
          <w:p w14:paraId="380465D0">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lang w:val="zh-CN"/>
              </w:rPr>
            </w:pPr>
            <w:r>
              <w:rPr>
                <w:rFonts w:hint="eastAsia" w:ascii="宋体" w:hAnsi="宋体" w:cs="宋体"/>
                <w:color w:val="auto"/>
                <w:sz w:val="24"/>
                <w:szCs w:val="24"/>
                <w:lang w:val="zh-CN"/>
              </w:rPr>
              <w:t>投标保证金</w:t>
            </w:r>
          </w:p>
        </w:tc>
        <w:tc>
          <w:tcPr>
            <w:tcW w:w="5956" w:type="dxa"/>
            <w:noWrap w:val="0"/>
            <w:vAlign w:val="center"/>
          </w:tcPr>
          <w:p w14:paraId="4B383B42">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lang w:val="zh-CN"/>
              </w:rPr>
            </w:pPr>
            <w:r>
              <w:rPr>
                <w:rFonts w:hint="eastAsia" w:ascii="宋体" w:hAnsi="宋体" w:cs="宋体"/>
                <w:color w:val="auto"/>
                <w:sz w:val="24"/>
                <w:szCs w:val="24"/>
                <w:lang w:val="zh-CN"/>
              </w:rPr>
              <w:t>符合招标文件规定</w:t>
            </w:r>
          </w:p>
        </w:tc>
      </w:tr>
      <w:tr w14:paraId="3546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exact"/>
          <w:jc w:val="center"/>
        </w:trPr>
        <w:tc>
          <w:tcPr>
            <w:tcW w:w="730" w:type="dxa"/>
            <w:vMerge w:val="continue"/>
            <w:noWrap w:val="0"/>
            <w:tcMar>
              <w:left w:w="57" w:type="dxa"/>
              <w:right w:w="57" w:type="dxa"/>
            </w:tcMar>
            <w:vAlign w:val="center"/>
          </w:tcPr>
          <w:p w14:paraId="3EEB4013">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121" w:type="dxa"/>
            <w:vMerge w:val="continue"/>
            <w:noWrap w:val="0"/>
            <w:tcMar>
              <w:left w:w="57" w:type="dxa"/>
              <w:right w:w="57" w:type="dxa"/>
            </w:tcMar>
            <w:vAlign w:val="center"/>
          </w:tcPr>
          <w:p w14:paraId="1E35985D">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912" w:type="dxa"/>
            <w:noWrap w:val="0"/>
            <w:tcMar>
              <w:left w:w="57" w:type="dxa"/>
              <w:right w:w="57" w:type="dxa"/>
            </w:tcMar>
            <w:vAlign w:val="center"/>
          </w:tcPr>
          <w:p w14:paraId="7A599812">
            <w:pPr>
              <w:spacing w:line="360" w:lineRule="exact"/>
              <w:jc w:val="both"/>
              <w:rPr>
                <w:rFonts w:hint="eastAsia" w:ascii="宋体" w:hAnsi="宋体" w:cs="宋体"/>
                <w:color w:val="auto"/>
                <w:sz w:val="24"/>
                <w:szCs w:val="24"/>
                <w:lang w:val="zh-CN"/>
              </w:rPr>
            </w:pPr>
            <w:r>
              <w:rPr>
                <w:rFonts w:hint="eastAsia" w:ascii="宋体" w:hAnsi="宋体" w:eastAsia="宋体" w:cs="宋体"/>
                <w:bCs/>
                <w:color w:val="auto"/>
                <w:sz w:val="24"/>
                <w:szCs w:val="24"/>
                <w:lang w:val="zh-CN"/>
              </w:rPr>
              <w:t>承诺书</w:t>
            </w:r>
          </w:p>
        </w:tc>
        <w:tc>
          <w:tcPr>
            <w:tcW w:w="5956" w:type="dxa"/>
            <w:noWrap w:val="0"/>
            <w:vAlign w:val="center"/>
          </w:tcPr>
          <w:p w14:paraId="3F56B1A4">
            <w:pPr>
              <w:pStyle w:val="32"/>
              <w:spacing w:line="400" w:lineRule="exact"/>
              <w:rPr>
                <w:rFonts w:hint="eastAsia" w:ascii="宋体" w:hAnsi="宋体" w:cs="宋体"/>
                <w:color w:val="auto"/>
                <w:sz w:val="24"/>
                <w:szCs w:val="24"/>
                <w:lang w:val="zh-CN"/>
              </w:rPr>
            </w:pPr>
            <w:r>
              <w:rPr>
                <w:rFonts w:hint="eastAsia" w:ascii="Calibri" w:hAnsi="宋体" w:eastAsia="宋体" w:cs="宋体"/>
                <w:color w:val="auto"/>
                <w:kern w:val="2"/>
                <w:sz w:val="24"/>
                <w:szCs w:val="24"/>
                <w:lang w:val="en-US" w:eastAsia="zh-CN" w:bidi="ar-SA"/>
              </w:rPr>
              <w:t>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提供企业承诺书。</w:t>
            </w:r>
          </w:p>
        </w:tc>
      </w:tr>
      <w:tr w14:paraId="3200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30" w:type="dxa"/>
            <w:vMerge w:val="continue"/>
            <w:noWrap w:val="0"/>
            <w:tcMar>
              <w:left w:w="57" w:type="dxa"/>
              <w:right w:w="57" w:type="dxa"/>
            </w:tcMar>
            <w:vAlign w:val="center"/>
          </w:tcPr>
          <w:p w14:paraId="7333DC07">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121" w:type="dxa"/>
            <w:vMerge w:val="continue"/>
            <w:noWrap w:val="0"/>
            <w:tcMar>
              <w:left w:w="57" w:type="dxa"/>
              <w:right w:w="57" w:type="dxa"/>
            </w:tcMar>
            <w:vAlign w:val="center"/>
          </w:tcPr>
          <w:p w14:paraId="1F1F34F7">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912" w:type="dxa"/>
            <w:noWrap w:val="0"/>
            <w:tcMar>
              <w:left w:w="57" w:type="dxa"/>
              <w:right w:w="57" w:type="dxa"/>
            </w:tcMar>
            <w:vAlign w:val="center"/>
          </w:tcPr>
          <w:p w14:paraId="76282367">
            <w:pPr>
              <w:spacing w:line="360" w:lineRule="exact"/>
              <w:jc w:val="center"/>
              <w:rPr>
                <w:rFonts w:ascii="宋体" w:hAnsi="宋体" w:cs="宋体"/>
                <w:color w:val="auto"/>
                <w:sz w:val="24"/>
                <w:szCs w:val="24"/>
                <w:lang w:val="zh-CN"/>
              </w:rPr>
            </w:pPr>
            <w:r>
              <w:rPr>
                <w:rFonts w:hint="eastAsia" w:ascii="宋体" w:hAnsi="宋体" w:cs="宋体"/>
                <w:bCs/>
                <w:color w:val="auto"/>
                <w:sz w:val="24"/>
                <w:szCs w:val="24"/>
                <w:lang w:val="zh-CN"/>
              </w:rPr>
              <w:t>技术标准及服务需求</w:t>
            </w:r>
          </w:p>
        </w:tc>
        <w:tc>
          <w:tcPr>
            <w:tcW w:w="5956" w:type="dxa"/>
            <w:noWrap w:val="0"/>
            <w:tcMar>
              <w:left w:w="57" w:type="dxa"/>
              <w:right w:w="57" w:type="dxa"/>
            </w:tcMar>
            <w:vAlign w:val="center"/>
          </w:tcPr>
          <w:p w14:paraId="2DD5FAD8">
            <w:pPr>
              <w:pStyle w:val="10"/>
              <w:tabs>
                <w:tab w:val="clear" w:pos="4153"/>
                <w:tab w:val="clear" w:pos="8306"/>
              </w:tabs>
              <w:snapToGrid/>
              <w:spacing w:line="360" w:lineRule="exact"/>
              <w:jc w:val="both"/>
              <w:rPr>
                <w:rFonts w:ascii="宋体" w:hAnsi="宋体" w:cs="宋体"/>
                <w:color w:val="auto"/>
                <w:sz w:val="24"/>
                <w:szCs w:val="24"/>
                <w:lang w:val="zh-CN"/>
              </w:rPr>
            </w:pPr>
            <w:r>
              <w:rPr>
                <w:rFonts w:hint="eastAsia" w:ascii="宋体" w:hAnsi="宋体" w:cs="宋体"/>
                <w:bCs/>
                <w:color w:val="auto"/>
                <w:sz w:val="24"/>
                <w:szCs w:val="24"/>
                <w:lang w:val="zh-CN"/>
              </w:rPr>
              <w:t>符合招标文件规定</w:t>
            </w:r>
          </w:p>
        </w:tc>
      </w:tr>
      <w:tr w14:paraId="6E51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30" w:type="dxa"/>
            <w:vMerge w:val="continue"/>
            <w:noWrap w:val="0"/>
            <w:tcMar>
              <w:left w:w="57" w:type="dxa"/>
              <w:right w:w="57" w:type="dxa"/>
            </w:tcMar>
            <w:vAlign w:val="center"/>
          </w:tcPr>
          <w:p w14:paraId="06CE78C0">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121" w:type="dxa"/>
            <w:vMerge w:val="continue"/>
            <w:noWrap w:val="0"/>
            <w:tcMar>
              <w:left w:w="57" w:type="dxa"/>
              <w:right w:w="57" w:type="dxa"/>
            </w:tcMar>
            <w:vAlign w:val="center"/>
          </w:tcPr>
          <w:p w14:paraId="542311ED">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912" w:type="dxa"/>
            <w:noWrap w:val="0"/>
            <w:tcMar>
              <w:left w:w="57" w:type="dxa"/>
              <w:right w:w="57" w:type="dxa"/>
            </w:tcMar>
            <w:vAlign w:val="center"/>
          </w:tcPr>
          <w:p w14:paraId="0799E26A">
            <w:pPr>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zh-CN"/>
              </w:rPr>
              <w:t>实施周期</w:t>
            </w:r>
          </w:p>
        </w:tc>
        <w:tc>
          <w:tcPr>
            <w:tcW w:w="5956" w:type="dxa"/>
            <w:noWrap w:val="0"/>
            <w:tcMar>
              <w:left w:w="57" w:type="dxa"/>
              <w:right w:w="57" w:type="dxa"/>
            </w:tcMar>
            <w:vAlign w:val="center"/>
          </w:tcPr>
          <w:p w14:paraId="7C231C81">
            <w:pPr>
              <w:pStyle w:val="10"/>
              <w:tabs>
                <w:tab w:val="clear" w:pos="4153"/>
                <w:tab w:val="clear" w:pos="8306"/>
              </w:tabs>
              <w:snapToGrid/>
              <w:spacing w:line="360" w:lineRule="exact"/>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10个月</w:t>
            </w:r>
          </w:p>
          <w:p w14:paraId="749A02FB">
            <w:pPr>
              <w:spacing w:line="360" w:lineRule="exact"/>
              <w:jc w:val="both"/>
              <w:rPr>
                <w:rFonts w:hint="eastAsia" w:ascii="宋体" w:hAnsi="宋体" w:cs="宋体"/>
                <w:color w:val="auto"/>
                <w:sz w:val="24"/>
                <w:szCs w:val="24"/>
                <w:highlight w:val="none"/>
                <w:lang w:val="zh-CN"/>
              </w:rPr>
            </w:pPr>
          </w:p>
        </w:tc>
      </w:tr>
      <w:tr w14:paraId="1A6A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30" w:type="dxa"/>
            <w:vMerge w:val="continue"/>
            <w:noWrap w:val="0"/>
            <w:tcMar>
              <w:left w:w="57" w:type="dxa"/>
              <w:right w:w="57" w:type="dxa"/>
            </w:tcMar>
            <w:vAlign w:val="center"/>
          </w:tcPr>
          <w:p w14:paraId="69E88E3D">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121" w:type="dxa"/>
            <w:vMerge w:val="continue"/>
            <w:noWrap w:val="0"/>
            <w:tcMar>
              <w:left w:w="57" w:type="dxa"/>
              <w:right w:w="57" w:type="dxa"/>
            </w:tcMar>
            <w:vAlign w:val="center"/>
          </w:tcPr>
          <w:p w14:paraId="4E598B5B">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912" w:type="dxa"/>
            <w:noWrap w:val="0"/>
            <w:tcMar>
              <w:left w:w="57" w:type="dxa"/>
              <w:right w:w="57" w:type="dxa"/>
            </w:tcMar>
            <w:vAlign w:val="center"/>
          </w:tcPr>
          <w:p w14:paraId="5D26FF26">
            <w:pPr>
              <w:spacing w:line="360" w:lineRule="exact"/>
              <w:jc w:val="both"/>
              <w:rPr>
                <w:rFonts w:ascii="宋体" w:hAnsi="宋体" w:cs="宋体"/>
                <w:color w:val="auto"/>
                <w:sz w:val="24"/>
                <w:szCs w:val="24"/>
                <w:lang w:val="zh-CN"/>
              </w:rPr>
            </w:pPr>
            <w:r>
              <w:rPr>
                <w:rFonts w:hint="eastAsia" w:ascii="宋体" w:hAnsi="宋体" w:cs="宋体"/>
                <w:bCs/>
                <w:color w:val="auto"/>
                <w:sz w:val="24"/>
                <w:szCs w:val="24"/>
                <w:lang w:eastAsia="zh-CN"/>
              </w:rPr>
              <w:t>服务标准</w:t>
            </w:r>
          </w:p>
        </w:tc>
        <w:tc>
          <w:tcPr>
            <w:tcW w:w="5956" w:type="dxa"/>
            <w:noWrap w:val="0"/>
            <w:tcMar>
              <w:left w:w="57" w:type="dxa"/>
              <w:right w:w="57" w:type="dxa"/>
            </w:tcMar>
            <w:vAlign w:val="center"/>
          </w:tcPr>
          <w:p w14:paraId="7A8CE000">
            <w:pPr>
              <w:spacing w:line="360" w:lineRule="exact"/>
              <w:rPr>
                <w:rFonts w:ascii="宋体" w:hAnsi="宋体" w:cs="宋体"/>
                <w:color w:val="auto"/>
                <w:sz w:val="24"/>
                <w:szCs w:val="24"/>
                <w:lang w:val="zh-CN"/>
              </w:rPr>
            </w:pPr>
            <w:r>
              <w:rPr>
                <w:rFonts w:hint="eastAsia"/>
                <w:color w:val="auto"/>
                <w:sz w:val="24"/>
                <w:szCs w:val="24"/>
                <w:lang w:val="zh-CN"/>
              </w:rPr>
              <w:t>符合国家及行业规定的合格标准</w:t>
            </w:r>
          </w:p>
        </w:tc>
      </w:tr>
      <w:tr w14:paraId="780D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0" w:type="dxa"/>
            <w:vMerge w:val="continue"/>
            <w:noWrap w:val="0"/>
            <w:tcMar>
              <w:left w:w="57" w:type="dxa"/>
              <w:right w:w="57" w:type="dxa"/>
            </w:tcMar>
            <w:vAlign w:val="center"/>
          </w:tcPr>
          <w:p w14:paraId="0711625E">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121" w:type="dxa"/>
            <w:vMerge w:val="continue"/>
            <w:noWrap w:val="0"/>
            <w:tcMar>
              <w:left w:w="57" w:type="dxa"/>
              <w:right w:w="57" w:type="dxa"/>
            </w:tcMar>
            <w:vAlign w:val="center"/>
          </w:tcPr>
          <w:p w14:paraId="71B018EC">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912" w:type="dxa"/>
            <w:noWrap w:val="0"/>
            <w:tcMar>
              <w:left w:w="57" w:type="dxa"/>
              <w:right w:w="57" w:type="dxa"/>
            </w:tcMar>
            <w:vAlign w:val="center"/>
          </w:tcPr>
          <w:p w14:paraId="76372B44">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lang w:val="zh-CN"/>
              </w:rPr>
            </w:pPr>
            <w:r>
              <w:rPr>
                <w:rFonts w:hint="eastAsia" w:ascii="宋体" w:hAnsi="宋体" w:cs="宋体"/>
                <w:color w:val="auto"/>
                <w:sz w:val="24"/>
                <w:szCs w:val="24"/>
              </w:rPr>
              <w:t>投标报价</w:t>
            </w:r>
          </w:p>
        </w:tc>
        <w:tc>
          <w:tcPr>
            <w:tcW w:w="5956" w:type="dxa"/>
            <w:noWrap w:val="0"/>
            <w:tcMar>
              <w:left w:w="57" w:type="dxa"/>
              <w:right w:w="57" w:type="dxa"/>
            </w:tcMar>
            <w:vAlign w:val="center"/>
          </w:tcPr>
          <w:p w14:paraId="06D889FE">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lang w:val="zh-CN"/>
              </w:rPr>
            </w:pPr>
            <w:r>
              <w:rPr>
                <w:rFonts w:hint="eastAsia" w:ascii="宋体" w:hAnsi="宋体" w:cs="宋体"/>
                <w:color w:val="auto"/>
                <w:sz w:val="24"/>
                <w:szCs w:val="24"/>
                <w:lang w:val="zh-CN"/>
              </w:rPr>
              <w:t>只能有一个有效报价，任何有选择性的报价将不予被接受。</w:t>
            </w:r>
          </w:p>
          <w:p w14:paraId="4CD92490">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lang w:val="zh-CN"/>
              </w:rPr>
            </w:pPr>
            <w:r>
              <w:rPr>
                <w:rFonts w:hint="eastAsia" w:ascii="宋体" w:hAnsi="宋体" w:cs="宋体"/>
                <w:color w:val="auto"/>
                <w:sz w:val="24"/>
                <w:szCs w:val="24"/>
                <w:lang w:val="zh-CN"/>
              </w:rPr>
              <w:t>不超过采购预算、不低于成本价竞标</w:t>
            </w:r>
          </w:p>
        </w:tc>
      </w:tr>
      <w:tr w14:paraId="3731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30" w:type="dxa"/>
            <w:vMerge w:val="continue"/>
            <w:noWrap w:val="0"/>
            <w:tcMar>
              <w:left w:w="57" w:type="dxa"/>
              <w:right w:w="57" w:type="dxa"/>
            </w:tcMar>
            <w:vAlign w:val="center"/>
          </w:tcPr>
          <w:p w14:paraId="798FDAD6">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121" w:type="dxa"/>
            <w:vMerge w:val="continue"/>
            <w:noWrap w:val="0"/>
            <w:tcMar>
              <w:left w:w="57" w:type="dxa"/>
              <w:right w:w="57" w:type="dxa"/>
            </w:tcMar>
            <w:vAlign w:val="center"/>
          </w:tcPr>
          <w:p w14:paraId="1398C278">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lang w:val="zh-CN"/>
              </w:rPr>
            </w:pPr>
          </w:p>
        </w:tc>
        <w:tc>
          <w:tcPr>
            <w:tcW w:w="1912" w:type="dxa"/>
            <w:noWrap w:val="0"/>
            <w:tcMar>
              <w:left w:w="57" w:type="dxa"/>
              <w:right w:w="57" w:type="dxa"/>
            </w:tcMar>
            <w:vAlign w:val="center"/>
          </w:tcPr>
          <w:p w14:paraId="3797EC76">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rPr>
            </w:pPr>
            <w:r>
              <w:rPr>
                <w:rFonts w:hint="eastAsia" w:ascii="宋体" w:hAnsi="宋体" w:cs="宋体"/>
                <w:color w:val="auto"/>
                <w:sz w:val="24"/>
                <w:szCs w:val="24"/>
              </w:rPr>
              <w:t>权利义务</w:t>
            </w:r>
          </w:p>
        </w:tc>
        <w:tc>
          <w:tcPr>
            <w:tcW w:w="5956" w:type="dxa"/>
            <w:noWrap w:val="0"/>
            <w:tcMar>
              <w:left w:w="57" w:type="dxa"/>
              <w:right w:w="57" w:type="dxa"/>
            </w:tcMar>
            <w:vAlign w:val="center"/>
          </w:tcPr>
          <w:p w14:paraId="3A082F7C">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lang w:val="zh-CN"/>
              </w:rPr>
            </w:pPr>
            <w:r>
              <w:rPr>
                <w:rFonts w:hint="eastAsia" w:ascii="宋体" w:hAnsi="宋体" w:cs="宋体"/>
                <w:color w:val="auto"/>
                <w:sz w:val="24"/>
                <w:szCs w:val="24"/>
              </w:rPr>
              <w:t>符合第二章“投标人须知”规定和第四章“合同条款及格式”中的要求和条件</w:t>
            </w:r>
          </w:p>
        </w:tc>
      </w:tr>
    </w:tbl>
    <w:p w14:paraId="0CE961A3">
      <w:pPr>
        <w:pStyle w:val="3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注：（1）不符合以上内容之一的按不合格处理，不合格的打“×”；合格的打“√”。评审结论相应的写“不合格”或“合格”。</w:t>
      </w:r>
    </w:p>
    <w:p w14:paraId="0E425378">
      <w:pPr>
        <w:pStyle w:val="36"/>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上述内容中有一项评审不合格的，投标按废标处理。</w:t>
      </w:r>
    </w:p>
    <w:p w14:paraId="199C98B9">
      <w:pPr>
        <w:pStyle w:val="8"/>
        <w:spacing w:before="120" w:after="120"/>
        <w:jc w:val="center"/>
        <w:rPr>
          <w:rFonts w:hAnsi="宋体"/>
          <w:bCs/>
          <w:color w:val="auto"/>
        </w:rPr>
      </w:pPr>
    </w:p>
    <w:p w14:paraId="7EE27F55">
      <w:pPr>
        <w:pStyle w:val="8"/>
        <w:spacing w:before="120" w:after="120"/>
        <w:jc w:val="center"/>
        <w:rPr>
          <w:rFonts w:hAnsi="宋体"/>
          <w:bCs/>
          <w:color w:val="auto"/>
        </w:rPr>
      </w:pPr>
    </w:p>
    <w:p w14:paraId="572F74E2">
      <w:pPr>
        <w:widowControl w:val="0"/>
        <w:spacing w:line="480" w:lineRule="auto"/>
        <w:jc w:val="center"/>
        <w:rPr>
          <w:rFonts w:hAnsi="宋体" w:cs="宋体"/>
          <w:color w:val="auto"/>
          <w:lang w:val="zh-CN"/>
        </w:rPr>
      </w:pPr>
      <w:r>
        <w:rPr>
          <w:rFonts w:hAnsi="宋体"/>
          <w:bCs/>
          <w:color w:val="auto"/>
        </w:rPr>
        <w:br w:type="page"/>
      </w:r>
      <w:r>
        <w:rPr>
          <w:rFonts w:hint="eastAsia"/>
          <w:b/>
          <w:color w:val="auto"/>
          <w:sz w:val="32"/>
          <w:highlight w:val="none"/>
          <w:lang w:val="en-US" w:eastAsia="zh-CN"/>
        </w:rPr>
        <w:t>详细评审</w:t>
      </w:r>
    </w:p>
    <w:tbl>
      <w:tblPr>
        <w:tblStyle w:val="15"/>
        <w:tblW w:w="47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878"/>
        <w:gridCol w:w="6657"/>
      </w:tblGrid>
      <w:tr w14:paraId="3DC7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118" w:type="pct"/>
            <w:gridSpan w:val="2"/>
            <w:noWrap w:val="0"/>
            <w:vAlign w:val="center"/>
          </w:tcPr>
          <w:p w14:paraId="0B9D4220">
            <w:pPr>
              <w:pStyle w:val="34"/>
              <w:jc w:val="center"/>
              <w:rPr>
                <w:rFonts w:hint="eastAsia"/>
              </w:rPr>
            </w:pPr>
            <w:r>
              <w:t>分值构成</w:t>
            </w:r>
          </w:p>
          <w:p w14:paraId="02833AFC">
            <w:pPr>
              <w:pStyle w:val="34"/>
              <w:rPr>
                <w:rFonts w:hint="eastAsia"/>
              </w:rPr>
            </w:pPr>
            <w:r>
              <w:t>（总分100</w:t>
            </w:r>
            <w:r>
              <w:rPr>
                <w:rFonts w:hint="eastAsia"/>
              </w:rPr>
              <w:t>分</w:t>
            </w:r>
            <w:r>
              <w:t>）</w:t>
            </w:r>
          </w:p>
        </w:tc>
        <w:tc>
          <w:tcPr>
            <w:tcW w:w="3881" w:type="pct"/>
            <w:noWrap w:val="0"/>
            <w:vAlign w:val="center"/>
          </w:tcPr>
          <w:p w14:paraId="79FE67AB">
            <w:pPr>
              <w:pStyle w:val="34"/>
              <w:rPr>
                <w:rFonts w:hint="eastAsia"/>
              </w:rPr>
            </w:pPr>
            <w:r>
              <w:rPr>
                <w:rFonts w:hint="eastAsia"/>
              </w:rPr>
              <w:t>报价部分：</w:t>
            </w:r>
            <w:r>
              <w:t>10</w:t>
            </w:r>
            <w:r>
              <w:rPr>
                <w:rFonts w:hint="eastAsia"/>
              </w:rPr>
              <w:t>分</w:t>
            </w:r>
          </w:p>
          <w:p w14:paraId="2E20F098">
            <w:pPr>
              <w:pStyle w:val="34"/>
              <w:rPr>
                <w:rFonts w:hint="eastAsia"/>
              </w:rPr>
            </w:pPr>
            <w:r>
              <w:rPr>
                <w:rFonts w:hint="eastAsia"/>
              </w:rPr>
              <w:t>商务部分：</w:t>
            </w:r>
            <w:r>
              <w:t>30分</w:t>
            </w:r>
          </w:p>
          <w:p w14:paraId="022ABFA6">
            <w:pPr>
              <w:pStyle w:val="34"/>
              <w:rPr>
                <w:rFonts w:hint="eastAsia"/>
              </w:rPr>
            </w:pPr>
            <w:r>
              <w:rPr>
                <w:rFonts w:hint="eastAsia"/>
              </w:rPr>
              <w:t>技术部分：</w:t>
            </w:r>
            <w:r>
              <w:t>60分</w:t>
            </w:r>
          </w:p>
        </w:tc>
      </w:tr>
      <w:tr w14:paraId="736C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00" w:type="pct"/>
            <w:gridSpan w:val="3"/>
            <w:noWrap w:val="0"/>
            <w:vAlign w:val="center"/>
          </w:tcPr>
          <w:p w14:paraId="530E45C2">
            <w:pPr>
              <w:pStyle w:val="34"/>
              <w:jc w:val="center"/>
              <w:rPr>
                <w:rFonts w:hint="eastAsia"/>
                <w:b/>
                <w:bCs/>
              </w:rPr>
            </w:pPr>
            <w:r>
              <w:rPr>
                <w:rFonts w:hint="eastAsia"/>
                <w:b/>
                <w:bCs/>
              </w:rPr>
              <w:t>报价部分：1</w:t>
            </w:r>
            <w:r>
              <w:rPr>
                <w:b/>
                <w:bCs/>
              </w:rPr>
              <w:t>0</w:t>
            </w:r>
            <w:r>
              <w:rPr>
                <w:rFonts w:hint="eastAsia"/>
                <w:b/>
                <w:bCs/>
              </w:rPr>
              <w:t>分</w:t>
            </w:r>
          </w:p>
        </w:tc>
      </w:tr>
      <w:tr w14:paraId="7FAE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06" w:type="pct"/>
            <w:noWrap w:val="0"/>
            <w:vAlign w:val="center"/>
          </w:tcPr>
          <w:p w14:paraId="3E3FE338">
            <w:pPr>
              <w:pStyle w:val="34"/>
              <w:jc w:val="center"/>
              <w:rPr>
                <w:rFonts w:hint="eastAsia"/>
              </w:rPr>
            </w:pPr>
            <w:r>
              <w:t>评分项目</w:t>
            </w:r>
          </w:p>
        </w:tc>
        <w:tc>
          <w:tcPr>
            <w:tcW w:w="512" w:type="pct"/>
            <w:noWrap w:val="0"/>
            <w:vAlign w:val="center"/>
          </w:tcPr>
          <w:p w14:paraId="574C062D">
            <w:pPr>
              <w:pStyle w:val="34"/>
              <w:jc w:val="center"/>
              <w:rPr>
                <w:rFonts w:hint="eastAsia"/>
              </w:rPr>
            </w:pPr>
            <w:r>
              <w:t>分值</w:t>
            </w:r>
          </w:p>
        </w:tc>
        <w:tc>
          <w:tcPr>
            <w:tcW w:w="3881" w:type="pct"/>
            <w:noWrap w:val="0"/>
            <w:vAlign w:val="center"/>
          </w:tcPr>
          <w:p w14:paraId="27FF5A59">
            <w:pPr>
              <w:pStyle w:val="34"/>
              <w:jc w:val="center"/>
              <w:rPr>
                <w:rFonts w:hint="eastAsia"/>
              </w:rPr>
            </w:pPr>
            <w:r>
              <w:t>评分标准</w:t>
            </w:r>
          </w:p>
        </w:tc>
      </w:tr>
      <w:tr w14:paraId="212C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606" w:type="pct"/>
            <w:noWrap w:val="0"/>
            <w:vAlign w:val="center"/>
          </w:tcPr>
          <w:p w14:paraId="58F9D5F4">
            <w:pPr>
              <w:pStyle w:val="34"/>
              <w:jc w:val="center"/>
              <w:rPr>
                <w:rFonts w:hint="eastAsia"/>
              </w:rPr>
            </w:pPr>
            <w:r>
              <w:t>报价</w:t>
            </w:r>
          </w:p>
        </w:tc>
        <w:tc>
          <w:tcPr>
            <w:tcW w:w="512" w:type="pct"/>
            <w:noWrap w:val="0"/>
            <w:vAlign w:val="center"/>
          </w:tcPr>
          <w:p w14:paraId="20C0E4FA">
            <w:pPr>
              <w:pStyle w:val="34"/>
              <w:jc w:val="center"/>
              <w:rPr>
                <w:rFonts w:hint="eastAsia"/>
              </w:rPr>
            </w:pPr>
            <w:r>
              <w:t>10</w:t>
            </w:r>
          </w:p>
        </w:tc>
        <w:tc>
          <w:tcPr>
            <w:tcW w:w="3881" w:type="pct"/>
            <w:noWrap w:val="0"/>
            <w:vAlign w:val="center"/>
          </w:tcPr>
          <w:p w14:paraId="3E58623C">
            <w:pPr>
              <w:pStyle w:val="34"/>
              <w:rPr>
                <w:rFonts w:hint="eastAsia"/>
              </w:rPr>
            </w:pPr>
            <w:r>
              <w:rPr>
                <w:rFonts w:hint="eastAsia" w:ascii="宋体" w:hAnsi="宋体" w:eastAsia="宋体" w:cs="宋体"/>
                <w:color w:val="auto"/>
                <w:sz w:val="24"/>
                <w:szCs w:val="24"/>
                <w:highlight w:val="none"/>
              </w:rPr>
              <w:t>评标依据：评标基准价为经评审合格的所有投标人的最低价作为评分基准价。投标人的价格分按下式计算：价格分=（评分基准价/评标价）×基准分值。（计算时取至小数点后二位，第三位四舍五入）。</w:t>
            </w:r>
          </w:p>
        </w:tc>
      </w:tr>
      <w:tr w14:paraId="65AF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00" w:type="pct"/>
            <w:gridSpan w:val="3"/>
            <w:noWrap w:val="0"/>
            <w:vAlign w:val="center"/>
          </w:tcPr>
          <w:p w14:paraId="1D8A13B3">
            <w:pPr>
              <w:pStyle w:val="34"/>
              <w:jc w:val="center"/>
              <w:rPr>
                <w:rFonts w:hint="eastAsia" w:cs="宋体"/>
                <w:b/>
                <w:bCs/>
                <w:lang w:bidi="zh-CN"/>
              </w:rPr>
            </w:pPr>
            <w:r>
              <w:rPr>
                <w:rFonts w:hint="eastAsia" w:cs="宋体"/>
                <w:b/>
                <w:bCs/>
                <w:lang w:bidi="zh-CN"/>
              </w:rPr>
              <w:t>商务部分：3</w:t>
            </w:r>
            <w:r>
              <w:rPr>
                <w:rFonts w:cs="宋体"/>
                <w:b/>
                <w:bCs/>
                <w:lang w:bidi="zh-CN"/>
              </w:rPr>
              <w:t>0</w:t>
            </w:r>
            <w:r>
              <w:rPr>
                <w:rFonts w:hint="eastAsia" w:cs="宋体"/>
                <w:b/>
                <w:bCs/>
                <w:lang w:bidi="zh-CN"/>
              </w:rPr>
              <w:t>分</w:t>
            </w:r>
          </w:p>
        </w:tc>
      </w:tr>
      <w:tr w14:paraId="2CBC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jc w:val="center"/>
        </w:trPr>
        <w:tc>
          <w:tcPr>
            <w:tcW w:w="606" w:type="pct"/>
            <w:vMerge w:val="restart"/>
            <w:noWrap w:val="0"/>
            <w:vAlign w:val="center"/>
          </w:tcPr>
          <w:p w14:paraId="67AFD1F6">
            <w:pPr>
              <w:pStyle w:val="34"/>
              <w:jc w:val="center"/>
              <w:rPr>
                <w:rFonts w:hint="eastAsia"/>
              </w:rPr>
            </w:pPr>
            <w:r>
              <w:t>项目供应商专业实力</w:t>
            </w:r>
          </w:p>
        </w:tc>
        <w:tc>
          <w:tcPr>
            <w:tcW w:w="512" w:type="pct"/>
            <w:noWrap w:val="0"/>
            <w:vAlign w:val="center"/>
          </w:tcPr>
          <w:p w14:paraId="3D43793B">
            <w:pPr>
              <w:pStyle w:val="34"/>
              <w:jc w:val="center"/>
              <w:rPr>
                <w:rFonts w:hint="eastAsia"/>
                <w:sz w:val="24"/>
                <w:szCs w:val="24"/>
              </w:rPr>
            </w:pPr>
            <w:r>
              <w:rPr>
                <w:rFonts w:hint="eastAsia"/>
                <w:sz w:val="24"/>
                <w:szCs w:val="24"/>
              </w:rPr>
              <w:t>4</w:t>
            </w:r>
          </w:p>
        </w:tc>
        <w:tc>
          <w:tcPr>
            <w:tcW w:w="3881" w:type="pct"/>
            <w:noWrap w:val="0"/>
            <w:vAlign w:val="center"/>
          </w:tcPr>
          <w:p w14:paraId="2907E9AA">
            <w:pPr>
              <w:pStyle w:val="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项目团队项目经理实力要求：</w:t>
            </w:r>
          </w:p>
          <w:p w14:paraId="29B30296">
            <w:pPr>
              <w:pStyle w:val="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（1）提供医学或者药学或者公卫或者护理相关专业，硕士学位证书复印件加盖公章，得1分；</w:t>
            </w:r>
          </w:p>
          <w:p w14:paraId="4BED6EE9">
            <w:pPr>
              <w:pStyle w:val="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（2）有在医院任职经验，提供相关职称证书复印件加盖公章，得1分；</w:t>
            </w:r>
          </w:p>
          <w:p w14:paraId="66AE4636">
            <w:pPr>
              <w:pStyle w:val="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（3）提供同类项目实施经验证明材料复印件加盖公章，提供一个项目经验证明得1分，满分2分。实施经验证明材料需同时提供以下证明：</w:t>
            </w:r>
          </w:p>
          <w:p w14:paraId="7D12AB94">
            <w:pPr>
              <w:pStyle w:val="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1）合同复印件</w:t>
            </w:r>
          </w:p>
          <w:p w14:paraId="657A511D">
            <w:pPr>
              <w:pStyle w:val="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2）医院盖章的验收报告或满意度评价证明</w:t>
            </w:r>
          </w:p>
          <w:p w14:paraId="23AF9006">
            <w:pPr>
              <w:pStyle w:val="34"/>
              <w:rPr>
                <w:rFonts w:hint="eastAsia"/>
                <w:sz w:val="24"/>
                <w:szCs w:val="24"/>
              </w:rPr>
            </w:pPr>
            <w:r>
              <w:rPr>
                <w:rFonts w:hint="eastAsia" w:ascii="宋体" w:hAnsi="宋体" w:eastAsia="宋体" w:cs="宋体"/>
                <w:color w:val="auto"/>
                <w:sz w:val="24"/>
                <w:szCs w:val="24"/>
                <w:highlight w:val="none"/>
              </w:rPr>
              <w:t>3）三级甲等综合医院网站截图</w:t>
            </w:r>
          </w:p>
        </w:tc>
      </w:tr>
      <w:tr w14:paraId="5668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606" w:type="pct"/>
            <w:vMerge w:val="continue"/>
            <w:shd w:val="clear" w:color="auto" w:fill="auto"/>
            <w:noWrap w:val="0"/>
            <w:vAlign w:val="center"/>
          </w:tcPr>
          <w:p w14:paraId="5C618F4B">
            <w:pPr>
              <w:pStyle w:val="34"/>
              <w:jc w:val="center"/>
              <w:rPr>
                <w:rFonts w:hint="eastAsia"/>
              </w:rPr>
            </w:pPr>
          </w:p>
        </w:tc>
        <w:tc>
          <w:tcPr>
            <w:tcW w:w="512" w:type="pct"/>
            <w:shd w:val="clear" w:color="auto" w:fill="auto"/>
            <w:noWrap w:val="0"/>
            <w:vAlign w:val="center"/>
          </w:tcPr>
          <w:p w14:paraId="614594ED">
            <w:pPr>
              <w:pStyle w:val="34"/>
              <w:jc w:val="center"/>
              <w:rPr>
                <w:rFonts w:hint="eastAsia"/>
              </w:rPr>
            </w:pPr>
            <w:r>
              <w:t>6</w:t>
            </w:r>
          </w:p>
        </w:tc>
        <w:tc>
          <w:tcPr>
            <w:tcW w:w="3881" w:type="pct"/>
            <w:shd w:val="clear" w:color="000000" w:fill="FFFFFF"/>
            <w:noWrap w:val="0"/>
            <w:vAlign w:val="center"/>
          </w:tcPr>
          <w:p w14:paraId="1642C272">
            <w:pPr>
              <w:pStyle w:val="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项目团队实施人员实力要求：</w:t>
            </w:r>
          </w:p>
          <w:p w14:paraId="6DAEA115">
            <w:pPr>
              <w:pStyle w:val="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（1）提供医学或者药学或者公卫或者护理相关专业学历证书复印件加盖公章，提供一人得1分，满分3分；</w:t>
            </w:r>
          </w:p>
          <w:p w14:paraId="0872DED4">
            <w:pPr>
              <w:pStyle w:val="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（2）提供数学或者统计学相关专业学历证书复印件加盖公章，提供一人得1分，满分3分；</w:t>
            </w:r>
          </w:p>
          <w:p w14:paraId="253206EE">
            <w:pPr>
              <w:pStyle w:val="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（3）以上实施人员需同时提供同类项目实施经验证明，必须明确采用RBRVS作为评价工具，否则视为无效。</w:t>
            </w:r>
          </w:p>
          <w:p w14:paraId="6FD0039D">
            <w:pPr>
              <w:pStyle w:val="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实施经验证明材料需同时提供以下证明：</w:t>
            </w:r>
          </w:p>
          <w:p w14:paraId="457EE889">
            <w:pPr>
              <w:pStyle w:val="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1）合同复印件</w:t>
            </w:r>
          </w:p>
          <w:p w14:paraId="4408421F">
            <w:pPr>
              <w:pStyle w:val="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2）医院盖章的验收报告或满意度评价证明</w:t>
            </w:r>
          </w:p>
          <w:p w14:paraId="1811085A">
            <w:pPr>
              <w:pStyle w:val="34"/>
              <w:rPr>
                <w:rFonts w:hint="eastAsia"/>
              </w:rPr>
            </w:pPr>
            <w:r>
              <w:rPr>
                <w:rFonts w:hint="eastAsia" w:ascii="宋体" w:hAnsi="宋体" w:eastAsia="宋体" w:cs="宋体"/>
                <w:color w:val="auto"/>
                <w:sz w:val="24"/>
                <w:szCs w:val="24"/>
                <w:highlight w:val="none"/>
              </w:rPr>
              <w:t>3）三级甲等综合医院网站截图</w:t>
            </w:r>
          </w:p>
        </w:tc>
      </w:tr>
      <w:tr w14:paraId="51E1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jc w:val="center"/>
        </w:trPr>
        <w:tc>
          <w:tcPr>
            <w:tcW w:w="606" w:type="pct"/>
            <w:shd w:val="clear" w:color="auto" w:fill="auto"/>
            <w:noWrap w:val="0"/>
            <w:vAlign w:val="center"/>
          </w:tcPr>
          <w:p w14:paraId="38F5D2C1">
            <w:pPr>
              <w:pStyle w:val="34"/>
              <w:jc w:val="center"/>
              <w:rPr>
                <w:rFonts w:hint="eastAsia"/>
              </w:rPr>
            </w:pPr>
            <w:r>
              <w:t>同类项目实施经验</w:t>
            </w:r>
          </w:p>
        </w:tc>
        <w:tc>
          <w:tcPr>
            <w:tcW w:w="512" w:type="pct"/>
            <w:shd w:val="clear" w:color="auto" w:fill="auto"/>
            <w:noWrap w:val="0"/>
            <w:vAlign w:val="center"/>
          </w:tcPr>
          <w:p w14:paraId="61B72EF8">
            <w:pPr>
              <w:pStyle w:val="34"/>
              <w:jc w:val="center"/>
              <w:rPr>
                <w:rFonts w:hint="eastAsia"/>
              </w:rPr>
            </w:pPr>
            <w:r>
              <w:t>1</w:t>
            </w:r>
            <w:r>
              <w:rPr>
                <w:rFonts w:hint="eastAsia"/>
              </w:rPr>
              <w:t>0</w:t>
            </w:r>
          </w:p>
        </w:tc>
        <w:tc>
          <w:tcPr>
            <w:tcW w:w="3881" w:type="pct"/>
            <w:shd w:val="clear" w:color="000000" w:fill="auto"/>
            <w:noWrap w:val="0"/>
            <w:vAlign w:val="center"/>
          </w:tcPr>
          <w:p w14:paraId="38E0F6FB">
            <w:pPr>
              <w:pStyle w:val="34"/>
              <w:rPr>
                <w:rFonts w:hint="eastAsia"/>
              </w:rPr>
            </w:pPr>
            <w:r>
              <w:t>提供</w:t>
            </w:r>
            <w:r>
              <w:rPr>
                <w:rFonts w:hint="eastAsia"/>
              </w:rPr>
              <w:t>2</w:t>
            </w:r>
            <w:r>
              <w:t>02</w:t>
            </w:r>
            <w:r>
              <w:rPr>
                <w:rFonts w:hint="eastAsia"/>
                <w:lang w:val="en-US" w:eastAsia="zh-CN"/>
              </w:rPr>
              <w:t>2</w:t>
            </w:r>
            <w:r>
              <w:rPr>
                <w:rFonts w:hint="eastAsia"/>
              </w:rPr>
              <w:t>年1月1日至今（</w:t>
            </w:r>
            <w:r>
              <w:t>以合同签订时间为准）</w:t>
            </w:r>
            <w:r>
              <w:rPr>
                <w:rFonts w:hint="eastAsia"/>
              </w:rPr>
              <w:t>，同类项目</w:t>
            </w:r>
            <w:r>
              <w:t>实施经验</w:t>
            </w:r>
            <w:r>
              <w:rPr>
                <w:rFonts w:hint="eastAsia"/>
              </w:rPr>
              <w:t>证明</w:t>
            </w:r>
            <w:r>
              <w:t>，提供</w:t>
            </w:r>
            <w:r>
              <w:rPr>
                <w:rFonts w:hint="eastAsia"/>
              </w:rPr>
              <w:t>1</w:t>
            </w:r>
            <w:r>
              <w:t>家客户实施经验的得1分，</w:t>
            </w:r>
            <w:r>
              <w:rPr>
                <w:rFonts w:hint="eastAsia"/>
              </w:rPr>
              <w:t>满分10</w:t>
            </w:r>
            <w:r>
              <w:t>分。</w:t>
            </w:r>
          </w:p>
          <w:p w14:paraId="0C590EE5">
            <w:pPr>
              <w:pStyle w:val="34"/>
              <w:rPr>
                <w:rFonts w:hint="eastAsia"/>
              </w:rPr>
            </w:pPr>
            <w:r>
              <w:t>提供合同</w:t>
            </w:r>
            <w:r>
              <w:rPr>
                <w:rFonts w:hint="eastAsia"/>
              </w:rPr>
              <w:t>及项目验收合格证明</w:t>
            </w:r>
            <w:r>
              <w:t>复印件加盖公章</w:t>
            </w:r>
            <w:r>
              <w:rPr>
                <w:rFonts w:hint="eastAsia"/>
              </w:rPr>
              <w:t>。</w:t>
            </w:r>
            <w:r>
              <w:t>（注意，合同内容必须明确采用RBRVS作为评价工具，否则视为无效</w:t>
            </w:r>
            <w:r>
              <w:rPr>
                <w:rFonts w:hint="eastAsia"/>
              </w:rPr>
              <w:t>。</w:t>
            </w:r>
            <w:r>
              <w:t>提供客户科室负责人姓名及电话，现场可能电话确认，是否实施，是否验收，验收造假，取消投标资格。）</w:t>
            </w:r>
          </w:p>
          <w:p w14:paraId="44FE7EDB">
            <w:pPr>
              <w:pStyle w:val="34"/>
              <w:rPr>
                <w:rFonts w:hint="eastAsia"/>
              </w:rPr>
            </w:pPr>
            <w:r>
              <w:rPr>
                <w:rFonts w:hint="eastAsia" w:cs="宋体"/>
              </w:rPr>
              <w:t>【分公司、分支机构业绩不纳入评审】</w:t>
            </w:r>
          </w:p>
        </w:tc>
      </w:tr>
      <w:tr w14:paraId="5F7F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1" w:hRule="atLeast"/>
          <w:jc w:val="center"/>
        </w:trPr>
        <w:tc>
          <w:tcPr>
            <w:tcW w:w="606" w:type="pct"/>
            <w:shd w:val="clear" w:color="auto" w:fill="auto"/>
            <w:noWrap w:val="0"/>
            <w:vAlign w:val="center"/>
          </w:tcPr>
          <w:p w14:paraId="26C56D70">
            <w:pPr>
              <w:pStyle w:val="34"/>
              <w:jc w:val="center"/>
              <w:rPr>
                <w:rFonts w:hint="eastAsia"/>
              </w:rPr>
            </w:pPr>
            <w:r>
              <w:t>供应商资质</w:t>
            </w:r>
          </w:p>
        </w:tc>
        <w:tc>
          <w:tcPr>
            <w:tcW w:w="512" w:type="pct"/>
            <w:shd w:val="clear" w:color="auto" w:fill="auto"/>
            <w:noWrap w:val="0"/>
            <w:vAlign w:val="center"/>
          </w:tcPr>
          <w:p w14:paraId="05EA26D9">
            <w:pPr>
              <w:pStyle w:val="34"/>
              <w:jc w:val="center"/>
              <w:rPr>
                <w:rFonts w:hint="eastAsia" w:eastAsia="宋体"/>
                <w:lang w:eastAsia="zh-CN"/>
              </w:rPr>
            </w:pPr>
            <w:r>
              <w:rPr>
                <w:highlight w:val="none"/>
              </w:rPr>
              <w:t>10</w:t>
            </w:r>
            <w:r>
              <w:rPr>
                <w:rFonts w:hint="eastAsia"/>
                <w:highlight w:val="none"/>
                <w:lang w:eastAsia="zh-CN"/>
              </w:rPr>
              <w:t>分</w:t>
            </w:r>
          </w:p>
        </w:tc>
        <w:tc>
          <w:tcPr>
            <w:tcW w:w="3881" w:type="pct"/>
            <w:shd w:val="clear" w:color="000000" w:fill="FFFFFF"/>
            <w:noWrap w:val="0"/>
            <w:vAlign w:val="center"/>
          </w:tcPr>
          <w:p w14:paraId="15EC7F92">
            <w:pPr>
              <w:pStyle w:val="34"/>
              <w:rPr>
                <w:rFonts w:hint="eastAsia"/>
              </w:rPr>
            </w:pPr>
            <w:r>
              <w:t>1、提供RBRVS绩效软件系统著作权</w:t>
            </w:r>
            <w:r>
              <w:rPr>
                <w:rFonts w:hint="eastAsia"/>
              </w:rPr>
              <w:t>证书以及中国软件行业协会认定的软件产品证书或</w:t>
            </w:r>
            <w:r>
              <w:t xml:space="preserve">软件测试报告得1分（提供证明材料复印件并加盖公章）； </w:t>
            </w:r>
          </w:p>
          <w:p w14:paraId="7B5803EB">
            <w:pPr>
              <w:pStyle w:val="34"/>
              <w:rPr>
                <w:rFonts w:hint="eastAsia"/>
              </w:rPr>
            </w:pPr>
            <w:r>
              <w:t>2</w:t>
            </w:r>
            <w:r>
              <w:rPr>
                <w:rFonts w:hint="eastAsia"/>
              </w:rPr>
              <w:t>、</w:t>
            </w:r>
            <w:r>
              <w:rPr>
                <w:rFonts w:hint="eastAsia"/>
                <w:kern w:val="0"/>
              </w:rPr>
              <w:t>提供在有限期内的</w:t>
            </w:r>
            <w:r>
              <w:t>ISO9001质量管理体系认证</w:t>
            </w:r>
            <w:r>
              <w:rPr>
                <w:rFonts w:hint="eastAsia"/>
              </w:rPr>
              <w:t>、</w:t>
            </w:r>
            <w:r>
              <w:t>ISO20000信息技术服务管理体系认证</w:t>
            </w:r>
            <w:r>
              <w:rPr>
                <w:rFonts w:hint="eastAsia"/>
              </w:rPr>
              <w:t>、</w:t>
            </w:r>
            <w:r>
              <w:t>ISO27001信息安全管理体系认证</w:t>
            </w:r>
            <w:r>
              <w:rPr>
                <w:rFonts w:hint="eastAsia"/>
              </w:rPr>
              <w:t>、ISO</w:t>
            </w:r>
            <w:r>
              <w:t>45001</w:t>
            </w:r>
            <w:r>
              <w:rPr>
                <w:rFonts w:hint="eastAsia"/>
              </w:rPr>
              <w:t>职业健康安全管理体系认证证书、ISO</w:t>
            </w:r>
            <w:r>
              <w:t>14001</w:t>
            </w:r>
            <w:r>
              <w:rPr>
                <w:rFonts w:hint="eastAsia"/>
              </w:rPr>
              <w:t>环境管理体系认证证书。提供</w:t>
            </w:r>
            <w:r>
              <w:t>1</w:t>
            </w:r>
            <w:r>
              <w:rPr>
                <w:rFonts w:hint="eastAsia"/>
              </w:rPr>
              <w:t>项得1分，满分5分。</w:t>
            </w:r>
            <w:r>
              <w:t>（提供证明材料复印件并加盖公章）；</w:t>
            </w:r>
          </w:p>
          <w:p w14:paraId="580F80A1">
            <w:pPr>
              <w:pStyle w:val="34"/>
              <w:rPr>
                <w:rFonts w:hint="eastAsia"/>
              </w:rPr>
            </w:pPr>
            <w:r>
              <w:t>3</w:t>
            </w:r>
            <w:r>
              <w:rPr>
                <w:rFonts w:hint="eastAsia"/>
              </w:rPr>
              <w:t>、提供软件企业认定证书得</w:t>
            </w:r>
            <w:r>
              <w:t>1分（提供证明材料复印件并加盖公章）；</w:t>
            </w:r>
          </w:p>
          <w:p w14:paraId="6B2C94DC">
            <w:pPr>
              <w:pStyle w:val="34"/>
              <w:rPr>
                <w:rFonts w:hint="eastAsia"/>
              </w:rPr>
            </w:pPr>
            <w:r>
              <w:rPr>
                <w:rFonts w:hint="eastAsia"/>
              </w:rPr>
              <w:t>4、提供CMMI</w:t>
            </w:r>
            <w:r>
              <w:t>3</w:t>
            </w:r>
            <w:r>
              <w:rPr>
                <w:rFonts w:hint="eastAsia"/>
              </w:rPr>
              <w:t>等级认证证书得1分</w:t>
            </w:r>
            <w:r>
              <w:t>（提供证明材料复印件并加盖公章）</w:t>
            </w:r>
          </w:p>
          <w:p w14:paraId="11E10134">
            <w:pPr>
              <w:pStyle w:val="34"/>
              <w:rPr>
                <w:rFonts w:hint="eastAsia"/>
              </w:rPr>
            </w:pPr>
            <w:r>
              <w:rPr>
                <w:rFonts w:hint="eastAsia"/>
              </w:rPr>
              <w:t>5、提供有效期内的ITSS信息技术符合性证书得</w:t>
            </w:r>
            <w:r>
              <w:t>1分（提供</w:t>
            </w:r>
            <w:r>
              <w:rPr>
                <w:rFonts w:hint="eastAsia"/>
              </w:rPr>
              <w:t>资质证书</w:t>
            </w:r>
            <w:r>
              <w:t>复印件并加盖公章）</w:t>
            </w:r>
          </w:p>
          <w:p w14:paraId="1263E9D4">
            <w:pPr>
              <w:pStyle w:val="34"/>
              <w:rPr>
                <w:rFonts w:hint="eastAsia"/>
              </w:rPr>
            </w:pPr>
            <w:r>
              <w:rPr>
                <w:rFonts w:hint="eastAsia"/>
              </w:rPr>
              <w:t>6、提供高新技术企业认证证书得1分</w:t>
            </w:r>
            <w:r>
              <w:t>（提供证明材料复印件并加盖公章）</w:t>
            </w:r>
          </w:p>
        </w:tc>
      </w:tr>
      <w:tr w14:paraId="26B6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00" w:type="pct"/>
            <w:gridSpan w:val="3"/>
            <w:noWrap w:val="0"/>
            <w:vAlign w:val="center"/>
          </w:tcPr>
          <w:p w14:paraId="16DA4E9C">
            <w:pPr>
              <w:pStyle w:val="34"/>
              <w:jc w:val="center"/>
              <w:rPr>
                <w:rFonts w:hint="eastAsia" w:cs="宋体"/>
                <w:b/>
                <w:bCs/>
                <w:lang w:bidi="zh-CN"/>
              </w:rPr>
            </w:pPr>
            <w:r>
              <w:rPr>
                <w:rFonts w:hint="eastAsia" w:cs="宋体"/>
                <w:b/>
                <w:bCs/>
                <w:lang w:bidi="zh-CN"/>
              </w:rPr>
              <w:t>技术部分：</w:t>
            </w:r>
            <w:r>
              <w:rPr>
                <w:rFonts w:cs="宋体"/>
                <w:b/>
                <w:bCs/>
                <w:lang w:bidi="zh-CN"/>
              </w:rPr>
              <w:t>60</w:t>
            </w:r>
            <w:r>
              <w:rPr>
                <w:rFonts w:hint="eastAsia" w:cs="宋体"/>
                <w:b/>
                <w:bCs/>
                <w:lang w:bidi="zh-CN"/>
              </w:rPr>
              <w:t>分</w:t>
            </w:r>
          </w:p>
        </w:tc>
      </w:tr>
      <w:tr w14:paraId="0051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606" w:type="pct"/>
            <w:noWrap w:val="0"/>
            <w:vAlign w:val="center"/>
          </w:tcPr>
          <w:p w14:paraId="7616BB29">
            <w:pPr>
              <w:pStyle w:val="34"/>
              <w:jc w:val="center"/>
              <w:rPr>
                <w:rFonts w:hint="eastAsia"/>
              </w:rPr>
            </w:pPr>
            <w:r>
              <w:rPr>
                <w:rFonts w:hint="eastAsia"/>
              </w:rPr>
              <w:t>系统设计技术符合性</w:t>
            </w:r>
          </w:p>
        </w:tc>
        <w:tc>
          <w:tcPr>
            <w:tcW w:w="512" w:type="pct"/>
            <w:noWrap w:val="0"/>
            <w:vAlign w:val="center"/>
          </w:tcPr>
          <w:p w14:paraId="28962E62">
            <w:pPr>
              <w:pStyle w:val="34"/>
              <w:jc w:val="center"/>
              <w:rPr>
                <w:rFonts w:hint="eastAsia"/>
              </w:rPr>
            </w:pPr>
            <w:r>
              <w:t>25</w:t>
            </w:r>
            <w:r>
              <w:rPr>
                <w:rFonts w:hint="eastAsia"/>
              </w:rPr>
              <w:t>分</w:t>
            </w:r>
          </w:p>
        </w:tc>
        <w:tc>
          <w:tcPr>
            <w:tcW w:w="3881" w:type="pct"/>
            <w:noWrap w:val="0"/>
            <w:vAlign w:val="center"/>
          </w:tcPr>
          <w:p w14:paraId="62FEE06B">
            <w:pPr>
              <w:pStyle w:val="34"/>
              <w:rPr>
                <w:rFonts w:hint="eastAsia"/>
              </w:rPr>
            </w:pPr>
            <w:r>
              <w:rPr>
                <w:rFonts w:hint="eastAsia"/>
              </w:rPr>
              <w:t>针对本项目提供整体系统设计方案，</w:t>
            </w:r>
            <w:r>
              <w:t>符合政策规范性、本地化、实用性，</w:t>
            </w:r>
            <w:r>
              <w:rPr>
                <w:rFonts w:hint="eastAsia"/>
              </w:rPr>
              <w:t>方案设计合理、针对性强，系统所采用的技术框架具备先进性、扩展性、前瞻性、</w:t>
            </w:r>
            <w:r>
              <w:t>平台开放性</w:t>
            </w:r>
            <w:r>
              <w:rPr>
                <w:rFonts w:hint="eastAsia"/>
              </w:rPr>
              <w:t>及</w:t>
            </w:r>
            <w:r>
              <w:t>安全性</w:t>
            </w:r>
            <w:r>
              <w:rPr>
                <w:rFonts w:hint="eastAsia"/>
              </w:rPr>
              <w:t>。</w:t>
            </w:r>
          </w:p>
          <w:p w14:paraId="241200C0">
            <w:pPr>
              <w:pStyle w:val="34"/>
              <w:rPr>
                <w:rFonts w:hint="eastAsia"/>
              </w:rPr>
            </w:pPr>
            <w:r>
              <w:t>综合评价为优：25分；</w:t>
            </w:r>
            <w:r>
              <w:rPr>
                <w:rFonts w:hint="eastAsia"/>
                <w:lang w:eastAsia="zh-CN"/>
              </w:rPr>
              <w:t>较好：</w:t>
            </w:r>
            <w:r>
              <w:rPr>
                <w:rFonts w:hint="eastAsia"/>
                <w:lang w:val="en-US" w:eastAsia="zh-CN"/>
              </w:rPr>
              <w:t>19分；</w:t>
            </w:r>
            <w:r>
              <w:t>良：1</w:t>
            </w:r>
            <w:r>
              <w:rPr>
                <w:rFonts w:hint="eastAsia"/>
                <w:lang w:val="en-US" w:eastAsia="zh-CN"/>
              </w:rPr>
              <w:t>3</w:t>
            </w:r>
            <w:r>
              <w:t>分；一般：</w:t>
            </w:r>
            <w:r>
              <w:rPr>
                <w:rFonts w:hint="eastAsia"/>
                <w:lang w:val="en-US" w:eastAsia="zh-CN"/>
              </w:rPr>
              <w:t>7</w:t>
            </w:r>
            <w:r>
              <w:t>分，方案差</w:t>
            </w:r>
            <w:r>
              <w:rPr>
                <w:rFonts w:hint="eastAsia"/>
                <w:lang w:val="en-US" w:eastAsia="zh-CN"/>
              </w:rPr>
              <w:t>2分，</w:t>
            </w:r>
            <w:r>
              <w:t>不提供不得分。</w:t>
            </w:r>
          </w:p>
        </w:tc>
      </w:tr>
      <w:tr w14:paraId="3BB7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06" w:type="pct"/>
            <w:noWrap w:val="0"/>
            <w:vAlign w:val="center"/>
          </w:tcPr>
          <w:p w14:paraId="40868435">
            <w:pPr>
              <w:pStyle w:val="34"/>
              <w:jc w:val="center"/>
              <w:rPr>
                <w:rFonts w:hint="eastAsia" w:ascii="宋体" w:hAnsi="宋体" w:cs="宋体"/>
              </w:rPr>
            </w:pPr>
            <w:r>
              <w:rPr>
                <w:rFonts w:hint="eastAsia" w:cs="宋体"/>
                <w:szCs w:val="24"/>
              </w:rPr>
              <w:t>咨询</w:t>
            </w:r>
            <w:r>
              <w:rPr>
                <w:rFonts w:cs="宋体"/>
                <w:szCs w:val="24"/>
              </w:rPr>
              <w:t>方案</w:t>
            </w:r>
            <w:r>
              <w:rPr>
                <w:rFonts w:hint="eastAsia" w:cs="宋体"/>
                <w:szCs w:val="24"/>
              </w:rPr>
              <w:t>设计</w:t>
            </w:r>
          </w:p>
        </w:tc>
        <w:tc>
          <w:tcPr>
            <w:tcW w:w="512" w:type="pct"/>
            <w:noWrap w:val="0"/>
            <w:vAlign w:val="center"/>
          </w:tcPr>
          <w:p w14:paraId="34559C95">
            <w:pPr>
              <w:pStyle w:val="34"/>
              <w:jc w:val="center"/>
              <w:rPr>
                <w:rFonts w:hint="eastAsia"/>
              </w:rPr>
            </w:pPr>
            <w:r>
              <w:rPr>
                <w:rFonts w:hint="eastAsia"/>
              </w:rPr>
              <w:t>2</w:t>
            </w:r>
            <w:r>
              <w:t>0</w:t>
            </w:r>
            <w:r>
              <w:rPr>
                <w:rFonts w:hint="eastAsia"/>
              </w:rPr>
              <w:t>分</w:t>
            </w:r>
          </w:p>
        </w:tc>
        <w:tc>
          <w:tcPr>
            <w:tcW w:w="3881" w:type="pct"/>
            <w:noWrap w:val="0"/>
            <w:vAlign w:val="center"/>
          </w:tcPr>
          <w:p w14:paraId="22012130">
            <w:pPr>
              <w:pStyle w:val="34"/>
              <w:numPr>
                <w:ilvl w:val="0"/>
                <w:numId w:val="4"/>
              </w:numPr>
              <w:rPr>
                <w:rFonts w:hint="eastAsia"/>
              </w:rPr>
            </w:pPr>
            <w:r>
              <w:rPr>
                <w:rFonts w:hint="eastAsia"/>
              </w:rPr>
              <w:t>临床医生、临床护理、医技、辅助类科室绩效方案设计；</w:t>
            </w:r>
          </w:p>
          <w:p w14:paraId="002AF34B">
            <w:pPr>
              <w:pStyle w:val="34"/>
              <w:numPr>
                <w:ilvl w:val="0"/>
                <w:numId w:val="4"/>
              </w:numPr>
              <w:rPr>
                <w:rFonts w:hint="eastAsia"/>
              </w:rPr>
            </w:pPr>
            <w:r>
              <w:rPr>
                <w:rFonts w:hint="eastAsia"/>
              </w:rPr>
              <w:t>手术专项绩效评价方案设计；</w:t>
            </w:r>
          </w:p>
          <w:p w14:paraId="5A9BDCBD">
            <w:pPr>
              <w:pStyle w:val="34"/>
              <w:numPr>
                <w:ilvl w:val="0"/>
                <w:numId w:val="4"/>
              </w:numPr>
              <w:rPr>
                <w:rFonts w:hint="eastAsia"/>
              </w:rPr>
            </w:pPr>
            <w:r>
              <w:rPr>
                <w:rFonts w:hint="eastAsia"/>
              </w:rPr>
              <w:t>科室直接成本管控方案设计；</w:t>
            </w:r>
          </w:p>
          <w:p w14:paraId="01E90DB3">
            <w:pPr>
              <w:pStyle w:val="34"/>
              <w:numPr>
                <w:ilvl w:val="0"/>
                <w:numId w:val="4"/>
              </w:numPr>
              <w:rPr>
                <w:rFonts w:hint="eastAsia"/>
              </w:rPr>
            </w:pPr>
            <w:r>
              <w:rPr>
                <w:rFonts w:hint="eastAsia"/>
              </w:rPr>
              <w:t>科室二次分配指导意见；</w:t>
            </w:r>
          </w:p>
          <w:p w14:paraId="052A45B6">
            <w:pPr>
              <w:pStyle w:val="34"/>
              <w:numPr>
                <w:ilvl w:val="0"/>
                <w:numId w:val="4"/>
              </w:numPr>
              <w:rPr>
                <w:rFonts w:hint="eastAsia"/>
              </w:rPr>
            </w:pPr>
            <w:r>
              <w:rPr>
                <w:rFonts w:hint="eastAsia"/>
              </w:rPr>
              <w:t>关键考核指标方案设计。</w:t>
            </w:r>
          </w:p>
          <w:p w14:paraId="273BDE0D">
            <w:pPr>
              <w:pStyle w:val="34"/>
              <w:rPr>
                <w:rFonts w:hint="eastAsia"/>
              </w:rPr>
            </w:pPr>
            <w:r>
              <w:rPr>
                <w:rFonts w:hint="eastAsia"/>
              </w:rPr>
              <w:t>评审依据：投标人提供整体绩效咨询方案设计。</w:t>
            </w:r>
          </w:p>
          <w:p w14:paraId="742C88D9">
            <w:pPr>
              <w:pStyle w:val="34"/>
              <w:rPr>
                <w:rFonts w:hint="eastAsia"/>
              </w:rPr>
            </w:pPr>
            <w:r>
              <w:rPr>
                <w:rFonts w:hint="eastAsia"/>
              </w:rPr>
              <w:t>每小项优得</w:t>
            </w:r>
            <w:r>
              <w:t>4</w:t>
            </w:r>
            <w:r>
              <w:rPr>
                <w:rFonts w:hint="eastAsia"/>
              </w:rPr>
              <w:t>分；良得2分；一般得1分；不提供不得分。本项最高得2</w:t>
            </w:r>
            <w:r>
              <w:t>0</w:t>
            </w:r>
            <w:r>
              <w:rPr>
                <w:rFonts w:hint="eastAsia"/>
              </w:rPr>
              <w:t>分。</w:t>
            </w:r>
          </w:p>
        </w:tc>
      </w:tr>
      <w:tr w14:paraId="199E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606" w:type="pct"/>
            <w:noWrap w:val="0"/>
            <w:vAlign w:val="center"/>
          </w:tcPr>
          <w:p w14:paraId="6A025244">
            <w:pPr>
              <w:pStyle w:val="34"/>
              <w:jc w:val="center"/>
              <w:rPr>
                <w:rFonts w:hint="eastAsia"/>
              </w:rPr>
            </w:pPr>
            <w:r>
              <w:t>项目实施及培训方案</w:t>
            </w:r>
          </w:p>
        </w:tc>
        <w:tc>
          <w:tcPr>
            <w:tcW w:w="512" w:type="pct"/>
            <w:noWrap w:val="0"/>
            <w:vAlign w:val="center"/>
          </w:tcPr>
          <w:p w14:paraId="775F06ED">
            <w:pPr>
              <w:pStyle w:val="34"/>
              <w:jc w:val="center"/>
              <w:rPr>
                <w:rFonts w:hint="eastAsia"/>
              </w:rPr>
            </w:pPr>
            <w:r>
              <w:t>10</w:t>
            </w:r>
            <w:r>
              <w:rPr>
                <w:rFonts w:hint="eastAsia"/>
              </w:rPr>
              <w:t>分</w:t>
            </w:r>
          </w:p>
        </w:tc>
        <w:tc>
          <w:tcPr>
            <w:tcW w:w="3881" w:type="pct"/>
            <w:noWrap w:val="0"/>
            <w:vAlign w:val="center"/>
          </w:tcPr>
          <w:p w14:paraId="08BC6FA5">
            <w:pPr>
              <w:pStyle w:val="34"/>
              <w:rPr>
                <w:rFonts w:hint="eastAsia"/>
              </w:rPr>
            </w:pPr>
            <w:r>
              <w:t>投标人提交的项目实施和培训方案的科学性、合理性、规范性和可操作性评价,包括项目的实施计划安排，工作程序和步骤，工期保障措施，系统管理培训、系统运行维护培训等内容。</w:t>
            </w:r>
          </w:p>
          <w:p w14:paraId="1B42FAD6">
            <w:pPr>
              <w:pStyle w:val="34"/>
              <w:rPr>
                <w:rFonts w:hint="eastAsia"/>
              </w:rPr>
            </w:pPr>
            <w:r>
              <w:t>综合评价为优：10分；良：7分；一般：4分</w:t>
            </w:r>
            <w:r>
              <w:rPr>
                <w:rFonts w:hint="eastAsia"/>
                <w:lang w:eastAsia="zh-CN"/>
              </w:rPr>
              <w:t>；</w:t>
            </w:r>
            <w:r>
              <w:t>方案差</w:t>
            </w:r>
            <w:r>
              <w:rPr>
                <w:rFonts w:hint="eastAsia"/>
                <w:lang w:val="en-US" w:eastAsia="zh-CN"/>
              </w:rPr>
              <w:t>1分，</w:t>
            </w:r>
            <w:r>
              <w:t>不提供不得分。</w:t>
            </w:r>
          </w:p>
        </w:tc>
      </w:tr>
      <w:tr w14:paraId="7CDF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06" w:type="pct"/>
            <w:shd w:val="clear" w:color="auto" w:fill="auto"/>
            <w:noWrap w:val="0"/>
            <w:vAlign w:val="center"/>
          </w:tcPr>
          <w:p w14:paraId="64F79A19">
            <w:pPr>
              <w:pStyle w:val="34"/>
              <w:jc w:val="center"/>
              <w:rPr>
                <w:rFonts w:hint="eastAsia"/>
              </w:rPr>
            </w:pPr>
            <w:r>
              <w:t>售后服务</w:t>
            </w:r>
          </w:p>
        </w:tc>
        <w:tc>
          <w:tcPr>
            <w:tcW w:w="512" w:type="pct"/>
            <w:shd w:val="clear" w:color="auto" w:fill="auto"/>
            <w:noWrap w:val="0"/>
            <w:vAlign w:val="center"/>
          </w:tcPr>
          <w:p w14:paraId="1D46B84E">
            <w:pPr>
              <w:pStyle w:val="34"/>
              <w:jc w:val="center"/>
              <w:rPr>
                <w:rFonts w:hint="eastAsia"/>
              </w:rPr>
            </w:pPr>
            <w:r>
              <w:t>5</w:t>
            </w:r>
            <w:r>
              <w:rPr>
                <w:rFonts w:hint="eastAsia"/>
              </w:rPr>
              <w:t>分</w:t>
            </w:r>
          </w:p>
        </w:tc>
        <w:tc>
          <w:tcPr>
            <w:tcW w:w="3881" w:type="pct"/>
            <w:shd w:val="clear" w:color="000000" w:fill="FFFFFF"/>
            <w:noWrap w:val="0"/>
            <w:vAlign w:val="center"/>
          </w:tcPr>
          <w:p w14:paraId="2C85EB7C">
            <w:pPr>
              <w:pStyle w:val="34"/>
              <w:rPr>
                <w:rFonts w:hint="eastAsia" w:ascii="宋体" w:hAnsi="宋体"/>
              </w:rPr>
            </w:pPr>
            <w:r>
              <w:rPr>
                <w:rFonts w:ascii="宋体" w:hAnsi="宋体"/>
              </w:rPr>
              <w:t>提供详细的售后服务方案，根据投标人的服务能力、服务保障措施、培训方案、应急方案的可行性合理性情况进行评分。</w:t>
            </w:r>
          </w:p>
          <w:p w14:paraId="44ADBF93">
            <w:pPr>
              <w:pStyle w:val="34"/>
              <w:rPr>
                <w:rFonts w:hint="eastAsia"/>
              </w:rPr>
            </w:pPr>
            <w:r>
              <w:rPr>
                <w:rFonts w:ascii="宋体" w:hAnsi="宋体"/>
              </w:rPr>
              <w:t>综合评价为优：5分；良：3分；一般：1分，方案差或者不提供不得分。</w:t>
            </w:r>
          </w:p>
        </w:tc>
      </w:tr>
    </w:tbl>
    <w:p w14:paraId="60847DD7">
      <w:pPr>
        <w:outlineLvl w:val="9"/>
        <w:rPr>
          <w:rFonts w:hint="eastAsia" w:ascii="宋体" w:hAnsi="宋体" w:cs="宋体"/>
          <w:color w:val="auto"/>
        </w:rPr>
      </w:pPr>
    </w:p>
    <w:p w14:paraId="0661876B">
      <w:pPr>
        <w:outlineLvl w:val="9"/>
        <w:rPr>
          <w:rFonts w:hint="eastAsia" w:ascii="宋体" w:hAnsi="宋体" w:cs="宋体"/>
          <w:color w:val="auto"/>
        </w:rPr>
      </w:pPr>
    </w:p>
    <w:p w14:paraId="0B608F25">
      <w:pPr>
        <w:autoSpaceDE w:val="0"/>
        <w:autoSpaceDN w:val="0"/>
        <w:adjustRightInd w:val="0"/>
        <w:spacing w:line="240" w:lineRule="auto"/>
        <w:ind w:firstLine="482"/>
        <w:rPr>
          <w:b/>
          <w:bCs/>
          <w:color w:val="auto"/>
          <w:sz w:val="24"/>
          <w:szCs w:val="24"/>
          <w:highlight w:val="none"/>
        </w:rPr>
      </w:pPr>
      <w:r>
        <w:rPr>
          <w:rFonts w:hint="eastAsia"/>
          <w:b/>
          <w:color w:val="auto"/>
          <w:sz w:val="24"/>
          <w:szCs w:val="24"/>
          <w:highlight w:val="none"/>
        </w:rPr>
        <w:br w:type="page"/>
      </w:r>
    </w:p>
    <w:p w14:paraId="5EAED444">
      <w:pPr>
        <w:spacing w:line="360" w:lineRule="auto"/>
        <w:jc w:val="center"/>
        <w:outlineLvl w:val="0"/>
        <w:rPr>
          <w:rFonts w:hint="eastAsia"/>
          <w:b/>
          <w:color w:val="auto"/>
          <w:sz w:val="32"/>
          <w:szCs w:val="32"/>
          <w:highlight w:val="none"/>
        </w:rPr>
      </w:pPr>
      <w:bookmarkStart w:id="86" w:name="_Toc72_WPSOffice_Level1"/>
      <w:bookmarkStart w:id="87" w:name="_Toc8837"/>
      <w:r>
        <w:rPr>
          <w:rFonts w:hint="eastAsia"/>
          <w:b/>
          <w:color w:val="auto"/>
          <w:sz w:val="32"/>
          <w:szCs w:val="32"/>
          <w:highlight w:val="none"/>
        </w:rPr>
        <w:t>第</w:t>
      </w:r>
      <w:r>
        <w:rPr>
          <w:rFonts w:hint="eastAsia"/>
          <w:b/>
          <w:color w:val="auto"/>
          <w:sz w:val="32"/>
          <w:szCs w:val="32"/>
          <w:highlight w:val="none"/>
          <w:lang w:eastAsia="zh-CN"/>
        </w:rPr>
        <w:t>八章</w:t>
      </w:r>
      <w:r>
        <w:rPr>
          <w:rFonts w:hint="eastAsia"/>
          <w:b/>
          <w:color w:val="auto"/>
          <w:sz w:val="32"/>
          <w:szCs w:val="32"/>
          <w:highlight w:val="none"/>
          <w:lang w:val="en-US" w:eastAsia="zh-CN"/>
        </w:rPr>
        <w:t xml:space="preserve"> </w:t>
      </w:r>
      <w:r>
        <w:rPr>
          <w:rFonts w:hint="eastAsia"/>
          <w:b/>
          <w:color w:val="auto"/>
          <w:sz w:val="32"/>
          <w:szCs w:val="32"/>
          <w:highlight w:val="none"/>
        </w:rPr>
        <w:t xml:space="preserve">  附件</w:t>
      </w:r>
      <w:bookmarkEnd w:id="86"/>
      <w:bookmarkEnd w:id="87"/>
    </w:p>
    <w:p w14:paraId="36ADC484">
      <w:pPr>
        <w:jc w:val="center"/>
        <w:rPr>
          <w:rFonts w:hint="eastAsia" w:eastAsia="宋体"/>
          <w:color w:val="auto"/>
          <w:highlight w:val="none"/>
          <w:lang w:eastAsia="zh-CN"/>
        </w:rPr>
      </w:pPr>
      <w:r>
        <w:rPr>
          <w:rFonts w:hint="eastAsia"/>
          <w:color w:val="auto"/>
          <w:highlight w:val="none"/>
          <w:lang w:eastAsia="zh-CN"/>
        </w:rPr>
        <w:t>无</w:t>
      </w:r>
    </w:p>
    <w:sectPr>
      <w:footerReference r:id="rId8" w:type="first"/>
      <w:footerReference r:id="rId7" w:type="default"/>
      <w:pgSz w:w="11906" w:h="16838"/>
      <w:pgMar w:top="1417" w:right="1417" w:bottom="1417" w:left="1701" w:header="850" w:footer="737" w:gutter="0"/>
      <w:pgNumType w:fmt="decimal" w:start="1"/>
      <w:cols w:space="720" w:num="1"/>
      <w:titlePg/>
      <w:rtlGutter w:val="0"/>
      <w:docGrid w:type="lines" w:linePitch="5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roman"/>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880CD">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156BC">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E08A8">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30037">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F430037">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73F22">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8DE8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CA8DE8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D3EBD">
    <w:pPr>
      <w:pStyle w:val="11"/>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3820C">
    <w:pPr>
      <w:pStyle w:val="11"/>
      <w:pBdr>
        <w:bottom w:val="none" w:color="auto" w:sz="0" w:space="1"/>
      </w:pBdr>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E21A7"/>
    <w:multiLevelType w:val="singleLevel"/>
    <w:tmpl w:val="ACCE21A7"/>
    <w:lvl w:ilvl="0" w:tentative="0">
      <w:start w:val="5"/>
      <w:numFmt w:val="chineseCounting"/>
      <w:suff w:val="space"/>
      <w:lvlText w:val="第%1章"/>
      <w:lvlJc w:val="left"/>
      <w:rPr>
        <w:rFonts w:hint="eastAsia"/>
      </w:rPr>
    </w:lvl>
  </w:abstractNum>
  <w:abstractNum w:abstractNumId="1">
    <w:nsid w:val="1C040AE5"/>
    <w:multiLevelType w:val="multilevel"/>
    <w:tmpl w:val="1C040AE5"/>
    <w:lvl w:ilvl="0" w:tentative="0">
      <w:start w:val="1"/>
      <w:numFmt w:val="decimal"/>
      <w:lvlText w:val="%1、"/>
      <w:lvlJc w:val="left"/>
      <w:pPr>
        <w:tabs>
          <w:tab w:val="left" w:pos="720"/>
        </w:tabs>
        <w:ind w:left="720" w:hanging="720"/>
      </w:pPr>
      <w:rPr>
        <w:rFonts w:hint="default"/>
        <w:sz w:val="3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B4876C8"/>
    <w:multiLevelType w:val="singleLevel"/>
    <w:tmpl w:val="4B4876C8"/>
    <w:lvl w:ilvl="0" w:tentative="0">
      <w:start w:val="2"/>
      <w:numFmt w:val="chineseCounting"/>
      <w:suff w:val="nothing"/>
      <w:lvlText w:val="%1、"/>
      <w:lvlJc w:val="left"/>
      <w:rPr>
        <w:rFonts w:hint="eastAsia"/>
      </w:rPr>
    </w:lvl>
  </w:abstractNum>
  <w:abstractNum w:abstractNumId="3">
    <w:nsid w:val="7E77640B"/>
    <w:multiLevelType w:val="multilevel"/>
    <w:tmpl w:val="7E77640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YzgxM2UwOGFjYWZkZTQ0MjhlYTQ2OGIwYmEzMWUifQ=="/>
  </w:docVars>
  <w:rsids>
    <w:rsidRoot w:val="00000000"/>
    <w:rsid w:val="00245594"/>
    <w:rsid w:val="00B96975"/>
    <w:rsid w:val="01144C84"/>
    <w:rsid w:val="02B62867"/>
    <w:rsid w:val="037D2F44"/>
    <w:rsid w:val="040C7084"/>
    <w:rsid w:val="05F17CC7"/>
    <w:rsid w:val="05FC16E5"/>
    <w:rsid w:val="06764670"/>
    <w:rsid w:val="08805332"/>
    <w:rsid w:val="09843155"/>
    <w:rsid w:val="09E3118E"/>
    <w:rsid w:val="0ACE395C"/>
    <w:rsid w:val="0B0104FC"/>
    <w:rsid w:val="0B4B314A"/>
    <w:rsid w:val="0BBE2417"/>
    <w:rsid w:val="0BF422BF"/>
    <w:rsid w:val="0C2549AF"/>
    <w:rsid w:val="0C67047E"/>
    <w:rsid w:val="0E2705D8"/>
    <w:rsid w:val="0E3C0FBE"/>
    <w:rsid w:val="0EC95C12"/>
    <w:rsid w:val="0EF32D02"/>
    <w:rsid w:val="0F1F4B3E"/>
    <w:rsid w:val="0F2F7E1D"/>
    <w:rsid w:val="0FF670FC"/>
    <w:rsid w:val="109347FC"/>
    <w:rsid w:val="10AF15EB"/>
    <w:rsid w:val="11405FA6"/>
    <w:rsid w:val="123416E2"/>
    <w:rsid w:val="12DD64A0"/>
    <w:rsid w:val="13795301"/>
    <w:rsid w:val="1380092F"/>
    <w:rsid w:val="13A26AA4"/>
    <w:rsid w:val="13B35BD8"/>
    <w:rsid w:val="1615355E"/>
    <w:rsid w:val="17731ACB"/>
    <w:rsid w:val="17B32271"/>
    <w:rsid w:val="189E2995"/>
    <w:rsid w:val="1A743142"/>
    <w:rsid w:val="1AB242F6"/>
    <w:rsid w:val="1C937089"/>
    <w:rsid w:val="1D593F4C"/>
    <w:rsid w:val="1FA45952"/>
    <w:rsid w:val="21D93ECE"/>
    <w:rsid w:val="23391C4C"/>
    <w:rsid w:val="241957C6"/>
    <w:rsid w:val="243C125F"/>
    <w:rsid w:val="24B54FBE"/>
    <w:rsid w:val="2A73664D"/>
    <w:rsid w:val="2BCD2CA4"/>
    <w:rsid w:val="2C413910"/>
    <w:rsid w:val="2C7F752B"/>
    <w:rsid w:val="2D1759B5"/>
    <w:rsid w:val="2E8A0B8C"/>
    <w:rsid w:val="2FE57C07"/>
    <w:rsid w:val="30D00E35"/>
    <w:rsid w:val="30F46739"/>
    <w:rsid w:val="31184CE2"/>
    <w:rsid w:val="314E1CC3"/>
    <w:rsid w:val="32680FDF"/>
    <w:rsid w:val="334C7851"/>
    <w:rsid w:val="36DA7728"/>
    <w:rsid w:val="37362EDC"/>
    <w:rsid w:val="37695498"/>
    <w:rsid w:val="3C3B1DC5"/>
    <w:rsid w:val="3D866762"/>
    <w:rsid w:val="3DEF5D3E"/>
    <w:rsid w:val="3F4D07DD"/>
    <w:rsid w:val="42975177"/>
    <w:rsid w:val="433D2357"/>
    <w:rsid w:val="44A6703F"/>
    <w:rsid w:val="45B6332D"/>
    <w:rsid w:val="46AE7D5C"/>
    <w:rsid w:val="47285746"/>
    <w:rsid w:val="47F4756F"/>
    <w:rsid w:val="487815A6"/>
    <w:rsid w:val="4A721A1D"/>
    <w:rsid w:val="4FA964E9"/>
    <w:rsid w:val="51624BA2"/>
    <w:rsid w:val="51654692"/>
    <w:rsid w:val="526074BB"/>
    <w:rsid w:val="54146016"/>
    <w:rsid w:val="543C5934"/>
    <w:rsid w:val="558A2919"/>
    <w:rsid w:val="5647559C"/>
    <w:rsid w:val="567C5B8B"/>
    <w:rsid w:val="56C47577"/>
    <w:rsid w:val="56DB2527"/>
    <w:rsid w:val="57652416"/>
    <w:rsid w:val="58644437"/>
    <w:rsid w:val="586B4DB0"/>
    <w:rsid w:val="58940CD5"/>
    <w:rsid w:val="590C1FE3"/>
    <w:rsid w:val="59927FEE"/>
    <w:rsid w:val="59AD4E28"/>
    <w:rsid w:val="5A0F2BFE"/>
    <w:rsid w:val="5A5964C5"/>
    <w:rsid w:val="5AA70D47"/>
    <w:rsid w:val="5AF30F60"/>
    <w:rsid w:val="5AF81974"/>
    <w:rsid w:val="5C396474"/>
    <w:rsid w:val="5CC66024"/>
    <w:rsid w:val="5D1B7B7D"/>
    <w:rsid w:val="5E06514C"/>
    <w:rsid w:val="5E5C74A8"/>
    <w:rsid w:val="5EE02CE8"/>
    <w:rsid w:val="5FD924D3"/>
    <w:rsid w:val="60D91008"/>
    <w:rsid w:val="61E97DA8"/>
    <w:rsid w:val="64FC2424"/>
    <w:rsid w:val="65BA41A2"/>
    <w:rsid w:val="680266D6"/>
    <w:rsid w:val="680F0121"/>
    <w:rsid w:val="69085BD7"/>
    <w:rsid w:val="6A590DE0"/>
    <w:rsid w:val="6AF17CBB"/>
    <w:rsid w:val="6B160A7F"/>
    <w:rsid w:val="6B2A6220"/>
    <w:rsid w:val="6D480C98"/>
    <w:rsid w:val="6D615927"/>
    <w:rsid w:val="6E1C758C"/>
    <w:rsid w:val="6F0E3034"/>
    <w:rsid w:val="6F175096"/>
    <w:rsid w:val="73B70925"/>
    <w:rsid w:val="750A271F"/>
    <w:rsid w:val="75577ADA"/>
    <w:rsid w:val="762A6891"/>
    <w:rsid w:val="766E30A7"/>
    <w:rsid w:val="76BC03B8"/>
    <w:rsid w:val="789E20B4"/>
    <w:rsid w:val="7A7C7C83"/>
    <w:rsid w:val="7BAE6CB7"/>
    <w:rsid w:val="7C0530E5"/>
    <w:rsid w:val="7EFB2734"/>
    <w:rsid w:val="7F6D4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lang w:val="en-US" w:eastAsia="zh-CN" w:bidi="ar-SA"/>
    </w:rPr>
  </w:style>
  <w:style w:type="paragraph" w:styleId="2">
    <w:name w:val="heading 1"/>
    <w:basedOn w:val="1"/>
    <w:next w:val="1"/>
    <w:autoRedefine/>
    <w:qFormat/>
    <w:uiPriority w:val="0"/>
    <w:pPr>
      <w:keepNext/>
      <w:keepLines/>
      <w:spacing w:before="340" w:beforeLines="0" w:after="330" w:afterLines="0" w:line="578" w:lineRule="auto"/>
      <w:outlineLvl w:val="0"/>
    </w:pPr>
    <w:rPr>
      <w:b/>
      <w:kern w:val="44"/>
      <w:sz w:val="44"/>
      <w:szCs w:val="20"/>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99"/>
    <w:pPr>
      <w:keepNext/>
      <w:keepLines/>
      <w:spacing w:before="260" w:after="260" w:line="416" w:lineRule="auto"/>
      <w:outlineLvl w:val="2"/>
    </w:pPr>
    <w:rPr>
      <w:rFonts w:ascii="Calibri" w:hAnsi="Calibri" w:cs="Calibri"/>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Body Text"/>
    <w:basedOn w:val="1"/>
    <w:next w:val="1"/>
    <w:autoRedefine/>
    <w:qFormat/>
    <w:uiPriority w:val="0"/>
    <w:rPr>
      <w:rFonts w:eastAsia="楷体_GB2312"/>
      <w:sz w:val="30"/>
    </w:rPr>
  </w:style>
  <w:style w:type="paragraph" w:styleId="7">
    <w:name w:val="Block Text"/>
    <w:basedOn w:val="1"/>
    <w:qFormat/>
    <w:uiPriority w:val="0"/>
    <w:pPr>
      <w:spacing w:line="580" w:lineRule="exact"/>
      <w:ind w:left="414" w:leftChars="250" w:right="28" w:hanging="164" w:hangingChars="164"/>
    </w:pPr>
    <w:rPr>
      <w:rFonts w:ascii="楷体_GB2312" w:eastAsia="楷体_GB2312"/>
      <w:snapToGrid w:val="0"/>
      <w:spacing w:val="8"/>
      <w:kern w:val="0"/>
      <w:sz w:val="24"/>
    </w:rPr>
  </w:style>
  <w:style w:type="paragraph" w:styleId="8">
    <w:name w:val="Plain Text"/>
    <w:basedOn w:val="1"/>
    <w:qFormat/>
    <w:uiPriority w:val="0"/>
    <w:pPr>
      <w:spacing w:beforeLines="50" w:afterLines="50" w:line="400" w:lineRule="atLeast"/>
    </w:pPr>
    <w:rPr>
      <w:rFonts w:hint="eastAsia" w:ascii="宋体" w:hAnsi="Courier New"/>
      <w:sz w:val="24"/>
      <w:szCs w:val="24"/>
    </w:rPr>
  </w:style>
  <w:style w:type="paragraph" w:styleId="9">
    <w:name w:val="Date"/>
    <w:basedOn w:val="1"/>
    <w:next w:val="1"/>
    <w:autoRedefine/>
    <w:qFormat/>
    <w:uiPriority w:val="0"/>
    <w:pPr>
      <w:jc w:val="both"/>
    </w:pPr>
    <w:rPr>
      <w:kern w:val="2"/>
      <w:sz w:val="24"/>
    </w:rPr>
  </w:style>
  <w:style w:type="paragraph" w:styleId="10">
    <w:name w:val="footer"/>
    <w:basedOn w:val="1"/>
    <w:autoRedefine/>
    <w:qFormat/>
    <w:uiPriority w:val="0"/>
    <w:pPr>
      <w:tabs>
        <w:tab w:val="center" w:pos="4153"/>
        <w:tab w:val="right" w:pos="8306"/>
      </w:tabs>
      <w:snapToGrid w:val="0"/>
      <w:jc w:val="left"/>
    </w:pPr>
    <w:rPr>
      <w:rFonts w:eastAsia="宋体"/>
      <w:kern w:val="2"/>
      <w:sz w:val="18"/>
      <w:lang w:val="en-US" w:eastAsia="zh-CN" w:bidi="ar-SA"/>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autoRedefine/>
    <w:qFormat/>
    <w:uiPriority w:val="39"/>
  </w:style>
  <w:style w:type="paragraph" w:styleId="13">
    <w:name w:val="Normal (Web)"/>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styleId="14">
    <w:name w:val="Title"/>
    <w:basedOn w:val="1"/>
    <w:next w:val="1"/>
    <w:autoRedefine/>
    <w:qFormat/>
    <w:uiPriority w:val="10"/>
    <w:pPr>
      <w:autoSpaceDE w:val="0"/>
      <w:autoSpaceDN w:val="0"/>
      <w:adjustRightInd w:val="0"/>
      <w:spacing w:before="240" w:after="60"/>
      <w:jc w:val="center"/>
      <w:outlineLvl w:val="0"/>
    </w:pPr>
    <w:rPr>
      <w:rFonts w:asciiTheme="majorHAnsi" w:hAnsiTheme="majorHAnsi" w:eastAsiaTheme="majorEastAsia" w:cstheme="majorBidi"/>
      <w:b/>
      <w:bCs/>
      <w:kern w:val="0"/>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bCs/>
    </w:rPr>
  </w:style>
  <w:style w:type="character" w:styleId="19">
    <w:name w:val="page number"/>
    <w:basedOn w:val="17"/>
    <w:autoRedefine/>
    <w:qFormat/>
    <w:uiPriority w:val="99"/>
  </w:style>
  <w:style w:type="character" w:styleId="20">
    <w:name w:val="FollowedHyperlink"/>
    <w:basedOn w:val="17"/>
    <w:autoRedefine/>
    <w:qFormat/>
    <w:uiPriority w:val="0"/>
    <w:rPr>
      <w:color w:val="800080"/>
      <w:u w:val="none"/>
    </w:rPr>
  </w:style>
  <w:style w:type="character" w:styleId="21">
    <w:name w:val="Emphasis"/>
    <w:basedOn w:val="17"/>
    <w:autoRedefine/>
    <w:qFormat/>
    <w:uiPriority w:val="0"/>
    <w:rPr>
      <w:b/>
      <w:bCs/>
    </w:rPr>
  </w:style>
  <w:style w:type="character" w:styleId="22">
    <w:name w:val="HTML Definition"/>
    <w:basedOn w:val="17"/>
    <w:autoRedefine/>
    <w:qFormat/>
    <w:uiPriority w:val="0"/>
  </w:style>
  <w:style w:type="character" w:styleId="23">
    <w:name w:val="HTML Typewriter"/>
    <w:basedOn w:val="17"/>
    <w:autoRedefine/>
    <w:qFormat/>
    <w:uiPriority w:val="0"/>
    <w:rPr>
      <w:rFonts w:ascii="monospace" w:hAnsi="monospace" w:eastAsia="monospace" w:cs="monospace"/>
      <w:sz w:val="20"/>
    </w:rPr>
  </w:style>
  <w:style w:type="character" w:styleId="24">
    <w:name w:val="HTML Acronym"/>
    <w:basedOn w:val="17"/>
    <w:autoRedefine/>
    <w:qFormat/>
    <w:uiPriority w:val="0"/>
  </w:style>
  <w:style w:type="character" w:styleId="25">
    <w:name w:val="HTML Variable"/>
    <w:basedOn w:val="17"/>
    <w:autoRedefine/>
    <w:qFormat/>
    <w:uiPriority w:val="0"/>
  </w:style>
  <w:style w:type="character" w:styleId="26">
    <w:name w:val="Hyperlink"/>
    <w:basedOn w:val="17"/>
    <w:autoRedefine/>
    <w:qFormat/>
    <w:uiPriority w:val="0"/>
    <w:rPr>
      <w:color w:val="0000FF"/>
      <w:u w:val="none"/>
    </w:rPr>
  </w:style>
  <w:style w:type="character" w:styleId="27">
    <w:name w:val="HTML Code"/>
    <w:basedOn w:val="17"/>
    <w:autoRedefine/>
    <w:qFormat/>
    <w:uiPriority w:val="0"/>
    <w:rPr>
      <w:rFonts w:hint="default" w:ascii="monospace" w:hAnsi="monospace" w:eastAsia="monospace" w:cs="monospace"/>
      <w:sz w:val="20"/>
    </w:rPr>
  </w:style>
  <w:style w:type="character" w:styleId="28">
    <w:name w:val="annotation reference"/>
    <w:basedOn w:val="17"/>
    <w:autoRedefine/>
    <w:qFormat/>
    <w:uiPriority w:val="99"/>
    <w:rPr>
      <w:sz w:val="21"/>
      <w:szCs w:val="21"/>
    </w:rPr>
  </w:style>
  <w:style w:type="character" w:styleId="29">
    <w:name w:val="HTML Cite"/>
    <w:basedOn w:val="17"/>
    <w:autoRedefine/>
    <w:qFormat/>
    <w:uiPriority w:val="0"/>
  </w:style>
  <w:style w:type="character" w:styleId="30">
    <w:name w:val="HTML Keyboard"/>
    <w:basedOn w:val="17"/>
    <w:autoRedefine/>
    <w:qFormat/>
    <w:uiPriority w:val="0"/>
    <w:rPr>
      <w:rFonts w:hint="default" w:ascii="monospace" w:hAnsi="monospace" w:eastAsia="monospace" w:cs="monospace"/>
      <w:sz w:val="20"/>
    </w:rPr>
  </w:style>
  <w:style w:type="character" w:styleId="31">
    <w:name w:val="HTML Sample"/>
    <w:basedOn w:val="17"/>
    <w:autoRedefine/>
    <w:qFormat/>
    <w:uiPriority w:val="0"/>
    <w:rPr>
      <w:rFonts w:hint="default" w:ascii="monospace" w:hAnsi="monospace" w:eastAsia="monospace" w:cs="monospace"/>
    </w:rPr>
  </w:style>
  <w:style w:type="paragraph" w:customStyle="1" w:styleId="32">
    <w:name w:val="Default"/>
    <w:next w:val="9"/>
    <w:autoRedefine/>
    <w:qFormat/>
    <w:uiPriority w:val="0"/>
    <w:pPr>
      <w:widowControl w:val="0"/>
      <w:suppressAutoHyphens w:val="0"/>
      <w:bidi w:val="0"/>
      <w:spacing w:beforeLines="0" w:beforeAutospacing="0" w:afterLines="0" w:afterAutospacing="0"/>
      <w:jc w:val="left"/>
    </w:pPr>
    <w:rPr>
      <w:rFonts w:ascii="宋体" w:hAnsi="宋体" w:eastAsia="等线" w:cs="宋体"/>
      <w:color w:val="000000"/>
      <w:kern w:val="0"/>
      <w:sz w:val="24"/>
      <w:szCs w:val="24"/>
      <w:lang w:val="en-US" w:eastAsia="zh-CN" w:bidi="ar-SA"/>
    </w:rPr>
  </w:style>
  <w:style w:type="paragraph" w:customStyle="1" w:styleId="33">
    <w:name w:val="WPSOffice手动目录 1"/>
    <w:autoRedefine/>
    <w:qFormat/>
    <w:uiPriority w:val="0"/>
    <w:pPr>
      <w:ind w:leftChars="0"/>
    </w:pPr>
    <w:rPr>
      <w:rFonts w:ascii="Calibri" w:hAnsi="Calibri" w:eastAsia="宋体" w:cs="宋体"/>
      <w:sz w:val="20"/>
      <w:szCs w:val="20"/>
    </w:rPr>
  </w:style>
  <w:style w:type="paragraph" w:styleId="34">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5">
    <w:name w:val="È±Ê¡ÎÄ±¾"/>
    <w:basedOn w:val="1"/>
    <w:autoRedefine/>
    <w:qFormat/>
    <w:uiPriority w:val="0"/>
    <w:pPr>
      <w:overflowPunct w:val="0"/>
      <w:autoSpaceDE w:val="0"/>
      <w:autoSpaceDN w:val="0"/>
      <w:adjustRightInd w:val="0"/>
      <w:textAlignment w:val="baseline"/>
    </w:pPr>
    <w:rPr>
      <w:sz w:val="24"/>
    </w:rPr>
  </w:style>
  <w:style w:type="paragraph" w:customStyle="1" w:styleId="36">
    <w:name w:val="样式2"/>
    <w:basedOn w:val="1"/>
    <w:autoRedefine/>
    <w:qFormat/>
    <w:uiPriority w:val="0"/>
    <w:pPr>
      <w:widowControl w:val="0"/>
      <w:jc w:val="both"/>
    </w:pPr>
    <w:rPr>
      <w:rFonts w:ascii="仿宋_GB2312" w:eastAsia="仿宋_GB2312"/>
      <w:kern w:val="2"/>
      <w:sz w:val="32"/>
    </w:rPr>
  </w:style>
  <w:style w:type="character" w:customStyle="1" w:styleId="37">
    <w:name w:val="NormalCharacter"/>
    <w:autoRedefine/>
    <w:qFormat/>
    <w:uiPriority w:val="0"/>
  </w:style>
  <w:style w:type="character" w:customStyle="1" w:styleId="38">
    <w:name w:val="mini-outputtext1"/>
    <w:basedOn w:val="17"/>
    <w:autoRedefine/>
    <w:qFormat/>
    <w:uiPriority w:val="0"/>
  </w:style>
  <w:style w:type="paragraph" w:customStyle="1" w:styleId="39">
    <w:name w:val="List Paragraph"/>
    <w:basedOn w:val="1"/>
    <w:autoRedefine/>
    <w:qFormat/>
    <w:uiPriority w:val="0"/>
    <w:pPr>
      <w:autoSpaceDE w:val="0"/>
      <w:autoSpaceDN w:val="0"/>
      <w:spacing w:before="122"/>
      <w:ind w:left="1088" w:hanging="408"/>
      <w:jc w:val="left"/>
    </w:pPr>
    <w:rPr>
      <w:rFonts w:ascii="仿宋" w:hAnsi="仿宋" w:eastAsia="仿宋" w:cs="仿宋"/>
      <w:kern w:val="0"/>
      <w:sz w:val="22"/>
      <w:szCs w:val="22"/>
      <w:lang w:eastAsia="en-US"/>
    </w:rPr>
  </w:style>
  <w:style w:type="paragraph" w:customStyle="1" w:styleId="40">
    <w:name w:val="样式 正文11 + 首行缩进:  2 字符"/>
    <w:basedOn w:val="1"/>
    <w:autoRedefine/>
    <w:qFormat/>
    <w:uiPriority w:val="0"/>
    <w:pPr>
      <w:spacing w:line="500" w:lineRule="exact"/>
      <w:ind w:firstLine="560" w:firstLineChars="200"/>
    </w:pPr>
    <w:rPr>
      <w:rFonts w:ascii="宋体" w:hAnsi="宋体" w:cs="宋体"/>
      <w:b/>
      <w:color w:val="FF0000"/>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18133</Words>
  <Characters>19415</Characters>
  <Lines>0</Lines>
  <Paragraphs>0</Paragraphs>
  <TotalTime>55</TotalTime>
  <ScaleCrop>false</ScaleCrop>
  <LinksUpToDate>false</LinksUpToDate>
  <CharactersWithSpaces>20171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M先生</cp:lastModifiedBy>
  <cp:lastPrinted>2022-10-14T07:38:00Z</cp:lastPrinted>
  <dcterms:modified xsi:type="dcterms:W3CDTF">2025-07-07T06:30:36Z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1240D0A33FD649089B963B6CBA9B277F_13</vt:lpwstr>
  </property>
  <property fmtid="{D5CDD505-2E9C-101B-9397-08002B2CF9AE}" pid="4" name="KSOTemplateDocerSaveRecord">
    <vt:lpwstr>eyJoZGlkIjoiM2E4ZjNiNWE1YmY0ODdhM2E1NzM0ZTZkYzBmYjRmZmYiLCJ1c2VySWQiOiI0MjI3MTk4NjIifQ==</vt:lpwstr>
  </property>
</Properties>
</file>