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4792D">
      <w:pPr>
        <w:pStyle w:val="35"/>
        <w:rPr>
          <w:rFonts w:hint="eastAsia" w:ascii="仿宋" w:hAnsi="仿宋" w:eastAsia="仿宋" w:cs="仿宋"/>
          <w:color w:val="auto"/>
          <w:highlight w:val="none"/>
        </w:rPr>
      </w:pPr>
    </w:p>
    <w:p w14:paraId="0A4855F2">
      <w:pPr>
        <w:pStyle w:val="17"/>
        <w:ind w:left="0" w:leftChars="0" w:firstLine="0" w:firstLineChars="0"/>
        <w:jc w:val="both"/>
        <w:rPr>
          <w:rFonts w:hint="eastAsia" w:ascii="仿宋" w:hAnsi="仿宋" w:eastAsia="仿宋" w:cs="仿宋"/>
          <w:b/>
          <w:bCs/>
          <w:color w:val="auto"/>
          <w:sz w:val="44"/>
          <w:szCs w:val="44"/>
          <w:highlight w:val="none"/>
          <w:lang w:val="en-US" w:eastAsia="zh-CN"/>
        </w:rPr>
      </w:pPr>
    </w:p>
    <w:p w14:paraId="70F5ED3D">
      <w:pPr>
        <w:ind w:left="0" w:leftChars="0" w:firstLine="0" w:firstLineChars="0"/>
        <w:jc w:val="center"/>
        <w:rPr>
          <w:rFonts w:hint="default" w:cs="仿宋"/>
          <w:b/>
          <w:bCs/>
          <w:color w:val="auto"/>
          <w:sz w:val="48"/>
          <w:szCs w:val="48"/>
          <w:highlight w:val="none"/>
          <w:lang w:val="en-US" w:eastAsia="zh-CN"/>
        </w:rPr>
      </w:pPr>
      <w:r>
        <w:rPr>
          <w:rFonts w:hint="eastAsia" w:cs="仿宋"/>
          <w:b/>
          <w:bCs/>
          <w:color w:val="auto"/>
          <w:sz w:val="48"/>
          <w:szCs w:val="48"/>
          <w:highlight w:val="none"/>
          <w:lang w:val="en-US" w:eastAsia="zh-CN"/>
        </w:rPr>
        <w:t>舒兰市滨河社区卫生服务中心医疗设备采购项目</w:t>
      </w:r>
    </w:p>
    <w:p w14:paraId="71E376FA">
      <w:pPr>
        <w:ind w:left="0" w:leftChars="0" w:firstLine="0" w:firstLineChars="0"/>
        <w:jc w:val="center"/>
        <w:rPr>
          <w:rFonts w:hint="eastAsia" w:cs="仿宋"/>
          <w:b/>
          <w:bCs/>
          <w:color w:val="auto"/>
          <w:sz w:val="44"/>
          <w:szCs w:val="44"/>
          <w:highlight w:val="none"/>
          <w:lang w:val="en-US" w:eastAsia="zh-CN"/>
        </w:rPr>
      </w:pPr>
    </w:p>
    <w:p w14:paraId="4B4CB799">
      <w:pPr>
        <w:pStyle w:val="14"/>
        <w:ind w:left="0" w:leftChars="0" w:firstLine="0" w:firstLineChars="0"/>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项目编号：</w:t>
      </w:r>
      <w:r>
        <w:rPr>
          <w:rFonts w:hint="eastAsia" w:ascii="仿宋" w:hAnsi="仿宋" w:cs="仿宋"/>
          <w:color w:val="auto"/>
          <w:sz w:val="32"/>
          <w:szCs w:val="32"/>
          <w:highlight w:val="none"/>
          <w:lang w:eastAsia="zh-CN"/>
        </w:rPr>
        <w:t>采购计划-[2025]-00098号-ZYCXZB034-1</w:t>
      </w:r>
      <w:r>
        <w:rPr>
          <w:rFonts w:hint="eastAsia" w:ascii="仿宋" w:hAnsi="仿宋" w:cs="仿宋"/>
          <w:color w:val="auto"/>
          <w:sz w:val="32"/>
          <w:szCs w:val="32"/>
          <w:highlight w:val="none"/>
          <w:lang w:val="en-US" w:eastAsia="zh-CN"/>
        </w:rPr>
        <w:t>-1</w:t>
      </w:r>
    </w:p>
    <w:p w14:paraId="677B2AF3">
      <w:pPr>
        <w:ind w:firstLine="480"/>
        <w:rPr>
          <w:rFonts w:hint="eastAsia" w:ascii="仿宋" w:hAnsi="仿宋" w:eastAsia="仿宋" w:cs="仿宋"/>
          <w:color w:val="auto"/>
          <w:highlight w:val="none"/>
          <w:lang w:eastAsia="zh-CN"/>
        </w:rPr>
      </w:pPr>
    </w:p>
    <w:p w14:paraId="37E35028">
      <w:pPr>
        <w:pStyle w:val="17"/>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bCs/>
          <w:iCs/>
          <w:color w:val="auto"/>
          <w:sz w:val="52"/>
          <w:szCs w:val="52"/>
          <w:highlight w:val="none"/>
        </w:rPr>
        <w:drawing>
          <wp:inline distT="0" distB="0" distL="0" distR="0">
            <wp:extent cx="2964815" cy="2879725"/>
            <wp:effectExtent l="0" t="0" r="0" b="0"/>
            <wp:docPr id="4" name="图片 4" descr="IMG_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408"/>
                    <pic:cNvPicPr>
                      <a:picLocks noChangeAspect="1" noChangeArrowheads="1"/>
                    </pic:cNvPicPr>
                  </pic:nvPicPr>
                  <pic:blipFill>
                    <a:blip r:embed="rId12" cstate="print">
                      <a:extLst>
                        <a:ext uri="{28A0092B-C50C-407E-A947-70E740481C1C}">
                          <a14:useLocalDpi xmlns:a14="http://schemas.microsoft.com/office/drawing/2010/main" val="0"/>
                        </a:ext>
                      </a:extLst>
                    </a:blip>
                    <a:srcRect l="25980" t="26065" r="26273" b="22108"/>
                    <a:stretch>
                      <a:fillRect/>
                    </a:stretch>
                  </pic:blipFill>
                  <pic:spPr>
                    <a:xfrm>
                      <a:off x="0" y="0"/>
                      <a:ext cx="2964815" cy="2879725"/>
                    </a:xfrm>
                    <a:prstGeom prst="rect">
                      <a:avLst/>
                    </a:prstGeom>
                    <a:noFill/>
                    <a:ln>
                      <a:noFill/>
                    </a:ln>
                  </pic:spPr>
                </pic:pic>
              </a:graphicData>
            </a:graphic>
          </wp:inline>
        </w:drawing>
      </w:r>
    </w:p>
    <w:p w14:paraId="61C4E0CD">
      <w:pPr>
        <w:ind w:firstLine="480"/>
        <w:rPr>
          <w:rFonts w:hint="eastAsia" w:ascii="仿宋" w:hAnsi="仿宋" w:eastAsia="仿宋" w:cs="仿宋"/>
          <w:color w:val="auto"/>
          <w:highlight w:val="none"/>
        </w:rPr>
      </w:pPr>
    </w:p>
    <w:p w14:paraId="127B3FC7">
      <w:pPr>
        <w:ind w:left="420" w:leftChars="0" w:firstLine="420" w:firstLineChars="0"/>
        <w:rPr>
          <w:rFonts w:hint="eastAsia" w:ascii="仿宋" w:hAnsi="仿宋" w:eastAsia="仿宋" w:cs="仿宋"/>
          <w:color w:val="auto"/>
          <w:sz w:val="28"/>
          <w:szCs w:val="32"/>
          <w:highlight w:val="none"/>
          <w:lang w:eastAsia="zh-CN"/>
        </w:rPr>
      </w:pPr>
      <w:bookmarkStart w:id="0" w:name="_Toc247085669"/>
      <w:bookmarkStart w:id="1" w:name="_Toc296602400"/>
      <w:bookmarkStart w:id="2" w:name="_Toc246996898"/>
      <w:r>
        <w:rPr>
          <w:rFonts w:hint="eastAsia" w:ascii="仿宋" w:hAnsi="仿宋" w:eastAsia="仿宋" w:cs="仿宋"/>
          <w:color w:val="auto"/>
          <w:sz w:val="28"/>
          <w:szCs w:val="32"/>
          <w:highlight w:val="none"/>
        </w:rPr>
        <w:t>招标人：</w:t>
      </w:r>
      <w:r>
        <w:rPr>
          <w:rFonts w:hint="eastAsia" w:cs="仿宋"/>
          <w:color w:val="auto"/>
          <w:sz w:val="28"/>
          <w:szCs w:val="32"/>
          <w:highlight w:val="none"/>
          <w:lang w:eastAsia="zh-CN"/>
        </w:rPr>
        <w:t>舒兰市滨河社区卫生服务中心</w:t>
      </w:r>
    </w:p>
    <w:p w14:paraId="75597648">
      <w:pPr>
        <w:ind w:left="420" w:leftChars="0" w:firstLine="420" w:firstLineChars="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招标代理机构：</w:t>
      </w:r>
      <w:r>
        <w:rPr>
          <w:rFonts w:hint="eastAsia" w:cs="仿宋"/>
          <w:color w:val="auto"/>
          <w:sz w:val="28"/>
          <w:szCs w:val="32"/>
          <w:highlight w:val="none"/>
          <w:lang w:val="zh-CN" w:eastAsia="zh-CN"/>
        </w:rPr>
        <w:t>中屹宬信建设集团有限公司</w:t>
      </w:r>
    </w:p>
    <w:p w14:paraId="3D366102">
      <w:pPr>
        <w:ind w:left="420" w:leftChars="0" w:firstLine="420" w:firstLineChars="0"/>
        <w:rPr>
          <w:rFonts w:hint="eastAsia" w:ascii="仿宋" w:hAnsi="仿宋" w:eastAsia="仿宋" w:cs="仿宋"/>
          <w:color w:val="auto"/>
          <w:sz w:val="28"/>
          <w:szCs w:val="32"/>
          <w:highlight w:val="none"/>
        </w:rPr>
      </w:pPr>
      <w:r>
        <w:rPr>
          <w:rFonts w:hint="eastAsia" w:ascii="仿宋" w:hAnsi="仿宋" w:eastAsia="仿宋" w:cs="仿宋"/>
          <w:color w:val="auto"/>
          <w:sz w:val="28"/>
          <w:szCs w:val="32"/>
          <w:highlight w:val="none"/>
        </w:rPr>
        <w:t>日期：</w:t>
      </w:r>
      <w:bookmarkStart w:id="3" w:name="EB2b6acbf80ec34a13b99020645ace3bba"/>
      <w:r>
        <w:rPr>
          <w:rFonts w:hint="eastAsia" w:ascii="仿宋" w:hAnsi="仿宋" w:eastAsia="仿宋" w:cs="仿宋"/>
          <w:color w:val="auto"/>
          <w:sz w:val="28"/>
          <w:szCs w:val="32"/>
          <w:highlight w:val="none"/>
        </w:rPr>
        <w:t>202</w:t>
      </w:r>
      <w:r>
        <w:rPr>
          <w:rFonts w:hint="eastAsia" w:cs="仿宋"/>
          <w:color w:val="auto"/>
          <w:sz w:val="28"/>
          <w:szCs w:val="32"/>
          <w:highlight w:val="none"/>
          <w:lang w:val="en-US" w:eastAsia="zh-CN"/>
        </w:rPr>
        <w:t>5</w:t>
      </w:r>
      <w:r>
        <w:rPr>
          <w:rFonts w:hint="eastAsia" w:ascii="仿宋" w:hAnsi="仿宋" w:eastAsia="仿宋" w:cs="仿宋"/>
          <w:color w:val="auto"/>
          <w:sz w:val="28"/>
          <w:szCs w:val="32"/>
          <w:highlight w:val="none"/>
        </w:rPr>
        <w:t>年</w:t>
      </w:r>
      <w:r>
        <w:rPr>
          <w:rFonts w:hint="eastAsia" w:cs="仿宋"/>
          <w:color w:val="auto"/>
          <w:sz w:val="28"/>
          <w:szCs w:val="32"/>
          <w:highlight w:val="none"/>
          <w:lang w:val="en-US" w:eastAsia="zh-CN"/>
        </w:rPr>
        <w:t>7</w:t>
      </w:r>
      <w:r>
        <w:rPr>
          <w:rFonts w:hint="eastAsia" w:ascii="仿宋" w:hAnsi="仿宋" w:eastAsia="仿宋" w:cs="仿宋"/>
          <w:color w:val="auto"/>
          <w:sz w:val="28"/>
          <w:szCs w:val="32"/>
          <w:highlight w:val="none"/>
        </w:rPr>
        <w:t>月</w:t>
      </w:r>
      <w:bookmarkEnd w:id="3"/>
    </w:p>
    <w:p w14:paraId="4012A29C">
      <w:pPr>
        <w:ind w:firstLine="480"/>
        <w:jc w:val="center"/>
        <w:rPr>
          <w:rFonts w:hint="eastAsia" w:ascii="仿宋" w:hAnsi="仿宋" w:eastAsia="仿宋" w:cs="仿宋"/>
          <w:color w:val="auto"/>
          <w:sz w:val="36"/>
          <w:szCs w:val="40"/>
          <w:highlight w:val="none"/>
        </w:rPr>
      </w:pPr>
      <w:r>
        <w:rPr>
          <w:rFonts w:hint="eastAsia" w:ascii="仿宋" w:hAnsi="仿宋" w:eastAsia="仿宋" w:cs="仿宋"/>
          <w:color w:val="auto"/>
          <w:highlight w:val="none"/>
        </w:rPr>
        <w:br w:type="page"/>
      </w:r>
      <w:r>
        <w:rPr>
          <w:rFonts w:hint="eastAsia" w:ascii="仿宋" w:hAnsi="仿宋" w:eastAsia="仿宋" w:cs="仿宋"/>
          <w:color w:val="auto"/>
          <w:sz w:val="36"/>
          <w:szCs w:val="40"/>
          <w:highlight w:val="none"/>
        </w:rPr>
        <w:t>目录</w:t>
      </w:r>
      <w:bookmarkEnd w:id="0"/>
      <w:bookmarkEnd w:id="1"/>
      <w:bookmarkEnd w:id="2"/>
    </w:p>
    <w:p w14:paraId="30239F21">
      <w:pPr>
        <w:pStyle w:val="17"/>
        <w:rPr>
          <w:rFonts w:hint="eastAsia" w:ascii="仿宋" w:hAnsi="仿宋" w:eastAsia="仿宋" w:cs="仿宋"/>
          <w:color w:val="auto"/>
          <w:highlight w:val="none"/>
        </w:rPr>
      </w:pPr>
    </w:p>
    <w:p w14:paraId="1AD78B9C">
      <w:pPr>
        <w:pStyle w:val="13"/>
        <w:tabs>
          <w:tab w:val="right" w:leader="dot" w:pos="8307"/>
        </w:tabs>
        <w:rPr>
          <w:color w:val="auto"/>
          <w:highlight w:val="none"/>
        </w:rPr>
      </w:pPr>
      <w:bookmarkStart w:id="4" w:name="_Toc152042287"/>
      <w:bookmarkStart w:id="5" w:name="_Toc144974479"/>
      <w:bookmarkStart w:id="6" w:name="_Toc152045511"/>
      <w:bookmarkStart w:id="7" w:name="_Toc179632527"/>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"1-1"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color w:val="auto"/>
          <w:szCs w:val="24"/>
          <w:highlight w:val="none"/>
        </w:rPr>
        <w:instrText xml:space="preserve"> HYPERLINK \l _Toc22328 </w:instrText>
      </w:r>
      <w:r>
        <w:rPr>
          <w:rFonts w:hint="eastAsia" w:ascii="仿宋" w:hAnsi="仿宋" w:eastAsia="仿宋" w:cs="仿宋"/>
          <w:color w:val="auto"/>
          <w:szCs w:val="24"/>
          <w:highlight w:val="none"/>
        </w:rPr>
        <w:fldChar w:fldCharType="separate"/>
      </w:r>
      <w:r>
        <w:rPr>
          <w:rFonts w:hint="eastAsia"/>
          <w:color w:val="auto"/>
          <w:highlight w:val="none"/>
          <w:lang w:val="en-US" w:eastAsia="zh-CN"/>
        </w:rPr>
        <w:t>第一章招标公告</w:t>
      </w:r>
      <w:r>
        <w:rPr>
          <w:color w:val="auto"/>
          <w:highlight w:val="none"/>
        </w:rPr>
        <w:tab/>
      </w:r>
      <w:r>
        <w:rPr>
          <w:color w:val="auto"/>
          <w:highlight w:val="none"/>
        </w:rPr>
        <w:fldChar w:fldCharType="begin"/>
      </w:r>
      <w:r>
        <w:rPr>
          <w:color w:val="auto"/>
          <w:highlight w:val="none"/>
        </w:rPr>
        <w:instrText xml:space="preserve"> PAGEREF _Toc22328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szCs w:val="24"/>
          <w:highlight w:val="none"/>
        </w:rPr>
        <w:fldChar w:fldCharType="end"/>
      </w:r>
    </w:p>
    <w:p w14:paraId="1CBA8441">
      <w:pPr>
        <w:pStyle w:val="13"/>
        <w:tabs>
          <w:tab w:val="right" w:leader="dot" w:pos="8307"/>
        </w:tabs>
        <w:rPr>
          <w:color w:val="auto"/>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color w:val="auto"/>
          <w:szCs w:val="40"/>
          <w:highlight w:val="none"/>
        </w:rPr>
        <w:instrText xml:space="preserve"> HYPERLINK \l _Toc6471 </w:instrText>
      </w:r>
      <w:r>
        <w:rPr>
          <w:rFonts w:hint="eastAsia" w:ascii="仿宋" w:hAnsi="仿宋" w:eastAsia="仿宋" w:cs="仿宋"/>
          <w:color w:val="auto"/>
          <w:szCs w:val="40"/>
          <w:highlight w:val="none"/>
        </w:rPr>
        <w:fldChar w:fldCharType="separate"/>
      </w:r>
      <w:r>
        <w:rPr>
          <w:rFonts w:hint="eastAsia"/>
          <w:bCs/>
          <w:color w:val="auto"/>
          <w:highlight w:val="none"/>
          <w:lang w:val="en-US" w:eastAsia="zh-CN"/>
        </w:rPr>
        <w:t>第二章投标人须知</w:t>
      </w:r>
      <w:r>
        <w:rPr>
          <w:color w:val="auto"/>
          <w:highlight w:val="none"/>
        </w:rPr>
        <w:tab/>
      </w:r>
      <w:r>
        <w:rPr>
          <w:color w:val="auto"/>
          <w:highlight w:val="none"/>
        </w:rPr>
        <w:fldChar w:fldCharType="begin"/>
      </w:r>
      <w:r>
        <w:rPr>
          <w:color w:val="auto"/>
          <w:highlight w:val="none"/>
        </w:rPr>
        <w:instrText xml:space="preserve"> PAGEREF _Toc6471 \h </w:instrText>
      </w:r>
      <w:r>
        <w:rPr>
          <w:color w:val="auto"/>
          <w:highlight w:val="none"/>
        </w:rPr>
        <w:fldChar w:fldCharType="separate"/>
      </w:r>
      <w:r>
        <w:rPr>
          <w:color w:val="auto"/>
          <w:highlight w:val="none"/>
        </w:rPr>
        <w:t>4</w:t>
      </w:r>
      <w:r>
        <w:rPr>
          <w:color w:val="auto"/>
          <w:highlight w:val="none"/>
        </w:rPr>
        <w:fldChar w:fldCharType="end"/>
      </w:r>
      <w:r>
        <w:rPr>
          <w:rFonts w:hint="eastAsia" w:ascii="仿宋" w:hAnsi="仿宋" w:eastAsia="仿宋" w:cs="仿宋"/>
          <w:color w:val="auto"/>
          <w:szCs w:val="40"/>
          <w:highlight w:val="none"/>
        </w:rPr>
        <w:fldChar w:fldCharType="end"/>
      </w:r>
    </w:p>
    <w:p w14:paraId="6C8831F5">
      <w:pPr>
        <w:pStyle w:val="13"/>
        <w:tabs>
          <w:tab w:val="right" w:leader="dot" w:pos="8307"/>
        </w:tabs>
        <w:rPr>
          <w:color w:val="auto"/>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color w:val="auto"/>
          <w:szCs w:val="40"/>
          <w:highlight w:val="none"/>
        </w:rPr>
        <w:instrText xml:space="preserve"> HYPERLINK \l _Toc27874 </w:instrText>
      </w:r>
      <w:r>
        <w:rPr>
          <w:rFonts w:hint="eastAsia" w:ascii="仿宋" w:hAnsi="仿宋" w:eastAsia="仿宋" w:cs="仿宋"/>
          <w:color w:val="auto"/>
          <w:szCs w:val="40"/>
          <w:highlight w:val="none"/>
        </w:rPr>
        <w:fldChar w:fldCharType="separate"/>
      </w:r>
      <w:r>
        <w:rPr>
          <w:rFonts w:hint="eastAsia"/>
          <w:color w:val="auto"/>
          <w:highlight w:val="none"/>
          <w:lang w:val="en-US" w:eastAsia="zh-CN"/>
        </w:rPr>
        <w:t>第三章</w:t>
      </w:r>
      <w:r>
        <w:rPr>
          <w:rFonts w:hint="eastAsia"/>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_Toc27874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color w:val="auto"/>
          <w:szCs w:val="40"/>
          <w:highlight w:val="none"/>
        </w:rPr>
        <w:fldChar w:fldCharType="end"/>
      </w:r>
    </w:p>
    <w:p w14:paraId="3CF05B59">
      <w:pPr>
        <w:pStyle w:val="13"/>
        <w:tabs>
          <w:tab w:val="right" w:leader="dot" w:pos="8307"/>
        </w:tabs>
        <w:rPr>
          <w:color w:val="auto"/>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color w:val="auto"/>
          <w:szCs w:val="40"/>
          <w:highlight w:val="none"/>
        </w:rPr>
        <w:instrText xml:space="preserve"> HYPERLINK \l _Toc13549 </w:instrText>
      </w:r>
      <w:r>
        <w:rPr>
          <w:rFonts w:hint="eastAsia" w:ascii="仿宋" w:hAnsi="仿宋" w:eastAsia="仿宋" w:cs="仿宋"/>
          <w:color w:val="auto"/>
          <w:szCs w:val="40"/>
          <w:highlight w:val="none"/>
        </w:rPr>
        <w:fldChar w:fldCharType="separate"/>
      </w:r>
      <w:r>
        <w:rPr>
          <w:rFonts w:hint="eastAsia"/>
          <w:color w:val="auto"/>
          <w:highlight w:val="none"/>
          <w:lang w:val="en-US" w:eastAsia="zh-CN"/>
        </w:rPr>
        <w:t>第四章合同格式</w:t>
      </w:r>
      <w:r>
        <w:rPr>
          <w:color w:val="auto"/>
          <w:highlight w:val="none"/>
        </w:rPr>
        <w:tab/>
      </w:r>
      <w:r>
        <w:rPr>
          <w:color w:val="auto"/>
          <w:highlight w:val="none"/>
        </w:rPr>
        <w:fldChar w:fldCharType="begin"/>
      </w:r>
      <w:r>
        <w:rPr>
          <w:color w:val="auto"/>
          <w:highlight w:val="none"/>
        </w:rPr>
        <w:instrText xml:space="preserve"> PAGEREF _Toc13549 \h </w:instrText>
      </w:r>
      <w:r>
        <w:rPr>
          <w:color w:val="auto"/>
          <w:highlight w:val="none"/>
        </w:rPr>
        <w:fldChar w:fldCharType="separate"/>
      </w:r>
      <w:r>
        <w:rPr>
          <w:color w:val="auto"/>
          <w:highlight w:val="none"/>
        </w:rPr>
        <w:t>27</w:t>
      </w:r>
      <w:r>
        <w:rPr>
          <w:color w:val="auto"/>
          <w:highlight w:val="none"/>
        </w:rPr>
        <w:fldChar w:fldCharType="end"/>
      </w:r>
      <w:r>
        <w:rPr>
          <w:rFonts w:hint="eastAsia" w:ascii="仿宋" w:hAnsi="仿宋" w:eastAsia="仿宋" w:cs="仿宋"/>
          <w:color w:val="auto"/>
          <w:szCs w:val="40"/>
          <w:highlight w:val="none"/>
        </w:rPr>
        <w:fldChar w:fldCharType="end"/>
      </w:r>
    </w:p>
    <w:p w14:paraId="2AB10F6E">
      <w:pPr>
        <w:pStyle w:val="13"/>
        <w:tabs>
          <w:tab w:val="right" w:leader="dot" w:pos="8307"/>
        </w:tabs>
        <w:rPr>
          <w:color w:val="auto"/>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color w:val="auto"/>
          <w:szCs w:val="40"/>
          <w:highlight w:val="none"/>
        </w:rPr>
        <w:instrText xml:space="preserve"> HYPERLINK \l _Toc9126 </w:instrText>
      </w:r>
      <w:r>
        <w:rPr>
          <w:rFonts w:hint="eastAsia" w:ascii="仿宋" w:hAnsi="仿宋" w:eastAsia="仿宋" w:cs="仿宋"/>
          <w:color w:val="auto"/>
          <w:szCs w:val="40"/>
          <w:highlight w:val="none"/>
        </w:rPr>
        <w:fldChar w:fldCharType="separate"/>
      </w:r>
      <w:r>
        <w:rPr>
          <w:rFonts w:hint="eastAsia" w:ascii="仿宋" w:hAnsi="仿宋" w:eastAsia="仿宋" w:cs="仿宋"/>
          <w:color w:val="auto"/>
          <w:szCs w:val="21"/>
          <w:highlight w:val="none"/>
          <w:lang w:val="en-US" w:eastAsia="zh-CN"/>
        </w:rPr>
        <w:t>第五章</w:t>
      </w:r>
      <w:r>
        <w:rPr>
          <w:rFonts w:hint="eastAsia" w:cs="仿宋"/>
          <w:color w:val="auto"/>
          <w:szCs w:val="44"/>
          <w:highlight w:val="none"/>
          <w:lang w:eastAsia="zh-CN"/>
        </w:rPr>
        <w:t>货物需求及要求</w:t>
      </w:r>
      <w:r>
        <w:rPr>
          <w:color w:val="auto"/>
          <w:highlight w:val="none"/>
        </w:rPr>
        <w:tab/>
      </w:r>
      <w:r>
        <w:rPr>
          <w:color w:val="auto"/>
          <w:highlight w:val="none"/>
        </w:rPr>
        <w:fldChar w:fldCharType="begin"/>
      </w:r>
      <w:r>
        <w:rPr>
          <w:color w:val="auto"/>
          <w:highlight w:val="none"/>
        </w:rPr>
        <w:instrText xml:space="preserve"> PAGEREF _Toc9126 \h </w:instrText>
      </w:r>
      <w:r>
        <w:rPr>
          <w:color w:val="auto"/>
          <w:highlight w:val="none"/>
        </w:rPr>
        <w:fldChar w:fldCharType="separate"/>
      </w:r>
      <w:r>
        <w:rPr>
          <w:color w:val="auto"/>
          <w:highlight w:val="none"/>
        </w:rPr>
        <w:t>30</w:t>
      </w:r>
      <w:r>
        <w:rPr>
          <w:color w:val="auto"/>
          <w:highlight w:val="none"/>
        </w:rPr>
        <w:fldChar w:fldCharType="end"/>
      </w:r>
      <w:r>
        <w:rPr>
          <w:rFonts w:hint="eastAsia" w:ascii="仿宋" w:hAnsi="仿宋" w:eastAsia="仿宋" w:cs="仿宋"/>
          <w:color w:val="auto"/>
          <w:szCs w:val="40"/>
          <w:highlight w:val="none"/>
        </w:rPr>
        <w:fldChar w:fldCharType="end"/>
      </w:r>
    </w:p>
    <w:p w14:paraId="446B87AC">
      <w:pPr>
        <w:pStyle w:val="13"/>
        <w:tabs>
          <w:tab w:val="right" w:leader="dot" w:pos="8307"/>
        </w:tabs>
        <w:rPr>
          <w:color w:val="auto"/>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color w:val="auto"/>
          <w:szCs w:val="40"/>
          <w:highlight w:val="none"/>
        </w:rPr>
        <w:instrText xml:space="preserve"> HYPERLINK \l _Toc5281 </w:instrText>
      </w:r>
      <w:r>
        <w:rPr>
          <w:rFonts w:hint="eastAsia" w:ascii="仿宋" w:hAnsi="仿宋" w:eastAsia="仿宋" w:cs="仿宋"/>
          <w:color w:val="auto"/>
          <w:szCs w:val="40"/>
          <w:highlight w:val="none"/>
        </w:rPr>
        <w:fldChar w:fldCharType="separate"/>
      </w:r>
      <w:r>
        <w:rPr>
          <w:rFonts w:hint="eastAsia" w:ascii="仿宋" w:hAnsi="仿宋" w:eastAsia="仿宋" w:cs="仿宋"/>
          <w:color w:val="auto"/>
          <w:szCs w:val="21"/>
          <w:highlight w:val="none"/>
          <w:lang w:val="en-US" w:eastAsia="zh-CN"/>
        </w:rPr>
        <w:t>第</w:t>
      </w:r>
      <w:r>
        <w:rPr>
          <w:rFonts w:hint="eastAsia" w:cs="仿宋"/>
          <w:color w:val="auto"/>
          <w:szCs w:val="21"/>
          <w:highlight w:val="none"/>
          <w:lang w:val="en-US" w:eastAsia="zh-CN"/>
        </w:rPr>
        <w:t>六</w:t>
      </w:r>
      <w:r>
        <w:rPr>
          <w:rFonts w:hint="eastAsia" w:ascii="仿宋" w:hAnsi="仿宋" w:eastAsia="仿宋" w:cs="仿宋"/>
          <w:color w:val="auto"/>
          <w:szCs w:val="21"/>
          <w:highlight w:val="none"/>
          <w:lang w:val="en-US" w:eastAsia="zh-CN"/>
        </w:rPr>
        <w:t>章</w:t>
      </w:r>
      <w:r>
        <w:rPr>
          <w:rFonts w:hint="eastAsia" w:cs="仿宋"/>
          <w:color w:val="auto"/>
          <w:szCs w:val="44"/>
          <w:highlight w:val="none"/>
          <w:lang w:eastAsia="zh-CN"/>
        </w:rPr>
        <w:t>投标文件格式</w:t>
      </w:r>
      <w:r>
        <w:rPr>
          <w:color w:val="auto"/>
          <w:highlight w:val="none"/>
        </w:rPr>
        <w:tab/>
      </w:r>
      <w:r>
        <w:rPr>
          <w:color w:val="auto"/>
          <w:highlight w:val="none"/>
        </w:rPr>
        <w:fldChar w:fldCharType="begin"/>
      </w:r>
      <w:r>
        <w:rPr>
          <w:color w:val="auto"/>
          <w:highlight w:val="none"/>
        </w:rPr>
        <w:instrText xml:space="preserve"> PAGEREF _Toc5281 \h </w:instrText>
      </w:r>
      <w:r>
        <w:rPr>
          <w:color w:val="auto"/>
          <w:highlight w:val="none"/>
        </w:rPr>
        <w:fldChar w:fldCharType="separate"/>
      </w:r>
      <w:r>
        <w:rPr>
          <w:color w:val="auto"/>
          <w:highlight w:val="none"/>
        </w:rPr>
        <w:t>43</w:t>
      </w:r>
      <w:r>
        <w:rPr>
          <w:color w:val="auto"/>
          <w:highlight w:val="none"/>
        </w:rPr>
        <w:fldChar w:fldCharType="end"/>
      </w:r>
      <w:r>
        <w:rPr>
          <w:rFonts w:hint="eastAsia" w:ascii="仿宋" w:hAnsi="仿宋" w:eastAsia="仿宋" w:cs="仿宋"/>
          <w:color w:val="auto"/>
          <w:szCs w:val="40"/>
          <w:highlight w:val="none"/>
        </w:rPr>
        <w:fldChar w:fldCharType="end"/>
      </w:r>
    </w:p>
    <w:p w14:paraId="312210AA">
      <w:pPr>
        <w:pStyle w:val="13"/>
        <w:tabs>
          <w:tab w:val="right" w:leader="dot" w:pos="8307"/>
        </w:tabs>
        <w:rPr>
          <w:color w:val="auto"/>
          <w:highlight w:val="none"/>
        </w:rPr>
      </w:pPr>
      <w:r>
        <w:rPr>
          <w:rFonts w:hint="eastAsia" w:ascii="仿宋" w:hAnsi="仿宋" w:eastAsia="仿宋" w:cs="仿宋"/>
          <w:color w:val="auto"/>
          <w:szCs w:val="40"/>
          <w:highlight w:val="none"/>
        </w:rPr>
        <w:fldChar w:fldCharType="begin"/>
      </w:r>
      <w:r>
        <w:rPr>
          <w:rFonts w:hint="eastAsia" w:ascii="仿宋" w:hAnsi="仿宋" w:eastAsia="仿宋" w:cs="仿宋"/>
          <w:color w:val="auto"/>
          <w:szCs w:val="40"/>
          <w:highlight w:val="none"/>
        </w:rPr>
        <w:instrText xml:space="preserve"> HYPERLINK \l _Toc5420 </w:instrText>
      </w:r>
      <w:r>
        <w:rPr>
          <w:rFonts w:hint="eastAsia" w:ascii="仿宋" w:hAnsi="仿宋" w:eastAsia="仿宋" w:cs="仿宋"/>
          <w:color w:val="auto"/>
          <w:szCs w:val="40"/>
          <w:highlight w:val="none"/>
        </w:rPr>
        <w:fldChar w:fldCharType="separate"/>
      </w:r>
      <w:r>
        <w:rPr>
          <w:rFonts w:hint="eastAsia" w:ascii="仿宋" w:hAnsi="仿宋" w:eastAsia="仿宋" w:cs="仿宋"/>
          <w:bCs/>
          <w:color w:val="auto"/>
          <w:highlight w:val="none"/>
          <w:lang w:val="en-US" w:eastAsia="zh-CN"/>
        </w:rPr>
        <w:t>第</w:t>
      </w:r>
      <w:r>
        <w:rPr>
          <w:rFonts w:hint="eastAsia" w:cs="仿宋"/>
          <w:bCs/>
          <w:color w:val="auto"/>
          <w:highlight w:val="none"/>
          <w:lang w:val="en-US" w:eastAsia="zh-CN"/>
        </w:rPr>
        <w:t>七</w:t>
      </w:r>
      <w:r>
        <w:rPr>
          <w:rFonts w:hint="eastAsia" w:ascii="仿宋" w:hAnsi="仿宋" w:eastAsia="仿宋" w:cs="仿宋"/>
          <w:bCs/>
          <w:color w:val="auto"/>
          <w:highlight w:val="none"/>
          <w:lang w:val="en-US" w:eastAsia="zh-CN"/>
        </w:rPr>
        <w:t>章</w:t>
      </w:r>
      <w:r>
        <w:rPr>
          <w:rFonts w:hint="eastAsia" w:ascii="仿宋" w:hAnsi="仿宋" w:eastAsia="仿宋" w:cs="仿宋"/>
          <w:bCs/>
          <w:color w:val="auto"/>
          <w:szCs w:val="44"/>
          <w:highlight w:val="none"/>
          <w:lang w:eastAsia="zh-CN"/>
        </w:rPr>
        <w:t>评标办法</w:t>
      </w:r>
      <w:r>
        <w:rPr>
          <w:color w:val="auto"/>
          <w:highlight w:val="none"/>
        </w:rPr>
        <w:tab/>
      </w:r>
      <w:r>
        <w:rPr>
          <w:color w:val="auto"/>
          <w:highlight w:val="none"/>
        </w:rPr>
        <w:fldChar w:fldCharType="begin"/>
      </w:r>
      <w:r>
        <w:rPr>
          <w:color w:val="auto"/>
          <w:highlight w:val="none"/>
        </w:rPr>
        <w:instrText xml:space="preserve"> PAGEREF _Toc5420 \h </w:instrText>
      </w:r>
      <w:r>
        <w:rPr>
          <w:color w:val="auto"/>
          <w:highlight w:val="none"/>
        </w:rPr>
        <w:fldChar w:fldCharType="separate"/>
      </w:r>
      <w:r>
        <w:rPr>
          <w:color w:val="auto"/>
          <w:highlight w:val="none"/>
        </w:rPr>
        <w:t>64</w:t>
      </w:r>
      <w:r>
        <w:rPr>
          <w:color w:val="auto"/>
          <w:highlight w:val="none"/>
        </w:rPr>
        <w:fldChar w:fldCharType="end"/>
      </w:r>
      <w:r>
        <w:rPr>
          <w:rFonts w:hint="eastAsia" w:ascii="仿宋" w:hAnsi="仿宋" w:eastAsia="仿宋" w:cs="仿宋"/>
          <w:color w:val="auto"/>
          <w:szCs w:val="40"/>
          <w:highlight w:val="none"/>
        </w:rPr>
        <w:fldChar w:fldCharType="end"/>
      </w:r>
    </w:p>
    <w:p w14:paraId="41E29B08">
      <w:pPr>
        <w:rPr>
          <w:rFonts w:hint="eastAsia" w:ascii="仿宋" w:hAnsi="仿宋" w:eastAsia="仿宋" w:cs="仿宋"/>
          <w:color w:val="auto"/>
          <w:sz w:val="36"/>
          <w:szCs w:val="40"/>
          <w:highlight w:val="none"/>
        </w:rPr>
      </w:pPr>
      <w:r>
        <w:rPr>
          <w:rFonts w:hint="eastAsia" w:ascii="仿宋" w:hAnsi="仿宋" w:eastAsia="仿宋" w:cs="仿宋"/>
          <w:color w:val="auto"/>
          <w:szCs w:val="40"/>
          <w:highlight w:val="none"/>
        </w:rPr>
        <w:fldChar w:fldCharType="end"/>
      </w:r>
      <w:bookmarkEnd w:id="4"/>
      <w:bookmarkEnd w:id="5"/>
      <w:bookmarkEnd w:id="6"/>
      <w:bookmarkEnd w:id="7"/>
      <w:bookmarkStart w:id="8" w:name="_Toc18657"/>
      <w:bookmarkStart w:id="9" w:name="_Toc55285621"/>
      <w:bookmarkStart w:id="10" w:name="_Toc52181453"/>
    </w:p>
    <w:p w14:paraId="7D97B18A">
      <w:pPr>
        <w:pStyle w:val="2"/>
        <w:numPr>
          <w:ilvl w:val="0"/>
          <w:numId w:val="3"/>
        </w:numPr>
        <w:bidi w:val="0"/>
        <w:rPr>
          <w:rFonts w:hint="eastAsia"/>
          <w:color w:val="auto"/>
          <w:highlight w:val="none"/>
          <w:lang w:val="en-US" w:eastAsia="zh-CN"/>
        </w:rPr>
        <w:sectPr>
          <w:footerReference r:id="rId5" w:type="default"/>
          <w:pgSz w:w="11907" w:h="16840"/>
          <w:pgMar w:top="1440" w:right="1800" w:bottom="1440" w:left="1800" w:header="680" w:footer="907" w:gutter="0"/>
          <w:pgBorders>
            <w:top w:val="none" w:sz="0" w:space="0"/>
            <w:left w:val="none" w:sz="0" w:space="0"/>
            <w:bottom w:val="none" w:sz="0" w:space="0"/>
            <w:right w:val="none" w:sz="0" w:space="0"/>
          </w:pgBorders>
          <w:pgNumType w:fmt="decimal" w:start="1"/>
          <w:cols w:space="0" w:num="1"/>
          <w:rtlGutter w:val="0"/>
          <w:docGrid w:linePitch="271" w:charSpace="0"/>
        </w:sectPr>
      </w:pPr>
    </w:p>
    <w:p w14:paraId="48ABCD61">
      <w:pPr>
        <w:pStyle w:val="2"/>
        <w:numPr>
          <w:ilvl w:val="0"/>
          <w:numId w:val="3"/>
        </w:numPr>
        <w:bidi w:val="0"/>
        <w:rPr>
          <w:rFonts w:hint="eastAsia"/>
          <w:color w:val="auto"/>
          <w:highlight w:val="none"/>
          <w:lang w:val="en-US" w:eastAsia="zh-CN"/>
        </w:rPr>
      </w:pPr>
      <w:bookmarkStart w:id="11" w:name="_Toc22328"/>
      <w:r>
        <w:rPr>
          <w:rFonts w:hint="eastAsia"/>
          <w:color w:val="auto"/>
          <w:highlight w:val="none"/>
          <w:lang w:val="en-US" w:eastAsia="zh-CN"/>
        </w:rPr>
        <w:t>招标公告</w:t>
      </w:r>
      <w:bookmarkEnd w:id="8"/>
      <w:bookmarkEnd w:id="11"/>
    </w:p>
    <w:bookmarkEnd w:id="9"/>
    <w:bookmarkEnd w:id="10"/>
    <w:p w14:paraId="78731B1E">
      <w:pPr>
        <w:pStyle w:val="14"/>
        <w:keepNext w:val="0"/>
        <w:keepLines w:val="0"/>
        <w:widowControl/>
        <w:suppressLineNumbers w:val="0"/>
        <w:shd w:val="clear" w:fill="FFFFFF"/>
        <w:wordWrap w:val="0"/>
        <w:spacing w:before="240" w:beforeAutospacing="0" w:after="60" w:afterAutospacing="0" w:line="360" w:lineRule="auto"/>
        <w:ind w:right="0"/>
        <w:jc w:val="center"/>
        <w:rPr>
          <w:rFonts w:hint="default" w:ascii="仿宋" w:hAnsi="仿宋" w:cs="仿宋"/>
          <w:b/>
          <w:bCs/>
          <w:color w:val="auto"/>
          <w:sz w:val="28"/>
          <w:szCs w:val="28"/>
          <w:highlight w:val="none"/>
          <w:shd w:val="clear" w:fill="FFFFFF"/>
          <w:lang w:val="en-US" w:eastAsia="zh-CN"/>
        </w:rPr>
      </w:pPr>
      <w:bookmarkStart w:id="12" w:name="_Toc247085688"/>
      <w:bookmarkStart w:id="13" w:name="_Toc152042304"/>
      <w:bookmarkStart w:id="14" w:name="_Toc179632545"/>
      <w:bookmarkStart w:id="15" w:name="_Toc246996174"/>
      <w:bookmarkStart w:id="16" w:name="_Toc246996917"/>
      <w:bookmarkStart w:id="17" w:name="_Toc152045528"/>
      <w:bookmarkStart w:id="18" w:name="_Toc296602419"/>
      <w:bookmarkStart w:id="19" w:name="_Toc144974496"/>
      <w:r>
        <w:rPr>
          <w:rFonts w:hint="eastAsia" w:ascii="仿宋" w:hAnsi="仿宋" w:cs="仿宋"/>
          <w:b/>
          <w:bCs/>
          <w:color w:val="auto"/>
          <w:sz w:val="28"/>
          <w:szCs w:val="28"/>
          <w:highlight w:val="none"/>
          <w:shd w:val="clear" w:fill="FFFFFF"/>
          <w:lang w:eastAsia="zh-CN"/>
        </w:rPr>
        <w:t>舒兰市滨河社区卫生服务中心医疗设备采购项目</w:t>
      </w:r>
      <w:r>
        <w:rPr>
          <w:rFonts w:hint="eastAsia" w:ascii="仿宋" w:hAnsi="仿宋" w:cs="仿宋"/>
          <w:b/>
          <w:bCs/>
          <w:color w:val="auto"/>
          <w:sz w:val="28"/>
          <w:szCs w:val="28"/>
          <w:highlight w:val="none"/>
          <w:shd w:val="clear" w:fill="FFFFFF"/>
          <w:lang w:val="en-US" w:eastAsia="zh-CN"/>
        </w:rPr>
        <w:t>二次</w:t>
      </w:r>
    </w:p>
    <w:p w14:paraId="30E53803">
      <w:pPr>
        <w:pStyle w:val="14"/>
        <w:keepNext w:val="0"/>
        <w:keepLines w:val="0"/>
        <w:widowControl/>
        <w:suppressLineNumbers w:val="0"/>
        <w:shd w:val="clear" w:fill="FFFFFF"/>
        <w:wordWrap w:val="0"/>
        <w:spacing w:before="240" w:beforeAutospacing="0" w:after="60" w:afterAutospacing="0" w:line="360" w:lineRule="auto"/>
        <w:ind w:right="0"/>
        <w:jc w:val="center"/>
        <w:rPr>
          <w:rFonts w:hint="eastAsia" w:ascii="仿宋" w:hAnsi="仿宋" w:eastAsia="仿宋" w:cs="仿宋"/>
          <w:color w:val="auto"/>
          <w:sz w:val="24"/>
          <w:szCs w:val="24"/>
          <w:highlight w:val="none"/>
        </w:rPr>
      </w:pPr>
      <w:r>
        <w:rPr>
          <w:rFonts w:hint="eastAsia" w:ascii="仿宋" w:hAnsi="仿宋" w:cs="仿宋"/>
          <w:b/>
          <w:bCs/>
          <w:color w:val="auto"/>
          <w:sz w:val="24"/>
          <w:szCs w:val="24"/>
          <w:highlight w:val="none"/>
          <w:shd w:val="clear" w:fill="FFFFFF"/>
          <w:lang w:val="en-US" w:eastAsia="zh-CN"/>
        </w:rPr>
        <w:t>公开招标公告</w:t>
      </w:r>
    </w:p>
    <w:tbl>
      <w:tblPr>
        <w:tblStyle w:val="18"/>
        <w:tblW w:w="0" w:type="auto"/>
        <w:tblInd w:w="1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03"/>
      </w:tblGrid>
      <w:tr w14:paraId="01ABAA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30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59825425">
            <w:pPr>
              <w:bidi w:val="0"/>
              <w:ind w:left="0" w:leftChars="0"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项目概况</w:t>
            </w:r>
          </w:p>
          <w:p w14:paraId="5F5477D3">
            <w:pPr>
              <w:bidi w:val="0"/>
              <w:ind w:firstLine="420" w:firstLineChars="200"/>
              <w:rPr>
                <w:rFonts w:hint="eastAsia" w:ascii="仿宋" w:hAnsi="仿宋" w:eastAsia="仿宋" w:cs="仿宋"/>
                <w:color w:val="auto"/>
                <w:szCs w:val="21"/>
                <w:highlight w:val="none"/>
              </w:rPr>
            </w:pPr>
            <w:r>
              <w:rPr>
                <w:rFonts w:hint="eastAsia" w:cs="仿宋"/>
                <w:color w:val="auto"/>
                <w:sz w:val="21"/>
                <w:szCs w:val="21"/>
                <w:highlight w:val="none"/>
                <w:u w:val="single"/>
                <w:lang w:eastAsia="zh-CN"/>
              </w:rPr>
              <w:t>舒兰市滨河社区卫生服务中心医疗设备采购项目</w:t>
            </w:r>
            <w:r>
              <w:rPr>
                <w:rFonts w:hint="eastAsia" w:ascii="仿宋" w:hAnsi="仿宋" w:eastAsia="仿宋" w:cs="仿宋"/>
                <w:color w:val="auto"/>
                <w:sz w:val="21"/>
                <w:szCs w:val="21"/>
                <w:highlight w:val="none"/>
              </w:rPr>
              <w:t>的潜在投标人应</w:t>
            </w:r>
            <w:r>
              <w:rPr>
                <w:rFonts w:hint="eastAsia" w:ascii="仿宋" w:hAnsi="仿宋" w:eastAsia="仿宋" w:cs="仿宋"/>
                <w:color w:val="auto"/>
                <w:sz w:val="21"/>
                <w:szCs w:val="21"/>
                <w:highlight w:val="none"/>
                <w:lang w:val="en-US" w:eastAsia="zh-CN"/>
              </w:rPr>
              <w:t>在</w:t>
            </w:r>
            <w:r>
              <w:rPr>
                <w:rFonts w:hint="eastAsia" w:ascii="仿宋" w:hAnsi="仿宋" w:eastAsia="仿宋" w:cs="仿宋"/>
                <w:color w:val="auto"/>
                <w:sz w:val="21"/>
                <w:szCs w:val="21"/>
                <w:highlight w:val="none"/>
              </w:rPr>
              <w:t>政采云平台（http：//www.zcygov.cn）</w:t>
            </w:r>
            <w:r>
              <w:rPr>
                <w:rFonts w:hint="eastAsia" w:ascii="仿宋" w:hAnsi="仿宋" w:eastAsia="仿宋" w:cs="仿宋"/>
                <w:color w:val="auto"/>
                <w:sz w:val="21"/>
                <w:szCs w:val="21"/>
                <w:highlight w:val="none"/>
                <w:lang w:val="en-US" w:eastAsia="zh-CN"/>
              </w:rPr>
              <w:t>线上</w:t>
            </w:r>
            <w:r>
              <w:rPr>
                <w:rFonts w:hint="eastAsia" w:ascii="仿宋" w:hAnsi="仿宋" w:eastAsia="仿宋" w:cs="仿宋"/>
                <w:color w:val="auto"/>
                <w:sz w:val="21"/>
                <w:szCs w:val="21"/>
                <w:highlight w:val="none"/>
              </w:rPr>
              <w:t>获取</w:t>
            </w:r>
            <w:r>
              <w:rPr>
                <w:rFonts w:hint="eastAsia" w:ascii="仿宋" w:hAnsi="仿宋" w:eastAsia="仿宋" w:cs="仿宋"/>
                <w:color w:val="auto"/>
                <w:sz w:val="21"/>
                <w:szCs w:val="21"/>
                <w:highlight w:val="none"/>
                <w:lang w:val="en-US" w:eastAsia="zh-CN"/>
              </w:rPr>
              <w:t>招标文件</w:t>
            </w:r>
            <w:r>
              <w:rPr>
                <w:rFonts w:hint="eastAsia" w:ascii="仿宋" w:hAnsi="仿宋" w:eastAsia="仿宋" w:cs="仿宋"/>
                <w:color w:val="auto"/>
                <w:sz w:val="21"/>
                <w:szCs w:val="21"/>
                <w:highlight w:val="none"/>
              </w:rPr>
              <w:t>，并</w:t>
            </w:r>
            <w:r>
              <w:rPr>
                <w:rFonts w:hint="eastAsia" w:cs="仿宋"/>
                <w:color w:val="auto"/>
                <w:sz w:val="21"/>
                <w:szCs w:val="21"/>
                <w:highlight w:val="none"/>
                <w:u w:val="single"/>
                <w:lang w:eastAsia="zh-CN"/>
              </w:rPr>
              <w:t>于2025年0</w:t>
            </w:r>
            <w:r>
              <w:rPr>
                <w:rFonts w:hint="eastAsia" w:cs="仿宋"/>
                <w:color w:val="auto"/>
                <w:sz w:val="21"/>
                <w:szCs w:val="21"/>
                <w:highlight w:val="none"/>
                <w:u w:val="single"/>
                <w:lang w:val="en-US" w:eastAsia="zh-CN"/>
              </w:rPr>
              <w:t>7</w:t>
            </w:r>
            <w:r>
              <w:rPr>
                <w:rFonts w:hint="eastAsia" w:cs="仿宋"/>
                <w:color w:val="auto"/>
                <w:sz w:val="21"/>
                <w:szCs w:val="21"/>
                <w:highlight w:val="none"/>
                <w:u w:val="single"/>
                <w:lang w:eastAsia="zh-CN"/>
              </w:rPr>
              <w:t>月</w:t>
            </w:r>
            <w:r>
              <w:rPr>
                <w:rFonts w:hint="eastAsia" w:cs="仿宋"/>
                <w:color w:val="auto"/>
                <w:sz w:val="21"/>
                <w:szCs w:val="21"/>
                <w:highlight w:val="none"/>
                <w:u w:val="single"/>
                <w:lang w:val="en-US" w:eastAsia="zh-CN"/>
              </w:rPr>
              <w:t>30</w:t>
            </w:r>
            <w:r>
              <w:rPr>
                <w:rFonts w:hint="eastAsia" w:cs="仿宋"/>
                <w:color w:val="auto"/>
                <w:sz w:val="21"/>
                <w:szCs w:val="21"/>
                <w:highlight w:val="none"/>
                <w:u w:val="single"/>
                <w:lang w:eastAsia="zh-CN"/>
              </w:rPr>
              <w:t>日09时30分</w:t>
            </w:r>
            <w:r>
              <w:rPr>
                <w:rFonts w:hint="eastAsia" w:ascii="仿宋" w:hAnsi="仿宋" w:eastAsia="仿宋" w:cs="仿宋"/>
                <w:color w:val="auto"/>
                <w:sz w:val="21"/>
                <w:szCs w:val="21"/>
                <w:highlight w:val="none"/>
              </w:rPr>
              <w:t>（北京时间）前提交响应文件。</w:t>
            </w:r>
          </w:p>
        </w:tc>
      </w:tr>
    </w:tbl>
    <w:p w14:paraId="142297F5">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一、项目基本情况</w:t>
      </w:r>
    </w:p>
    <w:p w14:paraId="7C2B0C95">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bookmarkStart w:id="158" w:name="_GoBack"/>
      <w:bookmarkEnd w:id="158"/>
      <w:r>
        <w:rPr>
          <w:rFonts w:hint="eastAsia" w:cs="仿宋"/>
          <w:color w:val="auto"/>
          <w:sz w:val="21"/>
          <w:szCs w:val="21"/>
          <w:highlight w:val="none"/>
          <w:lang w:eastAsia="zh-CN"/>
        </w:rPr>
        <w:t>采购计划-[2025]-00098号-ZYCXZB034-1</w:t>
      </w:r>
    </w:p>
    <w:p w14:paraId="16D41942">
      <w:pPr>
        <w:bidi w:val="0"/>
        <w:ind w:firstLine="420" w:firstLineChars="0"/>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项目名称：</w:t>
      </w:r>
      <w:r>
        <w:rPr>
          <w:rFonts w:hint="eastAsia" w:cs="仿宋"/>
          <w:color w:val="auto"/>
          <w:sz w:val="21"/>
          <w:szCs w:val="21"/>
          <w:highlight w:val="none"/>
          <w:lang w:eastAsia="zh-CN"/>
        </w:rPr>
        <w:t>舒兰市滨河社区卫生服务中心医疗设备采购项目</w:t>
      </w:r>
    </w:p>
    <w:p w14:paraId="7BACC6DB">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w:t>
      </w:r>
      <w:r>
        <w:rPr>
          <w:rFonts w:hint="eastAsia" w:cs="仿宋"/>
          <w:color w:val="auto"/>
          <w:sz w:val="21"/>
          <w:szCs w:val="21"/>
          <w:highlight w:val="none"/>
          <w:lang w:val="en-US" w:eastAsia="zh-CN"/>
        </w:rPr>
        <w:t>665.5340万元</w:t>
      </w:r>
      <w:r>
        <w:rPr>
          <w:rFonts w:hint="eastAsia" w:ascii="仿宋" w:hAnsi="仿宋" w:eastAsia="仿宋" w:cs="仿宋"/>
          <w:color w:val="auto"/>
          <w:sz w:val="21"/>
          <w:szCs w:val="21"/>
          <w:highlight w:val="none"/>
        </w:rPr>
        <w:t>（人民币）</w:t>
      </w:r>
    </w:p>
    <w:p w14:paraId="66247AAE">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最高限价：</w:t>
      </w:r>
      <w:r>
        <w:rPr>
          <w:rFonts w:hint="eastAsia" w:cs="仿宋"/>
          <w:color w:val="auto"/>
          <w:sz w:val="21"/>
          <w:szCs w:val="21"/>
          <w:highlight w:val="none"/>
          <w:lang w:val="en-US" w:eastAsia="zh-CN"/>
        </w:rPr>
        <w:t>665.5340万元</w:t>
      </w:r>
      <w:r>
        <w:rPr>
          <w:rFonts w:hint="eastAsia" w:ascii="仿宋" w:hAnsi="仿宋" w:eastAsia="仿宋" w:cs="仿宋"/>
          <w:color w:val="auto"/>
          <w:sz w:val="21"/>
          <w:szCs w:val="21"/>
          <w:highlight w:val="none"/>
        </w:rPr>
        <w:t>（人民币）</w:t>
      </w:r>
    </w:p>
    <w:p w14:paraId="2C42C222">
      <w:pPr>
        <w:bidi w:val="0"/>
        <w:ind w:firstLine="42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采购</w:t>
      </w:r>
      <w:r>
        <w:rPr>
          <w:rFonts w:hint="eastAsia" w:ascii="仿宋" w:hAnsi="仿宋" w:eastAsia="仿宋" w:cs="仿宋"/>
          <w:color w:val="auto"/>
          <w:sz w:val="21"/>
          <w:szCs w:val="21"/>
          <w:highlight w:val="none"/>
          <w:lang w:val="en-US" w:eastAsia="zh-CN"/>
        </w:rPr>
        <w:t>内容</w:t>
      </w:r>
      <w:r>
        <w:rPr>
          <w:rFonts w:hint="eastAsia" w:ascii="仿宋" w:hAnsi="仿宋" w:eastAsia="仿宋" w:cs="仿宋"/>
          <w:color w:val="auto"/>
          <w:sz w:val="21"/>
          <w:szCs w:val="21"/>
          <w:highlight w:val="none"/>
        </w:rPr>
        <w:t>：</w:t>
      </w:r>
      <w:r>
        <w:rPr>
          <w:rFonts w:hint="eastAsia" w:cs="仿宋"/>
          <w:color w:val="auto"/>
          <w:sz w:val="21"/>
          <w:szCs w:val="21"/>
          <w:highlight w:val="none"/>
          <w:lang w:eastAsia="zh-CN"/>
        </w:rPr>
        <w:t>采购彩色多普勒超声诊断系统、全自动血液细胞分析仪、一般医疗设备等用于开展基本医疗和公共卫生服务工作的医疗设备130台（套）</w:t>
      </w:r>
      <w:r>
        <w:rPr>
          <w:rFonts w:hint="eastAsia" w:ascii="仿宋" w:hAnsi="仿宋" w:eastAsia="仿宋" w:cs="仿宋"/>
          <w:color w:val="auto"/>
          <w:sz w:val="21"/>
          <w:szCs w:val="21"/>
          <w:highlight w:val="none"/>
        </w:rPr>
        <w:t>（具体详见</w:t>
      </w:r>
      <w:r>
        <w:rPr>
          <w:rFonts w:hint="eastAsia" w:ascii="仿宋" w:hAnsi="仿宋" w:eastAsia="仿宋" w:cs="仿宋"/>
          <w:color w:val="auto"/>
          <w:sz w:val="21"/>
          <w:szCs w:val="21"/>
          <w:highlight w:val="none"/>
          <w:lang w:val="en-US" w:eastAsia="zh-CN"/>
        </w:rPr>
        <w:t>招标文件</w:t>
      </w:r>
      <w:r>
        <w:rPr>
          <w:rFonts w:hint="eastAsia" w:ascii="仿宋" w:hAnsi="仿宋" w:eastAsia="仿宋" w:cs="仿宋"/>
          <w:color w:val="auto"/>
          <w:sz w:val="21"/>
          <w:szCs w:val="21"/>
          <w:highlight w:val="none"/>
        </w:rPr>
        <w:t>）</w:t>
      </w:r>
    </w:p>
    <w:p w14:paraId="2E0B31D0">
      <w:pPr>
        <w:bidi w:val="0"/>
        <w:ind w:firstLine="420" w:firstLineChars="0"/>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供货地点：</w:t>
      </w:r>
      <w:r>
        <w:rPr>
          <w:rFonts w:hint="eastAsia" w:cs="仿宋"/>
          <w:color w:val="auto"/>
          <w:sz w:val="21"/>
          <w:szCs w:val="21"/>
          <w:highlight w:val="none"/>
          <w:lang w:val="en-US" w:eastAsia="zh-CN"/>
        </w:rPr>
        <w:t>采购人指定地点</w:t>
      </w:r>
    </w:p>
    <w:p w14:paraId="080C96A7">
      <w:pPr>
        <w:bidi w:val="0"/>
        <w:ind w:firstLine="42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供货期</w:t>
      </w:r>
      <w:r>
        <w:rPr>
          <w:rFonts w:hint="eastAsia" w:ascii="仿宋" w:hAnsi="仿宋" w:eastAsia="仿宋" w:cs="仿宋"/>
          <w:color w:val="auto"/>
          <w:sz w:val="21"/>
          <w:szCs w:val="21"/>
          <w:highlight w:val="none"/>
        </w:rPr>
        <w:t>：</w:t>
      </w:r>
      <w:r>
        <w:rPr>
          <w:rFonts w:hint="eastAsia" w:cs="仿宋"/>
          <w:color w:val="auto"/>
          <w:sz w:val="21"/>
          <w:szCs w:val="21"/>
          <w:highlight w:val="none"/>
          <w:lang w:val="en-US" w:eastAsia="zh-CN"/>
        </w:rPr>
        <w:t>28日历天</w:t>
      </w:r>
      <w:r>
        <w:rPr>
          <w:rFonts w:hint="eastAsia" w:ascii="仿宋" w:hAnsi="仿宋" w:eastAsia="仿宋" w:cs="仿宋"/>
          <w:color w:val="auto"/>
          <w:sz w:val="21"/>
          <w:szCs w:val="21"/>
          <w:highlight w:val="none"/>
          <w:lang w:val="en-US" w:eastAsia="zh-CN"/>
        </w:rPr>
        <w:t>(具体时间以签订合同为准)</w:t>
      </w:r>
    </w:p>
    <w:p w14:paraId="0F516DC2">
      <w:pPr>
        <w:bidi w:val="0"/>
        <w:ind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质量标准要求：达到国家、行业现行的合格标准及验收规范、且满足采购人使用要求</w:t>
      </w:r>
    </w:p>
    <w:p w14:paraId="34FDDB0D">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本项目不接受联合体</w:t>
      </w:r>
    </w:p>
    <w:p w14:paraId="0B3A4C7C">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二、申请人资格要求</w:t>
      </w:r>
    </w:p>
    <w:p w14:paraId="59DE596C">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1、满足《中华人民共和国政府采购法》第二十二条规定：</w:t>
      </w:r>
    </w:p>
    <w:p w14:paraId="7B98F2B6">
      <w:pPr>
        <w:bidi w:val="0"/>
        <w:ind w:left="420" w:lef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p w14:paraId="49D3759D">
      <w:pPr>
        <w:bidi w:val="0"/>
        <w:ind w:left="420" w:lef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(2)具有良好的商业信誉和健全的财务会计制度；</w:t>
      </w:r>
    </w:p>
    <w:p w14:paraId="0F7D401E">
      <w:pPr>
        <w:bidi w:val="0"/>
        <w:ind w:left="420" w:lef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14:paraId="22629B38">
      <w:pPr>
        <w:bidi w:val="0"/>
        <w:ind w:left="420" w:lef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(4)有依法缴纳税收和社会保障资金的良好记录；</w:t>
      </w:r>
    </w:p>
    <w:p w14:paraId="70DEEDDB">
      <w:pPr>
        <w:bidi w:val="0"/>
        <w:ind w:left="420" w:lef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(5)参加政府采购活动前三年内，在经营活动中没有重大违法记录；</w:t>
      </w:r>
    </w:p>
    <w:p w14:paraId="4FA47A9E">
      <w:pPr>
        <w:bidi w:val="0"/>
        <w:ind w:left="420" w:lef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(6)法律、行政法规规定的其他条件。</w:t>
      </w:r>
    </w:p>
    <w:p w14:paraId="2E9BCDB7">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2、落实政府采购政策需满足的资格要求：</w:t>
      </w:r>
    </w:p>
    <w:p w14:paraId="0E5167A8">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（1）本项目专门面向中小企业采购，采购标的对应的中小企业划分标准所属行业为“</w:t>
      </w:r>
      <w:r>
        <w:rPr>
          <w:rFonts w:hint="eastAsia" w:cs="仿宋"/>
          <w:color w:val="auto"/>
          <w:sz w:val="21"/>
          <w:szCs w:val="21"/>
          <w:highlight w:val="none"/>
          <w:lang w:val="en-US" w:eastAsia="zh-CN"/>
        </w:rPr>
        <w:t>工业</w:t>
      </w:r>
      <w:r>
        <w:rPr>
          <w:rFonts w:hint="eastAsia" w:ascii="仿宋" w:hAnsi="仿宋" w:eastAsia="仿宋" w:cs="仿宋"/>
          <w:color w:val="auto"/>
          <w:sz w:val="21"/>
          <w:szCs w:val="21"/>
          <w:highlight w:val="none"/>
          <w:lang w:val="en-US" w:eastAsia="zh-CN"/>
        </w:rPr>
        <w:t>”。行业划分标准按《国民经济行业分类》执行。中小企业划分标准按《中小企业划型标准规定》（工信部联企业[2011]300号）文件规定执行；</w:t>
      </w:r>
    </w:p>
    <w:p w14:paraId="400F4E29">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（2）《政府采购促进中小企业发展管理办法》（财库[2020]46号）；</w:t>
      </w:r>
    </w:p>
    <w:p w14:paraId="5B300E0B">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（3）《关于政府采购支持监狱企业发展有关问题的通知》（财库〔2014〕68号）</w:t>
      </w:r>
    </w:p>
    <w:p w14:paraId="2DF598FF">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（4）《关于促进残疾人就业政府采购政策的通知》（财库〔2017〕141号）</w:t>
      </w:r>
    </w:p>
    <w:p w14:paraId="6B9FAE42">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（5）《关于环境标志产品政府采购实施的意见》（财库〔2006〕90号）</w:t>
      </w:r>
    </w:p>
    <w:p w14:paraId="4366CE1B">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（6）《节能产品政府采购实施意见》的通知（财库〔2004〕185号）</w:t>
      </w:r>
    </w:p>
    <w:p w14:paraId="0CCC473A">
      <w:pPr>
        <w:bidi w:val="0"/>
        <w:ind w:left="420" w:lef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（7）《关于调整优化节能产品、环境标志产品政府采购执行机制的通知》（财库〔2019〕9号）等。</w:t>
      </w:r>
    </w:p>
    <w:p w14:paraId="0D202BBE">
      <w:pPr>
        <w:bidi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3、本项目的特定资格要求：</w:t>
      </w:r>
    </w:p>
    <w:p w14:paraId="457990EE">
      <w:pPr>
        <w:bidi w:val="0"/>
        <w:ind w:left="420" w:leftChars="0"/>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3.1</w:t>
      </w:r>
      <w:r>
        <w:rPr>
          <w:rFonts w:hint="eastAsia" w:ascii="仿宋" w:hAnsi="仿宋" w:eastAsia="仿宋" w:cs="仿宋"/>
          <w:color w:val="auto"/>
          <w:sz w:val="21"/>
          <w:szCs w:val="21"/>
          <w:highlight w:val="none"/>
        </w:rPr>
        <w:t>投标供应商应当具备《中华人民共和国政府采购法》第二十二条第一款规定的条件，应是具有独立法人资格的企业，具有有效的营业执照（经营范围包括本采购项目）、税务登记证（五证合一除外）、组织机构代码证（五证合一除外）；</w:t>
      </w:r>
    </w:p>
    <w:p w14:paraId="3A414C2B">
      <w:pPr>
        <w:bidi w:val="0"/>
        <w:ind w:left="420" w:leftChars="0"/>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3.2</w:t>
      </w:r>
      <w:r>
        <w:rPr>
          <w:rFonts w:hint="eastAsia" w:ascii="仿宋" w:hAnsi="仿宋" w:eastAsia="仿宋" w:cs="仿宋"/>
          <w:color w:val="auto"/>
          <w:sz w:val="21"/>
          <w:szCs w:val="21"/>
          <w:highlight w:val="none"/>
          <w:lang w:val="en-US" w:eastAsia="zh-CN"/>
        </w:rPr>
        <w:t>（1）所投产品属第二类医疗器械的须具有《医疗器械经营备案凭证》，属第三类医疗器械的须具有《医疗器械经营许可证》（投标单位作为经销商适用）；</w:t>
      </w:r>
    </w:p>
    <w:p w14:paraId="1D1CC5CC">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（2）所投产品属第一类医疗器械的须提供《医疗器械生产备案凭证》，属第二类、第三类医疗器械的须提供《医疗器械生产许可证》（投标单位作为生产商适用）；</w:t>
      </w:r>
    </w:p>
    <w:p w14:paraId="1C6ED789">
      <w:pPr>
        <w:bidi w:val="0"/>
        <w:ind w:left="420" w:lef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所投产品若纳入中华人民共和国医疗器械监督管理的，应取得监督管理部门颁发的相应的《中华人民共和国医疗器械注册证》及《医疗器械产品注册登记表》，若已办理两证合一，则只需提供《医疗器械注册证》</w:t>
      </w:r>
      <w:r>
        <w:rPr>
          <w:rFonts w:hint="eastAsia" w:ascii="仿宋" w:hAnsi="仿宋" w:eastAsia="仿宋" w:cs="仿宋"/>
          <w:color w:val="auto"/>
          <w:sz w:val="21"/>
          <w:szCs w:val="21"/>
          <w:highlight w:val="none"/>
        </w:rPr>
        <w:t>；</w:t>
      </w:r>
    </w:p>
    <w:p w14:paraId="1B8BED11">
      <w:pPr>
        <w:bidi w:val="0"/>
        <w:ind w:left="420" w:hanging="420" w:hangingChars="200"/>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财务要求：应出具近三年（202</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年至202</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年）经会计师事务所审计的财务审计报告（投标人的成立时间少于规定年份的，应提供成立以来至202</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年的财务审计报告；20</w:t>
      </w:r>
      <w:r>
        <w:rPr>
          <w:rFonts w:hint="eastAsia" w:cs="仿宋"/>
          <w:color w:val="auto"/>
          <w:sz w:val="21"/>
          <w:szCs w:val="21"/>
          <w:highlight w:val="none"/>
          <w:lang w:val="en-US" w:eastAsia="zh-CN"/>
        </w:rPr>
        <w:t>25</w:t>
      </w:r>
      <w:r>
        <w:rPr>
          <w:rFonts w:hint="eastAsia" w:ascii="仿宋" w:hAnsi="仿宋" w:eastAsia="仿宋" w:cs="仿宋"/>
          <w:color w:val="auto"/>
          <w:sz w:val="21"/>
          <w:szCs w:val="21"/>
          <w:highlight w:val="none"/>
        </w:rPr>
        <w:t>年以后新成立企业需提供近三个月内银行出具的公司资信证明）；</w:t>
      </w:r>
    </w:p>
    <w:p w14:paraId="1ECBE7F4">
      <w:pPr>
        <w:bidi w:val="0"/>
        <w:ind w:left="420" w:hanging="420" w:hangingChars="200"/>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4E615E8E">
      <w:pPr>
        <w:bidi w:val="0"/>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6、</w:t>
      </w:r>
      <w:r>
        <w:rPr>
          <w:rFonts w:hint="eastAsia" w:ascii="仿宋" w:hAnsi="仿宋" w:eastAsia="仿宋" w:cs="仿宋"/>
          <w:color w:val="auto"/>
          <w:sz w:val="21"/>
          <w:szCs w:val="21"/>
          <w:highlight w:val="none"/>
        </w:rPr>
        <w:t>拒绝被列入政府取消投标资格记录期间的企业或个人投标；</w:t>
      </w:r>
    </w:p>
    <w:p w14:paraId="51FFD94C">
      <w:pPr>
        <w:bidi w:val="0"/>
        <w:ind w:left="420" w:hanging="420" w:hangingChars="200"/>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7、</w:t>
      </w:r>
      <w:r>
        <w:rPr>
          <w:rFonts w:hint="eastAsia" w:ascii="仿宋" w:hAnsi="仿宋" w:eastAsia="仿宋" w:cs="仿宋"/>
          <w:color w:val="auto"/>
          <w:sz w:val="21"/>
          <w:szCs w:val="21"/>
          <w:highlight w:val="none"/>
        </w:rPr>
        <w:t>投标人未被列入“失信被执行人、重大税收违法案件当事人”的记录名单，通过“信用中国”网站（www.creditchina.gov.cn)查询；</w:t>
      </w:r>
    </w:p>
    <w:p w14:paraId="1F0C42E7">
      <w:pPr>
        <w:bidi w:val="0"/>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8、</w:t>
      </w:r>
      <w:r>
        <w:rPr>
          <w:rFonts w:hint="eastAsia" w:ascii="仿宋" w:hAnsi="仿宋" w:eastAsia="仿宋" w:cs="仿宋"/>
          <w:color w:val="auto"/>
          <w:sz w:val="21"/>
          <w:szCs w:val="21"/>
          <w:highlight w:val="none"/>
        </w:rPr>
        <w:t>投标人未被列入“政府采购严重违法失信行为记录名单”，通过“中国政府采购网”（www.ccgp.gov.cn）查询；</w:t>
      </w:r>
    </w:p>
    <w:p w14:paraId="391200C7">
      <w:pPr>
        <w:bidi w:val="0"/>
        <w:ind w:left="420" w:hanging="420" w:hangingChars="200"/>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9、</w:t>
      </w:r>
      <w:r>
        <w:rPr>
          <w:rFonts w:hint="eastAsia" w:ascii="仿宋" w:hAnsi="仿宋" w:eastAsia="仿宋" w:cs="仿宋"/>
          <w:color w:val="auto"/>
          <w:sz w:val="21"/>
          <w:szCs w:val="21"/>
          <w:highlight w:val="none"/>
        </w:rPr>
        <w:t>投标单位和个人（指法定代表人）未在“中国裁判文书网”（wenshu.court.gov.cn）上有行贿犯罪行为；</w:t>
      </w:r>
    </w:p>
    <w:p w14:paraId="71C8BF51">
      <w:pPr>
        <w:bidi w:val="0"/>
        <w:ind w:left="420" w:hanging="420" w:hangingChars="200"/>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10、</w:t>
      </w:r>
      <w:r>
        <w:rPr>
          <w:rFonts w:hint="eastAsia" w:ascii="仿宋" w:hAnsi="仿宋" w:eastAsia="仿宋" w:cs="仿宋"/>
          <w:color w:val="auto"/>
          <w:sz w:val="21"/>
          <w:szCs w:val="21"/>
          <w:highlight w:val="none"/>
        </w:rPr>
        <w:t>单位负责人为同一人或者存在直接控股、管理关系的不同投标人，不得参加同一合同项目下的政府采购活动，否则，相关投标均无效。</w:t>
      </w:r>
    </w:p>
    <w:p w14:paraId="1A11F420">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三、获取</w:t>
      </w:r>
      <w:r>
        <w:rPr>
          <w:rFonts w:hint="eastAsia" w:ascii="仿宋" w:hAnsi="仿宋" w:eastAsia="仿宋" w:cs="仿宋"/>
          <w:b/>
          <w:bCs/>
          <w:color w:val="auto"/>
          <w:sz w:val="21"/>
          <w:szCs w:val="21"/>
          <w:highlight w:val="none"/>
          <w:lang w:eastAsia="zh-CN"/>
        </w:rPr>
        <w:t>招标文件</w:t>
      </w:r>
    </w:p>
    <w:p w14:paraId="54849401">
      <w:pPr>
        <w:bidi w:val="0"/>
        <w:ind w:firstLine="42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1、时间：202</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年</w:t>
      </w:r>
      <w:r>
        <w:rPr>
          <w:rFonts w:hint="eastAsia" w:cs="仿宋"/>
          <w:color w:val="auto"/>
          <w:sz w:val="21"/>
          <w:szCs w:val="21"/>
          <w:highlight w:val="none"/>
          <w:lang w:val="en-US" w:eastAsia="zh-CN"/>
        </w:rPr>
        <w:t>07</w:t>
      </w:r>
      <w:r>
        <w:rPr>
          <w:rFonts w:hint="eastAsia" w:ascii="仿宋" w:hAnsi="仿宋" w:eastAsia="仿宋" w:cs="仿宋"/>
          <w:color w:val="auto"/>
          <w:sz w:val="21"/>
          <w:szCs w:val="21"/>
          <w:highlight w:val="none"/>
          <w:lang w:val="en-US" w:eastAsia="zh-CN"/>
        </w:rPr>
        <w:t>月</w:t>
      </w:r>
      <w:r>
        <w:rPr>
          <w:rFonts w:hint="eastAsia" w:cs="仿宋"/>
          <w:color w:val="auto"/>
          <w:sz w:val="21"/>
          <w:szCs w:val="21"/>
          <w:highlight w:val="none"/>
          <w:lang w:val="en-US" w:eastAsia="zh-CN"/>
        </w:rPr>
        <w:t>09</w:t>
      </w:r>
      <w:r>
        <w:rPr>
          <w:rFonts w:hint="eastAsia" w:ascii="仿宋" w:hAnsi="仿宋" w:eastAsia="仿宋" w:cs="仿宋"/>
          <w:color w:val="auto"/>
          <w:sz w:val="21"/>
          <w:szCs w:val="21"/>
          <w:highlight w:val="none"/>
          <w:lang w:val="en-US" w:eastAsia="zh-CN"/>
        </w:rPr>
        <w:t>日</w:t>
      </w:r>
      <w:r>
        <w:rPr>
          <w:rFonts w:hint="eastAsia" w:ascii="仿宋" w:hAnsi="仿宋" w:eastAsia="仿宋" w:cs="仿宋"/>
          <w:color w:val="auto"/>
          <w:sz w:val="21"/>
          <w:szCs w:val="21"/>
          <w:highlight w:val="none"/>
        </w:rPr>
        <w:t>至202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0</w:t>
      </w:r>
      <w:r>
        <w:rPr>
          <w:rFonts w:hint="eastAsia" w:cs="仿宋"/>
          <w:color w:val="auto"/>
          <w:sz w:val="21"/>
          <w:szCs w:val="21"/>
          <w:highlight w:val="none"/>
          <w:lang w:val="en-US" w:eastAsia="zh-CN"/>
        </w:rPr>
        <w:t>7</w:t>
      </w:r>
      <w:r>
        <w:rPr>
          <w:rFonts w:hint="eastAsia" w:ascii="仿宋" w:hAnsi="仿宋" w:eastAsia="仿宋" w:cs="仿宋"/>
          <w:color w:val="auto"/>
          <w:sz w:val="21"/>
          <w:szCs w:val="21"/>
          <w:highlight w:val="none"/>
          <w:lang w:val="en-US" w:eastAsia="zh-CN"/>
        </w:rPr>
        <w:t>月</w:t>
      </w:r>
      <w:r>
        <w:rPr>
          <w:rFonts w:hint="eastAsia" w:cs="仿宋"/>
          <w:color w:val="auto"/>
          <w:sz w:val="21"/>
          <w:szCs w:val="21"/>
          <w:highlight w:val="none"/>
          <w:lang w:val="en-US" w:eastAsia="zh-CN"/>
        </w:rPr>
        <w:t>16</w:t>
      </w:r>
      <w:r>
        <w:rPr>
          <w:rFonts w:hint="eastAsia" w:ascii="仿宋" w:hAnsi="仿宋" w:eastAsia="仿宋" w:cs="仿宋"/>
          <w:color w:val="auto"/>
          <w:sz w:val="21"/>
          <w:szCs w:val="21"/>
          <w:highlight w:val="none"/>
          <w:lang w:val="en-US" w:eastAsia="zh-CN"/>
        </w:rPr>
        <w:t>日</w:t>
      </w:r>
      <w:r>
        <w:rPr>
          <w:rFonts w:hint="eastAsia" w:ascii="仿宋" w:hAnsi="仿宋" w:eastAsia="仿宋" w:cs="仿宋"/>
          <w:color w:val="auto"/>
          <w:sz w:val="21"/>
          <w:szCs w:val="21"/>
          <w:highlight w:val="none"/>
        </w:rPr>
        <w:t>16:00（北京时间，法定节假日除外）</w:t>
      </w:r>
    </w:p>
    <w:p w14:paraId="2A46CC2E">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2、地点：政府采购云平台https://www.zcygov.cn/</w:t>
      </w:r>
    </w:p>
    <w:p w14:paraId="2337BC16">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3、方式：供应商登录政府采购云平台https://www.zcygov.cn/在线申请获取采购文件（进入“项目采购”应用，在获取采购文件菜单中选择项目，申请获取采购文件）</w:t>
      </w:r>
    </w:p>
    <w:p w14:paraId="767D69D6">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4、售价：0元</w:t>
      </w:r>
    </w:p>
    <w:p w14:paraId="010ED7CD">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四、提交响应文件截止时间、开标时间和地点</w:t>
      </w:r>
    </w:p>
    <w:p w14:paraId="5FC4E63B">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1、截止时间（即开标时间）：</w:t>
      </w:r>
      <w:r>
        <w:rPr>
          <w:rFonts w:hint="eastAsia" w:cs="仿宋"/>
          <w:color w:val="auto"/>
          <w:sz w:val="21"/>
          <w:szCs w:val="21"/>
          <w:highlight w:val="none"/>
          <w:lang w:eastAsia="zh-CN"/>
        </w:rPr>
        <w:t>2025年0</w:t>
      </w:r>
      <w:r>
        <w:rPr>
          <w:rFonts w:hint="eastAsia" w:cs="仿宋"/>
          <w:color w:val="auto"/>
          <w:sz w:val="21"/>
          <w:szCs w:val="21"/>
          <w:highlight w:val="none"/>
          <w:lang w:val="en-US" w:eastAsia="zh-CN"/>
        </w:rPr>
        <w:t>7</w:t>
      </w:r>
      <w:r>
        <w:rPr>
          <w:rFonts w:hint="eastAsia" w:cs="仿宋"/>
          <w:color w:val="auto"/>
          <w:sz w:val="21"/>
          <w:szCs w:val="21"/>
          <w:highlight w:val="none"/>
          <w:lang w:eastAsia="zh-CN"/>
        </w:rPr>
        <w:t>月</w:t>
      </w:r>
      <w:r>
        <w:rPr>
          <w:rFonts w:hint="eastAsia" w:cs="仿宋"/>
          <w:color w:val="auto"/>
          <w:sz w:val="21"/>
          <w:szCs w:val="21"/>
          <w:highlight w:val="none"/>
          <w:lang w:val="en-US" w:eastAsia="zh-CN"/>
        </w:rPr>
        <w:t>30</w:t>
      </w:r>
      <w:r>
        <w:rPr>
          <w:rFonts w:hint="eastAsia" w:cs="仿宋"/>
          <w:color w:val="auto"/>
          <w:sz w:val="21"/>
          <w:szCs w:val="21"/>
          <w:highlight w:val="none"/>
          <w:lang w:eastAsia="zh-CN"/>
        </w:rPr>
        <w:t>日09时30分</w:t>
      </w:r>
      <w:r>
        <w:rPr>
          <w:rFonts w:hint="eastAsia" w:ascii="仿宋" w:hAnsi="仿宋" w:eastAsia="仿宋" w:cs="仿宋"/>
          <w:color w:val="auto"/>
          <w:sz w:val="21"/>
          <w:szCs w:val="21"/>
          <w:highlight w:val="none"/>
        </w:rPr>
        <w:t>（北京时间）。</w:t>
      </w:r>
    </w:p>
    <w:p w14:paraId="31E1AF63">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2、地点：在线开标</w:t>
      </w:r>
    </w:p>
    <w:p w14:paraId="10298B06">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3、开标方式：本项目执行电子化招投标（供应商无需到达现场），供应商须通过政府采购云平台（网址：http://www.zcygov.cn）递交电子版投标文件</w:t>
      </w:r>
    </w:p>
    <w:p w14:paraId="50F0A02E">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五、公告期限</w:t>
      </w:r>
    </w:p>
    <w:p w14:paraId="41CC1217">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自本公告发布之日起5个工作日。</w:t>
      </w:r>
    </w:p>
    <w:p w14:paraId="0139941B">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六、其他补充事宜</w:t>
      </w:r>
    </w:p>
    <w:p w14:paraId="6A402CC2">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1、供应商在政采云平台注册入库成为正式供应商后，在平台上按《政府采购项目电子交易管理操作指南－供应商》进行投标操作。投标人须办理数字证书方可参加投标。</w:t>
      </w:r>
    </w:p>
    <w:p w14:paraId="116B0F88">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2、收到CA锁以后在“政采云”登录界面，点击CA登录-CA驱动下载－下载并安装政采云投标客户端和CA驱动，账号绑定CA后才能进行投标文件制作。</w:t>
      </w:r>
    </w:p>
    <w:p w14:paraId="62BEA4A1">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3、若对项目采购电子交易系统操作有疑问，可登录“政采云”平台，点击右侧咨询小采，获取采小蜜智能服务管家帮助，或拨打政采云服务热线95763获取帮助。</w:t>
      </w:r>
    </w:p>
    <w:p w14:paraId="659B926A">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4、有效投标人不足三家时，招标人另行组织招标。</w:t>
      </w:r>
    </w:p>
    <w:p w14:paraId="4E3592EE">
      <w:pPr>
        <w:bidi w:val="0"/>
        <w:ind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5、本次采购公告在“政采云”平台(http：//www.zcygov.cn)、中国政府采购网、中国采购与招标网上同时发布。</w:t>
      </w:r>
    </w:p>
    <w:p w14:paraId="441A0C4A">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1"/>
          <w:szCs w:val="21"/>
          <w:highlight w:val="none"/>
          <w:lang w:val="en-US" w:eastAsia="zh-CN"/>
        </w:rPr>
      </w:pPr>
      <w:r>
        <w:rPr>
          <w:rFonts w:hint="eastAsia" w:cs="仿宋"/>
          <w:b/>
          <w:bCs/>
          <w:color w:val="auto"/>
          <w:sz w:val="21"/>
          <w:szCs w:val="21"/>
          <w:highlight w:val="none"/>
          <w:lang w:val="en-US" w:eastAsia="zh-CN"/>
        </w:rPr>
        <w:t>七</w:t>
      </w:r>
      <w:r>
        <w:rPr>
          <w:rFonts w:hint="eastAsia" w:ascii="仿宋" w:hAnsi="仿宋" w:eastAsia="仿宋" w:cs="仿宋"/>
          <w:b/>
          <w:bCs/>
          <w:color w:val="auto"/>
          <w:sz w:val="21"/>
          <w:szCs w:val="21"/>
          <w:highlight w:val="none"/>
          <w:lang w:val="en-US" w:eastAsia="zh-CN"/>
        </w:rPr>
        <w:t>、对本次招标提出询问，请按以下方式联系</w:t>
      </w:r>
    </w:p>
    <w:p w14:paraId="2897A80E">
      <w:pPr>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1、采购人信息</w:t>
      </w:r>
    </w:p>
    <w:p w14:paraId="45DF11CA">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名称：</w:t>
      </w:r>
      <w:r>
        <w:rPr>
          <w:rFonts w:hint="eastAsia" w:cs="仿宋"/>
          <w:color w:val="auto"/>
          <w:sz w:val="21"/>
          <w:szCs w:val="21"/>
          <w:highlight w:val="none"/>
          <w:lang w:val="en-US" w:eastAsia="zh-CN"/>
        </w:rPr>
        <w:t>舒兰市滨河社区卫生服务中心</w:t>
      </w:r>
    </w:p>
    <w:p w14:paraId="32E86F7D">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地址：</w:t>
      </w:r>
      <w:r>
        <w:rPr>
          <w:rFonts w:hint="eastAsia" w:cs="仿宋"/>
          <w:color w:val="auto"/>
          <w:sz w:val="21"/>
          <w:szCs w:val="21"/>
          <w:highlight w:val="none"/>
          <w:lang w:val="en-US" w:eastAsia="zh-CN"/>
        </w:rPr>
        <w:t>吉林省舒兰市人民大路3633号</w:t>
      </w:r>
    </w:p>
    <w:p w14:paraId="13E9DEA9">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联系方式：</w:t>
      </w:r>
      <w:r>
        <w:rPr>
          <w:rFonts w:hint="eastAsia" w:cs="仿宋"/>
          <w:color w:val="auto"/>
          <w:sz w:val="21"/>
          <w:szCs w:val="21"/>
          <w:highlight w:val="none"/>
          <w:lang w:val="en-US" w:eastAsia="zh-CN"/>
        </w:rPr>
        <w:t>王丹0432-68260120</w:t>
      </w:r>
    </w:p>
    <w:p w14:paraId="72818513">
      <w:pPr>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2、采购代理机构信息</w:t>
      </w:r>
    </w:p>
    <w:p w14:paraId="5A23EEA8">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名称：中屹宬信建设集团有限公司</w:t>
      </w:r>
    </w:p>
    <w:p w14:paraId="59D8FA06">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地址：吉林省吉林市船营区雾凇中路中凯家博汇37号楼15层</w:t>
      </w:r>
    </w:p>
    <w:p w14:paraId="5DE49EAA">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联系人：</w:t>
      </w:r>
      <w:r>
        <w:rPr>
          <w:rFonts w:hint="eastAsia" w:cs="仿宋"/>
          <w:color w:val="auto"/>
          <w:sz w:val="21"/>
          <w:szCs w:val="21"/>
          <w:highlight w:val="none"/>
          <w:lang w:val="en-US" w:eastAsia="zh-CN"/>
        </w:rPr>
        <w:t>王卓</w:t>
      </w:r>
    </w:p>
    <w:p w14:paraId="64386750">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联系方式：0432-</w:t>
      </w:r>
      <w:r>
        <w:rPr>
          <w:rFonts w:hint="eastAsia" w:cs="仿宋"/>
          <w:color w:val="auto"/>
          <w:sz w:val="21"/>
          <w:szCs w:val="21"/>
          <w:highlight w:val="none"/>
          <w:lang w:val="en-US" w:eastAsia="zh-CN"/>
        </w:rPr>
        <w:t>63360157</w:t>
      </w:r>
    </w:p>
    <w:p w14:paraId="40C5264C">
      <w:pPr>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3、项目联系方式</w:t>
      </w:r>
    </w:p>
    <w:p w14:paraId="082722B6">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项目联系人：</w:t>
      </w:r>
      <w:r>
        <w:rPr>
          <w:rFonts w:hint="eastAsia" w:cs="仿宋"/>
          <w:color w:val="auto"/>
          <w:sz w:val="21"/>
          <w:szCs w:val="21"/>
          <w:highlight w:val="none"/>
          <w:lang w:val="en-US" w:eastAsia="zh-CN"/>
        </w:rPr>
        <w:t>王卓</w:t>
      </w:r>
    </w:p>
    <w:p w14:paraId="356962DC">
      <w:pPr>
        <w:bidi w:val="0"/>
        <w:ind w:left="420" w:left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电话：0432-</w:t>
      </w:r>
      <w:r>
        <w:rPr>
          <w:rFonts w:hint="eastAsia" w:cs="仿宋"/>
          <w:color w:val="auto"/>
          <w:sz w:val="21"/>
          <w:szCs w:val="21"/>
          <w:highlight w:val="none"/>
          <w:lang w:val="en-US" w:eastAsia="zh-CN"/>
        </w:rPr>
        <w:t>63360157</w:t>
      </w:r>
    </w:p>
    <w:p w14:paraId="114FE2D2">
      <w:pPr>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4、政府采购监督管理部门</w:t>
      </w:r>
    </w:p>
    <w:p w14:paraId="1B2B4289">
      <w:pPr>
        <w:bidi w:val="0"/>
        <w:ind w:left="420" w:leftChars="0"/>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舒兰市</w:t>
      </w:r>
      <w:r>
        <w:rPr>
          <w:rFonts w:hint="eastAsia" w:ascii="仿宋" w:hAnsi="仿宋" w:eastAsia="仿宋" w:cs="仿宋"/>
          <w:color w:val="auto"/>
          <w:sz w:val="21"/>
          <w:szCs w:val="21"/>
          <w:highlight w:val="none"/>
          <w:lang w:val="en-US" w:eastAsia="zh-CN"/>
        </w:rPr>
        <w:t>政府采购管理办公室</w:t>
      </w:r>
    </w:p>
    <w:p w14:paraId="0A8D9575">
      <w:pPr>
        <w:pStyle w:val="2"/>
        <w:bidi w:val="0"/>
        <w:rPr>
          <w:rStyle w:val="43"/>
          <w:rFonts w:hint="eastAsia"/>
          <w:b/>
          <w:bCs/>
          <w:color w:val="auto"/>
          <w:highlight w:val="none"/>
          <w:lang w:val="en-US" w:eastAsia="zh-CN"/>
        </w:rPr>
      </w:pPr>
      <w:r>
        <w:rPr>
          <w:rFonts w:hint="eastAsia" w:ascii="仿宋" w:hAnsi="仿宋" w:eastAsia="仿宋" w:cs="仿宋"/>
          <w:color w:val="auto"/>
          <w:sz w:val="24"/>
          <w:szCs w:val="24"/>
          <w:highlight w:val="none"/>
          <w:shd w:val="clear" w:fill="FFFFFF"/>
          <w:lang w:val="zh-CN" w:eastAsia="zh-CN"/>
        </w:rPr>
        <w:br w:type="page"/>
      </w:r>
      <w:bookmarkStart w:id="20" w:name="_Toc6471"/>
      <w:r>
        <w:rPr>
          <w:rStyle w:val="43"/>
          <w:rFonts w:hint="eastAsia"/>
          <w:b/>
          <w:bCs/>
          <w:color w:val="auto"/>
          <w:highlight w:val="none"/>
          <w:lang w:val="en-US" w:eastAsia="zh-CN"/>
        </w:rPr>
        <w:t>第二章投标人须知</w:t>
      </w:r>
      <w:bookmarkEnd w:id="20"/>
    </w:p>
    <w:p w14:paraId="4A73D5D0">
      <w:pPr>
        <w:pStyle w:val="3"/>
        <w:numPr>
          <w:ilvl w:val="0"/>
          <w:numId w:val="0"/>
        </w:numPr>
        <w:ind w:leftChars="0"/>
        <w:jc w:val="center"/>
        <w:rPr>
          <w:rFonts w:hint="eastAsia" w:ascii="仿宋" w:hAnsi="仿宋" w:eastAsia="仿宋" w:cs="仿宋"/>
          <w:b/>
          <w:bCs w:val="0"/>
          <w:color w:val="auto"/>
          <w:highlight w:val="none"/>
        </w:rPr>
      </w:pPr>
      <w:bookmarkStart w:id="21" w:name="_Toc2590"/>
      <w:bookmarkStart w:id="22" w:name="_Toc52181462"/>
      <w:r>
        <w:rPr>
          <w:rFonts w:hint="eastAsia" w:ascii="仿宋" w:hAnsi="仿宋" w:eastAsia="仿宋" w:cs="仿宋"/>
          <w:b/>
          <w:bCs w:val="0"/>
          <w:color w:val="auto"/>
          <w:highlight w:val="none"/>
        </w:rPr>
        <w:t>投标人须知前附表</w:t>
      </w:r>
      <w:bookmarkEnd w:id="12"/>
      <w:bookmarkEnd w:id="13"/>
      <w:bookmarkEnd w:id="14"/>
      <w:bookmarkEnd w:id="15"/>
      <w:bookmarkEnd w:id="16"/>
      <w:bookmarkEnd w:id="17"/>
      <w:bookmarkEnd w:id="18"/>
      <w:bookmarkEnd w:id="19"/>
      <w:bookmarkEnd w:id="21"/>
      <w:bookmarkEnd w:id="22"/>
    </w:p>
    <w:tbl>
      <w:tblPr>
        <w:tblStyle w:val="18"/>
        <w:tblW w:w="8325" w:type="dxa"/>
        <w:tblInd w:w="96" w:type="dxa"/>
        <w:tblLayout w:type="fixed"/>
        <w:tblCellMar>
          <w:top w:w="0" w:type="dxa"/>
          <w:left w:w="108" w:type="dxa"/>
          <w:bottom w:w="0" w:type="dxa"/>
          <w:right w:w="108" w:type="dxa"/>
        </w:tblCellMar>
      </w:tblPr>
      <w:tblGrid>
        <w:gridCol w:w="1154"/>
        <w:gridCol w:w="1835"/>
        <w:gridCol w:w="5336"/>
      </w:tblGrid>
      <w:tr w14:paraId="598A6701">
        <w:tblPrEx>
          <w:tblCellMar>
            <w:top w:w="0" w:type="dxa"/>
            <w:left w:w="108" w:type="dxa"/>
            <w:bottom w:w="0" w:type="dxa"/>
            <w:right w:w="108" w:type="dxa"/>
          </w:tblCellMar>
        </w:tblPrEx>
        <w:trPr>
          <w:trHeight w:val="453"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D81C45D">
            <w:pPr>
              <w:bidi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条款号</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202C0C72">
            <w:pPr>
              <w:bidi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条款名称</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578F30E9">
            <w:pPr>
              <w:bidi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编列内容</w:t>
            </w:r>
          </w:p>
        </w:tc>
      </w:tr>
      <w:tr w14:paraId="5EC7653A">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27B717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3CC4FD5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招标人</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79B84F13">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名称：</w:t>
            </w:r>
            <w:r>
              <w:rPr>
                <w:rFonts w:hint="eastAsia" w:cs="仿宋"/>
                <w:color w:val="auto"/>
                <w:sz w:val="21"/>
                <w:szCs w:val="21"/>
                <w:highlight w:val="none"/>
                <w:lang w:val="en-US" w:eastAsia="zh-CN"/>
              </w:rPr>
              <w:t>舒兰市滨河社区卫生服务中心</w:t>
            </w:r>
          </w:p>
          <w:p w14:paraId="00C04B9D">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地址：</w:t>
            </w:r>
            <w:r>
              <w:rPr>
                <w:rFonts w:hint="eastAsia" w:cs="仿宋"/>
                <w:color w:val="auto"/>
                <w:sz w:val="21"/>
                <w:szCs w:val="21"/>
                <w:highlight w:val="none"/>
                <w:lang w:val="en-US" w:eastAsia="zh-CN"/>
              </w:rPr>
              <w:t>吉林省舒兰市人民大路3633号</w:t>
            </w:r>
          </w:p>
          <w:p w14:paraId="517268F3">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联系方式：</w:t>
            </w:r>
            <w:r>
              <w:rPr>
                <w:rFonts w:hint="eastAsia" w:cs="仿宋"/>
                <w:color w:val="auto"/>
                <w:sz w:val="21"/>
                <w:szCs w:val="21"/>
                <w:highlight w:val="none"/>
                <w:lang w:val="en-US" w:eastAsia="zh-CN"/>
              </w:rPr>
              <w:t>王丹0432-68260120</w:t>
            </w:r>
          </w:p>
        </w:tc>
      </w:tr>
      <w:tr w14:paraId="78C8CC53">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C736378">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5505E168">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招标代理机构</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2FEF8363">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名称：中屹宬信建设集团有限公司</w:t>
            </w:r>
          </w:p>
          <w:p w14:paraId="544F0E12">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地址：吉林省吉林市船营区雾凇中路中凯家博汇37号楼15层</w:t>
            </w:r>
          </w:p>
          <w:p w14:paraId="31C5FF4E">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联系人：</w:t>
            </w:r>
            <w:r>
              <w:rPr>
                <w:rFonts w:hint="eastAsia" w:cs="仿宋"/>
                <w:color w:val="auto"/>
                <w:sz w:val="21"/>
                <w:szCs w:val="21"/>
                <w:highlight w:val="none"/>
                <w:lang w:val="en-US" w:eastAsia="zh-CN"/>
              </w:rPr>
              <w:t>王卓</w:t>
            </w:r>
          </w:p>
          <w:p w14:paraId="2356FB53">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联系方式：0432-63360157</w:t>
            </w:r>
          </w:p>
        </w:tc>
      </w:tr>
      <w:tr w14:paraId="0139BE9A">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B013C95">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1.1.4</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1C453C3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31C97BDF">
            <w:pPr>
              <w:bidi w:val="0"/>
              <w:spacing w:line="240" w:lineRule="auto"/>
              <w:rPr>
                <w:rFonts w:hint="eastAsia" w:ascii="仿宋" w:hAnsi="仿宋" w:eastAsia="仿宋" w:cs="仿宋"/>
                <w:color w:val="auto"/>
                <w:sz w:val="21"/>
                <w:szCs w:val="21"/>
                <w:highlight w:val="none"/>
                <w:lang w:eastAsia="zh-CN"/>
              </w:rPr>
            </w:pPr>
            <w:r>
              <w:rPr>
                <w:rFonts w:hint="eastAsia" w:cs="仿宋"/>
                <w:color w:val="auto"/>
                <w:sz w:val="21"/>
                <w:szCs w:val="21"/>
                <w:highlight w:val="none"/>
                <w:lang w:eastAsia="zh-CN"/>
              </w:rPr>
              <w:t>舒兰市滨河社区卫生服务中心医疗设备采购项目</w:t>
            </w:r>
          </w:p>
        </w:tc>
      </w:tr>
      <w:tr w14:paraId="34A5071F">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43F52CC">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1.1.5</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39BE0A8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地点</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5C48E78A">
            <w:pPr>
              <w:bidi w:val="0"/>
              <w:spacing w:line="240" w:lineRule="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采购人指定地点</w:t>
            </w:r>
          </w:p>
        </w:tc>
      </w:tr>
      <w:tr w14:paraId="51D6270A">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883CC8C">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1.2.1</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5BD6455B">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资金来源及比例</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49D21D2A">
            <w:pPr>
              <w:bidi w:val="0"/>
              <w:spacing w:line="240" w:lineRule="auto"/>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财政资金</w:t>
            </w:r>
            <w:r>
              <w:rPr>
                <w:rFonts w:hint="eastAsia" w:ascii="仿宋" w:hAnsi="仿宋" w:eastAsia="仿宋" w:cs="仿宋"/>
                <w:color w:val="auto"/>
                <w:sz w:val="21"/>
                <w:szCs w:val="21"/>
                <w:highlight w:val="none"/>
                <w:lang w:val="en-US" w:eastAsia="zh-CN"/>
              </w:rPr>
              <w:t>100%</w:t>
            </w:r>
          </w:p>
        </w:tc>
      </w:tr>
      <w:tr w14:paraId="1CB3CE53">
        <w:tblPrEx>
          <w:tblCellMar>
            <w:top w:w="0" w:type="dxa"/>
            <w:left w:w="108" w:type="dxa"/>
            <w:bottom w:w="0" w:type="dxa"/>
            <w:right w:w="108" w:type="dxa"/>
          </w:tblCellMar>
        </w:tblPrEx>
        <w:trPr>
          <w:trHeight w:val="429"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390506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4A9DC18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资金落实情况</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0675A036">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已落实</w:t>
            </w:r>
          </w:p>
        </w:tc>
      </w:tr>
      <w:tr w14:paraId="36B70735">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498007E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1B6285E6">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招标范围</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251EC662">
            <w:pPr>
              <w:bidi w:val="0"/>
              <w:spacing w:line="240" w:lineRule="auto"/>
              <w:rPr>
                <w:rFonts w:hint="default"/>
                <w:color w:val="auto"/>
                <w:highlight w:val="none"/>
                <w:lang w:val="en-US" w:eastAsia="zh-CN"/>
              </w:rPr>
            </w:pPr>
            <w:r>
              <w:rPr>
                <w:rFonts w:hint="eastAsia" w:cs="仿宋"/>
                <w:color w:val="auto"/>
                <w:sz w:val="21"/>
                <w:szCs w:val="21"/>
                <w:highlight w:val="none"/>
                <w:lang w:eastAsia="zh-CN"/>
              </w:rPr>
              <w:t>舒兰市滨河社区卫生服务中心采购彩色多普勒超声诊断系统、全自动血液细胞分析仪、一般医疗设备等用于开展基本医疗和公共卫生服务工作的医疗设备130台（套），</w:t>
            </w:r>
            <w:r>
              <w:rPr>
                <w:rFonts w:hint="eastAsia" w:cs="仿宋"/>
                <w:color w:val="auto"/>
                <w:sz w:val="21"/>
                <w:szCs w:val="21"/>
                <w:highlight w:val="none"/>
                <w:lang w:val="en-US" w:eastAsia="zh-CN"/>
              </w:rPr>
              <w:t>详见招标文件</w:t>
            </w:r>
          </w:p>
        </w:tc>
      </w:tr>
      <w:tr w14:paraId="1F1BC55C">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62CCD51D">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1A1CCCF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供货期</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5D5BC44E">
            <w:pPr>
              <w:bidi w:val="0"/>
              <w:spacing w:line="240" w:lineRule="auto"/>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28日历天</w:t>
            </w:r>
            <w:r>
              <w:rPr>
                <w:rFonts w:hint="eastAsia" w:ascii="仿宋" w:hAnsi="仿宋" w:eastAsia="仿宋" w:cs="仿宋"/>
                <w:color w:val="auto"/>
                <w:sz w:val="21"/>
                <w:szCs w:val="21"/>
                <w:highlight w:val="none"/>
                <w:lang w:val="en-US" w:eastAsia="zh-CN"/>
              </w:rPr>
              <w:t>(具体时间以签订合同为准)</w:t>
            </w:r>
          </w:p>
        </w:tc>
      </w:tr>
      <w:tr w14:paraId="695A2EA8">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93185C9">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7AF1F957">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7E1756AC">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达到国家、行业现行的合格标准及验收规范、且满足采购人使用要求</w:t>
            </w:r>
          </w:p>
        </w:tc>
      </w:tr>
      <w:tr w14:paraId="643E07B5">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DC8F627">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2145A5E7">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投标人资质条件、能力</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010A8725">
            <w:pPr>
              <w:numPr>
                <w:ilvl w:val="0"/>
                <w:numId w:val="4"/>
              </w:num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供应商应当具备《中华人民共和国政府采购法》第二十二条第一款规定的条件，应是具有独立法人资格的企业，具有有效的营业执照（经营范围包括本采购项目）、税务登记证（五证合一除外）、组织机构代码证（五证合一除外）；</w:t>
            </w:r>
          </w:p>
          <w:p w14:paraId="0F869287">
            <w:pPr>
              <w:numPr>
                <w:ilvl w:val="0"/>
                <w:numId w:val="4"/>
              </w:num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所投产品属第二类医疗器械的须具有《医疗器械经营备案凭证》，属第三类医疗器械的须具有《医疗器械经营许可证》（投标单位作为经销商适用）；所投产品属第一类医疗器械的须提供《医疗器械生产备案凭证》，属第二类、第三类医疗器械的须提供《医疗器械生产许可证》（投标单位作为生产商适用）；所投产品若纳入中华人民共和国医疗器械监督管理的，应取得监督管理部门颁发的相应的《中华人民共和国医疗器械注册证》及《医疗器械产品注册登记表》，若已办理两证合一，则只需提供《医疗器械注册证》</w:t>
            </w:r>
            <w:r>
              <w:rPr>
                <w:rFonts w:hint="eastAsia" w:ascii="仿宋" w:hAnsi="仿宋" w:eastAsia="仿宋" w:cs="仿宋"/>
                <w:color w:val="auto"/>
                <w:sz w:val="21"/>
                <w:szCs w:val="21"/>
                <w:highlight w:val="none"/>
                <w:lang w:eastAsia="zh-CN"/>
              </w:rPr>
              <w:t>；</w:t>
            </w:r>
          </w:p>
          <w:p w14:paraId="73A9B774">
            <w:pPr>
              <w:numPr>
                <w:ilvl w:val="0"/>
                <w:numId w:val="4"/>
              </w:num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参加政府采购活动的供应商应是具有独立法人资格、能够完成本项目的生产制造商或其代理经销商；</w:t>
            </w:r>
          </w:p>
          <w:p w14:paraId="317A7A5A">
            <w:pPr>
              <w:numPr>
                <w:ilvl w:val="0"/>
                <w:numId w:val="4"/>
              </w:num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财务要求：应出具近三年（202</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年至</w:t>
            </w:r>
            <w:r>
              <w:rPr>
                <w:rFonts w:hint="eastAsia" w:ascii="仿宋" w:hAnsi="仿宋" w:eastAsia="仿宋" w:cs="仿宋"/>
                <w:color w:val="auto"/>
                <w:sz w:val="21"/>
                <w:szCs w:val="21"/>
                <w:highlight w:val="none"/>
              </w:rPr>
              <w:t>202</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eastAsia="zh-CN"/>
              </w:rPr>
              <w:t>）经会计师事务所审计的财务审计报告（投标人的成立时间少于规定年份的，应提供成立以来至202</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年的财务审计报告；202</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年以后新成立企业需提供近三个月内银行出具的公司资信证明）；</w:t>
            </w:r>
          </w:p>
          <w:p w14:paraId="42C1798B">
            <w:pPr>
              <w:numPr>
                <w:ilvl w:val="0"/>
                <w:numId w:val="4"/>
              </w:num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6C7A4E38">
            <w:pPr>
              <w:numPr>
                <w:ilvl w:val="0"/>
                <w:numId w:val="4"/>
              </w:num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拒绝被列入政府取消投标资格记录期间的企业或个人投标；</w:t>
            </w:r>
          </w:p>
          <w:p w14:paraId="4AE3F226">
            <w:pPr>
              <w:numPr>
                <w:ilvl w:val="0"/>
                <w:numId w:val="4"/>
              </w:num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投标人未被列入“失信被执行人、重大税收违法案件当事人”的记录名单，通过“信用中国”网站（www.creditchina.gov.cn)查询；</w:t>
            </w:r>
          </w:p>
          <w:p w14:paraId="11539979">
            <w:pPr>
              <w:numPr>
                <w:ilvl w:val="0"/>
                <w:numId w:val="4"/>
              </w:num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投标人未被列入“政府采购严重违法失信行为记录名单”，通过“中国政府采购网”（www.ccgp.gov.cn）查询；</w:t>
            </w:r>
          </w:p>
          <w:p w14:paraId="4190F8F4">
            <w:pPr>
              <w:numPr>
                <w:ilvl w:val="0"/>
                <w:numId w:val="4"/>
              </w:num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投标单位和个人（指法定代表人）未在“中国裁判文书网”（wenshu.court.gov.cn）上有行贿犯罪行为</w:t>
            </w:r>
            <w:r>
              <w:rPr>
                <w:rFonts w:hint="eastAsia" w:cs="仿宋"/>
                <w:color w:val="auto"/>
                <w:sz w:val="21"/>
                <w:szCs w:val="21"/>
                <w:highlight w:val="none"/>
                <w:lang w:eastAsia="zh-CN"/>
              </w:rPr>
              <w:t>；</w:t>
            </w:r>
          </w:p>
          <w:p w14:paraId="6031EE6E">
            <w:pPr>
              <w:numPr>
                <w:ilvl w:val="0"/>
                <w:numId w:val="4"/>
              </w:num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单位负责人为同一人或者存在直接控股、管理关系的不同投标人，不得参加同一合同项目下的政府采购活动，否则，相关投标均无效。</w:t>
            </w:r>
          </w:p>
        </w:tc>
      </w:tr>
      <w:tr w14:paraId="0C9BFD79">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C55E857">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692197BA">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是否接受联合体投标</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02CE33FF">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不接受</w:t>
            </w:r>
          </w:p>
        </w:tc>
      </w:tr>
      <w:tr w14:paraId="5FC9D985">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E781BBB">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1.10.2</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261A1821">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投标人提出问题的截止时间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59DBACDE">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fldChar w:fldCharType="begin"/>
            </w:r>
            <w:r>
              <w:rPr>
                <w:rFonts w:hint="eastAsia" w:ascii="仿宋" w:hAnsi="仿宋" w:eastAsia="仿宋" w:cs="仿宋"/>
                <w:color w:val="auto"/>
                <w:sz w:val="21"/>
                <w:szCs w:val="21"/>
                <w:highlight w:val="none"/>
                <w:lang w:eastAsia="zh-CN"/>
              </w:rPr>
              <w:instrText xml:space="preserve"> HYPERLINK "mailto:投标人应在开标15日前将疑问电子版文件传至采购代理机构邮箱（125529446@qq.com）" </w:instrText>
            </w:r>
            <w:r>
              <w:rPr>
                <w:rFonts w:hint="eastAsia" w:ascii="仿宋" w:hAnsi="仿宋" w:eastAsia="仿宋" w:cs="仿宋"/>
                <w:color w:val="auto"/>
                <w:sz w:val="21"/>
                <w:szCs w:val="21"/>
                <w:highlight w:val="none"/>
                <w:lang w:eastAsia="zh-CN"/>
              </w:rPr>
              <w:fldChar w:fldCharType="separate"/>
            </w:r>
            <w:r>
              <w:rPr>
                <w:rStyle w:val="29"/>
                <w:rFonts w:hint="eastAsia" w:ascii="仿宋" w:hAnsi="仿宋" w:eastAsia="仿宋" w:cs="仿宋"/>
                <w:color w:val="auto"/>
                <w:sz w:val="21"/>
                <w:szCs w:val="21"/>
                <w:highlight w:val="none"/>
                <w:lang w:eastAsia="zh-CN"/>
              </w:rPr>
              <w:t>投标人应在开标</w:t>
            </w:r>
            <w:r>
              <w:rPr>
                <w:rStyle w:val="29"/>
                <w:rFonts w:hint="eastAsia" w:ascii="仿宋" w:hAnsi="仿宋" w:eastAsia="仿宋" w:cs="仿宋"/>
                <w:color w:val="auto"/>
                <w:sz w:val="21"/>
                <w:szCs w:val="21"/>
                <w:highlight w:val="none"/>
                <w:lang w:val="en-US" w:eastAsia="zh-CN"/>
              </w:rPr>
              <w:t>5</w:t>
            </w:r>
            <w:r>
              <w:rPr>
                <w:rStyle w:val="29"/>
                <w:rFonts w:hint="eastAsia" w:ascii="仿宋" w:hAnsi="仿宋" w:eastAsia="仿宋" w:cs="仿宋"/>
                <w:color w:val="auto"/>
                <w:sz w:val="21"/>
                <w:szCs w:val="21"/>
                <w:highlight w:val="none"/>
                <w:lang w:eastAsia="zh-CN"/>
              </w:rPr>
              <w:t>日前将疑问电子版文件传至采购代理机构邮箱（</w:t>
            </w:r>
            <w:r>
              <w:rPr>
                <w:rStyle w:val="29"/>
                <w:rFonts w:hint="eastAsia" w:ascii="仿宋" w:hAnsi="仿宋" w:eastAsia="仿宋" w:cs="仿宋"/>
                <w:color w:val="auto"/>
                <w:sz w:val="21"/>
                <w:szCs w:val="21"/>
                <w:highlight w:val="none"/>
                <w:lang w:val="en-US" w:eastAsia="zh-CN"/>
              </w:rPr>
              <w:t>zhaobiaobu@jlzycx.com</w:t>
            </w:r>
            <w:r>
              <w:rPr>
                <w:rStyle w:val="29"/>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eastAsia="zh-CN"/>
              </w:rPr>
              <w:fldChar w:fldCharType="end"/>
            </w:r>
          </w:p>
          <w:p w14:paraId="15309C42">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注：相关疑问按上述要求递交外，还应按</w:t>
            </w:r>
            <w:r>
              <w:rPr>
                <w:rFonts w:hint="eastAsia" w:ascii="仿宋" w:hAnsi="仿宋" w:eastAsia="仿宋" w:cs="仿宋"/>
                <w:color w:val="auto"/>
                <w:sz w:val="21"/>
                <w:szCs w:val="21"/>
                <w:highlight w:val="none"/>
                <w:lang w:val="zh-CN" w:eastAsia="zh-CN"/>
              </w:rPr>
              <w:t>政府采购云平台电子标要求在政府采购云平台提出</w:t>
            </w:r>
          </w:p>
        </w:tc>
      </w:tr>
      <w:tr w14:paraId="65D8ECA0">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8B6E4DC">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1.10.3</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75BB1CDD">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招标人书面澄清的时间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4DCF9B0B">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在收到相应文件后24小时内</w:t>
            </w:r>
          </w:p>
        </w:tc>
      </w:tr>
      <w:tr w14:paraId="282C936B">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536314C">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23586B9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26B48F3B">
            <w:pPr>
              <w:bidi w:val="0"/>
              <w:spacing w:line="240" w:lineRule="auto"/>
              <w:rPr>
                <w:rFonts w:hint="eastAsia" w:ascii="仿宋" w:hAnsi="仿宋" w:eastAsia="仿宋" w:cs="仿宋"/>
                <w:color w:val="auto"/>
                <w:sz w:val="21"/>
                <w:szCs w:val="21"/>
                <w:highlight w:val="none"/>
              </w:rPr>
            </w:pPr>
            <w:r>
              <w:rPr>
                <w:rFonts w:hint="eastAsia" w:cs="仿宋"/>
                <w:color w:val="auto"/>
                <w:sz w:val="21"/>
                <w:szCs w:val="21"/>
                <w:highlight w:val="none"/>
                <w:lang w:eastAsia="zh-CN"/>
              </w:rPr>
              <w:t>□</w:t>
            </w:r>
            <w:r>
              <w:rPr>
                <w:rFonts w:hint="eastAsia" w:ascii="仿宋" w:hAnsi="仿宋" w:eastAsia="仿宋" w:cs="仿宋"/>
                <w:color w:val="auto"/>
                <w:sz w:val="21"/>
                <w:szCs w:val="21"/>
                <w:highlight w:val="none"/>
              </w:rPr>
              <w:t>不允许</w:t>
            </w:r>
          </w:p>
          <w:p w14:paraId="22C5976A">
            <w:pPr>
              <w:bidi w:val="0"/>
              <w:spacing w:line="240" w:lineRule="auto"/>
              <w:rPr>
                <w:rFonts w:hint="eastAsia" w:ascii="仿宋" w:hAnsi="仿宋" w:eastAsia="仿宋" w:cs="仿宋"/>
                <w:color w:val="auto"/>
                <w:sz w:val="21"/>
                <w:szCs w:val="21"/>
                <w:highlight w:val="none"/>
              </w:rPr>
            </w:pPr>
            <w:r>
              <w:rPr>
                <w:rFonts w:hint="eastAsia" w:cs="仿宋"/>
                <w:color w:val="auto"/>
                <w:sz w:val="21"/>
                <w:szCs w:val="21"/>
                <w:highlight w:val="none"/>
                <w:lang w:eastAsia="zh-CN"/>
              </w:rPr>
              <w:t>☑</w:t>
            </w:r>
            <w:r>
              <w:rPr>
                <w:rFonts w:hint="eastAsia" w:ascii="仿宋" w:hAnsi="仿宋" w:eastAsia="仿宋" w:cs="仿宋"/>
                <w:color w:val="auto"/>
                <w:sz w:val="21"/>
                <w:szCs w:val="21"/>
                <w:highlight w:val="none"/>
              </w:rPr>
              <w:t>允许</w:t>
            </w:r>
          </w:p>
        </w:tc>
      </w:tr>
      <w:tr w14:paraId="44CA2350">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8B4B1AF">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0DCC9272">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构成</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的其他材料</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5385A030">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735C270B">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394A006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w:t>
            </w:r>
          </w:p>
        </w:tc>
        <w:tc>
          <w:tcPr>
            <w:tcW w:w="1835" w:type="dxa"/>
            <w:tcBorders>
              <w:top w:val="single" w:color="auto" w:sz="4" w:space="0"/>
              <w:left w:val="single" w:color="auto" w:sz="4" w:space="0"/>
              <w:right w:val="single" w:color="auto" w:sz="4" w:space="0"/>
            </w:tcBorders>
            <w:noWrap w:val="0"/>
            <w:vAlign w:val="center"/>
          </w:tcPr>
          <w:p w14:paraId="7825CC0D">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投标人要求澄清</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的截止时间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6219A5DB">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时间：递交投标文件截止之日前</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天</w:t>
            </w:r>
          </w:p>
        </w:tc>
      </w:tr>
      <w:tr w14:paraId="53715EA3">
        <w:tblPrEx>
          <w:tblCellMar>
            <w:top w:w="0" w:type="dxa"/>
            <w:left w:w="108" w:type="dxa"/>
            <w:bottom w:w="0" w:type="dxa"/>
            <w:right w:w="108" w:type="dxa"/>
          </w:tblCellMar>
        </w:tblPrEx>
        <w:trPr>
          <w:trHeight w:val="454" w:hRule="atLeast"/>
        </w:trPr>
        <w:tc>
          <w:tcPr>
            <w:tcW w:w="1154" w:type="dxa"/>
            <w:vMerge w:val="restart"/>
            <w:tcBorders>
              <w:top w:val="single" w:color="auto" w:sz="4" w:space="0"/>
              <w:left w:val="single" w:color="auto" w:sz="4" w:space="0"/>
              <w:right w:val="single" w:color="auto" w:sz="4" w:space="0"/>
            </w:tcBorders>
            <w:noWrap w:val="0"/>
            <w:vAlign w:val="center"/>
          </w:tcPr>
          <w:p w14:paraId="081C9938">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2.2.3</w:t>
            </w:r>
          </w:p>
        </w:tc>
        <w:tc>
          <w:tcPr>
            <w:tcW w:w="1835" w:type="dxa"/>
            <w:vMerge w:val="restart"/>
            <w:tcBorders>
              <w:top w:val="single" w:color="auto" w:sz="4" w:space="0"/>
              <w:left w:val="single" w:color="auto" w:sz="4" w:space="0"/>
              <w:right w:val="single" w:color="auto" w:sz="4" w:space="0"/>
            </w:tcBorders>
            <w:noWrap w:val="0"/>
            <w:vAlign w:val="center"/>
          </w:tcPr>
          <w:p w14:paraId="5F96550D">
            <w:pPr>
              <w:bidi w:val="0"/>
              <w:spacing w:line="24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投标人确认收到</w:t>
            </w:r>
          </w:p>
          <w:p w14:paraId="52FA304D">
            <w:pPr>
              <w:bidi w:val="0"/>
              <w:spacing w:line="24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招标文件澄清</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1018D7AF">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时间：收到澄清后24小时内（以发出时间为准）。</w:t>
            </w:r>
          </w:p>
        </w:tc>
      </w:tr>
      <w:tr w14:paraId="2238E062">
        <w:tblPrEx>
          <w:tblCellMar>
            <w:top w:w="0" w:type="dxa"/>
            <w:left w:w="108" w:type="dxa"/>
            <w:bottom w:w="0" w:type="dxa"/>
            <w:right w:w="108" w:type="dxa"/>
          </w:tblCellMar>
        </w:tblPrEx>
        <w:trPr>
          <w:trHeight w:val="454" w:hRule="atLeast"/>
        </w:trPr>
        <w:tc>
          <w:tcPr>
            <w:tcW w:w="1154" w:type="dxa"/>
            <w:vMerge w:val="continue"/>
            <w:tcBorders>
              <w:left w:val="single" w:color="auto" w:sz="4" w:space="0"/>
              <w:bottom w:val="single" w:color="auto" w:sz="4" w:space="0"/>
              <w:right w:val="single" w:color="auto" w:sz="4" w:space="0"/>
            </w:tcBorders>
            <w:noWrap w:val="0"/>
            <w:vAlign w:val="center"/>
          </w:tcPr>
          <w:p w14:paraId="7122E615">
            <w:pPr>
              <w:bidi w:val="0"/>
              <w:spacing w:line="240" w:lineRule="auto"/>
              <w:jc w:val="center"/>
              <w:rPr>
                <w:rFonts w:hint="eastAsia" w:ascii="仿宋" w:hAnsi="仿宋" w:eastAsia="仿宋" w:cs="仿宋"/>
                <w:color w:val="auto"/>
                <w:sz w:val="21"/>
                <w:szCs w:val="21"/>
                <w:highlight w:val="none"/>
              </w:rPr>
            </w:pPr>
          </w:p>
        </w:tc>
        <w:tc>
          <w:tcPr>
            <w:tcW w:w="1835" w:type="dxa"/>
            <w:vMerge w:val="continue"/>
            <w:tcBorders>
              <w:left w:val="single" w:color="auto" w:sz="4" w:space="0"/>
              <w:bottom w:val="single" w:color="auto" w:sz="4" w:space="0"/>
              <w:right w:val="single" w:color="auto" w:sz="4" w:space="0"/>
            </w:tcBorders>
            <w:noWrap w:val="0"/>
            <w:vAlign w:val="center"/>
          </w:tcPr>
          <w:p w14:paraId="24B5E2CE">
            <w:pPr>
              <w:bidi w:val="0"/>
              <w:spacing w:line="240" w:lineRule="auto"/>
              <w:jc w:val="center"/>
              <w:rPr>
                <w:rFonts w:hint="eastAsia" w:ascii="仿宋" w:hAnsi="仿宋" w:eastAsia="仿宋" w:cs="仿宋"/>
                <w:color w:val="auto"/>
                <w:sz w:val="21"/>
                <w:szCs w:val="21"/>
                <w:highlight w:val="none"/>
              </w:rPr>
            </w:pPr>
          </w:p>
        </w:tc>
        <w:tc>
          <w:tcPr>
            <w:tcW w:w="5336" w:type="dxa"/>
            <w:tcBorders>
              <w:top w:val="single" w:color="auto" w:sz="4" w:space="0"/>
              <w:left w:val="single" w:color="auto" w:sz="4" w:space="0"/>
              <w:bottom w:val="single" w:color="auto" w:sz="4" w:space="0"/>
              <w:right w:val="single" w:color="auto" w:sz="4" w:space="0"/>
            </w:tcBorders>
            <w:noWrap w:val="0"/>
            <w:vAlign w:val="center"/>
          </w:tcPr>
          <w:p w14:paraId="1667699A">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形式：将收到澄清的答疑文件以确认函形式发送至</w:t>
            </w:r>
            <w:r>
              <w:rPr>
                <w:rFonts w:hint="eastAsia" w:ascii="仿宋" w:hAnsi="仿宋" w:eastAsia="仿宋" w:cs="仿宋"/>
                <w:color w:val="auto"/>
                <w:sz w:val="21"/>
                <w:szCs w:val="21"/>
                <w:highlight w:val="none"/>
                <w:lang w:val="en-US" w:eastAsia="zh-CN"/>
              </w:rPr>
              <w:t>zhaobiaobu@jlzycx.com</w:t>
            </w:r>
            <w:r>
              <w:rPr>
                <w:rFonts w:hint="eastAsia" w:ascii="仿宋" w:hAnsi="仿宋" w:eastAsia="仿宋" w:cs="仿宋"/>
                <w:color w:val="auto"/>
                <w:sz w:val="21"/>
                <w:szCs w:val="21"/>
                <w:highlight w:val="none"/>
                <w:lang w:val="zh-CN"/>
              </w:rPr>
              <w:t>。</w:t>
            </w:r>
          </w:p>
        </w:tc>
      </w:tr>
      <w:tr w14:paraId="54C86FE7">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409C68A9">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w:t>
            </w:r>
          </w:p>
        </w:tc>
        <w:tc>
          <w:tcPr>
            <w:tcW w:w="1835" w:type="dxa"/>
            <w:tcBorders>
              <w:top w:val="single" w:color="auto" w:sz="4" w:space="0"/>
              <w:left w:val="single" w:color="auto" w:sz="4" w:space="0"/>
              <w:right w:val="single" w:color="auto" w:sz="4" w:space="0"/>
            </w:tcBorders>
            <w:noWrap w:val="0"/>
            <w:vAlign w:val="center"/>
          </w:tcPr>
          <w:p w14:paraId="2767B921">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投标人确认收到</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修改的时间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33C0BF39">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在收到相应澄清文件后24小时内</w:t>
            </w:r>
          </w:p>
        </w:tc>
      </w:tr>
      <w:tr w14:paraId="52F42FDB">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64663680">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6BAEE60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构成投标文件的其他材料</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7F9C9B64">
            <w:pPr>
              <w:bidi w:val="0"/>
              <w:spacing w:line="240" w:lineRule="auto"/>
              <w:ind w:firstLine="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val="en-US" w:eastAsia="zh-CN"/>
              </w:rPr>
              <w:t>下列资质证明文件扫描件随投标文件同时上传</w:t>
            </w:r>
            <w:r>
              <w:rPr>
                <w:rFonts w:hint="eastAsia" w:ascii="仿宋" w:hAnsi="仿宋" w:eastAsia="仿宋" w:cs="仿宋"/>
                <w:color w:val="auto"/>
                <w:sz w:val="21"/>
                <w:szCs w:val="21"/>
                <w:highlight w:val="none"/>
              </w:rPr>
              <w:t>：</w:t>
            </w:r>
          </w:p>
          <w:p w14:paraId="2EAF2D87">
            <w:pPr>
              <w:numPr>
                <w:ilvl w:val="0"/>
                <w:numId w:val="5"/>
              </w:numPr>
              <w:bidi w:val="0"/>
              <w:spacing w:line="240" w:lineRule="auto"/>
              <w:ind w:left="425" w:leftChars="0"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企业营业执照副本或事业单位法人证书；</w:t>
            </w:r>
          </w:p>
          <w:p w14:paraId="7F506E7D">
            <w:pPr>
              <w:numPr>
                <w:ilvl w:val="0"/>
                <w:numId w:val="5"/>
              </w:numPr>
              <w:bidi w:val="0"/>
              <w:spacing w:line="240" w:lineRule="auto"/>
              <w:ind w:left="425" w:leftChars="0"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缴纳投标保证金凭证；</w:t>
            </w:r>
          </w:p>
          <w:p w14:paraId="73F8EAF4">
            <w:pPr>
              <w:numPr>
                <w:ilvl w:val="0"/>
                <w:numId w:val="5"/>
              </w:numPr>
              <w:bidi w:val="0"/>
              <w:spacing w:line="240" w:lineRule="auto"/>
              <w:ind w:left="425" w:leftChars="0"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w:t>
            </w:r>
            <w:r>
              <w:rPr>
                <w:rFonts w:hint="eastAsia" w:cs="仿宋"/>
                <w:color w:val="auto"/>
                <w:sz w:val="21"/>
                <w:szCs w:val="21"/>
                <w:highlight w:val="none"/>
                <w:lang w:val="en-US" w:eastAsia="zh-CN"/>
              </w:rPr>
              <w:t>三</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202</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年至</w:t>
            </w:r>
            <w:r>
              <w:rPr>
                <w:rFonts w:hint="eastAsia" w:ascii="仿宋" w:hAnsi="仿宋" w:eastAsia="仿宋" w:cs="仿宋"/>
                <w:color w:val="auto"/>
                <w:sz w:val="21"/>
                <w:szCs w:val="21"/>
                <w:highlight w:val="none"/>
                <w:lang w:val="en-US" w:eastAsia="zh-CN"/>
              </w:rPr>
              <w:t>今</w:t>
            </w:r>
            <w:r>
              <w:rPr>
                <w:rFonts w:hint="eastAsia" w:ascii="仿宋" w:hAnsi="仿宋" w:eastAsia="仿宋" w:cs="仿宋"/>
                <w:color w:val="auto"/>
                <w:sz w:val="21"/>
                <w:szCs w:val="21"/>
                <w:highlight w:val="none"/>
              </w:rPr>
              <w:t>）类似项目</w:t>
            </w:r>
            <w:r>
              <w:rPr>
                <w:rFonts w:hint="eastAsia" w:cs="仿宋"/>
                <w:color w:val="auto"/>
                <w:sz w:val="21"/>
                <w:szCs w:val="21"/>
                <w:highlight w:val="none"/>
                <w:lang w:val="en-US" w:eastAsia="zh-CN"/>
              </w:rPr>
              <w:t>(核心产品)</w:t>
            </w:r>
            <w:r>
              <w:rPr>
                <w:rFonts w:hint="eastAsia" w:ascii="仿宋" w:hAnsi="仿宋" w:eastAsia="仿宋" w:cs="仿宋"/>
                <w:color w:val="auto"/>
                <w:sz w:val="21"/>
                <w:szCs w:val="21"/>
                <w:highlight w:val="none"/>
              </w:rPr>
              <w:t>业绩证明材料（合同</w:t>
            </w:r>
            <w:r>
              <w:rPr>
                <w:rFonts w:hint="eastAsia" w:cs="仿宋"/>
                <w:color w:val="auto"/>
                <w:sz w:val="21"/>
                <w:szCs w:val="21"/>
                <w:highlight w:val="none"/>
                <w:lang w:val="en-US" w:eastAsia="zh-CN"/>
              </w:rPr>
              <w:t>和</w:t>
            </w:r>
            <w:r>
              <w:rPr>
                <w:rFonts w:hint="eastAsia" w:ascii="仿宋" w:hAnsi="仿宋" w:eastAsia="仿宋" w:cs="仿宋"/>
                <w:color w:val="auto"/>
                <w:sz w:val="21"/>
                <w:szCs w:val="21"/>
                <w:highlight w:val="none"/>
              </w:rPr>
              <w:t>中标通知书</w:t>
            </w:r>
            <w:r>
              <w:rPr>
                <w:rFonts w:hint="eastAsia" w:cs="仿宋"/>
                <w:color w:val="auto"/>
                <w:sz w:val="21"/>
                <w:szCs w:val="21"/>
                <w:highlight w:val="none"/>
                <w:lang w:val="en-US" w:eastAsia="zh-CN"/>
              </w:rPr>
              <w:t>和发票</w:t>
            </w:r>
            <w:r>
              <w:rPr>
                <w:rFonts w:hint="eastAsia" w:ascii="仿宋" w:hAnsi="仿宋" w:eastAsia="仿宋" w:cs="仿宋"/>
                <w:color w:val="auto"/>
                <w:sz w:val="21"/>
                <w:szCs w:val="21"/>
                <w:highlight w:val="none"/>
              </w:rPr>
              <w:t>）；</w:t>
            </w:r>
          </w:p>
          <w:p w14:paraId="4365F64A">
            <w:pPr>
              <w:numPr>
                <w:ilvl w:val="0"/>
                <w:numId w:val="5"/>
              </w:numPr>
              <w:bidi w:val="0"/>
              <w:spacing w:line="240" w:lineRule="auto"/>
              <w:ind w:left="425" w:leftChars="0" w:hanging="425"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近三年（202</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lang w:val="en-US" w:eastAsia="zh-CN"/>
              </w:rPr>
              <w:t>年至</w:t>
            </w:r>
            <w:r>
              <w:rPr>
                <w:rFonts w:hint="eastAsia" w:cs="仿宋"/>
                <w:color w:val="auto"/>
                <w:sz w:val="21"/>
                <w:szCs w:val="21"/>
                <w:highlight w:val="none"/>
                <w:lang w:val="en-US" w:eastAsia="zh-CN"/>
              </w:rPr>
              <w:t>2024年</w:t>
            </w:r>
            <w:r>
              <w:rPr>
                <w:rFonts w:hint="eastAsia" w:ascii="仿宋" w:hAnsi="仿宋" w:eastAsia="仿宋" w:cs="仿宋"/>
                <w:color w:val="auto"/>
                <w:sz w:val="21"/>
                <w:szCs w:val="21"/>
                <w:highlight w:val="none"/>
                <w:lang w:val="en-US" w:eastAsia="zh-CN"/>
              </w:rPr>
              <w:t>）经会计师事务所审计的财务审计报告（投标人的成立时间少于规定年份的，应提供成立以来至202</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lang w:val="en-US" w:eastAsia="zh-CN"/>
              </w:rPr>
              <w:t>年的财务审计报告；202</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lang w:val="en-US" w:eastAsia="zh-CN"/>
              </w:rPr>
              <w:t>年以后新成立企业需提供近三个月内银行出具的公司资信证明）</w:t>
            </w:r>
            <w:r>
              <w:rPr>
                <w:rFonts w:hint="eastAsia" w:cs="仿宋"/>
                <w:color w:val="auto"/>
                <w:sz w:val="21"/>
                <w:szCs w:val="21"/>
                <w:highlight w:val="none"/>
                <w:lang w:val="en-US" w:eastAsia="zh-CN"/>
              </w:rPr>
              <w:t>;</w:t>
            </w:r>
          </w:p>
          <w:p w14:paraId="565C404B">
            <w:pPr>
              <w:numPr>
                <w:ilvl w:val="0"/>
                <w:numId w:val="5"/>
              </w:numPr>
              <w:bidi w:val="0"/>
              <w:spacing w:line="240" w:lineRule="auto"/>
              <w:ind w:left="425" w:leftChars="0"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r>
              <w:rPr>
                <w:rFonts w:hint="eastAsia" w:cs="仿宋"/>
                <w:color w:val="auto"/>
                <w:sz w:val="21"/>
                <w:szCs w:val="21"/>
                <w:highlight w:val="none"/>
                <w:lang w:val="en-US" w:eastAsia="zh-CN"/>
              </w:rPr>
              <w:t>;</w:t>
            </w:r>
          </w:p>
          <w:p w14:paraId="50F707FA">
            <w:pPr>
              <w:numPr>
                <w:ilvl w:val="0"/>
                <w:numId w:val="5"/>
              </w:numPr>
              <w:bidi w:val="0"/>
              <w:spacing w:line="240" w:lineRule="auto"/>
              <w:ind w:left="425" w:leftChars="0"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投标人如为独立法人参加政府采购活动前三年内，在“信用中国”网站（www.creditchina.gov.cn）无任何不良信用记录，须提供查询截图证明；</w:t>
            </w:r>
          </w:p>
          <w:p w14:paraId="2784C5A6">
            <w:pPr>
              <w:numPr>
                <w:ilvl w:val="0"/>
                <w:numId w:val="5"/>
              </w:numPr>
              <w:bidi w:val="0"/>
              <w:spacing w:line="240" w:lineRule="auto"/>
              <w:ind w:left="425" w:leftChars="0"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投标人须在中国裁判文书网（http://wenshu.court.gov.cn/）自行查询本公司行贿犯罪记录，且提供查询页面截图并加盖公章作为无行贿犯罪记录证明；</w:t>
            </w:r>
          </w:p>
          <w:p w14:paraId="4935779A">
            <w:pPr>
              <w:numPr>
                <w:ilvl w:val="0"/>
                <w:numId w:val="5"/>
              </w:numPr>
              <w:bidi w:val="0"/>
              <w:spacing w:line="240" w:lineRule="auto"/>
              <w:ind w:left="425" w:leftChars="0"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rPr>
              <w:t>要求的其他证明材料。</w:t>
            </w:r>
          </w:p>
          <w:p w14:paraId="4BA17A09">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注：</w:t>
            </w:r>
            <w:r>
              <w:rPr>
                <w:rFonts w:hint="eastAsia" w:ascii="仿宋" w:hAnsi="仿宋" w:eastAsia="仿宋" w:cs="仿宋"/>
                <w:color w:val="auto"/>
                <w:sz w:val="21"/>
                <w:szCs w:val="21"/>
                <w:highlight w:val="none"/>
                <w:lang w:val="en-US" w:eastAsia="zh-CN"/>
              </w:rPr>
              <w:t>上述证件应在投标文件其他材料中上传</w:t>
            </w:r>
          </w:p>
        </w:tc>
      </w:tr>
      <w:tr w14:paraId="4D7FE3D8">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40CC0EF6">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3.2.</w:t>
            </w:r>
            <w:r>
              <w:rPr>
                <w:rFonts w:hint="eastAsia" w:ascii="仿宋" w:hAnsi="仿宋" w:eastAsia="仿宋" w:cs="仿宋"/>
                <w:color w:val="auto"/>
                <w:sz w:val="21"/>
                <w:szCs w:val="21"/>
                <w:highlight w:val="none"/>
                <w:lang w:val="en-US" w:eastAsia="zh-CN"/>
              </w:rPr>
              <w:t>1</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66B48DA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最高投标限价</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4103CD65">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预算金额</w:t>
            </w:r>
            <w:r>
              <w:rPr>
                <w:rFonts w:hint="eastAsia" w:ascii="仿宋" w:hAnsi="仿宋" w:eastAsia="仿宋" w:cs="仿宋"/>
                <w:color w:val="auto"/>
                <w:sz w:val="21"/>
                <w:szCs w:val="21"/>
                <w:highlight w:val="none"/>
              </w:rPr>
              <w:t>：</w:t>
            </w:r>
            <w:r>
              <w:rPr>
                <w:rFonts w:hint="eastAsia" w:cs="仿宋"/>
                <w:color w:val="auto"/>
                <w:sz w:val="21"/>
                <w:szCs w:val="21"/>
                <w:highlight w:val="none"/>
                <w:lang w:eastAsia="zh-CN"/>
              </w:rPr>
              <w:t>665.5340万元</w:t>
            </w:r>
          </w:p>
          <w:p w14:paraId="1557D5E1">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（投标总价不能超过项目预算金额，否则在评审中应当认定其投标无效，视为废标）</w:t>
            </w:r>
            <w:r>
              <w:rPr>
                <w:rFonts w:hint="eastAsia" w:ascii="仿宋" w:hAnsi="仿宋" w:eastAsia="仿宋" w:cs="仿宋"/>
                <w:color w:val="auto"/>
                <w:sz w:val="21"/>
                <w:szCs w:val="21"/>
                <w:highlight w:val="none"/>
                <w:lang w:eastAsia="zh-CN"/>
              </w:rPr>
              <w:t>。</w:t>
            </w:r>
          </w:p>
        </w:tc>
      </w:tr>
      <w:tr w14:paraId="5D7BC35B">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7D63EE3">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452E44A2">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投标有效期</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6261926D">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90天</w:t>
            </w:r>
          </w:p>
        </w:tc>
      </w:tr>
      <w:tr w14:paraId="0D985481">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7CB3F727">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0A7E733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4C5B1710">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□不要求递交投标保证金</w:t>
            </w:r>
          </w:p>
          <w:p w14:paraId="3B6B8C22">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要求递交投标保证金</w:t>
            </w:r>
          </w:p>
          <w:p w14:paraId="0E07FDB2">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投标保证金的金额：</w:t>
            </w:r>
            <w:r>
              <w:rPr>
                <w:rFonts w:hint="eastAsia" w:cs="仿宋"/>
                <w:color w:val="auto"/>
                <w:sz w:val="21"/>
                <w:szCs w:val="21"/>
                <w:highlight w:val="none"/>
                <w:lang w:val="en-US" w:eastAsia="zh-CN"/>
              </w:rPr>
              <w:t>6.5万</w:t>
            </w:r>
            <w:r>
              <w:rPr>
                <w:rFonts w:hint="eastAsia" w:ascii="仿宋" w:hAnsi="仿宋" w:eastAsia="仿宋" w:cs="仿宋"/>
                <w:color w:val="auto"/>
                <w:sz w:val="21"/>
                <w:szCs w:val="21"/>
                <w:highlight w:val="none"/>
                <w:lang w:val="en-US" w:eastAsia="zh-CN"/>
              </w:rPr>
              <w:t>元，</w:t>
            </w:r>
            <w:r>
              <w:rPr>
                <w:rFonts w:hint="eastAsia" w:ascii="仿宋" w:hAnsi="仿宋" w:eastAsia="仿宋" w:cs="仿宋"/>
                <w:color w:val="auto"/>
                <w:sz w:val="21"/>
                <w:szCs w:val="21"/>
                <w:highlight w:val="none"/>
              </w:rPr>
              <w:t>投标文件保证金的形式：</w:t>
            </w:r>
            <w:bookmarkStart w:id="23" w:name="EB8f897a1931a64a5d88e4d10dd9b71d7c"/>
            <w:r>
              <w:rPr>
                <w:rFonts w:hint="eastAsia" w:ascii="仿宋" w:hAnsi="仿宋" w:eastAsia="仿宋" w:cs="仿宋"/>
                <w:color w:val="auto"/>
                <w:sz w:val="21"/>
                <w:szCs w:val="21"/>
                <w:highlight w:val="none"/>
                <w:lang w:val="en-US" w:eastAsia="zh-CN"/>
              </w:rPr>
              <w:t>其形式包括</w:t>
            </w:r>
            <w:bookmarkEnd w:id="23"/>
            <w:r>
              <w:rPr>
                <w:rFonts w:hint="eastAsia" w:cs="仿宋"/>
                <w:color w:val="auto"/>
                <w:sz w:val="21"/>
                <w:szCs w:val="21"/>
                <w:highlight w:val="none"/>
                <w:lang w:val="en-US" w:eastAsia="zh-CN"/>
              </w:rPr>
              <w:t>银行转账、</w:t>
            </w:r>
            <w:r>
              <w:rPr>
                <w:rFonts w:hint="eastAsia" w:ascii="仿宋" w:hAnsi="仿宋" w:eastAsia="仿宋" w:cs="仿宋"/>
                <w:color w:val="auto"/>
                <w:sz w:val="21"/>
                <w:szCs w:val="21"/>
                <w:highlight w:val="none"/>
                <w:lang w:val="en-US" w:eastAsia="zh-CN"/>
              </w:rPr>
              <w:t>银行保函或者担保公司保函</w:t>
            </w:r>
            <w:r>
              <w:rPr>
                <w:rFonts w:hint="eastAsia" w:ascii="仿宋" w:hAnsi="仿宋" w:eastAsia="仿宋" w:cs="仿宋"/>
                <w:color w:val="auto"/>
                <w:sz w:val="21"/>
                <w:szCs w:val="21"/>
                <w:highlight w:val="none"/>
                <w:lang w:val="zh-CN"/>
              </w:rPr>
              <w:t>；</w:t>
            </w:r>
          </w:p>
          <w:p w14:paraId="64AF3091">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账户名称:中屹宬信建设集团有限公司</w:t>
            </w:r>
          </w:p>
          <w:p w14:paraId="003071F2">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账号:162047111388</w:t>
            </w:r>
          </w:p>
          <w:p w14:paraId="048FC536">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开户行:中国银行吉林市分行</w:t>
            </w:r>
          </w:p>
          <w:p w14:paraId="1484F812">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联系人：林铭锐</w:t>
            </w:r>
          </w:p>
          <w:p w14:paraId="7569FE4D">
            <w:pPr>
              <w:bidi w:val="0"/>
              <w:spacing w:line="240" w:lineRule="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联系电话：0432-6336015</w:t>
            </w:r>
            <w:r>
              <w:rPr>
                <w:rFonts w:hint="eastAsia" w:ascii="仿宋" w:hAnsi="仿宋" w:eastAsia="仿宋" w:cs="仿宋"/>
                <w:color w:val="auto"/>
                <w:sz w:val="21"/>
                <w:szCs w:val="21"/>
                <w:highlight w:val="none"/>
                <w:lang w:val="en-US" w:eastAsia="zh-CN"/>
              </w:rPr>
              <w:t>2</w:t>
            </w:r>
          </w:p>
          <w:p w14:paraId="44312F05">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投标保证金提交时间：投标保证金须在投标截止时间1日前完成交纳，如开标前一天遇有公休日或法定节假日,应在公休日、法定节假日前一天交付到账。</w:t>
            </w:r>
          </w:p>
          <w:p w14:paraId="2A5AC51B">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w:t>
            </w:r>
          </w:p>
          <w:p w14:paraId="3FFA2496">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1.投标单位应在汇款时认真核对收款单位、开户行名称、账号准确无误，确保保证金按时到账，否则后果自负。</w:t>
            </w:r>
          </w:p>
          <w:p w14:paraId="1684DAA7">
            <w:pPr>
              <w:bidi w:val="0"/>
              <w:spacing w:line="240" w:lineRule="auto"/>
              <w:rPr>
                <w:rFonts w:hint="default" w:ascii="仿宋" w:hAnsi="仿宋" w:eastAsia="仿宋" w:cs="仿宋"/>
                <w:color w:val="auto"/>
                <w:sz w:val="21"/>
                <w:szCs w:val="21"/>
                <w:highlight w:val="none"/>
                <w:lang w:val="en-US"/>
              </w:rPr>
            </w:pP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lang w:val="en-US" w:eastAsia="zh-CN"/>
              </w:rPr>
              <w:t>递交保函(所有形式的保函</w:t>
            </w:r>
            <w:r>
              <w:rPr>
                <w:rFonts w:hint="eastAsia" w:cs="仿宋"/>
                <w:color w:val="auto"/>
                <w:sz w:val="21"/>
                <w:szCs w:val="21"/>
                <w:highlight w:val="none"/>
                <w:lang w:val="en-US" w:eastAsia="zh-CN"/>
              </w:rPr>
              <w:t>,需支持网查</w:t>
            </w:r>
            <w:r>
              <w:rPr>
                <w:rFonts w:hint="eastAsia" w:ascii="仿宋" w:hAnsi="仿宋" w:eastAsia="仿宋" w:cs="仿宋"/>
                <w:color w:val="auto"/>
                <w:sz w:val="21"/>
                <w:szCs w:val="21"/>
                <w:highlight w:val="none"/>
                <w:lang w:val="en-US" w:eastAsia="zh-CN"/>
              </w:rPr>
              <w:t>)的投标单位，须在保证金递交截止日期前，将扫描件发送至zhaobiaobu@jlzycx.com）</w:t>
            </w:r>
            <w:r>
              <w:rPr>
                <w:rFonts w:hint="eastAsia" w:cs="仿宋"/>
                <w:color w:val="auto"/>
                <w:sz w:val="21"/>
                <w:szCs w:val="21"/>
                <w:highlight w:val="none"/>
                <w:lang w:val="en-US" w:eastAsia="zh-CN"/>
              </w:rPr>
              <w:t>验证</w:t>
            </w:r>
          </w:p>
        </w:tc>
      </w:tr>
      <w:tr w14:paraId="73D5B180">
        <w:tblPrEx>
          <w:tblCellMar>
            <w:top w:w="0" w:type="dxa"/>
            <w:left w:w="108" w:type="dxa"/>
            <w:bottom w:w="0" w:type="dxa"/>
            <w:right w:w="108" w:type="dxa"/>
          </w:tblCellMar>
        </w:tblPrEx>
        <w:trPr>
          <w:trHeight w:val="90"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B1693D8">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3.4.2</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61F47B08">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其他可以不予退还投标保证金的情形</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4D185E2F">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投标人在投标过程中借用他人资质，互相串通、结盟，伪造虚假业绩、人员、财务、履约情况等，或违反国家有关规定，损害招标的公正性和竞争性进行投标者。</w:t>
            </w:r>
          </w:p>
        </w:tc>
      </w:tr>
      <w:tr w14:paraId="675B0191">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66C8BCDB">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3.5.2</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597FC05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近年财务状况的年份要求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7B33F3EE">
            <w:pPr>
              <w:bidi w:val="0"/>
              <w:spacing w:line="240" w:lineRule="auto"/>
              <w:rPr>
                <w:rFonts w:hint="default" w:ascii="仿宋" w:hAnsi="仿宋" w:eastAsia="仿宋" w:cs="仿宋"/>
                <w:color w:val="auto"/>
                <w:sz w:val="21"/>
                <w:szCs w:val="21"/>
                <w:highlight w:val="none"/>
                <w:lang w:val="en-US"/>
              </w:rPr>
            </w:pPr>
            <w:bookmarkStart w:id="24" w:name="EB718167d6cb014d2b8536538e5b2a907f"/>
            <w:r>
              <w:rPr>
                <w:rFonts w:hint="eastAsia" w:ascii="仿宋" w:hAnsi="仿宋" w:eastAsia="仿宋" w:cs="仿宋"/>
                <w:color w:val="auto"/>
                <w:sz w:val="21"/>
                <w:szCs w:val="21"/>
                <w:highlight w:val="none"/>
              </w:rPr>
              <w:t>3</w:t>
            </w:r>
            <w:bookmarkEnd w:id="24"/>
            <w:r>
              <w:rPr>
                <w:rFonts w:hint="eastAsia" w:ascii="仿宋" w:hAnsi="仿宋" w:eastAsia="仿宋" w:cs="仿宋"/>
                <w:color w:val="auto"/>
                <w:sz w:val="21"/>
                <w:szCs w:val="21"/>
                <w:highlight w:val="none"/>
              </w:rPr>
              <w:t>年，指</w:t>
            </w:r>
            <w:bookmarkStart w:id="25" w:name="EB0da7e08d261c440fbb71475207a7ef17"/>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w:t>
            </w:r>
            <w:bookmarkEnd w:id="25"/>
            <w:r>
              <w:rPr>
                <w:rFonts w:hint="eastAsia" w:cs="仿宋"/>
                <w:color w:val="auto"/>
                <w:sz w:val="21"/>
                <w:szCs w:val="21"/>
                <w:highlight w:val="none"/>
                <w:lang w:val="en-US" w:eastAsia="zh-CN"/>
              </w:rPr>
              <w:t>2年</w:t>
            </w:r>
            <w:r>
              <w:rPr>
                <w:rFonts w:hint="eastAsia" w:ascii="仿宋" w:hAnsi="仿宋" w:eastAsia="仿宋" w:cs="仿宋"/>
                <w:color w:val="auto"/>
                <w:sz w:val="21"/>
                <w:szCs w:val="21"/>
                <w:highlight w:val="none"/>
              </w:rPr>
              <w:t>至</w:t>
            </w:r>
            <w:bookmarkStart w:id="26" w:name="EBabeda0d423d34e27a612b27f15499b09"/>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w:t>
            </w:r>
            <w:bookmarkEnd w:id="26"/>
            <w:r>
              <w:rPr>
                <w:rFonts w:hint="eastAsia" w:cs="仿宋"/>
                <w:color w:val="auto"/>
                <w:sz w:val="21"/>
                <w:szCs w:val="21"/>
                <w:highlight w:val="none"/>
                <w:lang w:val="en-US" w:eastAsia="zh-CN"/>
              </w:rPr>
              <w:t>4年</w:t>
            </w:r>
          </w:p>
          <w:p w14:paraId="0715A124">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年以后新成立公司：须提供由银行或其他金融机构出具的资信证明；</w:t>
            </w:r>
          </w:p>
        </w:tc>
      </w:tr>
      <w:tr w14:paraId="7E918E48">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8460592">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3.5.3</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4E688771">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近年完成的类似项目的年份要求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2AA28D49">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3年，指20</w:t>
            </w:r>
            <w:r>
              <w:rPr>
                <w:rFonts w:hint="eastAsia" w:ascii="仿宋" w:hAnsi="仿宋" w:eastAsia="仿宋" w:cs="仿宋"/>
                <w:color w:val="auto"/>
                <w:sz w:val="21"/>
                <w:szCs w:val="21"/>
                <w:highlight w:val="none"/>
                <w:lang w:val="en-US" w:eastAsia="zh-CN"/>
              </w:rPr>
              <w:t>2</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年1月1日起至</w:t>
            </w:r>
            <w:r>
              <w:rPr>
                <w:rFonts w:hint="eastAsia" w:ascii="仿宋" w:hAnsi="仿宋" w:eastAsia="仿宋" w:cs="仿宋"/>
                <w:color w:val="auto"/>
                <w:sz w:val="21"/>
                <w:szCs w:val="21"/>
                <w:highlight w:val="none"/>
                <w:lang w:val="en-US" w:eastAsia="zh-CN"/>
              </w:rPr>
              <w:t>今</w:t>
            </w:r>
            <w:r>
              <w:rPr>
                <w:rFonts w:hint="eastAsia" w:ascii="仿宋" w:hAnsi="仿宋" w:eastAsia="仿宋" w:cs="仿宋"/>
                <w:color w:val="auto"/>
                <w:sz w:val="21"/>
                <w:szCs w:val="21"/>
                <w:highlight w:val="none"/>
              </w:rPr>
              <w:t>。</w:t>
            </w:r>
          </w:p>
        </w:tc>
      </w:tr>
      <w:tr w14:paraId="2AB37A1B">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DBB25CE">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3.5.4</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4B5F7678">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近年发生的诉讼及仲裁情况的年份要求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7BCD88BE">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20</w:t>
            </w:r>
            <w:r>
              <w:rPr>
                <w:rFonts w:hint="eastAsia" w:ascii="仿宋" w:hAnsi="仿宋" w:eastAsia="仿宋" w:cs="仿宋"/>
                <w:color w:val="auto"/>
                <w:sz w:val="21"/>
                <w:szCs w:val="21"/>
                <w:highlight w:val="none"/>
                <w:lang w:val="en-US" w:eastAsia="zh-CN"/>
              </w:rPr>
              <w:t>2</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年至今，指20</w:t>
            </w:r>
            <w:r>
              <w:rPr>
                <w:rFonts w:hint="eastAsia" w:cs="仿宋"/>
                <w:color w:val="auto"/>
                <w:sz w:val="21"/>
                <w:szCs w:val="21"/>
                <w:highlight w:val="none"/>
                <w:lang w:val="en-US" w:eastAsia="zh-CN"/>
              </w:rPr>
              <w:t>22</w:t>
            </w:r>
            <w:r>
              <w:rPr>
                <w:rFonts w:hint="eastAsia" w:ascii="仿宋" w:hAnsi="仿宋" w:eastAsia="仿宋" w:cs="仿宋"/>
                <w:color w:val="auto"/>
                <w:sz w:val="21"/>
                <w:szCs w:val="21"/>
                <w:highlight w:val="none"/>
              </w:rPr>
              <w:t>年1月1日起至今。</w:t>
            </w:r>
          </w:p>
        </w:tc>
      </w:tr>
      <w:tr w14:paraId="73743D08">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32EA392">
            <w:pPr>
              <w:bidi w:val="0"/>
              <w:spacing w:line="240" w:lineRule="auto"/>
              <w:jc w:val="center"/>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3.5.5</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17FAB1B1">
            <w:pPr>
              <w:bidi w:val="0"/>
              <w:spacing w:line="24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面向中小企业预留情况</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6BE02EC1">
            <w:pPr>
              <w:bidi w:val="0"/>
              <w:spacing w:line="240" w:lineRule="auto"/>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本项目专门面向中小企业采购</w:t>
            </w:r>
          </w:p>
        </w:tc>
      </w:tr>
      <w:tr w14:paraId="7FA3FC01">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19D6044">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3.6.1</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12C7885E">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是否允许递交备选投标方案</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3175FDAE">
            <w:pPr>
              <w:bidi w:val="0"/>
              <w:spacing w:line="240" w:lineRule="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不允许</w:t>
            </w:r>
          </w:p>
        </w:tc>
      </w:tr>
      <w:tr w14:paraId="7ECC80FA">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4F04375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3.7.3（1）</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104CC41B">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电子签字和（或）盖电子章要求</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08EBB2A4">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按系统要求签字盖章，如被授权人无法网上签字或其他无法电子签章或网上签字的情形，需将此页打印签字后扫描上传至投标文件。</w:t>
            </w:r>
          </w:p>
        </w:tc>
      </w:tr>
      <w:tr w14:paraId="364E5B44">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7476B18">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3.7.3（2）</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042317D9">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投标文件上传</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045BDA17">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投标人需在开标时间截止前将电子投标文件政采云平台（网址：http://www.zcygov.cn）上直接上传；逾期未上传的投标文件，招标人不予受理</w:t>
            </w:r>
            <w:r>
              <w:rPr>
                <w:rFonts w:hint="eastAsia" w:ascii="仿宋" w:hAnsi="仿宋" w:eastAsia="仿宋" w:cs="仿宋"/>
                <w:color w:val="auto"/>
                <w:sz w:val="21"/>
                <w:szCs w:val="21"/>
                <w:highlight w:val="none"/>
                <w:lang w:eastAsia="zh-CN"/>
              </w:rPr>
              <w:t>。</w:t>
            </w:r>
          </w:p>
          <w:p w14:paraId="71AF5B0D">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电子</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文件：在相应签章处签章。</w:t>
            </w:r>
          </w:p>
          <w:p w14:paraId="40A5FB16">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3、纸质响应文件：</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文件应使用打印、复印或不能擦去的墨水书写，文字要清晰，语言要明确，并按招标文件的要求封面加盖单位公章和由法定代表人（或委托代理人）签名。</w:t>
            </w:r>
          </w:p>
          <w:p w14:paraId="54CD5933">
            <w:pPr>
              <w:bidi w:val="0"/>
              <w:spacing w:line="240" w:lineRule="auto"/>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投标文件应尽量避免涂改和插字，若为了改正错误必须这样做时，除了按</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书面指示进行修改的以外，均应由法定代表人（或委托代理人）在修改处盖章或签名确认。</w:t>
            </w:r>
          </w:p>
        </w:tc>
      </w:tr>
      <w:tr w14:paraId="73F9B858">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F6EBBCC">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4.1.1</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6938C8C8">
            <w:pPr>
              <w:bidi w:val="0"/>
              <w:spacing w:line="240" w:lineRule="auto"/>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投标截止时间</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35A96647">
            <w:pPr>
              <w:bidi w:val="0"/>
              <w:spacing w:line="240" w:lineRule="auto"/>
              <w:rPr>
                <w:rFonts w:hint="eastAsia" w:ascii="仿宋" w:hAnsi="仿宋" w:eastAsia="仿宋" w:cs="仿宋"/>
                <w:color w:val="auto"/>
                <w:sz w:val="21"/>
                <w:szCs w:val="21"/>
                <w:highlight w:val="none"/>
                <w:lang w:val="en-US" w:eastAsia="zh-CN"/>
              </w:rPr>
            </w:pPr>
            <w:r>
              <w:rPr>
                <w:rFonts w:hint="eastAsia" w:cs="仿宋"/>
                <w:color w:val="auto"/>
                <w:sz w:val="21"/>
                <w:szCs w:val="21"/>
                <w:highlight w:val="none"/>
                <w:lang w:eastAsia="zh-CN"/>
              </w:rPr>
              <w:t>2025年0</w:t>
            </w:r>
            <w:r>
              <w:rPr>
                <w:rFonts w:hint="eastAsia" w:cs="仿宋"/>
                <w:color w:val="auto"/>
                <w:sz w:val="21"/>
                <w:szCs w:val="21"/>
                <w:highlight w:val="none"/>
                <w:lang w:val="en-US" w:eastAsia="zh-CN"/>
              </w:rPr>
              <w:t>7</w:t>
            </w:r>
            <w:r>
              <w:rPr>
                <w:rFonts w:hint="eastAsia" w:cs="仿宋"/>
                <w:color w:val="auto"/>
                <w:sz w:val="21"/>
                <w:szCs w:val="21"/>
                <w:highlight w:val="none"/>
                <w:lang w:eastAsia="zh-CN"/>
              </w:rPr>
              <w:t>月30日09时30分</w:t>
            </w:r>
            <w:r>
              <w:rPr>
                <w:rFonts w:hint="eastAsia" w:ascii="仿宋" w:hAnsi="仿宋" w:eastAsia="仿宋" w:cs="仿宋"/>
                <w:color w:val="auto"/>
                <w:sz w:val="21"/>
                <w:szCs w:val="21"/>
                <w:highlight w:val="none"/>
                <w:lang w:val="zh-CN"/>
              </w:rPr>
              <w:t>（北京时间）</w:t>
            </w:r>
          </w:p>
        </w:tc>
      </w:tr>
      <w:tr w14:paraId="3BC701C3">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04D1F08">
            <w:pPr>
              <w:bidi w:val="0"/>
              <w:spacing w:line="24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4.2.2</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0CE4FB16">
            <w:pPr>
              <w:bidi w:val="0"/>
              <w:spacing w:line="240" w:lineRule="auto"/>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递交投标文件</w:t>
            </w:r>
            <w:r>
              <w:rPr>
                <w:rFonts w:hint="eastAsia" w:ascii="仿宋" w:hAnsi="仿宋" w:eastAsia="仿宋" w:cs="仿宋"/>
                <w:color w:val="auto"/>
                <w:sz w:val="21"/>
                <w:szCs w:val="21"/>
                <w:highlight w:val="none"/>
                <w:lang w:val="en-US" w:eastAsia="zh-CN"/>
              </w:rPr>
              <w:t>时间及</w:t>
            </w:r>
            <w:r>
              <w:rPr>
                <w:rFonts w:hint="eastAsia" w:ascii="仿宋" w:hAnsi="仿宋" w:eastAsia="仿宋" w:cs="仿宋"/>
                <w:color w:val="auto"/>
                <w:sz w:val="21"/>
                <w:szCs w:val="21"/>
                <w:highlight w:val="none"/>
                <w:lang w:val="zh-CN"/>
              </w:rPr>
              <w:t>地点</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5A26138E">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1、投标文件递交的截止时间(投标截止时间，下同)</w:t>
            </w:r>
            <w:r>
              <w:rPr>
                <w:rFonts w:hint="eastAsia" w:cs="仿宋"/>
                <w:color w:val="auto"/>
                <w:sz w:val="21"/>
                <w:szCs w:val="21"/>
                <w:highlight w:val="none"/>
                <w:lang w:eastAsia="zh-CN"/>
              </w:rPr>
              <w:t>2025年07月30日09时30分</w:t>
            </w:r>
            <w:r>
              <w:rPr>
                <w:rFonts w:hint="eastAsia" w:ascii="仿宋" w:hAnsi="仿宋" w:eastAsia="仿宋" w:cs="仿宋"/>
                <w:color w:val="auto"/>
                <w:sz w:val="21"/>
                <w:szCs w:val="21"/>
                <w:highlight w:val="none"/>
                <w:lang w:val="en-US" w:eastAsia="zh-CN"/>
              </w:rPr>
              <w:t>,网上递交。电子投标文件在政采云平台上直接上传投标文件。逾期未上传的投标文件，招标人不予受理。</w:t>
            </w:r>
          </w:p>
          <w:p w14:paraId="66E1D2F5">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tc>
      </w:tr>
      <w:tr w14:paraId="1ED50CB8">
        <w:tblPrEx>
          <w:tblCellMar>
            <w:top w:w="0" w:type="dxa"/>
            <w:left w:w="108" w:type="dxa"/>
            <w:bottom w:w="0" w:type="dxa"/>
            <w:right w:w="108" w:type="dxa"/>
          </w:tblCellMar>
        </w:tblPrEx>
        <w:trPr>
          <w:trHeight w:val="643"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57B16804">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4.2.3</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3949D731">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是否退还投标文件</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7981914F">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否</w:t>
            </w:r>
          </w:p>
          <w:p w14:paraId="51787769">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w:t>
            </w:r>
          </w:p>
        </w:tc>
      </w:tr>
      <w:tr w14:paraId="79E5CCCE">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6298B03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w:t>
            </w:r>
          </w:p>
        </w:tc>
        <w:tc>
          <w:tcPr>
            <w:tcW w:w="1835" w:type="dxa"/>
            <w:tcBorders>
              <w:top w:val="single" w:color="auto" w:sz="4" w:space="0"/>
              <w:left w:val="single" w:color="auto" w:sz="4" w:space="0"/>
              <w:right w:val="single" w:color="auto" w:sz="4" w:space="0"/>
            </w:tcBorders>
            <w:noWrap w:val="0"/>
            <w:vAlign w:val="center"/>
          </w:tcPr>
          <w:p w14:paraId="48EF104B">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开标时间和地点</w:t>
            </w:r>
          </w:p>
        </w:tc>
        <w:tc>
          <w:tcPr>
            <w:tcW w:w="5336" w:type="dxa"/>
            <w:tcBorders>
              <w:top w:val="single" w:color="auto" w:sz="4" w:space="0"/>
              <w:left w:val="single" w:color="auto" w:sz="4" w:space="0"/>
              <w:right w:val="single" w:color="auto" w:sz="4" w:space="0"/>
            </w:tcBorders>
            <w:noWrap w:val="0"/>
            <w:vAlign w:val="center"/>
          </w:tcPr>
          <w:p w14:paraId="69ADCC65">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w:t>
            </w:r>
            <w:r>
              <w:rPr>
                <w:rFonts w:hint="eastAsia" w:cs="仿宋"/>
                <w:color w:val="auto"/>
                <w:sz w:val="21"/>
                <w:szCs w:val="21"/>
                <w:highlight w:val="none"/>
                <w:lang w:eastAsia="zh-CN"/>
              </w:rPr>
              <w:t>2025年07月30日09时30分</w:t>
            </w:r>
            <w:r>
              <w:rPr>
                <w:rFonts w:hint="eastAsia" w:ascii="仿宋" w:hAnsi="仿宋" w:eastAsia="仿宋" w:cs="仿宋"/>
                <w:color w:val="auto"/>
                <w:sz w:val="21"/>
                <w:szCs w:val="21"/>
                <w:highlight w:val="none"/>
              </w:rPr>
              <w:t>（北京时间）</w:t>
            </w:r>
          </w:p>
          <w:p w14:paraId="246A2E8B">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开标地点：</w:t>
            </w:r>
            <w:r>
              <w:rPr>
                <w:rFonts w:hint="eastAsia" w:cs="仿宋"/>
                <w:color w:val="auto"/>
                <w:sz w:val="21"/>
                <w:szCs w:val="21"/>
                <w:highlight w:val="none"/>
                <w:lang w:val="en-US" w:eastAsia="zh-CN"/>
              </w:rPr>
              <w:t>舒兰市</w:t>
            </w:r>
            <w:r>
              <w:rPr>
                <w:rFonts w:hint="eastAsia" w:cs="仿宋"/>
                <w:color w:val="auto"/>
                <w:sz w:val="21"/>
                <w:szCs w:val="21"/>
                <w:highlight w:val="none"/>
                <w:lang w:eastAsia="zh-CN"/>
              </w:rPr>
              <w:t>政务服务中心</w:t>
            </w:r>
          </w:p>
        </w:tc>
      </w:tr>
      <w:tr w14:paraId="168FFB3B">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0A283D8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w:t>
            </w:r>
          </w:p>
        </w:tc>
        <w:tc>
          <w:tcPr>
            <w:tcW w:w="1835" w:type="dxa"/>
            <w:tcBorders>
              <w:top w:val="single" w:color="auto" w:sz="4" w:space="0"/>
              <w:left w:val="single" w:color="auto" w:sz="4" w:space="0"/>
              <w:right w:val="single" w:color="auto" w:sz="4" w:space="0"/>
            </w:tcBorders>
            <w:noWrap w:val="0"/>
            <w:vAlign w:val="center"/>
          </w:tcPr>
          <w:p w14:paraId="4448AD12">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开标程序</w:t>
            </w:r>
          </w:p>
        </w:tc>
        <w:tc>
          <w:tcPr>
            <w:tcW w:w="5336" w:type="dxa"/>
            <w:tcBorders>
              <w:top w:val="single" w:color="auto" w:sz="4" w:space="0"/>
              <w:left w:val="single" w:color="auto" w:sz="4" w:space="0"/>
              <w:right w:val="single" w:color="auto" w:sz="4" w:space="0"/>
            </w:tcBorders>
            <w:noWrap w:val="0"/>
            <w:vAlign w:val="center"/>
          </w:tcPr>
          <w:p w14:paraId="6D00775F">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开标顺序：按投标文件电子递交顺序进行</w:t>
            </w:r>
          </w:p>
        </w:tc>
      </w:tr>
      <w:tr w14:paraId="4E9B4EEA">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6BCF4311">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6.1.1</w:t>
            </w:r>
          </w:p>
        </w:tc>
        <w:tc>
          <w:tcPr>
            <w:tcW w:w="1835" w:type="dxa"/>
            <w:tcBorders>
              <w:top w:val="single" w:color="auto" w:sz="4" w:space="0"/>
              <w:left w:val="single" w:color="auto" w:sz="4" w:space="0"/>
              <w:right w:val="single" w:color="auto" w:sz="4" w:space="0"/>
            </w:tcBorders>
            <w:noWrap w:val="0"/>
            <w:vAlign w:val="center"/>
          </w:tcPr>
          <w:p w14:paraId="0F69AF6C">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评标委员会的组建</w:t>
            </w:r>
          </w:p>
        </w:tc>
        <w:tc>
          <w:tcPr>
            <w:tcW w:w="5336" w:type="dxa"/>
            <w:tcBorders>
              <w:top w:val="single" w:color="auto" w:sz="4" w:space="0"/>
              <w:left w:val="single" w:color="auto" w:sz="4" w:space="0"/>
              <w:right w:val="single" w:color="auto" w:sz="4" w:space="0"/>
            </w:tcBorders>
            <w:noWrap w:val="0"/>
            <w:vAlign w:val="center"/>
          </w:tcPr>
          <w:p w14:paraId="74A22D93">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评标委员会构成：</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人，其中招标人代表</w:t>
            </w:r>
            <w:bookmarkStart w:id="27" w:name="EBcc387c5aa187475cacda6c5356ff7425"/>
            <w:r>
              <w:rPr>
                <w:rFonts w:hint="eastAsia" w:ascii="仿宋" w:hAnsi="仿宋" w:eastAsia="仿宋" w:cs="仿宋"/>
                <w:color w:val="auto"/>
                <w:sz w:val="21"/>
                <w:szCs w:val="21"/>
                <w:highlight w:val="none"/>
              </w:rPr>
              <w:t>0</w:t>
            </w:r>
            <w:bookmarkEnd w:id="27"/>
            <w:r>
              <w:rPr>
                <w:rFonts w:hint="eastAsia" w:ascii="仿宋" w:hAnsi="仿宋" w:eastAsia="仿宋" w:cs="仿宋"/>
                <w:color w:val="auto"/>
                <w:sz w:val="21"/>
                <w:szCs w:val="21"/>
                <w:highlight w:val="none"/>
              </w:rPr>
              <w:t>-1人，专家</w:t>
            </w:r>
            <w:bookmarkStart w:id="28" w:name="EB11f222dec9764b00acd1f958c8c242bf"/>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w:t>
            </w:r>
            <w:bookmarkEnd w:id="28"/>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人；</w:t>
            </w:r>
          </w:p>
          <w:p w14:paraId="52E619C0">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评标专家确定方式：在政府采购主管部门认定的评标专家库中随机抽取。</w:t>
            </w:r>
          </w:p>
        </w:tc>
      </w:tr>
      <w:tr w14:paraId="4EACA542">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72141606">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6.3.2</w:t>
            </w:r>
          </w:p>
        </w:tc>
        <w:tc>
          <w:tcPr>
            <w:tcW w:w="1835" w:type="dxa"/>
            <w:tcBorders>
              <w:top w:val="single" w:color="auto" w:sz="4" w:space="0"/>
              <w:left w:val="single" w:color="auto" w:sz="4" w:space="0"/>
              <w:right w:val="single" w:color="auto" w:sz="4" w:space="0"/>
            </w:tcBorders>
            <w:noWrap w:val="0"/>
            <w:vAlign w:val="center"/>
          </w:tcPr>
          <w:p w14:paraId="5A3B9E85">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是否授权评标委员会确定中标人</w:t>
            </w:r>
          </w:p>
        </w:tc>
        <w:tc>
          <w:tcPr>
            <w:tcW w:w="5336" w:type="dxa"/>
            <w:tcBorders>
              <w:top w:val="single" w:color="auto" w:sz="4" w:space="0"/>
              <w:left w:val="single" w:color="auto" w:sz="4" w:space="0"/>
              <w:right w:val="single" w:color="auto" w:sz="4" w:space="0"/>
            </w:tcBorders>
            <w:noWrap w:val="0"/>
            <w:vAlign w:val="center"/>
          </w:tcPr>
          <w:p w14:paraId="771004C4">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sym w:font="Wingdings 2" w:char="00A3"/>
            </w:r>
            <w:r>
              <w:rPr>
                <w:rFonts w:hint="eastAsia" w:ascii="仿宋" w:hAnsi="仿宋" w:eastAsia="仿宋" w:cs="仿宋"/>
                <w:color w:val="auto"/>
                <w:sz w:val="21"/>
                <w:szCs w:val="21"/>
                <w:highlight w:val="none"/>
              </w:rPr>
              <w:t>是</w:t>
            </w:r>
          </w:p>
          <w:p w14:paraId="64C815F7">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sym w:font="Wingdings 2" w:char="0052"/>
            </w:r>
            <w:r>
              <w:rPr>
                <w:rFonts w:hint="eastAsia" w:ascii="仿宋" w:hAnsi="仿宋" w:eastAsia="仿宋" w:cs="仿宋"/>
                <w:color w:val="auto"/>
                <w:sz w:val="21"/>
                <w:szCs w:val="21"/>
                <w:highlight w:val="none"/>
              </w:rPr>
              <w:t>否，推荐的中标候选人数：3人。</w:t>
            </w:r>
          </w:p>
          <w:p w14:paraId="26655A60">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eastAsia="zh-CN"/>
              </w:rPr>
              <w:t>评标委员会推荐初步评审合格，综合评审得分由高到低排名第一、第二、第三的投标人为中标候选人。</w:t>
            </w:r>
          </w:p>
        </w:tc>
      </w:tr>
      <w:tr w14:paraId="473E5BBD">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right w:val="single" w:color="auto" w:sz="4" w:space="0"/>
            </w:tcBorders>
            <w:noWrap w:val="0"/>
            <w:vAlign w:val="center"/>
          </w:tcPr>
          <w:p w14:paraId="2AAA1877">
            <w:pPr>
              <w:bidi w:val="0"/>
              <w:spacing w:line="240"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1</w:t>
            </w:r>
          </w:p>
        </w:tc>
        <w:tc>
          <w:tcPr>
            <w:tcW w:w="1835" w:type="dxa"/>
            <w:tcBorders>
              <w:top w:val="single" w:color="auto" w:sz="4" w:space="0"/>
              <w:left w:val="single" w:color="auto" w:sz="4" w:space="0"/>
              <w:right w:val="single" w:color="auto" w:sz="4" w:space="0"/>
            </w:tcBorders>
            <w:noWrap w:val="0"/>
            <w:vAlign w:val="center"/>
          </w:tcPr>
          <w:p w14:paraId="6EAD71E1">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中标人公示媒介及期限</w:t>
            </w:r>
          </w:p>
        </w:tc>
        <w:tc>
          <w:tcPr>
            <w:tcW w:w="5336" w:type="dxa"/>
            <w:tcBorders>
              <w:top w:val="single" w:color="auto" w:sz="4" w:space="0"/>
              <w:left w:val="single" w:color="auto" w:sz="4" w:space="0"/>
              <w:right w:val="single" w:color="auto" w:sz="4" w:space="0"/>
            </w:tcBorders>
            <w:noWrap w:val="0"/>
            <w:vAlign w:val="center"/>
          </w:tcPr>
          <w:p w14:paraId="227D3B91">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公示媒介：“政采云”平台(http：//www.zcygov.cn)、中国政府采购网、</w:t>
            </w:r>
            <w:r>
              <w:rPr>
                <w:rFonts w:hint="eastAsia" w:ascii="仿宋" w:hAnsi="仿宋" w:eastAsia="仿宋" w:cs="仿宋"/>
                <w:color w:val="auto"/>
                <w:sz w:val="21"/>
                <w:szCs w:val="21"/>
                <w:highlight w:val="none"/>
                <w:lang w:eastAsia="zh-CN"/>
              </w:rPr>
              <w:t>中国采购与招标网</w:t>
            </w:r>
            <w:r>
              <w:rPr>
                <w:rFonts w:hint="eastAsia" w:ascii="仿宋" w:hAnsi="仿宋" w:eastAsia="仿宋" w:cs="仿宋"/>
                <w:color w:val="auto"/>
                <w:sz w:val="21"/>
                <w:szCs w:val="21"/>
                <w:highlight w:val="none"/>
              </w:rPr>
              <w:t>；</w:t>
            </w:r>
          </w:p>
          <w:p w14:paraId="6C81855D">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公示期限：1个工作日；</w:t>
            </w:r>
          </w:p>
          <w:p w14:paraId="48E36D65">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公示的其他内容：无。</w:t>
            </w:r>
          </w:p>
        </w:tc>
      </w:tr>
      <w:tr w14:paraId="1A973E8D">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2E59FDF">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3E7310A6">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电子招标投标</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53CB75C6">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□否</w:t>
            </w:r>
          </w:p>
          <w:p w14:paraId="74476FAF">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是，具体要求：详见</w:t>
            </w:r>
            <w:r>
              <w:rPr>
                <w:rFonts w:hint="eastAsia" w:ascii="仿宋" w:hAnsi="仿宋" w:eastAsia="仿宋" w:cs="仿宋"/>
                <w:color w:val="auto"/>
                <w:sz w:val="21"/>
                <w:szCs w:val="21"/>
                <w:highlight w:val="none"/>
                <w:lang w:eastAsia="zh-CN"/>
              </w:rPr>
              <w:t>招标文件</w:t>
            </w:r>
          </w:p>
        </w:tc>
      </w:tr>
      <w:tr w14:paraId="380D6A75">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66B45CE2">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14:paraId="2FF1C71E">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需要补充的其他内容</w:t>
            </w:r>
          </w:p>
        </w:tc>
      </w:tr>
      <w:tr w14:paraId="3F5E08C4">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1C674B33">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45A5A92F">
            <w:pPr>
              <w:bidi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考察中标候选人</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7AB243F0">
            <w:pPr>
              <w:bidi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采购人在招投标管理机构的监督下，可以对中标候选人进行考察</w:t>
            </w:r>
          </w:p>
        </w:tc>
      </w:tr>
      <w:tr w14:paraId="6E994D8A">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BAECE21">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9.2</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07FCE7BE">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资格审查方式</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5B43B874">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资格后审</w:t>
            </w:r>
          </w:p>
        </w:tc>
      </w:tr>
      <w:tr w14:paraId="6F70F0A9">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8FCB853">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9.3</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502EBC81">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评审办法</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16C4B092">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综合评标法</w:t>
            </w:r>
          </w:p>
        </w:tc>
      </w:tr>
      <w:tr w14:paraId="2899D88F">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7E888AC0">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9.4</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3F3C2DFC">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低于成本报价</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5E716FD5">
            <w:pPr>
              <w:bidi w:val="0"/>
              <w:spacing w:line="24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依据财政部第</w:t>
            </w:r>
            <w:r>
              <w:rPr>
                <w:rFonts w:hint="eastAsia" w:ascii="仿宋" w:hAnsi="仿宋" w:eastAsia="仿宋" w:cs="仿宋"/>
                <w:color w:val="auto"/>
                <w:sz w:val="21"/>
                <w:szCs w:val="21"/>
                <w:highlight w:val="none"/>
              </w:rPr>
              <w:t>87号令第60条：</w:t>
            </w:r>
            <w:r>
              <w:rPr>
                <w:rFonts w:hint="eastAsia" w:ascii="仿宋" w:hAnsi="仿宋" w:eastAsia="仿宋" w:cs="仿宋"/>
                <w:color w:val="auto"/>
                <w:sz w:val="21"/>
                <w:szCs w:val="21"/>
                <w:highlight w:val="none"/>
                <w:lang w:val="zh-CN"/>
              </w:rPr>
              <w:t>评标委员会发现投标人的</w:t>
            </w:r>
            <w:r>
              <w:rPr>
                <w:rFonts w:hint="eastAsia" w:cs="仿宋"/>
                <w:color w:val="auto"/>
                <w:sz w:val="21"/>
                <w:szCs w:val="21"/>
                <w:highlight w:val="none"/>
                <w:lang w:val="en-US" w:eastAsia="zh-CN"/>
              </w:rPr>
              <w:t>投标</w:t>
            </w:r>
            <w:r>
              <w:rPr>
                <w:rFonts w:hint="eastAsia" w:ascii="仿宋" w:hAnsi="仿宋" w:eastAsia="仿宋" w:cs="仿宋"/>
                <w:color w:val="auto"/>
                <w:sz w:val="21"/>
                <w:szCs w:val="21"/>
                <w:highlight w:val="none"/>
                <w:lang w:val="zh-CN"/>
              </w:rPr>
              <w:t>报价</w:t>
            </w:r>
            <w:r>
              <w:rPr>
                <w:rFonts w:hint="eastAsia" w:cs="仿宋"/>
                <w:color w:val="auto"/>
                <w:sz w:val="21"/>
                <w:szCs w:val="21"/>
                <w:highlight w:val="none"/>
                <w:lang w:val="en-US" w:eastAsia="zh-CN"/>
              </w:rPr>
              <w:t>低于控制价80%或</w:t>
            </w:r>
            <w:r>
              <w:rPr>
                <w:rFonts w:hint="eastAsia" w:ascii="仿宋" w:hAnsi="仿宋" w:eastAsia="仿宋" w:cs="仿宋"/>
                <w:color w:val="auto"/>
                <w:sz w:val="21"/>
                <w:szCs w:val="21"/>
                <w:highlight w:val="none"/>
                <w:lang w:val="zh-CN"/>
              </w:rPr>
              <w:t>明显低于其他通过符合性审查投标人的报价，有可能影响产品质量或者不能诚信履约的，应当要求该投标人在评标现场合理时间内作出书面说明并提供相应的证明材料。投标人不能合理说明或者不能提供相应证明材料的，由评标委员会认定该投标人以低于成本报价竞标，其投标将被否决。</w:t>
            </w:r>
          </w:p>
        </w:tc>
      </w:tr>
      <w:tr w14:paraId="2A942DB6">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2583FDD">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9.5</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490241EB">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招标代理费</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085DD3C1">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收费依据：按照国家发展计划委员会“发改价格【2015】299号”文要求。</w:t>
            </w:r>
          </w:p>
          <w:p w14:paraId="59B84D80">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收取对象：中标人</w:t>
            </w:r>
          </w:p>
          <w:p w14:paraId="39778D13">
            <w:pPr>
              <w:bidi w:val="0"/>
              <w:spacing w:line="24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收费标准：</w:t>
            </w:r>
            <w:r>
              <w:rPr>
                <w:rFonts w:hint="eastAsia" w:cs="仿宋"/>
                <w:color w:val="auto"/>
                <w:sz w:val="21"/>
                <w:szCs w:val="21"/>
                <w:highlight w:val="none"/>
                <w:lang w:val="en-US" w:eastAsia="zh-CN"/>
              </w:rPr>
              <w:t>按照中标金额2%收取（中标金额*费率折算）</w:t>
            </w:r>
          </w:p>
        </w:tc>
      </w:tr>
      <w:tr w14:paraId="282B760A">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20CC3C2D">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9.6</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4D3D533C">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采购代理机构项目负责人</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6B01C7AB">
            <w:pPr>
              <w:bidi w:val="0"/>
              <w:spacing w:line="240" w:lineRule="auto"/>
              <w:rPr>
                <w:rFonts w:hint="eastAsia" w:ascii="仿宋" w:hAnsi="仿宋" w:eastAsia="仿宋" w:cs="仿宋"/>
                <w:color w:val="auto"/>
                <w:sz w:val="21"/>
                <w:szCs w:val="21"/>
                <w:highlight w:val="none"/>
                <w:lang w:eastAsia="zh-CN"/>
              </w:rPr>
            </w:pPr>
            <w:r>
              <w:rPr>
                <w:rFonts w:hint="eastAsia" w:cs="仿宋"/>
                <w:color w:val="auto"/>
                <w:sz w:val="21"/>
                <w:szCs w:val="21"/>
                <w:highlight w:val="none"/>
                <w:lang w:eastAsia="zh-CN"/>
              </w:rPr>
              <w:t>王卓</w:t>
            </w:r>
          </w:p>
        </w:tc>
      </w:tr>
      <w:tr w14:paraId="6E032DEA">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74D02A17">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9.7</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7081705F">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付款方式</w:t>
            </w:r>
          </w:p>
        </w:tc>
        <w:tc>
          <w:tcPr>
            <w:tcW w:w="5336" w:type="dxa"/>
            <w:tcBorders>
              <w:top w:val="single" w:color="auto" w:sz="4" w:space="0"/>
              <w:left w:val="single" w:color="auto" w:sz="4" w:space="0"/>
              <w:bottom w:val="single" w:color="auto" w:sz="4" w:space="0"/>
              <w:right w:val="single" w:color="auto" w:sz="4" w:space="0"/>
            </w:tcBorders>
            <w:noWrap w:val="0"/>
            <w:vAlign w:val="center"/>
          </w:tcPr>
          <w:p w14:paraId="28E174B5">
            <w:pPr>
              <w:bidi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以实际合同为准</w:t>
            </w:r>
          </w:p>
        </w:tc>
      </w:tr>
      <w:tr w14:paraId="5F0A85A3">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noWrap w:val="0"/>
            <w:vAlign w:val="center"/>
          </w:tcPr>
          <w:p w14:paraId="1254A296">
            <w:pPr>
              <w:bidi w:val="0"/>
              <w:spacing w:line="240" w:lineRule="auto"/>
              <w:jc w:val="center"/>
              <w:rPr>
                <w:rFonts w:hint="eastAsia" w:ascii="仿宋" w:hAnsi="仿宋" w:eastAsia="仿宋" w:cs="仿宋"/>
                <w:color w:val="auto"/>
                <w:sz w:val="21"/>
                <w:szCs w:val="21"/>
                <w:highlight w:val="none"/>
                <w:lang w:eastAsia="zh-CN"/>
              </w:rPr>
            </w:pPr>
            <w:bookmarkStart w:id="29" w:name="OLE_LINK27"/>
            <w:bookmarkStart w:id="30" w:name="OLE_LINK28"/>
            <w:bookmarkStart w:id="31" w:name="OLE_LINK29"/>
            <w:r>
              <w:rPr>
                <w:rFonts w:hint="eastAsia" w:ascii="仿宋" w:hAnsi="仿宋" w:eastAsia="仿宋" w:cs="仿宋"/>
                <w:color w:val="auto"/>
                <w:sz w:val="21"/>
                <w:szCs w:val="21"/>
                <w:highlight w:val="none"/>
                <w:lang w:eastAsia="zh-CN"/>
              </w:rPr>
              <w:t>注：投标人须知前附表”用于修改、补充和完善正文中的相关事宜，前附表与正文如有冲突以正文为准</w:t>
            </w:r>
            <w:bookmarkEnd w:id="29"/>
            <w:bookmarkEnd w:id="30"/>
            <w:bookmarkEnd w:id="31"/>
            <w:r>
              <w:rPr>
                <w:rFonts w:hint="eastAsia" w:ascii="仿宋" w:hAnsi="仿宋" w:eastAsia="仿宋" w:cs="仿宋"/>
                <w:color w:val="auto"/>
                <w:sz w:val="21"/>
                <w:szCs w:val="21"/>
                <w:highlight w:val="none"/>
                <w:lang w:eastAsia="zh-CN"/>
              </w:rPr>
              <w:t>，招标公告与招标文件不符之处以招标文件为准。</w:t>
            </w:r>
          </w:p>
        </w:tc>
      </w:tr>
      <w:tr w14:paraId="311DE4E3">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0CFAADDF">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特别提醒</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14:paraId="02AA33F5">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EA0800">
            <w:pPr>
              <w:bidi w:val="0"/>
              <w:spacing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eastAsia="zh-CN"/>
              </w:rPr>
              <w:t>投标方应为响应文件中所提供的复印件材料真实性负责，一经查实如有虚假伪造，采购人有权取消投标人的投标资格，签订合同的，采购人有权单方面取消合同并按照相关法律法规追究投标方所造成的损失。</w:t>
            </w:r>
          </w:p>
        </w:tc>
      </w:tr>
      <w:tr w14:paraId="00F906B5">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68B9A33">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电子标操作说明</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14:paraId="31E9C30D">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本次招标实行不见面开标，具体要求如下：</w:t>
            </w:r>
          </w:p>
          <w:p w14:paraId="5159ABD8">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吉林市“政采云”平台，供应商在“政采云”平台提交电子版投标文件时，请填写参加远程开标活动经办人联系方式。</w:t>
            </w:r>
          </w:p>
          <w:p w14:paraId="168710A3">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具体办理流程请致电当地财政局）</w:t>
            </w:r>
          </w:p>
          <w:p w14:paraId="13DA36D4">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(3)为确保网上操作合法、有效和安全，请投标供应商确保在电子投标过程中能够对相关数据电文进行加密和使用电子签章，妥善保管CA数字证书并使用有效的CA数字证书参与整个招标活动。</w:t>
            </w:r>
          </w:p>
          <w:p w14:paraId="47BE9341">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48B0CC04">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(4)开标地点：本次招标将于</w:t>
            </w:r>
            <w:r>
              <w:rPr>
                <w:rFonts w:hint="eastAsia" w:cs="仿宋"/>
                <w:color w:val="auto"/>
                <w:sz w:val="21"/>
                <w:szCs w:val="21"/>
                <w:highlight w:val="none"/>
                <w:lang w:eastAsia="zh-CN"/>
              </w:rPr>
              <w:t>2025年0</w:t>
            </w:r>
            <w:r>
              <w:rPr>
                <w:rFonts w:hint="eastAsia" w:cs="仿宋"/>
                <w:color w:val="auto"/>
                <w:sz w:val="21"/>
                <w:szCs w:val="21"/>
                <w:highlight w:val="none"/>
                <w:lang w:val="en-US" w:eastAsia="zh-CN"/>
              </w:rPr>
              <w:t>7</w:t>
            </w:r>
            <w:r>
              <w:rPr>
                <w:rFonts w:hint="eastAsia" w:cs="仿宋"/>
                <w:color w:val="auto"/>
                <w:sz w:val="21"/>
                <w:szCs w:val="21"/>
                <w:highlight w:val="none"/>
                <w:lang w:eastAsia="zh-CN"/>
              </w:rPr>
              <w:t>月30日09时30分</w:t>
            </w:r>
            <w:r>
              <w:rPr>
                <w:rFonts w:hint="eastAsia" w:ascii="仿宋" w:hAnsi="仿宋" w:eastAsia="仿宋" w:cs="仿宋"/>
                <w:color w:val="auto"/>
                <w:sz w:val="21"/>
                <w:szCs w:val="21"/>
                <w:highlight w:val="none"/>
                <w:lang w:val="zh-CN" w:eastAsia="zh-CN"/>
              </w:rPr>
              <w:t>(北京时间)在“政采云”平台电子开标大厅开标。</w:t>
            </w:r>
          </w:p>
          <w:p w14:paraId="06C907F8">
            <w:pPr>
              <w:bidi w:val="0"/>
              <w:spacing w:line="240" w:lineRule="auto"/>
              <w:jc w:val="left"/>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eastAsia="zh-CN"/>
              </w:rPr>
              <w:t>(5)CA证书在线解密：供应商投标时，需携带制作投标文件时用来加密的有效数字证书(CA认证)登录“政采云”平台电子开标大厅现场按规定时间对加密的投标文件进行解密，未能按要求进行解密的，由此产生的后果由投标人自行承担。</w:t>
            </w:r>
          </w:p>
        </w:tc>
      </w:tr>
      <w:tr w14:paraId="7089F9CF">
        <w:tblPrEx>
          <w:tblCellMar>
            <w:top w:w="0" w:type="dxa"/>
            <w:left w:w="108" w:type="dxa"/>
            <w:bottom w:w="0" w:type="dxa"/>
            <w:right w:w="108" w:type="dxa"/>
          </w:tblCellMar>
        </w:tblPrEx>
        <w:trPr>
          <w:trHeight w:val="454"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14:paraId="347C9C9A">
            <w:pPr>
              <w:bidi w:val="0"/>
              <w:spacing w:line="24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招标文件份数补充说明</w:t>
            </w:r>
          </w:p>
        </w:tc>
        <w:tc>
          <w:tcPr>
            <w:tcW w:w="7171" w:type="dxa"/>
            <w:gridSpan w:val="2"/>
            <w:tcBorders>
              <w:top w:val="single" w:color="auto" w:sz="4" w:space="0"/>
              <w:left w:val="single" w:color="auto" w:sz="4" w:space="0"/>
              <w:bottom w:val="single" w:color="auto" w:sz="4" w:space="0"/>
              <w:right w:val="single" w:color="auto" w:sz="4" w:space="0"/>
            </w:tcBorders>
            <w:noWrap w:val="0"/>
            <w:vAlign w:val="center"/>
          </w:tcPr>
          <w:p w14:paraId="3D8DBE29">
            <w:pPr>
              <w:bidi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中标单位需在中标通知书领取之前到招标代理公司提交与中标文件相同的纸版投标文件</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份（</w:t>
            </w:r>
            <w:r>
              <w:rPr>
                <w:rFonts w:hint="eastAsia" w:ascii="仿宋" w:hAnsi="仿宋" w:eastAsia="仿宋" w:cs="仿宋"/>
                <w:color w:val="auto"/>
                <w:sz w:val="21"/>
                <w:szCs w:val="21"/>
                <w:highlight w:val="none"/>
                <w:lang w:val="en-US" w:eastAsia="zh-CN"/>
              </w:rPr>
              <w:t>1正本</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lang w:val="en-US" w:eastAsia="zh-CN"/>
              </w:rPr>
              <w:t>副本</w:t>
            </w:r>
            <w:r>
              <w:rPr>
                <w:rFonts w:hint="eastAsia" w:ascii="仿宋" w:hAnsi="仿宋" w:eastAsia="仿宋" w:cs="仿宋"/>
                <w:color w:val="auto"/>
                <w:sz w:val="21"/>
                <w:szCs w:val="21"/>
                <w:highlight w:val="none"/>
              </w:rPr>
              <w:t>），软件制作生成的未加密及Word版电子投标文件1份，否则视为放弃中标。</w:t>
            </w:r>
          </w:p>
        </w:tc>
      </w:tr>
      <w:tr w14:paraId="56AA2E76">
        <w:tblPrEx>
          <w:tblCellMar>
            <w:top w:w="0" w:type="dxa"/>
            <w:left w:w="108" w:type="dxa"/>
            <w:bottom w:w="0" w:type="dxa"/>
            <w:right w:w="108" w:type="dxa"/>
          </w:tblCellMar>
        </w:tblPrEx>
        <w:trPr>
          <w:trHeight w:val="454" w:hRule="atLeast"/>
        </w:trPr>
        <w:tc>
          <w:tcPr>
            <w:tcW w:w="8325" w:type="dxa"/>
            <w:gridSpan w:val="3"/>
            <w:tcBorders>
              <w:top w:val="single" w:color="auto" w:sz="4" w:space="0"/>
              <w:left w:val="single" w:color="auto" w:sz="4" w:space="0"/>
              <w:bottom w:val="single" w:color="auto" w:sz="4" w:space="0"/>
              <w:right w:val="single" w:color="auto" w:sz="4" w:space="0"/>
            </w:tcBorders>
            <w:noWrap w:val="0"/>
            <w:vAlign w:val="center"/>
          </w:tcPr>
          <w:p w14:paraId="264CD514">
            <w:pPr>
              <w:bidi w:val="0"/>
              <w:spacing w:line="24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注：投标人须知前附表”用于修改、补充和完善正文中的相关事宜，前附表与正文如有冲突以正文为准。</w:t>
            </w:r>
          </w:p>
        </w:tc>
      </w:tr>
    </w:tbl>
    <w:p w14:paraId="0BE227CE">
      <w:pPr>
        <w:rPr>
          <w:rFonts w:hint="eastAsia" w:ascii="仿宋" w:hAnsi="仿宋" w:eastAsia="仿宋" w:cs="仿宋"/>
          <w:color w:val="auto"/>
          <w:highlight w:val="none"/>
        </w:rPr>
      </w:pPr>
    </w:p>
    <w:p w14:paraId="47FA2CD0">
      <w:pPr>
        <w:autoSpaceDE w:val="0"/>
        <w:autoSpaceDN w:val="0"/>
        <w:adjustRightInd w:val="0"/>
        <w:spacing w:beforeLines="50" w:afterLines="50" w:line="360" w:lineRule="auto"/>
        <w:jc w:val="center"/>
        <w:outlineLvl w:val="1"/>
        <w:rPr>
          <w:rFonts w:hint="eastAsia" w:ascii="仿宋" w:hAnsi="仿宋" w:eastAsia="仿宋" w:cs="仿宋"/>
          <w:b/>
          <w:bCs/>
          <w:color w:val="auto"/>
          <w:kern w:val="2"/>
          <w:sz w:val="24"/>
          <w:szCs w:val="28"/>
          <w:highlight w:val="none"/>
          <w:lang w:val="zh-CN" w:eastAsia="zh-CN" w:bidi="ar-SA"/>
        </w:rPr>
      </w:pPr>
      <w:bookmarkStart w:id="32" w:name="_Toc179632546"/>
      <w:bookmarkStart w:id="33" w:name="_Toc144974497"/>
      <w:bookmarkStart w:id="34" w:name="_Toc152042305"/>
      <w:bookmarkStart w:id="35" w:name="_Toc246996175"/>
      <w:bookmarkStart w:id="36" w:name="_Toc247085689"/>
      <w:bookmarkStart w:id="37" w:name="_Toc152045529"/>
      <w:bookmarkStart w:id="38" w:name="_Toc246996918"/>
      <w:bookmarkStart w:id="39" w:name="_Toc296602420"/>
      <w:r>
        <w:rPr>
          <w:rFonts w:hint="eastAsia" w:ascii="仿宋" w:hAnsi="仿宋" w:eastAsia="仿宋" w:cs="仿宋"/>
          <w:color w:val="auto"/>
          <w:highlight w:val="none"/>
        </w:rPr>
        <w:br w:type="page"/>
      </w:r>
      <w:r>
        <w:rPr>
          <w:rFonts w:hint="eastAsia" w:ascii="仿宋" w:hAnsi="仿宋" w:eastAsia="仿宋" w:cs="仿宋"/>
          <w:b/>
          <w:bCs/>
          <w:color w:val="auto"/>
          <w:kern w:val="2"/>
          <w:sz w:val="24"/>
          <w:szCs w:val="28"/>
          <w:highlight w:val="none"/>
          <w:lang w:val="en-US" w:eastAsia="zh-CN" w:bidi="ar-SA"/>
        </w:rPr>
        <w:t>投标人须知正文</w:t>
      </w:r>
    </w:p>
    <w:bookmarkEnd w:id="32"/>
    <w:bookmarkEnd w:id="33"/>
    <w:bookmarkEnd w:id="34"/>
    <w:bookmarkEnd w:id="35"/>
    <w:bookmarkEnd w:id="36"/>
    <w:bookmarkEnd w:id="37"/>
    <w:bookmarkEnd w:id="38"/>
    <w:bookmarkEnd w:id="39"/>
    <w:p w14:paraId="62F961D5">
      <w:pPr>
        <w:numPr>
          <w:ilvl w:val="0"/>
          <w:numId w:val="6"/>
        </w:numPr>
        <w:bidi w:val="0"/>
        <w:rPr>
          <w:color w:val="auto"/>
          <w:highlight w:val="none"/>
        </w:rPr>
      </w:pPr>
      <w:bookmarkStart w:id="40" w:name="_Toc144974577"/>
      <w:bookmarkStart w:id="41" w:name="_Toc179632627"/>
      <w:bookmarkStart w:id="42" w:name="_Toc152042387"/>
      <w:bookmarkStart w:id="43" w:name="_Toc152045609"/>
      <w:bookmarkStart w:id="44" w:name="_Toc246996252"/>
      <w:bookmarkStart w:id="45" w:name="_Toc247085767"/>
      <w:bookmarkStart w:id="46" w:name="_Toc246996995"/>
      <w:bookmarkStart w:id="47" w:name="_Toc55285624"/>
      <w:bookmarkStart w:id="48" w:name="_Toc52181483"/>
      <w:r>
        <w:rPr>
          <w:color w:val="auto"/>
          <w:highlight w:val="none"/>
        </w:rPr>
        <w:t>适用法律：本次招标适用法律法规为《中华人民共和国政府采购法》、《政府采购货物和服务招标投标管理办法》《中华人民共和国政府采购法实施条例》及政府采购其它相关法规。</w:t>
      </w:r>
    </w:p>
    <w:p w14:paraId="53C6C292">
      <w:pPr>
        <w:numPr>
          <w:ilvl w:val="0"/>
          <w:numId w:val="6"/>
        </w:numPr>
        <w:bidi w:val="0"/>
        <w:rPr>
          <w:rFonts w:hint="eastAsia"/>
          <w:color w:val="auto"/>
          <w:highlight w:val="none"/>
          <w:lang w:val="zh-CN"/>
        </w:rPr>
      </w:pPr>
      <w:r>
        <w:rPr>
          <w:color w:val="auto"/>
          <w:highlight w:val="none"/>
        </w:rPr>
        <w:t>定义：</w:t>
      </w:r>
    </w:p>
    <w:p w14:paraId="3AE199C6">
      <w:pPr>
        <w:numPr>
          <w:ilvl w:val="0"/>
          <w:numId w:val="0"/>
        </w:numPr>
        <w:bidi w:val="0"/>
        <w:ind w:firstLine="420" w:firstLineChars="0"/>
        <w:rPr>
          <w:rFonts w:hint="eastAsia" w:eastAsia="仿宋"/>
          <w:color w:val="auto"/>
          <w:highlight w:val="none"/>
          <w:lang w:eastAsia="zh-CN"/>
        </w:rPr>
      </w:pPr>
      <w:r>
        <w:rPr>
          <w:color w:val="auto"/>
          <w:highlight w:val="none"/>
        </w:rPr>
        <w:t>2.1“招标代理机构”指负责采购活动的组织工作。</w:t>
      </w:r>
    </w:p>
    <w:p w14:paraId="1912831D">
      <w:pPr>
        <w:numPr>
          <w:ilvl w:val="0"/>
          <w:numId w:val="0"/>
        </w:numPr>
        <w:bidi w:val="0"/>
        <w:ind w:firstLine="420" w:firstLineChars="0"/>
        <w:rPr>
          <w:rFonts w:hint="eastAsia" w:eastAsia="仿宋"/>
          <w:color w:val="auto"/>
          <w:highlight w:val="none"/>
          <w:lang w:eastAsia="zh-CN"/>
        </w:rPr>
      </w:pPr>
      <w:r>
        <w:rPr>
          <w:color w:val="auto"/>
          <w:highlight w:val="none"/>
        </w:rPr>
        <w:t>2.2“采购人”指详见招标文件前附表，负责采购项目的整体规划、采购需求设计和可行性论证，作为合同的需方，承担质疑答复，合同履行、验收、评价等义务。</w:t>
      </w:r>
    </w:p>
    <w:p w14:paraId="28519E7F">
      <w:pPr>
        <w:numPr>
          <w:ilvl w:val="0"/>
          <w:numId w:val="0"/>
        </w:numPr>
        <w:bidi w:val="0"/>
        <w:ind w:firstLine="420" w:firstLineChars="0"/>
        <w:rPr>
          <w:rFonts w:hint="eastAsia" w:eastAsia="仿宋"/>
          <w:color w:val="auto"/>
          <w:highlight w:val="none"/>
          <w:lang w:eastAsia="zh-CN"/>
        </w:rPr>
      </w:pPr>
      <w:r>
        <w:rPr>
          <w:color w:val="auto"/>
          <w:highlight w:val="none"/>
        </w:rPr>
        <w:t>2.3“招标内容”详见第五章《货物需求及要求》。</w:t>
      </w:r>
    </w:p>
    <w:p w14:paraId="00EA1440">
      <w:pPr>
        <w:numPr>
          <w:ilvl w:val="0"/>
          <w:numId w:val="0"/>
        </w:numPr>
        <w:bidi w:val="0"/>
        <w:ind w:firstLine="420" w:firstLineChars="0"/>
        <w:rPr>
          <w:rFonts w:hint="eastAsia" w:eastAsia="仿宋"/>
          <w:color w:val="auto"/>
          <w:highlight w:val="none"/>
          <w:lang w:eastAsia="zh-CN"/>
        </w:rPr>
      </w:pPr>
      <w:r>
        <w:rPr>
          <w:color w:val="auto"/>
          <w:highlight w:val="none"/>
        </w:rPr>
        <w:t>2.4“潜在供应商”指确认参加投标的供应商。</w:t>
      </w:r>
    </w:p>
    <w:p w14:paraId="5FBF73CB">
      <w:pPr>
        <w:numPr>
          <w:ilvl w:val="0"/>
          <w:numId w:val="0"/>
        </w:numPr>
        <w:bidi w:val="0"/>
        <w:ind w:firstLine="420" w:firstLineChars="0"/>
        <w:rPr>
          <w:rFonts w:hint="eastAsia" w:eastAsia="仿宋"/>
          <w:color w:val="auto"/>
          <w:highlight w:val="none"/>
          <w:lang w:eastAsia="zh-CN"/>
        </w:rPr>
      </w:pPr>
      <w:r>
        <w:rPr>
          <w:color w:val="auto"/>
          <w:highlight w:val="none"/>
        </w:rPr>
        <w:t>2.5“供应商”指响应本招标文件参加投标的供应商。</w:t>
      </w:r>
    </w:p>
    <w:p w14:paraId="1BD4B4B2">
      <w:pPr>
        <w:numPr>
          <w:ilvl w:val="0"/>
          <w:numId w:val="6"/>
        </w:numPr>
        <w:bidi w:val="0"/>
        <w:ind w:left="0" w:leftChars="0" w:firstLine="0" w:firstLineChars="0"/>
        <w:rPr>
          <w:color w:val="auto"/>
          <w:highlight w:val="none"/>
        </w:rPr>
      </w:pPr>
      <w:r>
        <w:rPr>
          <w:color w:val="auto"/>
          <w:highlight w:val="none"/>
        </w:rPr>
        <w:t>合格供应商资格条件要求：详见招标公告</w:t>
      </w:r>
    </w:p>
    <w:p w14:paraId="5B8414A2">
      <w:pPr>
        <w:numPr>
          <w:ilvl w:val="0"/>
          <w:numId w:val="6"/>
        </w:numPr>
        <w:bidi w:val="0"/>
        <w:ind w:left="0" w:leftChars="0" w:firstLine="0" w:firstLineChars="0"/>
        <w:rPr>
          <w:rFonts w:hint="eastAsia"/>
          <w:color w:val="auto"/>
          <w:highlight w:val="none"/>
          <w:lang w:val="zh-CN"/>
        </w:rPr>
      </w:pPr>
      <w:r>
        <w:rPr>
          <w:color w:val="auto"/>
          <w:highlight w:val="none"/>
        </w:rPr>
        <w:t>项目答疑会和踏勘现场：本项目不举行项目答疑会但组织踏勘现场。</w:t>
      </w:r>
    </w:p>
    <w:p w14:paraId="7807C340">
      <w:pPr>
        <w:numPr>
          <w:ilvl w:val="0"/>
          <w:numId w:val="6"/>
        </w:numPr>
        <w:bidi w:val="0"/>
        <w:ind w:left="0" w:leftChars="0" w:firstLine="0" w:firstLineChars="0"/>
        <w:rPr>
          <w:rFonts w:hint="eastAsia"/>
          <w:color w:val="auto"/>
          <w:highlight w:val="none"/>
          <w:lang w:val="zh-CN"/>
        </w:rPr>
      </w:pPr>
      <w:r>
        <w:rPr>
          <w:color w:val="auto"/>
          <w:highlight w:val="none"/>
        </w:rPr>
        <w:t>投标费用：供应商应自行承担所有与编写和提交投标文件有关的费用，无论投标的结果如何，采购人和采购人在任何情况下均无义务和责任承担这些费用。</w:t>
      </w:r>
    </w:p>
    <w:p w14:paraId="5A756B0A">
      <w:pPr>
        <w:numPr>
          <w:ilvl w:val="0"/>
          <w:numId w:val="6"/>
        </w:numPr>
        <w:bidi w:val="0"/>
        <w:ind w:left="0" w:leftChars="0" w:firstLine="0" w:firstLineChars="0"/>
        <w:rPr>
          <w:rFonts w:hint="eastAsia"/>
          <w:color w:val="auto"/>
          <w:highlight w:val="none"/>
          <w:lang w:val="zh-CN"/>
        </w:rPr>
      </w:pPr>
      <w:r>
        <w:rPr>
          <w:color w:val="auto"/>
          <w:highlight w:val="none"/>
        </w:rPr>
        <w:t>招标文件：</w:t>
      </w:r>
    </w:p>
    <w:p w14:paraId="7043445B">
      <w:pPr>
        <w:numPr>
          <w:ilvl w:val="0"/>
          <w:numId w:val="0"/>
        </w:numPr>
        <w:bidi w:val="0"/>
        <w:ind w:leftChars="0" w:firstLine="420" w:firstLineChars="0"/>
        <w:rPr>
          <w:rFonts w:hint="eastAsia" w:eastAsia="仿宋"/>
          <w:color w:val="auto"/>
          <w:highlight w:val="none"/>
          <w:lang w:eastAsia="zh-CN"/>
        </w:rPr>
      </w:pPr>
      <w:r>
        <w:rPr>
          <w:color w:val="auto"/>
          <w:highlight w:val="none"/>
        </w:rPr>
        <w:t>6.1招标文件的构成：</w:t>
      </w:r>
    </w:p>
    <w:p w14:paraId="7DD7DD41">
      <w:pPr>
        <w:numPr>
          <w:ilvl w:val="0"/>
          <w:numId w:val="0"/>
        </w:numPr>
        <w:bidi w:val="0"/>
        <w:ind w:left="420" w:leftChars="0" w:firstLine="420" w:firstLineChars="0"/>
        <w:rPr>
          <w:rFonts w:hint="eastAsia" w:eastAsia="仿宋"/>
          <w:color w:val="auto"/>
          <w:highlight w:val="none"/>
          <w:lang w:eastAsia="zh-CN"/>
        </w:rPr>
      </w:pPr>
      <w:r>
        <w:rPr>
          <w:color w:val="auto"/>
          <w:highlight w:val="none"/>
        </w:rPr>
        <w:t>第一章招标公告</w:t>
      </w:r>
    </w:p>
    <w:p w14:paraId="7313656C">
      <w:pPr>
        <w:numPr>
          <w:ilvl w:val="0"/>
          <w:numId w:val="0"/>
        </w:numPr>
        <w:bidi w:val="0"/>
        <w:ind w:left="420" w:leftChars="0" w:firstLine="420" w:firstLineChars="0"/>
        <w:rPr>
          <w:rFonts w:hint="eastAsia" w:eastAsia="仿宋"/>
          <w:color w:val="auto"/>
          <w:highlight w:val="none"/>
          <w:lang w:eastAsia="zh-CN"/>
        </w:rPr>
      </w:pPr>
      <w:r>
        <w:rPr>
          <w:color w:val="auto"/>
          <w:highlight w:val="none"/>
        </w:rPr>
        <w:t>第二章供应商须知</w:t>
      </w:r>
    </w:p>
    <w:p w14:paraId="17D3A098">
      <w:pPr>
        <w:numPr>
          <w:ilvl w:val="0"/>
          <w:numId w:val="0"/>
        </w:numPr>
        <w:bidi w:val="0"/>
        <w:ind w:left="420" w:leftChars="0" w:firstLine="420" w:firstLineChars="0"/>
        <w:rPr>
          <w:rFonts w:hint="eastAsia" w:eastAsia="仿宋"/>
          <w:color w:val="auto"/>
          <w:highlight w:val="none"/>
          <w:lang w:eastAsia="zh-CN"/>
        </w:rPr>
      </w:pPr>
      <w:r>
        <w:rPr>
          <w:color w:val="auto"/>
          <w:highlight w:val="none"/>
        </w:rPr>
        <w:t>第三章合同条款</w:t>
      </w:r>
    </w:p>
    <w:p w14:paraId="7CEFA16D">
      <w:pPr>
        <w:numPr>
          <w:ilvl w:val="0"/>
          <w:numId w:val="0"/>
        </w:numPr>
        <w:bidi w:val="0"/>
        <w:ind w:left="420" w:leftChars="0" w:firstLine="420" w:firstLineChars="0"/>
        <w:rPr>
          <w:rFonts w:hint="eastAsia" w:eastAsia="仿宋"/>
          <w:color w:val="auto"/>
          <w:highlight w:val="none"/>
          <w:lang w:eastAsia="zh-CN"/>
        </w:rPr>
      </w:pPr>
      <w:r>
        <w:rPr>
          <w:color w:val="auto"/>
          <w:highlight w:val="none"/>
        </w:rPr>
        <w:t>第四章合同格式</w:t>
      </w:r>
    </w:p>
    <w:p w14:paraId="7CDF1277">
      <w:pPr>
        <w:numPr>
          <w:ilvl w:val="0"/>
          <w:numId w:val="0"/>
        </w:numPr>
        <w:bidi w:val="0"/>
        <w:ind w:left="420" w:leftChars="0" w:firstLine="420" w:firstLineChars="0"/>
        <w:rPr>
          <w:rFonts w:hint="eastAsia" w:eastAsia="仿宋"/>
          <w:color w:val="auto"/>
          <w:highlight w:val="none"/>
          <w:lang w:eastAsia="zh-CN"/>
        </w:rPr>
      </w:pPr>
      <w:r>
        <w:rPr>
          <w:color w:val="auto"/>
          <w:highlight w:val="none"/>
        </w:rPr>
        <w:t>第五章货物需求及要求</w:t>
      </w:r>
    </w:p>
    <w:p w14:paraId="5B714237">
      <w:pPr>
        <w:numPr>
          <w:ilvl w:val="0"/>
          <w:numId w:val="0"/>
        </w:numPr>
        <w:bidi w:val="0"/>
        <w:ind w:left="420" w:leftChars="0" w:firstLine="420" w:firstLineChars="0"/>
        <w:rPr>
          <w:rFonts w:hint="eastAsia" w:eastAsia="仿宋"/>
          <w:color w:val="auto"/>
          <w:highlight w:val="none"/>
          <w:lang w:eastAsia="zh-CN"/>
        </w:rPr>
      </w:pPr>
      <w:r>
        <w:rPr>
          <w:color w:val="auto"/>
          <w:highlight w:val="none"/>
        </w:rPr>
        <w:t>第六章</w:t>
      </w:r>
      <w:r>
        <w:rPr>
          <w:rFonts w:hint="eastAsia"/>
          <w:color w:val="auto"/>
          <w:highlight w:val="none"/>
          <w:lang w:eastAsia="zh-CN"/>
        </w:rPr>
        <w:t>货物需求及要求</w:t>
      </w:r>
    </w:p>
    <w:p w14:paraId="15956208">
      <w:pPr>
        <w:numPr>
          <w:ilvl w:val="0"/>
          <w:numId w:val="0"/>
        </w:numPr>
        <w:bidi w:val="0"/>
        <w:ind w:left="420" w:leftChars="0" w:firstLine="420" w:firstLineChars="0"/>
        <w:rPr>
          <w:rFonts w:hint="eastAsia" w:eastAsia="仿宋"/>
          <w:color w:val="auto"/>
          <w:highlight w:val="none"/>
          <w:lang w:eastAsia="zh-CN"/>
        </w:rPr>
      </w:pPr>
      <w:r>
        <w:rPr>
          <w:color w:val="auto"/>
          <w:highlight w:val="none"/>
        </w:rPr>
        <w:t>第七章评标办法</w:t>
      </w:r>
    </w:p>
    <w:p w14:paraId="2FEBB85F">
      <w:pPr>
        <w:numPr>
          <w:ilvl w:val="0"/>
          <w:numId w:val="0"/>
        </w:numPr>
        <w:bidi w:val="0"/>
        <w:ind w:left="420" w:leftChars="0" w:firstLine="420" w:firstLineChars="0"/>
        <w:rPr>
          <w:rFonts w:hint="eastAsia" w:eastAsia="仿宋"/>
          <w:color w:val="auto"/>
          <w:highlight w:val="none"/>
          <w:lang w:eastAsia="zh-CN"/>
        </w:rPr>
      </w:pPr>
      <w:r>
        <w:rPr>
          <w:color w:val="auto"/>
          <w:highlight w:val="none"/>
        </w:rPr>
        <w:t>附件</w:t>
      </w:r>
    </w:p>
    <w:p w14:paraId="655BE07F">
      <w:pPr>
        <w:numPr>
          <w:ilvl w:val="0"/>
          <w:numId w:val="0"/>
        </w:numPr>
        <w:bidi w:val="0"/>
        <w:ind w:leftChars="0" w:firstLine="420" w:firstLineChars="0"/>
        <w:rPr>
          <w:rFonts w:hint="eastAsia" w:eastAsia="仿宋"/>
          <w:color w:val="auto"/>
          <w:highlight w:val="none"/>
          <w:lang w:eastAsia="zh-CN"/>
        </w:rPr>
      </w:pPr>
      <w:r>
        <w:rPr>
          <w:color w:val="auto"/>
          <w:highlight w:val="none"/>
        </w:rPr>
        <w:t>6.2供应商应认真阅读招标文件中所有事项、格式、条款和规范等要求。如果供应商没有按照招标文件要求提交全部文件资料或投标文件没有对招标文件在各方面都做出实质性响应，是供应商的风险。</w:t>
      </w:r>
    </w:p>
    <w:p w14:paraId="59817887">
      <w:pPr>
        <w:numPr>
          <w:ilvl w:val="0"/>
          <w:numId w:val="6"/>
        </w:numPr>
        <w:bidi w:val="0"/>
        <w:ind w:firstLine="0"/>
        <w:rPr>
          <w:color w:val="auto"/>
          <w:highlight w:val="none"/>
        </w:rPr>
      </w:pPr>
      <w:r>
        <w:rPr>
          <w:color w:val="auto"/>
          <w:highlight w:val="none"/>
        </w:rPr>
        <w:t>招标文件的澄清和修改：</w:t>
      </w:r>
    </w:p>
    <w:p w14:paraId="76187C25">
      <w:pPr>
        <w:numPr>
          <w:ilvl w:val="0"/>
          <w:numId w:val="0"/>
        </w:numPr>
        <w:bidi w:val="0"/>
        <w:ind w:leftChars="0" w:firstLine="420" w:firstLineChars="0"/>
        <w:rPr>
          <w:rFonts w:hint="eastAsia" w:eastAsia="仿宋"/>
          <w:color w:val="auto"/>
          <w:highlight w:val="none"/>
          <w:lang w:eastAsia="zh-CN"/>
        </w:rPr>
      </w:pPr>
      <w:r>
        <w:rPr>
          <w:color w:val="auto"/>
          <w:highlight w:val="none"/>
        </w:rPr>
        <w:t>7.1任何要求对招标文件进行澄清的供应商，均应在投标截止期15天前在政采云平台（http：//www.zcygov.cn）发布，并按照招标公告中载明的招标代理机构的联系方式电话通知招标代理机构。代理机构及采购人将视所提问题具体情况的答复澄清，在政采云平台（http：//www.zcygov.cn）答疑文件中发布。供应商自行在政采云平台（http：//www.zcygov.cn）答疑文件处下载。否则，后果自负。招标代理机构及采购人不接受供应商的书面质疑。</w:t>
      </w:r>
    </w:p>
    <w:p w14:paraId="2DC66F24">
      <w:pPr>
        <w:numPr>
          <w:ilvl w:val="0"/>
          <w:numId w:val="0"/>
        </w:numPr>
        <w:bidi w:val="0"/>
        <w:ind w:leftChars="0" w:firstLine="420" w:firstLineChars="0"/>
        <w:rPr>
          <w:rFonts w:hint="eastAsia" w:eastAsia="仿宋"/>
          <w:color w:val="auto"/>
          <w:highlight w:val="none"/>
          <w:lang w:eastAsia="zh-CN"/>
        </w:rPr>
      </w:pPr>
      <w:r>
        <w:rPr>
          <w:color w:val="auto"/>
          <w:highlight w:val="none"/>
        </w:rPr>
        <w:t>7.2采购人可在投标截止时间15日前（含）对招标文件进行修改、补充。招标文件的修改、补充文件将在政采云平台（http：//www.zcygov.cn）发布向潜在供应商发出，供应商自行在政采云平台（http：//www.zcygov.cn）下载。并在发布招标公告的媒体上公告。</w:t>
      </w:r>
    </w:p>
    <w:p w14:paraId="6D4A6C7F">
      <w:pPr>
        <w:numPr>
          <w:ilvl w:val="0"/>
          <w:numId w:val="0"/>
        </w:numPr>
        <w:bidi w:val="0"/>
        <w:ind w:leftChars="0" w:firstLine="420" w:firstLineChars="0"/>
        <w:rPr>
          <w:rFonts w:hint="eastAsia" w:eastAsia="仿宋"/>
          <w:color w:val="auto"/>
          <w:highlight w:val="none"/>
          <w:lang w:eastAsia="zh-CN"/>
        </w:rPr>
      </w:pPr>
      <w:r>
        <w:rPr>
          <w:color w:val="auto"/>
          <w:highlight w:val="none"/>
        </w:rPr>
        <w:t>7.3招标文件的澄清、修改、补充文件均构成招标文件的组成部分，对所有供应商具有约束力，供应商未在政采云平台（http：//www.zcygov.cn）自行下载澄清、修改、补充文件，后果自负。</w:t>
      </w:r>
    </w:p>
    <w:p w14:paraId="7745FB97">
      <w:pPr>
        <w:numPr>
          <w:ilvl w:val="0"/>
          <w:numId w:val="0"/>
        </w:numPr>
        <w:bidi w:val="0"/>
        <w:ind w:leftChars="0" w:firstLine="420" w:firstLineChars="0"/>
        <w:rPr>
          <w:rFonts w:hint="eastAsia" w:eastAsia="仿宋"/>
          <w:color w:val="auto"/>
          <w:highlight w:val="none"/>
          <w:lang w:eastAsia="zh-CN"/>
        </w:rPr>
      </w:pPr>
      <w:r>
        <w:rPr>
          <w:color w:val="auto"/>
          <w:highlight w:val="none"/>
        </w:rPr>
        <w:t>7.4为使供应商有充分的时间对招标文件的澄清、修改、补充部分进行研究，采购人可在投标截止时间3日前（含）自行决定酌情延长投标截止时间，延长投标截止时间的公告将在发布招标公告的媒体上发告并在政采云平台（http：//www.zcygov.cn）向所有潜在供应商发布。在这种情况下，采购人和供应商受投标截止时间制约的所有权利和义务均相应延长至新的投标截止时间。</w:t>
      </w:r>
    </w:p>
    <w:p w14:paraId="725396E7">
      <w:pPr>
        <w:numPr>
          <w:ilvl w:val="0"/>
          <w:numId w:val="6"/>
        </w:numPr>
        <w:bidi w:val="0"/>
        <w:ind w:firstLine="0"/>
        <w:rPr>
          <w:color w:val="auto"/>
          <w:highlight w:val="none"/>
        </w:rPr>
      </w:pPr>
      <w:r>
        <w:rPr>
          <w:color w:val="auto"/>
          <w:highlight w:val="none"/>
        </w:rPr>
        <w:t>投标文件构成：</w:t>
      </w:r>
    </w:p>
    <w:p w14:paraId="563C9779">
      <w:pPr>
        <w:numPr>
          <w:ilvl w:val="0"/>
          <w:numId w:val="0"/>
        </w:numPr>
        <w:bidi w:val="0"/>
        <w:ind w:leftChars="0" w:firstLine="420" w:firstLineChars="0"/>
        <w:rPr>
          <w:rFonts w:hint="eastAsia" w:eastAsia="仿宋"/>
          <w:color w:val="auto"/>
          <w:highlight w:val="none"/>
          <w:lang w:eastAsia="zh-CN"/>
        </w:rPr>
      </w:pPr>
      <w:r>
        <w:rPr>
          <w:color w:val="auto"/>
          <w:highlight w:val="none"/>
        </w:rPr>
        <w:t>8.1投标文件分为商务部分和技术部分。商务部分是供应商提交的证明其具有合格的投标资格和中标后有能力履行合同的文件。技术部分是能够证明供应商所提供货物和服务的合格性和符合招标文件规定的文件。</w:t>
      </w:r>
    </w:p>
    <w:p w14:paraId="0F14BE79">
      <w:pPr>
        <w:numPr>
          <w:ilvl w:val="0"/>
          <w:numId w:val="0"/>
        </w:numPr>
        <w:bidi w:val="0"/>
        <w:ind w:leftChars="0" w:firstLine="420" w:firstLineChars="0"/>
        <w:rPr>
          <w:rFonts w:hint="eastAsia" w:eastAsia="仿宋"/>
          <w:color w:val="auto"/>
          <w:highlight w:val="none"/>
          <w:lang w:eastAsia="zh-CN"/>
        </w:rPr>
      </w:pPr>
      <w:r>
        <w:rPr>
          <w:color w:val="auto"/>
          <w:highlight w:val="none"/>
        </w:rPr>
        <w:t>8.2供应商应提交本招标文件第六章《投标文件构成、要求及格式》规定的全部商务文件和技术文件，若有缺失、无效或者不符合招标文件要求，将导致其投标被拒绝。</w:t>
      </w:r>
    </w:p>
    <w:p w14:paraId="73525EE2">
      <w:pPr>
        <w:numPr>
          <w:ilvl w:val="0"/>
          <w:numId w:val="0"/>
        </w:numPr>
        <w:bidi w:val="0"/>
        <w:ind w:leftChars="0" w:firstLine="420" w:firstLineChars="0"/>
        <w:rPr>
          <w:rFonts w:hint="eastAsia" w:eastAsia="仿宋"/>
          <w:color w:val="auto"/>
          <w:highlight w:val="none"/>
          <w:lang w:eastAsia="zh-CN"/>
        </w:rPr>
      </w:pPr>
      <w:r>
        <w:rPr>
          <w:color w:val="auto"/>
          <w:highlight w:val="none"/>
        </w:rPr>
        <w:t>8.3第二章《供应商须知》第11条要求提交的投标保证金。</w:t>
      </w:r>
    </w:p>
    <w:p w14:paraId="1BC60B17">
      <w:pPr>
        <w:numPr>
          <w:ilvl w:val="0"/>
          <w:numId w:val="6"/>
        </w:numPr>
        <w:bidi w:val="0"/>
        <w:ind w:firstLine="0"/>
        <w:rPr>
          <w:color w:val="auto"/>
          <w:highlight w:val="none"/>
        </w:rPr>
      </w:pPr>
      <w:r>
        <w:rPr>
          <w:color w:val="auto"/>
          <w:highlight w:val="none"/>
        </w:rPr>
        <w:t>投标文件的编制：</w:t>
      </w:r>
    </w:p>
    <w:p w14:paraId="570A9605">
      <w:pPr>
        <w:numPr>
          <w:ilvl w:val="0"/>
          <w:numId w:val="0"/>
        </w:numPr>
        <w:bidi w:val="0"/>
        <w:ind w:leftChars="0" w:firstLine="420" w:firstLineChars="0"/>
        <w:rPr>
          <w:color w:val="auto"/>
          <w:highlight w:val="none"/>
        </w:rPr>
      </w:pPr>
      <w:r>
        <w:rPr>
          <w:color w:val="auto"/>
          <w:highlight w:val="none"/>
        </w:rPr>
        <w:t>9.1投标语言：投标文件以及供应商与采购人就有关投标的来往函电均使用中文。</w:t>
      </w:r>
    </w:p>
    <w:p w14:paraId="68CE145E">
      <w:pPr>
        <w:numPr>
          <w:ilvl w:val="0"/>
          <w:numId w:val="0"/>
        </w:numPr>
        <w:bidi w:val="0"/>
        <w:ind w:leftChars="0" w:firstLine="420" w:firstLineChars="0"/>
        <w:rPr>
          <w:rFonts w:hint="eastAsia" w:eastAsia="仿宋"/>
          <w:color w:val="auto"/>
          <w:highlight w:val="none"/>
          <w:lang w:eastAsia="zh-CN"/>
        </w:rPr>
      </w:pPr>
      <w:r>
        <w:rPr>
          <w:color w:val="auto"/>
          <w:highlight w:val="none"/>
        </w:rPr>
        <w:t>9.2计量单位：中华人民共和国法定计量单位。</w:t>
      </w:r>
    </w:p>
    <w:p w14:paraId="1751941D">
      <w:pPr>
        <w:numPr>
          <w:ilvl w:val="0"/>
          <w:numId w:val="0"/>
        </w:numPr>
        <w:bidi w:val="0"/>
        <w:ind w:leftChars="0" w:firstLine="420" w:firstLineChars="0"/>
        <w:rPr>
          <w:rFonts w:hint="eastAsia" w:eastAsia="仿宋"/>
          <w:color w:val="auto"/>
          <w:highlight w:val="none"/>
          <w:lang w:eastAsia="zh-CN"/>
        </w:rPr>
      </w:pPr>
      <w:r>
        <w:rPr>
          <w:color w:val="auto"/>
          <w:highlight w:val="none"/>
        </w:rPr>
        <w:t>9.3投标文件规格应采用A4幅面，打印，按照招标文件规定的顺序，统一编目编码装订。为便于评标，技术文件中的各项表格应按照招标文件第六章规定的格式制作。</w:t>
      </w:r>
    </w:p>
    <w:p w14:paraId="78CC9F53">
      <w:pPr>
        <w:numPr>
          <w:ilvl w:val="0"/>
          <w:numId w:val="0"/>
        </w:numPr>
        <w:bidi w:val="0"/>
        <w:ind w:leftChars="0" w:firstLine="420" w:firstLineChars="0"/>
        <w:rPr>
          <w:rFonts w:hint="eastAsia" w:eastAsia="仿宋"/>
          <w:color w:val="auto"/>
          <w:highlight w:val="none"/>
          <w:lang w:eastAsia="zh-CN"/>
        </w:rPr>
      </w:pPr>
      <w:r>
        <w:rPr>
          <w:color w:val="auto"/>
          <w:highlight w:val="none"/>
        </w:rPr>
        <w:t>9.4供应商在投标文件以及在投标、谈判、合同签订、履行过程中所签署的相关文件中所加盖的公章，均须按照招标文件的规定加盖与供应商名称全称相一致的标准公章，不得使用彩喷或者彩印的印章，否则将被视为无效。</w:t>
      </w:r>
    </w:p>
    <w:p w14:paraId="6B4D8DA9">
      <w:pPr>
        <w:numPr>
          <w:ilvl w:val="0"/>
          <w:numId w:val="0"/>
        </w:numPr>
        <w:bidi w:val="0"/>
        <w:ind w:leftChars="0" w:firstLine="420" w:firstLineChars="0"/>
        <w:rPr>
          <w:rFonts w:hint="eastAsia" w:eastAsia="仿宋"/>
          <w:color w:val="auto"/>
          <w:highlight w:val="none"/>
          <w:lang w:eastAsia="zh-CN"/>
        </w:rPr>
      </w:pPr>
      <w:r>
        <w:rPr>
          <w:color w:val="auto"/>
          <w:highlight w:val="none"/>
        </w:rPr>
        <w:t>9.5采购人不接受采用传真方式提交的投标文件。</w:t>
      </w:r>
    </w:p>
    <w:p w14:paraId="7219D46C">
      <w:pPr>
        <w:numPr>
          <w:ilvl w:val="0"/>
          <w:numId w:val="6"/>
        </w:numPr>
        <w:bidi w:val="0"/>
        <w:ind w:firstLine="0"/>
        <w:rPr>
          <w:color w:val="auto"/>
          <w:highlight w:val="none"/>
        </w:rPr>
      </w:pPr>
      <w:r>
        <w:rPr>
          <w:color w:val="auto"/>
          <w:highlight w:val="none"/>
        </w:rPr>
        <w:t>投标报价：</w:t>
      </w:r>
    </w:p>
    <w:p w14:paraId="14CAF2E3">
      <w:pPr>
        <w:numPr>
          <w:ilvl w:val="0"/>
          <w:numId w:val="0"/>
        </w:numPr>
        <w:bidi w:val="0"/>
        <w:ind w:leftChars="0" w:firstLine="420" w:firstLineChars="0"/>
        <w:rPr>
          <w:rFonts w:hint="eastAsia" w:eastAsia="仿宋"/>
          <w:color w:val="auto"/>
          <w:highlight w:val="none"/>
          <w:lang w:eastAsia="zh-CN"/>
        </w:rPr>
      </w:pPr>
      <w:r>
        <w:rPr>
          <w:color w:val="auto"/>
          <w:highlight w:val="none"/>
        </w:rPr>
        <w:t>10.1投标货币：所有投标报价均以人民币元为计算单位。</w:t>
      </w:r>
    </w:p>
    <w:p w14:paraId="1CA3F7AF">
      <w:pPr>
        <w:numPr>
          <w:ilvl w:val="0"/>
          <w:numId w:val="0"/>
        </w:numPr>
        <w:bidi w:val="0"/>
        <w:ind w:leftChars="0" w:firstLine="420" w:firstLineChars="0"/>
        <w:rPr>
          <w:rFonts w:hint="eastAsia" w:eastAsia="仿宋"/>
          <w:color w:val="auto"/>
          <w:highlight w:val="none"/>
          <w:lang w:eastAsia="zh-CN"/>
        </w:rPr>
      </w:pPr>
      <w:r>
        <w:rPr>
          <w:color w:val="auto"/>
          <w:highlight w:val="none"/>
        </w:rPr>
        <w:t>10.2供应商应一次性报出投标货物的单价，每种货物只允许有一个报价，任何有选择的报价将不予接受。供应商所报价格应为在本招标文件指定地点交货、由供应商负责安装调试、验收合格并交付的全部价格。</w:t>
      </w:r>
    </w:p>
    <w:p w14:paraId="684324BC">
      <w:pPr>
        <w:numPr>
          <w:ilvl w:val="0"/>
          <w:numId w:val="0"/>
        </w:numPr>
        <w:bidi w:val="0"/>
        <w:ind w:leftChars="0" w:firstLine="420" w:firstLineChars="0"/>
        <w:rPr>
          <w:rFonts w:hint="eastAsia" w:eastAsia="仿宋"/>
          <w:color w:val="auto"/>
          <w:highlight w:val="none"/>
          <w:lang w:eastAsia="zh-CN"/>
        </w:rPr>
      </w:pPr>
      <w:r>
        <w:rPr>
          <w:color w:val="auto"/>
          <w:highlight w:val="none"/>
        </w:rPr>
        <w:t>10.3供应商所报的价格在合同执行过程中是固定不变的，不得以任何理由予以变更。以可调整的价格提交的投标将作为非响应性投标予以拒绝。</w:t>
      </w:r>
    </w:p>
    <w:p w14:paraId="2E073FE2">
      <w:pPr>
        <w:numPr>
          <w:ilvl w:val="0"/>
          <w:numId w:val="0"/>
        </w:numPr>
        <w:bidi w:val="0"/>
        <w:ind w:leftChars="0" w:firstLine="420" w:firstLineChars="0"/>
        <w:rPr>
          <w:rFonts w:hint="eastAsia" w:eastAsia="仿宋"/>
          <w:color w:val="auto"/>
          <w:highlight w:val="none"/>
          <w:lang w:eastAsia="zh-CN"/>
        </w:rPr>
      </w:pPr>
      <w:r>
        <w:rPr>
          <w:color w:val="auto"/>
          <w:highlight w:val="none"/>
        </w:rPr>
        <w:t>10.4最低报价不能作为中标的保证。</w:t>
      </w:r>
    </w:p>
    <w:p w14:paraId="32FD8133">
      <w:pPr>
        <w:numPr>
          <w:ilvl w:val="0"/>
          <w:numId w:val="6"/>
        </w:numPr>
        <w:bidi w:val="0"/>
        <w:ind w:firstLine="0"/>
        <w:rPr>
          <w:color w:val="auto"/>
          <w:highlight w:val="none"/>
        </w:rPr>
      </w:pPr>
      <w:r>
        <w:rPr>
          <w:color w:val="auto"/>
          <w:highlight w:val="none"/>
        </w:rPr>
        <w:t>投标保证金：</w:t>
      </w:r>
    </w:p>
    <w:p w14:paraId="257FDFD0">
      <w:pPr>
        <w:numPr>
          <w:ilvl w:val="0"/>
          <w:numId w:val="0"/>
        </w:numPr>
        <w:bidi w:val="0"/>
        <w:ind w:leftChars="0" w:firstLine="420" w:firstLineChars="0"/>
        <w:rPr>
          <w:rFonts w:hint="eastAsia" w:eastAsia="仿宋"/>
          <w:color w:val="auto"/>
          <w:highlight w:val="none"/>
          <w:lang w:eastAsia="zh-CN"/>
        </w:rPr>
      </w:pPr>
      <w:r>
        <w:rPr>
          <w:color w:val="auto"/>
          <w:highlight w:val="none"/>
        </w:rPr>
        <w:t>11.1供应商应向采购人提交相应的投标保证金。供应商须按照《招标公告》标明的采购人帐户名称、开户银行和帐号，在投标截止时间之前将投标保证金足额汇入（存入）采购人帐户，并必须携带汇款银行出具的汇款（存款）凭证（进帐单复印件加盖供应商公章或财务章）参加开标会并领取收据。采购人特别声明：投标保证金必须以银行电汇、电子保函等形式在投标截止时间前汇入招标代理机构指定的账户，应从基本账户转出。银行电汇单据复印件及基本账户开户许可证复印件应放入投标文件中。详见投标人须知</w:t>
      </w:r>
    </w:p>
    <w:p w14:paraId="1A12B392">
      <w:pPr>
        <w:numPr>
          <w:ilvl w:val="0"/>
          <w:numId w:val="0"/>
        </w:numPr>
        <w:bidi w:val="0"/>
        <w:ind w:leftChars="0" w:firstLine="420" w:firstLineChars="0"/>
        <w:rPr>
          <w:rFonts w:hint="eastAsia" w:eastAsia="仿宋"/>
          <w:color w:val="auto"/>
          <w:highlight w:val="none"/>
          <w:lang w:eastAsia="zh-CN"/>
        </w:rPr>
      </w:pPr>
      <w:r>
        <w:rPr>
          <w:color w:val="auto"/>
          <w:highlight w:val="none"/>
        </w:rPr>
        <w:t>11.2投标保证金是为了弥补采购人因供应商的违规行为而蒙受的损失。采购人在因供应商的违规行为而受到损害时，将不予退还供应商的投标保证金，并作为所受损害的补偿。</w:t>
      </w:r>
    </w:p>
    <w:p w14:paraId="1417FD35">
      <w:pPr>
        <w:numPr>
          <w:ilvl w:val="0"/>
          <w:numId w:val="0"/>
        </w:numPr>
        <w:bidi w:val="0"/>
        <w:ind w:leftChars="0" w:firstLine="420" w:firstLineChars="0"/>
        <w:rPr>
          <w:rFonts w:hint="eastAsia" w:eastAsia="仿宋"/>
          <w:color w:val="auto"/>
          <w:highlight w:val="none"/>
          <w:lang w:eastAsia="zh-CN"/>
        </w:rPr>
      </w:pPr>
      <w:r>
        <w:rPr>
          <w:color w:val="auto"/>
          <w:highlight w:val="none"/>
        </w:rPr>
        <w:t>11.3投标保证金是投标文件的一个组成部分。在开标时，凡没有按规定提交投标保证金的投标，将被视为非响应性投标予以拒绝。</w:t>
      </w:r>
    </w:p>
    <w:p w14:paraId="0AAF5659">
      <w:pPr>
        <w:numPr>
          <w:ilvl w:val="0"/>
          <w:numId w:val="0"/>
        </w:numPr>
        <w:bidi w:val="0"/>
        <w:ind w:leftChars="0" w:firstLine="420" w:firstLineChars="0"/>
        <w:rPr>
          <w:rFonts w:hint="eastAsia" w:eastAsia="仿宋"/>
          <w:color w:val="auto"/>
          <w:highlight w:val="none"/>
          <w:lang w:eastAsia="zh-CN"/>
        </w:rPr>
      </w:pPr>
      <w:r>
        <w:rPr>
          <w:color w:val="auto"/>
          <w:highlight w:val="none"/>
        </w:rPr>
        <w:t>11.4落标人的投标保证金将在中标通知书发出后5个工作日内退还，不计利息。</w:t>
      </w:r>
    </w:p>
    <w:p w14:paraId="28962DFF">
      <w:pPr>
        <w:numPr>
          <w:ilvl w:val="0"/>
          <w:numId w:val="0"/>
        </w:numPr>
        <w:bidi w:val="0"/>
        <w:ind w:leftChars="0" w:firstLine="420" w:firstLineChars="0"/>
        <w:rPr>
          <w:rFonts w:hint="eastAsia" w:eastAsia="仿宋"/>
          <w:color w:val="auto"/>
          <w:highlight w:val="none"/>
          <w:lang w:eastAsia="zh-CN"/>
        </w:rPr>
      </w:pPr>
      <w:r>
        <w:rPr>
          <w:color w:val="auto"/>
          <w:highlight w:val="none"/>
        </w:rPr>
        <w:t>11.5中标人的投标保证金，在中标人按本须知第21条规定签署合同，并按第22条规定交纳了履约保证金后5个工作日内退还，不计利息。</w:t>
      </w:r>
    </w:p>
    <w:p w14:paraId="230A83D4">
      <w:pPr>
        <w:numPr>
          <w:ilvl w:val="0"/>
          <w:numId w:val="0"/>
        </w:numPr>
        <w:bidi w:val="0"/>
        <w:ind w:leftChars="0" w:firstLine="420" w:firstLineChars="0"/>
        <w:rPr>
          <w:rFonts w:hint="eastAsia" w:eastAsia="仿宋"/>
          <w:color w:val="auto"/>
          <w:highlight w:val="none"/>
          <w:lang w:eastAsia="zh-CN"/>
        </w:rPr>
      </w:pPr>
      <w:r>
        <w:rPr>
          <w:color w:val="auto"/>
          <w:highlight w:val="none"/>
        </w:rPr>
        <w:t>11.6投标保证金将一律通过银行转帐方式退还。</w:t>
      </w:r>
    </w:p>
    <w:p w14:paraId="6E447769">
      <w:pPr>
        <w:numPr>
          <w:ilvl w:val="0"/>
          <w:numId w:val="0"/>
        </w:numPr>
        <w:bidi w:val="0"/>
        <w:ind w:leftChars="0" w:firstLine="420" w:firstLineChars="0"/>
        <w:rPr>
          <w:rFonts w:hint="eastAsia" w:eastAsia="仿宋"/>
          <w:color w:val="auto"/>
          <w:highlight w:val="none"/>
          <w:lang w:eastAsia="zh-CN"/>
        </w:rPr>
      </w:pPr>
      <w:r>
        <w:rPr>
          <w:color w:val="auto"/>
          <w:highlight w:val="none"/>
        </w:rPr>
        <w:t>11.7下列情况之一发生时，投标保证金将不予退还：</w:t>
      </w:r>
    </w:p>
    <w:p w14:paraId="6776DEB4">
      <w:pPr>
        <w:numPr>
          <w:ilvl w:val="0"/>
          <w:numId w:val="0"/>
        </w:numPr>
        <w:bidi w:val="0"/>
        <w:ind w:leftChars="0" w:firstLine="420" w:firstLineChars="0"/>
        <w:rPr>
          <w:rFonts w:hint="eastAsia" w:eastAsia="仿宋"/>
          <w:color w:val="auto"/>
          <w:highlight w:val="none"/>
          <w:lang w:eastAsia="zh-CN"/>
        </w:rPr>
      </w:pPr>
      <w:r>
        <w:rPr>
          <w:color w:val="auto"/>
          <w:highlight w:val="none"/>
        </w:rPr>
        <w:t>（1）供应商在招标文件规定的投标有效期内撤回其投标；</w:t>
      </w:r>
    </w:p>
    <w:p w14:paraId="5646CEB6">
      <w:pPr>
        <w:numPr>
          <w:ilvl w:val="0"/>
          <w:numId w:val="0"/>
        </w:numPr>
        <w:bidi w:val="0"/>
        <w:ind w:leftChars="0" w:firstLine="420" w:firstLineChars="0"/>
        <w:rPr>
          <w:rFonts w:hint="eastAsia" w:eastAsia="仿宋"/>
          <w:color w:val="auto"/>
          <w:highlight w:val="none"/>
          <w:lang w:eastAsia="zh-CN"/>
        </w:rPr>
      </w:pPr>
      <w:r>
        <w:rPr>
          <w:color w:val="auto"/>
          <w:highlight w:val="none"/>
        </w:rPr>
        <w:t>（2）中标人在规定期限内未能做到：a.按照本须知第21条规定签订合同；b.按照本须知第22条规定提交履约保证金。</w:t>
      </w:r>
    </w:p>
    <w:p w14:paraId="2923B243">
      <w:pPr>
        <w:numPr>
          <w:ilvl w:val="0"/>
          <w:numId w:val="0"/>
        </w:numPr>
        <w:bidi w:val="0"/>
        <w:ind w:leftChars="0" w:firstLine="420" w:firstLineChars="0"/>
        <w:rPr>
          <w:rFonts w:hint="eastAsia" w:eastAsia="仿宋"/>
          <w:color w:val="auto"/>
          <w:highlight w:val="none"/>
          <w:lang w:eastAsia="zh-CN"/>
        </w:rPr>
      </w:pPr>
      <w:r>
        <w:rPr>
          <w:color w:val="auto"/>
          <w:highlight w:val="none"/>
        </w:rPr>
        <w:t>（3）招标文件规定不予退还投标保证金的其他情形。</w:t>
      </w:r>
    </w:p>
    <w:p w14:paraId="3BFA7D63">
      <w:pPr>
        <w:numPr>
          <w:ilvl w:val="0"/>
          <w:numId w:val="0"/>
        </w:numPr>
        <w:bidi w:val="0"/>
        <w:ind w:leftChars="0" w:firstLine="420" w:firstLineChars="0"/>
        <w:rPr>
          <w:rFonts w:hint="eastAsia" w:eastAsia="仿宋"/>
          <w:color w:val="auto"/>
          <w:highlight w:val="none"/>
          <w:lang w:eastAsia="zh-CN"/>
        </w:rPr>
      </w:pPr>
      <w:r>
        <w:rPr>
          <w:color w:val="auto"/>
          <w:highlight w:val="none"/>
        </w:rPr>
        <w:t>11.8如投标保证金使用电子保函形式的，请务必仔细阅读公告及供应商须知前附表要求，若因未按照文件相关规定出具的，后果自负。</w:t>
      </w:r>
    </w:p>
    <w:p w14:paraId="0D549D5A">
      <w:pPr>
        <w:numPr>
          <w:ilvl w:val="0"/>
          <w:numId w:val="6"/>
        </w:numPr>
        <w:bidi w:val="0"/>
        <w:ind w:firstLine="0"/>
        <w:rPr>
          <w:color w:val="auto"/>
          <w:highlight w:val="none"/>
        </w:rPr>
      </w:pPr>
      <w:r>
        <w:rPr>
          <w:color w:val="auto"/>
          <w:highlight w:val="none"/>
        </w:rPr>
        <w:t>投标有效期：</w:t>
      </w:r>
    </w:p>
    <w:p w14:paraId="5180943D">
      <w:pPr>
        <w:numPr>
          <w:ilvl w:val="0"/>
          <w:numId w:val="0"/>
        </w:numPr>
        <w:bidi w:val="0"/>
        <w:ind w:leftChars="0" w:firstLine="420" w:firstLineChars="0"/>
        <w:rPr>
          <w:rFonts w:hint="eastAsia" w:eastAsia="仿宋"/>
          <w:color w:val="auto"/>
          <w:highlight w:val="none"/>
          <w:lang w:eastAsia="zh-CN"/>
        </w:rPr>
      </w:pPr>
      <w:r>
        <w:rPr>
          <w:color w:val="auto"/>
          <w:highlight w:val="none"/>
        </w:rPr>
        <w:t>12.1投标有效期为自开标之时起90天。投标文件在这个规定期限内应保持有效。</w:t>
      </w:r>
    </w:p>
    <w:p w14:paraId="2C932CDE">
      <w:pPr>
        <w:numPr>
          <w:ilvl w:val="0"/>
          <w:numId w:val="0"/>
        </w:numPr>
        <w:bidi w:val="0"/>
        <w:ind w:leftChars="0" w:firstLine="420" w:firstLineChars="0"/>
        <w:rPr>
          <w:color w:val="auto"/>
          <w:highlight w:val="none"/>
        </w:rPr>
      </w:pPr>
      <w:r>
        <w:rPr>
          <w:color w:val="auto"/>
          <w:highlight w:val="none"/>
        </w:rPr>
        <w:t>12.2在特殊情况下，采购人可与供应商协商延长投标有效期。这种要求和答复都应以书面形式进行。供应商可以拒绝接受延期要求而不会被没收投标保证金。同意延长投标有效期的供应商除按照采购人要求修改投标文件的有效期外，不能修改投标文件的其他内容。</w:t>
      </w:r>
    </w:p>
    <w:p w14:paraId="3EB15485">
      <w:pPr>
        <w:numPr>
          <w:ilvl w:val="0"/>
          <w:numId w:val="0"/>
        </w:numPr>
        <w:bidi w:val="0"/>
        <w:ind w:leftChars="0" w:firstLine="420" w:firstLineChars="0"/>
        <w:rPr>
          <w:rFonts w:hint="eastAsia" w:eastAsia="仿宋"/>
          <w:color w:val="auto"/>
          <w:highlight w:val="none"/>
          <w:lang w:eastAsia="zh-CN"/>
        </w:rPr>
      </w:pPr>
      <w:r>
        <w:rPr>
          <w:color w:val="auto"/>
          <w:highlight w:val="none"/>
        </w:rPr>
        <w:t>12.3中标人的投标文件有效期等同于合同履行期。</w:t>
      </w:r>
    </w:p>
    <w:p w14:paraId="77BE37FE">
      <w:pPr>
        <w:numPr>
          <w:ilvl w:val="0"/>
          <w:numId w:val="0"/>
        </w:numPr>
        <w:bidi w:val="0"/>
        <w:ind w:leftChars="0" w:firstLine="420" w:firstLineChars="0"/>
        <w:rPr>
          <w:rFonts w:hint="eastAsia" w:eastAsia="仿宋"/>
          <w:color w:val="auto"/>
          <w:highlight w:val="none"/>
          <w:lang w:eastAsia="zh-CN"/>
        </w:rPr>
      </w:pPr>
      <w:r>
        <w:rPr>
          <w:color w:val="auto"/>
          <w:highlight w:val="none"/>
        </w:rPr>
        <w:t>13.投标文件的式样和签署：</w:t>
      </w:r>
    </w:p>
    <w:p w14:paraId="71AFE58E">
      <w:pPr>
        <w:numPr>
          <w:ilvl w:val="0"/>
          <w:numId w:val="0"/>
        </w:numPr>
        <w:bidi w:val="0"/>
        <w:ind w:leftChars="0" w:firstLine="420" w:firstLineChars="0"/>
        <w:rPr>
          <w:rFonts w:hint="eastAsia" w:eastAsia="仿宋"/>
          <w:color w:val="auto"/>
          <w:highlight w:val="none"/>
          <w:lang w:eastAsia="zh-CN"/>
        </w:rPr>
      </w:pPr>
      <w:r>
        <w:rPr>
          <w:color w:val="auto"/>
          <w:highlight w:val="none"/>
        </w:rPr>
        <w:t>13.1投标文件需打印或用不褪色墨水书写。第六章《投标文件构成、要求及格式》中凡要求签署和加盖公章的，均须由供应商的法定代表人或其授权代理人手书签字和加盖供应商公章。投标文件由法定代表人签署的，须与其企业法人营业执照相符；由授权代理人签署的，须提交以书面形式出具的《法定代表人授权书》（按第六章规定的格式提交）。</w:t>
      </w:r>
    </w:p>
    <w:p w14:paraId="60FF223E">
      <w:pPr>
        <w:numPr>
          <w:ilvl w:val="0"/>
          <w:numId w:val="0"/>
        </w:numPr>
        <w:bidi w:val="0"/>
        <w:ind w:leftChars="0" w:firstLine="420" w:firstLineChars="0"/>
        <w:rPr>
          <w:rFonts w:hint="eastAsia" w:eastAsia="仿宋"/>
          <w:color w:val="auto"/>
          <w:highlight w:val="none"/>
          <w:lang w:eastAsia="zh-CN"/>
        </w:rPr>
      </w:pPr>
      <w:r>
        <w:rPr>
          <w:color w:val="auto"/>
          <w:highlight w:val="none"/>
        </w:rPr>
        <w:t>13.2投标文件中如有修改错漏处，应在修改处加盖供应商公章。</w:t>
      </w:r>
    </w:p>
    <w:p w14:paraId="7CAE8ACD">
      <w:pPr>
        <w:numPr>
          <w:ilvl w:val="0"/>
          <w:numId w:val="0"/>
        </w:numPr>
        <w:bidi w:val="0"/>
        <w:ind w:leftChars="0" w:firstLine="420" w:firstLineChars="0"/>
        <w:rPr>
          <w:rFonts w:hint="eastAsia" w:eastAsia="仿宋"/>
          <w:color w:val="auto"/>
          <w:highlight w:val="none"/>
          <w:lang w:eastAsia="zh-CN"/>
        </w:rPr>
      </w:pPr>
      <w:r>
        <w:rPr>
          <w:color w:val="auto"/>
          <w:highlight w:val="none"/>
        </w:rPr>
        <w:t>14.投标文件的修改和撤回：</w:t>
      </w:r>
    </w:p>
    <w:p w14:paraId="59E502A8">
      <w:pPr>
        <w:numPr>
          <w:ilvl w:val="0"/>
          <w:numId w:val="0"/>
        </w:numPr>
        <w:bidi w:val="0"/>
        <w:ind w:leftChars="0" w:firstLine="420" w:firstLineChars="0"/>
        <w:rPr>
          <w:color w:val="auto"/>
          <w:highlight w:val="none"/>
        </w:rPr>
      </w:pPr>
      <w:r>
        <w:rPr>
          <w:color w:val="auto"/>
          <w:highlight w:val="none"/>
        </w:rPr>
        <w:t>14.1供应商在递交投标文件后，可以修改或撤回其投标文件，但采购人必须在规定的投标截止时间之前收到供应商的修改或撤回的书面通知。</w:t>
      </w:r>
    </w:p>
    <w:p w14:paraId="5A89B86F">
      <w:pPr>
        <w:numPr>
          <w:ilvl w:val="0"/>
          <w:numId w:val="0"/>
        </w:numPr>
        <w:bidi w:val="0"/>
        <w:ind w:leftChars="0" w:firstLine="420" w:firstLineChars="0"/>
        <w:rPr>
          <w:rFonts w:hint="eastAsia" w:eastAsia="仿宋"/>
          <w:color w:val="auto"/>
          <w:highlight w:val="none"/>
          <w:lang w:eastAsia="zh-CN"/>
        </w:rPr>
      </w:pPr>
      <w:r>
        <w:rPr>
          <w:color w:val="auto"/>
          <w:highlight w:val="none"/>
        </w:rPr>
        <w:t>14.2供应商的修改或撤回通知书应按对投标文件的规定一样进行编制、密封、标记和递交，并标明“修改”或“撤回”字样。</w:t>
      </w:r>
    </w:p>
    <w:p w14:paraId="50E541CD">
      <w:pPr>
        <w:numPr>
          <w:ilvl w:val="0"/>
          <w:numId w:val="0"/>
        </w:numPr>
        <w:bidi w:val="0"/>
        <w:ind w:leftChars="0" w:firstLine="420" w:firstLineChars="0"/>
        <w:rPr>
          <w:rFonts w:hint="eastAsia" w:eastAsia="仿宋"/>
          <w:color w:val="auto"/>
          <w:highlight w:val="none"/>
          <w:lang w:eastAsia="zh-CN"/>
        </w:rPr>
      </w:pPr>
      <w:r>
        <w:rPr>
          <w:color w:val="auto"/>
          <w:highlight w:val="none"/>
        </w:rPr>
        <w:t>14.3在投标截止时间（开标时间）之后，供应商不得对其投标书做任何修改（包括开标一览表的内容）。</w:t>
      </w:r>
    </w:p>
    <w:p w14:paraId="1CCDFE1C">
      <w:pPr>
        <w:numPr>
          <w:ilvl w:val="0"/>
          <w:numId w:val="0"/>
        </w:numPr>
        <w:bidi w:val="0"/>
        <w:ind w:leftChars="0" w:firstLine="420" w:firstLineChars="0"/>
        <w:rPr>
          <w:rFonts w:hint="eastAsia" w:eastAsia="仿宋"/>
          <w:color w:val="auto"/>
          <w:highlight w:val="none"/>
          <w:lang w:eastAsia="zh-CN"/>
        </w:rPr>
      </w:pPr>
      <w:r>
        <w:rPr>
          <w:color w:val="auto"/>
          <w:highlight w:val="none"/>
        </w:rPr>
        <w:t>14.4从开标时间起，至投标有效期期满，供应商不得撤回其投标，否则，其投标保证金将不予退还。投标（此条本项目不适用，本项目采用远程不见面投标，相关规定详见前附表）</w:t>
      </w:r>
    </w:p>
    <w:p w14:paraId="48EC9A5F">
      <w:pPr>
        <w:numPr>
          <w:ilvl w:val="0"/>
          <w:numId w:val="0"/>
        </w:numPr>
        <w:bidi w:val="0"/>
        <w:ind w:leftChars="0" w:firstLine="420" w:firstLineChars="0"/>
        <w:rPr>
          <w:rFonts w:hint="eastAsia" w:eastAsia="仿宋"/>
          <w:color w:val="auto"/>
          <w:highlight w:val="none"/>
          <w:lang w:eastAsia="zh-CN"/>
        </w:rPr>
      </w:pPr>
      <w:r>
        <w:rPr>
          <w:color w:val="auto"/>
          <w:highlight w:val="none"/>
        </w:rPr>
        <w:t>15.密封：</w:t>
      </w:r>
    </w:p>
    <w:p w14:paraId="7A7D5680">
      <w:pPr>
        <w:numPr>
          <w:ilvl w:val="0"/>
          <w:numId w:val="0"/>
        </w:numPr>
        <w:bidi w:val="0"/>
        <w:ind w:leftChars="0" w:firstLine="420" w:firstLineChars="0"/>
        <w:rPr>
          <w:rFonts w:hint="eastAsia" w:eastAsia="仿宋"/>
          <w:color w:val="auto"/>
          <w:highlight w:val="none"/>
          <w:lang w:eastAsia="zh-CN"/>
        </w:rPr>
      </w:pPr>
      <w:r>
        <w:rPr>
          <w:color w:val="auto"/>
          <w:highlight w:val="none"/>
        </w:rPr>
        <w:t>15.1投标文件应按以下方法分别装袋密封：投标书正本单独包封、所有副本包封到一起，正副本不得再包封。开标一览表和电子版单独封装。封口处应加盖投标单位公章。封皮上写明招标编号、招标项目名称、投标人名称，并注明“投标人名称及地址、在年月日时分前不得开启”等字样，并有投标全权代表的签字及加盖投标单位公章。封皮样式见附件。供应商应将投标文件装订成册、密封，在信封上标明招标项目名称、项目编号、供应商名称、地址、联系方式和邮编，并在封口处加盖供应商公章，在《招标公告》规定的投标地点和投标截止时间前递交给采购人。如果供应商没有按照要求密封、标记，采购人对于供应商的误投、错投以及提前拆封概不负责。</w:t>
      </w:r>
    </w:p>
    <w:p w14:paraId="54E7F59E">
      <w:pPr>
        <w:numPr>
          <w:ilvl w:val="0"/>
          <w:numId w:val="0"/>
        </w:numPr>
        <w:bidi w:val="0"/>
        <w:ind w:leftChars="0" w:firstLine="420" w:firstLineChars="0"/>
        <w:rPr>
          <w:rFonts w:hint="eastAsia" w:eastAsia="仿宋"/>
          <w:color w:val="auto"/>
          <w:highlight w:val="none"/>
          <w:lang w:eastAsia="zh-CN"/>
        </w:rPr>
      </w:pPr>
      <w:r>
        <w:rPr>
          <w:color w:val="auto"/>
          <w:highlight w:val="none"/>
        </w:rPr>
        <w:t>15.2投标文件份数：供应商应提交投标文件正本1份、副本</w:t>
      </w:r>
      <w:r>
        <w:rPr>
          <w:rFonts w:hint="eastAsia"/>
          <w:color w:val="auto"/>
          <w:highlight w:val="none"/>
          <w:lang w:val="en-US" w:eastAsia="zh-CN"/>
        </w:rPr>
        <w:t>4</w:t>
      </w:r>
      <w:r>
        <w:rPr>
          <w:color w:val="auto"/>
          <w:highlight w:val="none"/>
        </w:rPr>
        <w:t>份(副本可以是正本的复印件，但应骑页加盖供应商公章)，并标明“正本”、“副本”字样，当正本与副本内容不一致时，以正本为准，电子版</w:t>
      </w:r>
      <w:r>
        <w:rPr>
          <w:rFonts w:hint="eastAsia"/>
          <w:color w:val="auto"/>
          <w:highlight w:val="none"/>
          <w:lang w:val="en-US" w:eastAsia="zh-CN"/>
        </w:rPr>
        <w:t>1</w:t>
      </w:r>
      <w:r>
        <w:rPr>
          <w:color w:val="auto"/>
          <w:highlight w:val="none"/>
        </w:rPr>
        <w:t>份（载体为U盘），内容与正本一致，单独密封，投标授权委托人需手持法人身份证明，被授权人委托书原件，被授权人身份证原件进行投标。</w:t>
      </w:r>
    </w:p>
    <w:p w14:paraId="4F1EE9E2">
      <w:pPr>
        <w:numPr>
          <w:ilvl w:val="0"/>
          <w:numId w:val="0"/>
        </w:numPr>
        <w:bidi w:val="0"/>
        <w:ind w:leftChars="0" w:firstLine="420" w:firstLineChars="0"/>
        <w:rPr>
          <w:rFonts w:hint="eastAsia" w:eastAsia="仿宋"/>
          <w:color w:val="auto"/>
          <w:highlight w:val="none"/>
          <w:lang w:eastAsia="zh-CN"/>
        </w:rPr>
      </w:pPr>
      <w:r>
        <w:rPr>
          <w:color w:val="auto"/>
          <w:highlight w:val="none"/>
        </w:rPr>
        <w:t>15.3供应商应按第六章《投标文件构成、要求及格式》中的格式和要求单独编制一份《开标一览表》，按照对投标文件同样的要求单独密封和标记，与投标文件同时递交。</w:t>
      </w:r>
    </w:p>
    <w:p w14:paraId="4A79FD38">
      <w:pPr>
        <w:numPr>
          <w:ilvl w:val="0"/>
          <w:numId w:val="0"/>
        </w:numPr>
        <w:bidi w:val="0"/>
        <w:ind w:leftChars="0" w:firstLine="420" w:firstLineChars="0"/>
        <w:rPr>
          <w:rFonts w:hint="eastAsia" w:eastAsia="仿宋"/>
          <w:color w:val="auto"/>
          <w:highlight w:val="none"/>
          <w:lang w:eastAsia="zh-CN"/>
        </w:rPr>
      </w:pPr>
      <w:r>
        <w:rPr>
          <w:color w:val="auto"/>
          <w:highlight w:val="none"/>
        </w:rPr>
        <w:t>15.4采购人将拒绝接受并原封退回在规定的投标截止时间以后递交的投标文件。</w:t>
      </w:r>
    </w:p>
    <w:p w14:paraId="7F81AD09">
      <w:pPr>
        <w:numPr>
          <w:ilvl w:val="0"/>
          <w:numId w:val="0"/>
        </w:numPr>
        <w:bidi w:val="0"/>
        <w:ind w:leftChars="0" w:firstLine="420" w:firstLineChars="0"/>
        <w:rPr>
          <w:rFonts w:hint="eastAsia" w:eastAsia="仿宋"/>
          <w:color w:val="auto"/>
          <w:highlight w:val="none"/>
          <w:lang w:eastAsia="zh-CN"/>
        </w:rPr>
      </w:pPr>
      <w:r>
        <w:rPr>
          <w:color w:val="auto"/>
          <w:highlight w:val="none"/>
        </w:rPr>
        <w:t>15.5首次招标投标截止时间结束后供应商不足三家的，可按本须知第19条规定办理。</w:t>
      </w:r>
    </w:p>
    <w:p w14:paraId="6CBC623C">
      <w:pPr>
        <w:numPr>
          <w:ilvl w:val="0"/>
          <w:numId w:val="0"/>
        </w:numPr>
        <w:bidi w:val="0"/>
        <w:ind w:leftChars="0" w:firstLine="420" w:firstLineChars="0"/>
        <w:rPr>
          <w:rFonts w:hint="eastAsia" w:eastAsia="仿宋"/>
          <w:color w:val="auto"/>
          <w:highlight w:val="none"/>
          <w:lang w:eastAsia="zh-CN"/>
        </w:rPr>
      </w:pPr>
      <w:r>
        <w:rPr>
          <w:color w:val="auto"/>
          <w:highlight w:val="none"/>
        </w:rPr>
        <w:t>15.6招标采购单位在任何时候发现供应商提交的投标文件内容有下列情形之一时，将给予废标、解除合同及赔偿损失，同时有权依法追究供应商的责任：</w:t>
      </w:r>
    </w:p>
    <w:p w14:paraId="3AEE9B94">
      <w:pPr>
        <w:numPr>
          <w:ilvl w:val="0"/>
          <w:numId w:val="0"/>
        </w:numPr>
        <w:bidi w:val="0"/>
        <w:ind w:leftChars="0" w:firstLine="420" w:firstLineChars="0"/>
        <w:rPr>
          <w:rFonts w:hint="eastAsia" w:eastAsia="仿宋"/>
          <w:color w:val="auto"/>
          <w:highlight w:val="none"/>
          <w:lang w:eastAsia="zh-CN"/>
        </w:rPr>
      </w:pPr>
      <w:r>
        <w:rPr>
          <w:color w:val="auto"/>
          <w:highlight w:val="none"/>
        </w:rPr>
        <w:t>15.6.1虚假的资料。</w:t>
      </w:r>
    </w:p>
    <w:p w14:paraId="65E10862">
      <w:pPr>
        <w:numPr>
          <w:ilvl w:val="0"/>
          <w:numId w:val="0"/>
        </w:numPr>
        <w:bidi w:val="0"/>
        <w:ind w:leftChars="0" w:firstLine="420" w:firstLineChars="0"/>
        <w:rPr>
          <w:color w:val="auto"/>
          <w:highlight w:val="none"/>
        </w:rPr>
      </w:pPr>
      <w:r>
        <w:rPr>
          <w:color w:val="auto"/>
          <w:highlight w:val="none"/>
        </w:rPr>
        <w:t>15.6.2在实质性方面失实。</w:t>
      </w:r>
    </w:p>
    <w:p w14:paraId="7A6D4A2A">
      <w:pPr>
        <w:numPr>
          <w:ilvl w:val="0"/>
          <w:numId w:val="0"/>
        </w:numPr>
        <w:bidi w:val="0"/>
        <w:ind w:leftChars="0" w:firstLine="420" w:firstLineChars="0"/>
        <w:rPr>
          <w:rFonts w:hint="eastAsia" w:eastAsia="仿宋"/>
          <w:color w:val="auto"/>
          <w:highlight w:val="none"/>
          <w:lang w:eastAsia="zh-CN"/>
        </w:rPr>
      </w:pPr>
      <w:r>
        <w:rPr>
          <w:color w:val="auto"/>
          <w:highlight w:val="none"/>
        </w:rPr>
        <w:t>16.开标：（此条本项目不适用，本项目采用远程不见面投标，相关规定详见前附表）</w:t>
      </w:r>
    </w:p>
    <w:p w14:paraId="67E1C03E">
      <w:pPr>
        <w:numPr>
          <w:ilvl w:val="0"/>
          <w:numId w:val="0"/>
        </w:numPr>
        <w:bidi w:val="0"/>
        <w:ind w:leftChars="0" w:firstLine="420" w:firstLineChars="0"/>
        <w:rPr>
          <w:rFonts w:hint="eastAsia" w:eastAsia="仿宋"/>
          <w:color w:val="auto"/>
          <w:highlight w:val="none"/>
          <w:lang w:eastAsia="zh-CN"/>
        </w:rPr>
      </w:pPr>
      <w:r>
        <w:rPr>
          <w:color w:val="auto"/>
          <w:highlight w:val="none"/>
        </w:rPr>
        <w:t>16.1采购人将在《招标公告》规定的时间和地点公开开标。供应商法定代表人或其授权代理人应参加并签名报到以证明其出席，并携带有效身份证件以备审查。</w:t>
      </w:r>
    </w:p>
    <w:p w14:paraId="29ECA79B">
      <w:pPr>
        <w:numPr>
          <w:ilvl w:val="0"/>
          <w:numId w:val="0"/>
        </w:numPr>
        <w:bidi w:val="0"/>
        <w:ind w:leftChars="0" w:firstLine="420" w:firstLineChars="0"/>
        <w:rPr>
          <w:rFonts w:hint="eastAsia" w:eastAsia="仿宋"/>
          <w:color w:val="auto"/>
          <w:highlight w:val="none"/>
          <w:lang w:eastAsia="zh-CN"/>
        </w:rPr>
      </w:pPr>
      <w:r>
        <w:rPr>
          <w:color w:val="auto"/>
          <w:highlight w:val="none"/>
        </w:rPr>
        <w:t>16.2开标会由采购人组织并主持。开标前，由监督人员和供应商代表检查投标文件的密封情况并当场宣布检查情况。</w:t>
      </w:r>
    </w:p>
    <w:p w14:paraId="5801FA7F">
      <w:pPr>
        <w:numPr>
          <w:ilvl w:val="0"/>
          <w:numId w:val="0"/>
        </w:numPr>
        <w:bidi w:val="0"/>
        <w:ind w:leftChars="0" w:firstLine="420" w:firstLineChars="0"/>
        <w:rPr>
          <w:rFonts w:hint="eastAsia" w:eastAsia="仿宋"/>
          <w:color w:val="auto"/>
          <w:highlight w:val="none"/>
          <w:lang w:eastAsia="zh-CN"/>
        </w:rPr>
      </w:pPr>
      <w:r>
        <w:rPr>
          <w:color w:val="auto"/>
          <w:highlight w:val="none"/>
        </w:rPr>
        <w:t>16.3开标时，采购人将按照供应商提交的“开标一览表”，当众宣读供应商名称、修改和撤回投标的通知、投标价格、交货时间、是否提交了投标保证金等内容。</w:t>
      </w:r>
    </w:p>
    <w:p w14:paraId="00E27790">
      <w:pPr>
        <w:numPr>
          <w:ilvl w:val="0"/>
          <w:numId w:val="0"/>
        </w:numPr>
        <w:bidi w:val="0"/>
        <w:ind w:leftChars="0" w:firstLine="420" w:firstLineChars="0"/>
        <w:rPr>
          <w:rFonts w:hint="eastAsia" w:eastAsia="仿宋"/>
          <w:color w:val="auto"/>
          <w:highlight w:val="none"/>
          <w:lang w:eastAsia="zh-CN"/>
        </w:rPr>
      </w:pPr>
      <w:r>
        <w:rPr>
          <w:color w:val="auto"/>
          <w:highlight w:val="none"/>
        </w:rPr>
        <w:t>16.4开标时未宣读的投标价格等实质性内容，评标时不予承认。</w:t>
      </w:r>
    </w:p>
    <w:p w14:paraId="7E6B379D">
      <w:pPr>
        <w:numPr>
          <w:ilvl w:val="0"/>
          <w:numId w:val="0"/>
        </w:numPr>
        <w:bidi w:val="0"/>
        <w:ind w:leftChars="0" w:firstLine="420" w:firstLineChars="0"/>
        <w:rPr>
          <w:rFonts w:hint="eastAsia" w:eastAsia="仿宋"/>
          <w:color w:val="auto"/>
          <w:highlight w:val="none"/>
          <w:lang w:eastAsia="zh-CN"/>
        </w:rPr>
      </w:pPr>
      <w:r>
        <w:rPr>
          <w:color w:val="auto"/>
          <w:highlight w:val="none"/>
        </w:rPr>
        <w:t>16.5按照供应商须知第14条的规定，提交了可接受的“撤回”通知的投标将不予开封。撤回的投标书将原封退回供应商。</w:t>
      </w:r>
    </w:p>
    <w:p w14:paraId="0A19C33F">
      <w:pPr>
        <w:numPr>
          <w:ilvl w:val="0"/>
          <w:numId w:val="0"/>
        </w:numPr>
        <w:bidi w:val="0"/>
        <w:ind w:leftChars="0" w:firstLine="420" w:firstLineChars="0"/>
        <w:rPr>
          <w:rFonts w:hint="eastAsia" w:eastAsia="仿宋"/>
          <w:color w:val="auto"/>
          <w:highlight w:val="none"/>
          <w:lang w:eastAsia="zh-CN"/>
        </w:rPr>
      </w:pPr>
      <w:r>
        <w:rPr>
          <w:color w:val="auto"/>
          <w:highlight w:val="none"/>
        </w:rPr>
        <w:t>16.6采购人将做开标记录，开标记录包括按本须知第16.3款的规定在开标时宣读的全部内容。开标记录将在开标后由监督人员和供应商代表签字确认。</w:t>
      </w:r>
    </w:p>
    <w:p w14:paraId="63E16D91">
      <w:pPr>
        <w:numPr>
          <w:ilvl w:val="0"/>
          <w:numId w:val="0"/>
        </w:numPr>
        <w:bidi w:val="0"/>
        <w:ind w:leftChars="0" w:firstLine="420" w:firstLineChars="0"/>
        <w:rPr>
          <w:rFonts w:hint="eastAsia" w:eastAsia="仿宋"/>
          <w:color w:val="auto"/>
          <w:highlight w:val="none"/>
          <w:lang w:eastAsia="zh-CN"/>
        </w:rPr>
      </w:pPr>
      <w:r>
        <w:rPr>
          <w:color w:val="auto"/>
          <w:highlight w:val="none"/>
        </w:rPr>
        <w:t>16.7开标时有下列情形之一的为无效投标：</w:t>
      </w:r>
    </w:p>
    <w:p w14:paraId="22EDF7AC">
      <w:pPr>
        <w:numPr>
          <w:ilvl w:val="0"/>
          <w:numId w:val="0"/>
        </w:numPr>
        <w:bidi w:val="0"/>
        <w:ind w:leftChars="0" w:firstLine="420" w:firstLineChars="0"/>
        <w:rPr>
          <w:rFonts w:hint="eastAsia" w:eastAsia="仿宋"/>
          <w:color w:val="auto"/>
          <w:highlight w:val="none"/>
          <w:lang w:eastAsia="zh-CN"/>
        </w:rPr>
      </w:pPr>
      <w:r>
        <w:rPr>
          <w:color w:val="auto"/>
          <w:highlight w:val="none"/>
        </w:rPr>
        <w:t>（1）投标文件在规定的投标截止时间以后送达的；</w:t>
      </w:r>
    </w:p>
    <w:p w14:paraId="0595BBA9">
      <w:pPr>
        <w:numPr>
          <w:ilvl w:val="0"/>
          <w:numId w:val="0"/>
        </w:numPr>
        <w:bidi w:val="0"/>
        <w:ind w:leftChars="0" w:firstLine="420" w:firstLineChars="0"/>
        <w:rPr>
          <w:rFonts w:hint="eastAsia" w:eastAsia="仿宋"/>
          <w:color w:val="auto"/>
          <w:highlight w:val="none"/>
          <w:lang w:eastAsia="zh-CN"/>
        </w:rPr>
      </w:pPr>
      <w:r>
        <w:rPr>
          <w:color w:val="auto"/>
          <w:highlight w:val="none"/>
        </w:rPr>
        <w:t>（2）未按招标文件规定提交投标保证金的；</w:t>
      </w:r>
    </w:p>
    <w:p w14:paraId="665AAE92">
      <w:pPr>
        <w:numPr>
          <w:ilvl w:val="0"/>
          <w:numId w:val="0"/>
        </w:numPr>
        <w:bidi w:val="0"/>
        <w:ind w:leftChars="0" w:firstLine="420" w:firstLineChars="0"/>
        <w:rPr>
          <w:rFonts w:hint="eastAsia" w:eastAsia="仿宋"/>
          <w:color w:val="auto"/>
          <w:highlight w:val="none"/>
          <w:lang w:eastAsia="zh-CN"/>
        </w:rPr>
      </w:pPr>
      <w:r>
        <w:rPr>
          <w:color w:val="auto"/>
          <w:highlight w:val="none"/>
        </w:rPr>
        <w:t>（3）投标文件未按招标文件规定</w:t>
      </w:r>
      <w:r>
        <w:rPr>
          <w:rFonts w:hint="eastAsia"/>
          <w:color w:val="auto"/>
          <w:highlight w:val="none"/>
          <w:lang w:val="en-US" w:eastAsia="zh-CN"/>
        </w:rPr>
        <w:t>解密</w:t>
      </w:r>
      <w:r>
        <w:rPr>
          <w:color w:val="auto"/>
          <w:highlight w:val="none"/>
        </w:rPr>
        <w:t>的；</w:t>
      </w:r>
    </w:p>
    <w:p w14:paraId="3A2CB88A">
      <w:pPr>
        <w:numPr>
          <w:ilvl w:val="0"/>
          <w:numId w:val="0"/>
        </w:numPr>
        <w:bidi w:val="0"/>
        <w:ind w:leftChars="0" w:firstLine="420" w:firstLineChars="0"/>
        <w:rPr>
          <w:rFonts w:hint="eastAsia" w:eastAsia="仿宋"/>
          <w:color w:val="auto"/>
          <w:highlight w:val="none"/>
          <w:lang w:eastAsia="zh-CN"/>
        </w:rPr>
      </w:pPr>
      <w:r>
        <w:rPr>
          <w:color w:val="auto"/>
          <w:highlight w:val="none"/>
        </w:rPr>
        <w:t>（4）</w:t>
      </w:r>
      <w:r>
        <w:rPr>
          <w:rFonts w:hint="eastAsia"/>
          <w:color w:val="auto"/>
          <w:highlight w:val="none"/>
          <w:lang w:val="en-US" w:eastAsia="zh-CN"/>
        </w:rPr>
        <w:t>投标文件中未提供履约合同承诺的(承诺在与采购人签订合同时绝不推诿，应承担相应责任，对完全响应合同作出承诺，并加盖公章及法定代表人签字，格式自拟）</w:t>
      </w:r>
      <w:r>
        <w:rPr>
          <w:color w:val="auto"/>
          <w:highlight w:val="none"/>
        </w:rPr>
        <w:t>；</w:t>
      </w:r>
    </w:p>
    <w:p w14:paraId="78AD0526">
      <w:pPr>
        <w:numPr>
          <w:ilvl w:val="0"/>
          <w:numId w:val="0"/>
        </w:numPr>
        <w:bidi w:val="0"/>
        <w:ind w:leftChars="0" w:firstLine="420" w:firstLineChars="0"/>
        <w:rPr>
          <w:rFonts w:hint="eastAsia" w:eastAsia="仿宋"/>
          <w:color w:val="auto"/>
          <w:highlight w:val="none"/>
          <w:lang w:eastAsia="zh-CN"/>
        </w:rPr>
      </w:pPr>
      <w:r>
        <w:rPr>
          <w:color w:val="auto"/>
          <w:highlight w:val="none"/>
        </w:rPr>
        <w:t>（5）招标文件规定开标时属于无效投标的其他情形。</w:t>
      </w:r>
    </w:p>
    <w:p w14:paraId="78D390A6">
      <w:pPr>
        <w:numPr>
          <w:ilvl w:val="0"/>
          <w:numId w:val="0"/>
        </w:numPr>
        <w:bidi w:val="0"/>
        <w:ind w:leftChars="0" w:firstLine="420" w:firstLineChars="0"/>
        <w:rPr>
          <w:rFonts w:hint="eastAsia" w:eastAsia="仿宋"/>
          <w:color w:val="auto"/>
          <w:highlight w:val="none"/>
          <w:lang w:eastAsia="zh-CN"/>
        </w:rPr>
      </w:pPr>
      <w:r>
        <w:rPr>
          <w:color w:val="auto"/>
          <w:highlight w:val="none"/>
        </w:rPr>
        <w:t>16.8开标时有下列情形之一的，采购人有权宣布本项目废标：</w:t>
      </w:r>
    </w:p>
    <w:p w14:paraId="519EA51E">
      <w:pPr>
        <w:numPr>
          <w:ilvl w:val="0"/>
          <w:numId w:val="0"/>
        </w:numPr>
        <w:bidi w:val="0"/>
        <w:ind w:leftChars="0" w:firstLine="420" w:firstLineChars="0"/>
        <w:rPr>
          <w:rFonts w:hint="eastAsia" w:eastAsia="仿宋"/>
          <w:color w:val="auto"/>
          <w:highlight w:val="none"/>
          <w:lang w:eastAsia="zh-CN"/>
        </w:rPr>
      </w:pPr>
      <w:r>
        <w:rPr>
          <w:color w:val="auto"/>
          <w:highlight w:val="none"/>
        </w:rPr>
        <w:t>（1）交货时间符合招标文件要求的供应商不足三家的；</w:t>
      </w:r>
    </w:p>
    <w:p w14:paraId="021CD1AB">
      <w:pPr>
        <w:numPr>
          <w:ilvl w:val="0"/>
          <w:numId w:val="0"/>
        </w:numPr>
        <w:bidi w:val="0"/>
        <w:ind w:leftChars="0" w:firstLine="420" w:firstLineChars="0"/>
        <w:rPr>
          <w:rFonts w:hint="eastAsia" w:eastAsia="仿宋"/>
          <w:color w:val="auto"/>
          <w:highlight w:val="none"/>
          <w:lang w:eastAsia="zh-CN"/>
        </w:rPr>
      </w:pPr>
      <w:r>
        <w:rPr>
          <w:color w:val="auto"/>
          <w:highlight w:val="none"/>
        </w:rPr>
        <w:t>（2）所有供应商的报价均超过采购项目预算，采购人不能支付的。</w:t>
      </w:r>
    </w:p>
    <w:p w14:paraId="2DD91756">
      <w:pPr>
        <w:numPr>
          <w:ilvl w:val="0"/>
          <w:numId w:val="0"/>
        </w:numPr>
        <w:bidi w:val="0"/>
        <w:ind w:leftChars="0" w:firstLine="420" w:firstLineChars="0"/>
        <w:rPr>
          <w:rFonts w:hint="eastAsia" w:eastAsia="仿宋"/>
          <w:color w:val="auto"/>
          <w:highlight w:val="none"/>
          <w:lang w:eastAsia="zh-CN"/>
        </w:rPr>
      </w:pPr>
      <w:r>
        <w:rPr>
          <w:color w:val="auto"/>
          <w:highlight w:val="none"/>
        </w:rPr>
        <w:t>17.评标过程的保密性：公开开标后，直至向中标的供应商授予合同时止，除按招标文件规定予以公开的评标结果外，凡与审查、澄清、评价和比较投标有关的资料以及授标意见等，均不得向供应商及与评标无关的其他人透露</w:t>
      </w:r>
      <w:r>
        <w:rPr>
          <w:rFonts w:hint="eastAsia"/>
          <w:color w:val="auto"/>
          <w:highlight w:val="none"/>
          <w:lang w:eastAsia="zh-CN"/>
        </w:rPr>
        <w:t>。</w:t>
      </w:r>
    </w:p>
    <w:p w14:paraId="40D26EBB">
      <w:pPr>
        <w:numPr>
          <w:ilvl w:val="0"/>
          <w:numId w:val="0"/>
        </w:numPr>
        <w:bidi w:val="0"/>
        <w:ind w:leftChars="0" w:firstLine="420" w:firstLineChars="0"/>
        <w:rPr>
          <w:rFonts w:hint="eastAsia" w:eastAsia="仿宋"/>
          <w:color w:val="auto"/>
          <w:highlight w:val="none"/>
          <w:lang w:eastAsia="zh-CN"/>
        </w:rPr>
      </w:pPr>
      <w:r>
        <w:rPr>
          <w:color w:val="auto"/>
          <w:highlight w:val="none"/>
        </w:rPr>
        <w:t>18.评标：</w:t>
      </w:r>
    </w:p>
    <w:p w14:paraId="3D1D2364">
      <w:pPr>
        <w:numPr>
          <w:ilvl w:val="0"/>
          <w:numId w:val="0"/>
        </w:numPr>
        <w:bidi w:val="0"/>
        <w:ind w:leftChars="0" w:firstLine="420" w:firstLineChars="0"/>
        <w:rPr>
          <w:rFonts w:hint="eastAsia" w:eastAsia="仿宋"/>
          <w:color w:val="auto"/>
          <w:highlight w:val="none"/>
          <w:lang w:eastAsia="zh-CN"/>
        </w:rPr>
      </w:pPr>
      <w:r>
        <w:rPr>
          <w:color w:val="auto"/>
          <w:highlight w:val="none"/>
        </w:rPr>
        <w:t>18.1评标工作由采购人负责组织，具体评标工作由采购人依法组建的评标委员会负责。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人只负责评标组织工作，不参加评标。</w:t>
      </w:r>
    </w:p>
    <w:p w14:paraId="1CE4FE85">
      <w:pPr>
        <w:numPr>
          <w:ilvl w:val="0"/>
          <w:numId w:val="0"/>
        </w:numPr>
        <w:bidi w:val="0"/>
        <w:ind w:leftChars="0" w:firstLine="420" w:firstLineChars="0"/>
        <w:rPr>
          <w:rFonts w:hint="eastAsia" w:eastAsia="仿宋"/>
          <w:color w:val="auto"/>
          <w:highlight w:val="none"/>
          <w:lang w:eastAsia="zh-CN"/>
        </w:rPr>
      </w:pPr>
      <w:r>
        <w:rPr>
          <w:color w:val="auto"/>
          <w:highlight w:val="none"/>
        </w:rPr>
        <w:t>18.2审查是否所有供应商的报价均超过采购预算：根据《中华人民共和国政府采购法》的规定，所有供应商的报价均超过采购预算，采购人不能支付的，应予否决处理。</w:t>
      </w:r>
    </w:p>
    <w:p w14:paraId="7A1569AB">
      <w:pPr>
        <w:numPr>
          <w:ilvl w:val="0"/>
          <w:numId w:val="0"/>
        </w:numPr>
        <w:bidi w:val="0"/>
        <w:ind w:leftChars="0" w:firstLine="420" w:firstLineChars="0"/>
        <w:rPr>
          <w:rFonts w:hint="eastAsia" w:eastAsia="仿宋"/>
          <w:color w:val="auto"/>
          <w:highlight w:val="none"/>
          <w:lang w:eastAsia="zh-CN"/>
        </w:rPr>
      </w:pPr>
      <w:r>
        <w:rPr>
          <w:color w:val="auto"/>
          <w:highlight w:val="none"/>
        </w:rPr>
        <w:t>18.3审查供应商是否存在串通投标行为：评标委员会发现供应商有下列情形之一的，将认定属于串通投标行为，相关供应商的投标应作废标处理。评标结束后，招标机构将以书面形式报告吉林市政府采购监督管理部门：</w:t>
      </w:r>
    </w:p>
    <w:p w14:paraId="6392CF20">
      <w:pPr>
        <w:numPr>
          <w:ilvl w:val="0"/>
          <w:numId w:val="0"/>
        </w:numPr>
        <w:bidi w:val="0"/>
        <w:ind w:leftChars="0" w:firstLine="420" w:firstLineChars="0"/>
        <w:rPr>
          <w:color w:val="auto"/>
          <w:highlight w:val="none"/>
        </w:rPr>
      </w:pPr>
      <w:r>
        <w:rPr>
          <w:color w:val="auto"/>
          <w:highlight w:val="none"/>
        </w:rPr>
        <w:t>（1）不同供应商的投标文件中错、漏之处相同的；</w:t>
      </w:r>
    </w:p>
    <w:p w14:paraId="43D8E952">
      <w:pPr>
        <w:numPr>
          <w:ilvl w:val="0"/>
          <w:numId w:val="0"/>
        </w:numPr>
        <w:bidi w:val="0"/>
        <w:ind w:leftChars="0" w:firstLine="420" w:firstLineChars="0"/>
        <w:rPr>
          <w:rFonts w:hint="eastAsia" w:eastAsia="仿宋"/>
          <w:color w:val="auto"/>
          <w:highlight w:val="none"/>
          <w:lang w:eastAsia="zh-CN"/>
        </w:rPr>
      </w:pPr>
      <w:r>
        <w:rPr>
          <w:color w:val="auto"/>
          <w:highlight w:val="none"/>
        </w:rPr>
        <w:t>（2）不同供应商的投标文件相互混装的，或者相互加盖了对方公章的，或者相互出现了对方法定代表人或者授权代理人签名的，或者相互书写了对方名称的；</w:t>
      </w:r>
    </w:p>
    <w:p w14:paraId="385A99A1">
      <w:pPr>
        <w:numPr>
          <w:ilvl w:val="0"/>
          <w:numId w:val="0"/>
        </w:numPr>
        <w:bidi w:val="0"/>
        <w:ind w:leftChars="0" w:firstLine="420" w:firstLineChars="0"/>
        <w:rPr>
          <w:rFonts w:hint="eastAsia" w:eastAsia="仿宋"/>
          <w:color w:val="auto"/>
          <w:highlight w:val="none"/>
          <w:lang w:eastAsia="zh-CN"/>
        </w:rPr>
      </w:pPr>
      <w:r>
        <w:rPr>
          <w:color w:val="auto"/>
          <w:highlight w:val="none"/>
        </w:rPr>
        <w:t>（3）一家供应商的投标文件中加盖了另一家供应商公章的；</w:t>
      </w:r>
    </w:p>
    <w:p w14:paraId="30854162">
      <w:pPr>
        <w:numPr>
          <w:ilvl w:val="0"/>
          <w:numId w:val="0"/>
        </w:numPr>
        <w:bidi w:val="0"/>
        <w:ind w:leftChars="0" w:firstLine="420" w:firstLineChars="0"/>
        <w:rPr>
          <w:rFonts w:hint="eastAsia" w:eastAsia="仿宋"/>
          <w:color w:val="auto"/>
          <w:highlight w:val="none"/>
          <w:lang w:eastAsia="zh-CN"/>
        </w:rPr>
      </w:pPr>
      <w:r>
        <w:rPr>
          <w:color w:val="auto"/>
          <w:highlight w:val="none"/>
        </w:rPr>
        <w:t>（4）不同供应商的投标文件中，项目成员出现同一人的；</w:t>
      </w:r>
    </w:p>
    <w:p w14:paraId="10315E9E">
      <w:pPr>
        <w:numPr>
          <w:ilvl w:val="0"/>
          <w:numId w:val="0"/>
        </w:numPr>
        <w:bidi w:val="0"/>
        <w:ind w:leftChars="0" w:firstLine="420" w:firstLineChars="0"/>
        <w:rPr>
          <w:rFonts w:hint="eastAsia" w:eastAsia="仿宋"/>
          <w:color w:val="auto"/>
          <w:highlight w:val="none"/>
          <w:lang w:eastAsia="zh-CN"/>
        </w:rPr>
      </w:pPr>
      <w:r>
        <w:rPr>
          <w:color w:val="auto"/>
          <w:highlight w:val="none"/>
        </w:rPr>
        <w:t>（5）不同供应商的投标文件的制作非正常一致的；</w:t>
      </w:r>
    </w:p>
    <w:p w14:paraId="2C1BF8E6">
      <w:pPr>
        <w:numPr>
          <w:ilvl w:val="0"/>
          <w:numId w:val="0"/>
        </w:numPr>
        <w:bidi w:val="0"/>
        <w:ind w:leftChars="0" w:firstLine="420" w:firstLineChars="0"/>
        <w:rPr>
          <w:rFonts w:hint="eastAsia" w:eastAsia="仿宋"/>
          <w:color w:val="auto"/>
          <w:highlight w:val="none"/>
          <w:lang w:eastAsia="zh-CN"/>
        </w:rPr>
      </w:pPr>
      <w:r>
        <w:rPr>
          <w:color w:val="auto"/>
          <w:highlight w:val="none"/>
        </w:rPr>
        <w:t>（6）不同供应商的投标文件中相关内容的段落、字句、售后服务电话、联系人姓名等非正常一致的；</w:t>
      </w:r>
    </w:p>
    <w:p w14:paraId="7EA0662F">
      <w:pPr>
        <w:numPr>
          <w:ilvl w:val="0"/>
          <w:numId w:val="0"/>
        </w:numPr>
        <w:bidi w:val="0"/>
        <w:ind w:leftChars="0" w:firstLine="420" w:firstLineChars="0"/>
        <w:rPr>
          <w:rFonts w:hint="eastAsia" w:eastAsia="仿宋"/>
          <w:color w:val="auto"/>
          <w:highlight w:val="none"/>
          <w:lang w:eastAsia="zh-CN"/>
        </w:rPr>
      </w:pPr>
      <w:r>
        <w:rPr>
          <w:color w:val="auto"/>
          <w:highlight w:val="none"/>
        </w:rPr>
        <w:t>（7）一家供应商的投标文件中装订了标有另一家供应商名称的文件材料，或者出现了另一家法定代表人或者授予代理人签名的，其投标作废标处理；</w:t>
      </w:r>
    </w:p>
    <w:p w14:paraId="7F4C4B57">
      <w:pPr>
        <w:numPr>
          <w:ilvl w:val="0"/>
          <w:numId w:val="0"/>
        </w:numPr>
        <w:bidi w:val="0"/>
        <w:ind w:leftChars="0" w:firstLine="420" w:firstLineChars="0"/>
        <w:rPr>
          <w:rFonts w:hint="eastAsia" w:eastAsia="仿宋"/>
          <w:color w:val="auto"/>
          <w:highlight w:val="none"/>
          <w:lang w:eastAsia="zh-CN"/>
        </w:rPr>
      </w:pPr>
      <w:r>
        <w:rPr>
          <w:color w:val="auto"/>
          <w:highlight w:val="none"/>
        </w:rPr>
        <w:t>（8）不同供应商的投标文件由同一供应商或者同一个人编制的；</w:t>
      </w:r>
    </w:p>
    <w:p w14:paraId="5DB87E5F">
      <w:pPr>
        <w:numPr>
          <w:ilvl w:val="0"/>
          <w:numId w:val="0"/>
        </w:numPr>
        <w:bidi w:val="0"/>
        <w:ind w:leftChars="0" w:firstLine="420" w:firstLineChars="0"/>
        <w:rPr>
          <w:rFonts w:hint="eastAsia" w:eastAsia="仿宋"/>
          <w:color w:val="auto"/>
          <w:highlight w:val="none"/>
          <w:lang w:eastAsia="zh-CN"/>
        </w:rPr>
      </w:pPr>
      <w:r>
        <w:rPr>
          <w:color w:val="auto"/>
          <w:highlight w:val="none"/>
        </w:rPr>
        <w:t>（9）《关于禁止串通招标投标行为的暂行规定》（国家工商行政管理局令第82号）第三条规定的串通投标行为；</w:t>
      </w:r>
    </w:p>
    <w:p w14:paraId="177194FC">
      <w:pPr>
        <w:numPr>
          <w:ilvl w:val="0"/>
          <w:numId w:val="0"/>
        </w:numPr>
        <w:bidi w:val="0"/>
        <w:ind w:leftChars="0" w:firstLine="420" w:firstLineChars="0"/>
        <w:rPr>
          <w:rFonts w:hint="eastAsia" w:eastAsia="仿宋"/>
          <w:color w:val="auto"/>
          <w:highlight w:val="none"/>
          <w:lang w:eastAsia="zh-CN"/>
        </w:rPr>
      </w:pPr>
      <w:r>
        <w:rPr>
          <w:color w:val="auto"/>
          <w:highlight w:val="none"/>
        </w:rPr>
        <w:t>（10）供应商串通投标的其他情形。</w:t>
      </w:r>
    </w:p>
    <w:p w14:paraId="0E78AC41">
      <w:pPr>
        <w:numPr>
          <w:ilvl w:val="0"/>
          <w:numId w:val="0"/>
        </w:numPr>
        <w:bidi w:val="0"/>
        <w:ind w:leftChars="0" w:firstLine="420" w:firstLineChars="0"/>
        <w:rPr>
          <w:rFonts w:hint="eastAsia" w:eastAsia="仿宋"/>
          <w:color w:val="auto"/>
          <w:highlight w:val="none"/>
          <w:lang w:eastAsia="zh-CN"/>
        </w:rPr>
      </w:pPr>
      <w:r>
        <w:rPr>
          <w:color w:val="auto"/>
          <w:highlight w:val="none"/>
        </w:rPr>
        <w:t>18.4对投标文件商务部分（供应商资格）进行审查：评标委员会将审查每个供应商提交的商务文件是否齐全完整，是否合法有效，是否有重大偏离和保留，是否符合招标文件要求。商务（供应商资格）审查不符合招标文件要求的投标文件将被拒绝。</w:t>
      </w:r>
    </w:p>
    <w:p w14:paraId="3DDDD6AC">
      <w:pPr>
        <w:numPr>
          <w:ilvl w:val="0"/>
          <w:numId w:val="0"/>
        </w:numPr>
        <w:bidi w:val="0"/>
        <w:ind w:leftChars="0" w:firstLine="420" w:firstLineChars="0"/>
        <w:rPr>
          <w:rFonts w:hint="eastAsia" w:eastAsia="仿宋"/>
          <w:color w:val="auto"/>
          <w:highlight w:val="none"/>
          <w:lang w:eastAsia="zh-CN"/>
        </w:rPr>
      </w:pPr>
      <w:r>
        <w:rPr>
          <w:color w:val="auto"/>
          <w:highlight w:val="none"/>
        </w:rPr>
        <w:t>18.5对投标文件技术部分（符合性）进行审查：</w:t>
      </w:r>
    </w:p>
    <w:p w14:paraId="445344B9">
      <w:pPr>
        <w:numPr>
          <w:ilvl w:val="0"/>
          <w:numId w:val="0"/>
        </w:numPr>
        <w:bidi w:val="0"/>
        <w:ind w:leftChars="0" w:firstLine="420" w:firstLineChars="0"/>
        <w:rPr>
          <w:rFonts w:hint="eastAsia" w:eastAsia="仿宋"/>
          <w:color w:val="auto"/>
          <w:highlight w:val="none"/>
          <w:lang w:eastAsia="zh-CN"/>
        </w:rPr>
      </w:pPr>
      <w:r>
        <w:rPr>
          <w:color w:val="auto"/>
          <w:highlight w:val="none"/>
        </w:rPr>
        <w:t>18.5.1对于商务审查合格的供应商，评标委员会将审查其投标文件技术部分是否对招标文件规定的事项、格式、条款和技术规格等要求都做出了实质性响应。</w:t>
      </w:r>
    </w:p>
    <w:p w14:paraId="61BDBAA3">
      <w:pPr>
        <w:numPr>
          <w:ilvl w:val="0"/>
          <w:numId w:val="0"/>
        </w:numPr>
        <w:bidi w:val="0"/>
        <w:ind w:leftChars="0" w:firstLine="420" w:firstLineChars="0"/>
        <w:rPr>
          <w:rFonts w:hint="eastAsia" w:eastAsia="仿宋"/>
          <w:color w:val="auto"/>
          <w:highlight w:val="none"/>
          <w:lang w:eastAsia="zh-CN"/>
        </w:rPr>
      </w:pPr>
      <w:r>
        <w:rPr>
          <w:color w:val="auto"/>
          <w:highlight w:val="none"/>
        </w:rPr>
        <w:t>18.5.2实质性响应的投标是指与招标文件规定的事项、条款、条件和技术规格相符，没有重大偏离和保留。没有实质性响应招标文件要求的投标将被拒绝。</w:t>
      </w:r>
    </w:p>
    <w:p w14:paraId="7840E46E">
      <w:pPr>
        <w:numPr>
          <w:ilvl w:val="0"/>
          <w:numId w:val="0"/>
        </w:numPr>
        <w:bidi w:val="0"/>
        <w:ind w:leftChars="0" w:firstLine="420" w:firstLineChars="0"/>
        <w:rPr>
          <w:rFonts w:hint="eastAsia" w:eastAsia="仿宋"/>
          <w:color w:val="auto"/>
          <w:highlight w:val="none"/>
          <w:lang w:eastAsia="zh-CN"/>
        </w:rPr>
      </w:pPr>
      <w:r>
        <w:rPr>
          <w:color w:val="auto"/>
          <w:highlight w:val="none"/>
        </w:rPr>
        <w:t>18.6重大偏离和保留是指实质上影响合同的供货范围、质量和性能，或者实质上限制了合同中采购人的权利或供应商的义务。投标文件有下列情形之一的属于重大偏离和保留，将作废标处理：</w:t>
      </w:r>
    </w:p>
    <w:p w14:paraId="7BDE5732">
      <w:pPr>
        <w:numPr>
          <w:ilvl w:val="0"/>
          <w:numId w:val="0"/>
        </w:numPr>
        <w:bidi w:val="0"/>
        <w:ind w:leftChars="0" w:firstLine="420" w:firstLineChars="0"/>
        <w:rPr>
          <w:rFonts w:hint="eastAsia" w:eastAsia="仿宋"/>
          <w:color w:val="auto"/>
          <w:highlight w:val="none"/>
          <w:lang w:eastAsia="zh-CN"/>
        </w:rPr>
      </w:pPr>
      <w:r>
        <w:rPr>
          <w:color w:val="auto"/>
          <w:highlight w:val="none"/>
        </w:rPr>
        <w:t>（1）供应商未按招标文件规定提交所要求提交的全部文件或者提交的文件无效或者不符合招标文件的规定；</w:t>
      </w:r>
    </w:p>
    <w:p w14:paraId="61141CB6">
      <w:pPr>
        <w:numPr>
          <w:ilvl w:val="0"/>
          <w:numId w:val="0"/>
        </w:numPr>
        <w:bidi w:val="0"/>
        <w:ind w:leftChars="0" w:firstLine="420" w:firstLineChars="0"/>
        <w:rPr>
          <w:rFonts w:hint="eastAsia" w:eastAsia="仿宋"/>
          <w:color w:val="auto"/>
          <w:highlight w:val="none"/>
          <w:lang w:eastAsia="zh-CN"/>
        </w:rPr>
      </w:pPr>
      <w:r>
        <w:rPr>
          <w:color w:val="auto"/>
          <w:highlight w:val="none"/>
        </w:rPr>
        <w:t>（2）投标文件未按招标文件的规定有效签署和加盖公章；</w:t>
      </w:r>
    </w:p>
    <w:p w14:paraId="3C257355">
      <w:pPr>
        <w:numPr>
          <w:ilvl w:val="0"/>
          <w:numId w:val="0"/>
        </w:numPr>
        <w:bidi w:val="0"/>
        <w:ind w:leftChars="0" w:firstLine="420" w:firstLineChars="0"/>
        <w:rPr>
          <w:rFonts w:hint="eastAsia" w:eastAsia="仿宋"/>
          <w:color w:val="auto"/>
          <w:highlight w:val="none"/>
          <w:lang w:eastAsia="zh-CN"/>
        </w:rPr>
      </w:pPr>
      <w:r>
        <w:rPr>
          <w:color w:val="auto"/>
          <w:highlight w:val="none"/>
        </w:rPr>
        <w:t>（3）投标文件载明的项目完成期限超过招标文件规定的期限；</w:t>
      </w:r>
    </w:p>
    <w:p w14:paraId="633CF7D4">
      <w:pPr>
        <w:numPr>
          <w:ilvl w:val="0"/>
          <w:numId w:val="0"/>
        </w:numPr>
        <w:bidi w:val="0"/>
        <w:ind w:leftChars="0" w:firstLine="420" w:firstLineChars="0"/>
        <w:rPr>
          <w:rFonts w:hint="eastAsia" w:eastAsia="仿宋"/>
          <w:color w:val="auto"/>
          <w:highlight w:val="none"/>
          <w:lang w:eastAsia="zh-CN"/>
        </w:rPr>
      </w:pPr>
      <w:r>
        <w:rPr>
          <w:color w:val="auto"/>
          <w:highlight w:val="none"/>
        </w:rPr>
        <w:t>（4）投标文件明显不符合招标文件规定的技术规格、技术标准要求；</w:t>
      </w:r>
    </w:p>
    <w:p w14:paraId="177E37F6">
      <w:pPr>
        <w:numPr>
          <w:ilvl w:val="0"/>
          <w:numId w:val="0"/>
        </w:numPr>
        <w:bidi w:val="0"/>
        <w:ind w:leftChars="0" w:firstLine="420" w:firstLineChars="0"/>
        <w:rPr>
          <w:rFonts w:hint="eastAsia" w:eastAsia="仿宋"/>
          <w:color w:val="auto"/>
          <w:highlight w:val="none"/>
          <w:lang w:eastAsia="zh-CN"/>
        </w:rPr>
      </w:pPr>
      <w:r>
        <w:rPr>
          <w:color w:val="auto"/>
          <w:highlight w:val="none"/>
        </w:rPr>
        <w:t>（5）投标文件载明的货物包装方式、检验方法和标准等不符合招标文件要求；</w:t>
      </w:r>
    </w:p>
    <w:p w14:paraId="0AA2E3E1">
      <w:pPr>
        <w:numPr>
          <w:ilvl w:val="0"/>
          <w:numId w:val="0"/>
        </w:numPr>
        <w:bidi w:val="0"/>
        <w:ind w:leftChars="0" w:firstLine="420" w:firstLineChars="0"/>
        <w:rPr>
          <w:rFonts w:hint="eastAsia" w:eastAsia="仿宋"/>
          <w:color w:val="auto"/>
          <w:highlight w:val="none"/>
          <w:lang w:eastAsia="zh-CN"/>
        </w:rPr>
      </w:pPr>
      <w:r>
        <w:rPr>
          <w:color w:val="auto"/>
          <w:highlight w:val="none"/>
        </w:rPr>
        <w:t>（6）投标文件附有采购人不能接受的条件；</w:t>
      </w:r>
    </w:p>
    <w:p w14:paraId="725EF48D">
      <w:pPr>
        <w:numPr>
          <w:ilvl w:val="0"/>
          <w:numId w:val="0"/>
        </w:numPr>
        <w:bidi w:val="0"/>
        <w:ind w:leftChars="0" w:firstLine="420" w:firstLineChars="0"/>
        <w:rPr>
          <w:rFonts w:hint="eastAsia" w:eastAsia="仿宋"/>
          <w:color w:val="auto"/>
          <w:highlight w:val="none"/>
          <w:lang w:eastAsia="zh-CN"/>
        </w:rPr>
      </w:pPr>
      <w:r>
        <w:rPr>
          <w:color w:val="auto"/>
          <w:highlight w:val="none"/>
        </w:rPr>
        <w:t>（7）不符合招标文件规定的其他实质性要求。</w:t>
      </w:r>
    </w:p>
    <w:p w14:paraId="1A2F8F95">
      <w:pPr>
        <w:numPr>
          <w:ilvl w:val="0"/>
          <w:numId w:val="0"/>
        </w:numPr>
        <w:bidi w:val="0"/>
        <w:ind w:leftChars="0" w:firstLine="420" w:firstLineChars="0"/>
        <w:rPr>
          <w:rFonts w:hint="eastAsia" w:eastAsia="仿宋"/>
          <w:color w:val="auto"/>
          <w:highlight w:val="none"/>
          <w:lang w:eastAsia="zh-CN"/>
        </w:rPr>
      </w:pPr>
      <w:r>
        <w:rPr>
          <w:color w:val="auto"/>
          <w:highlight w:val="none"/>
        </w:rPr>
        <w:t>18.7评标委员会将允许修正投标文件中不构成重大偏离的细微偏离，但这些修正应不会对实质上响应招标文件要求的供应商的竞争地位（相互排序）产生不公正的影响。</w:t>
      </w:r>
    </w:p>
    <w:p w14:paraId="00D5AD9C">
      <w:pPr>
        <w:numPr>
          <w:ilvl w:val="0"/>
          <w:numId w:val="0"/>
        </w:numPr>
        <w:bidi w:val="0"/>
        <w:ind w:leftChars="0" w:firstLine="420" w:firstLineChars="0"/>
        <w:rPr>
          <w:rFonts w:hint="eastAsia" w:eastAsia="仿宋"/>
          <w:color w:val="auto"/>
          <w:highlight w:val="none"/>
          <w:lang w:eastAsia="zh-CN"/>
        </w:rPr>
      </w:pPr>
      <w:r>
        <w:rPr>
          <w:color w:val="auto"/>
          <w:highlight w:val="none"/>
        </w:rPr>
        <w:t>18.8评标委员会对投标文件的判定，只依据投标文件内容本身，不依据任何外来证明。</w:t>
      </w:r>
    </w:p>
    <w:p w14:paraId="4EDA960C">
      <w:pPr>
        <w:numPr>
          <w:ilvl w:val="0"/>
          <w:numId w:val="0"/>
        </w:numPr>
        <w:bidi w:val="0"/>
        <w:ind w:leftChars="0" w:firstLine="420" w:firstLineChars="0"/>
        <w:rPr>
          <w:rFonts w:hint="eastAsia" w:eastAsia="仿宋"/>
          <w:color w:val="auto"/>
          <w:highlight w:val="none"/>
          <w:lang w:eastAsia="zh-CN"/>
        </w:rPr>
      </w:pPr>
      <w:r>
        <w:rPr>
          <w:color w:val="auto"/>
          <w:highlight w:val="none"/>
        </w:rPr>
        <w:t>18.9投标报价的审查：评标委员会将对商务审查、技术审查合格的投标文件的报价进行审核，看其是否有计算和累加上的错误。修正错误的原则如下：投标报价以《开标一览表》的报价为准，《投标报价明细表》的报价与《开标一览表》的报价不一致的，供应商应按《开标一览表》的报价相应修改《投标报价明细表》的报价，并相应修改分项报价。按上述原则调整后的价格为评标价，经供应商法定代表人或授权代理人签字确认后对供应商具有约束力。如果供应商不按照上述原则修正其投标报价及分项报价，则其投标将被拒绝。</w:t>
      </w:r>
    </w:p>
    <w:p w14:paraId="3ECC6F38">
      <w:pPr>
        <w:numPr>
          <w:ilvl w:val="0"/>
          <w:numId w:val="0"/>
        </w:numPr>
        <w:bidi w:val="0"/>
        <w:ind w:leftChars="0" w:firstLine="420" w:firstLineChars="0"/>
        <w:rPr>
          <w:rFonts w:hint="eastAsia" w:eastAsia="仿宋"/>
          <w:color w:val="auto"/>
          <w:highlight w:val="none"/>
          <w:lang w:eastAsia="zh-CN"/>
        </w:rPr>
      </w:pPr>
      <w:r>
        <w:rPr>
          <w:color w:val="auto"/>
          <w:highlight w:val="none"/>
        </w:rPr>
        <w:t>18.10澄清：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接受细微偏离有利于采购成功，不应因细微偏离而废标。</w:t>
      </w:r>
    </w:p>
    <w:p w14:paraId="071BC865">
      <w:pPr>
        <w:numPr>
          <w:ilvl w:val="0"/>
          <w:numId w:val="0"/>
        </w:numPr>
        <w:bidi w:val="0"/>
        <w:ind w:leftChars="0" w:firstLine="420" w:firstLineChars="0"/>
        <w:rPr>
          <w:rFonts w:hint="eastAsia" w:eastAsia="仿宋"/>
          <w:color w:val="auto"/>
          <w:highlight w:val="none"/>
          <w:lang w:eastAsia="zh-CN"/>
        </w:rPr>
      </w:pPr>
      <w:r>
        <w:rPr>
          <w:color w:val="auto"/>
          <w:highlight w:val="none"/>
        </w:rPr>
        <w:t>19.首次招标因评标过程中出现符合专业条件的投标人或者对招标文件作实质性响应的投标人不足三家情形而否决投标，重新招标仍然出现前述情形的，以及竞争性</w:t>
      </w:r>
      <w:r>
        <w:rPr>
          <w:rFonts w:hint="eastAsia"/>
          <w:color w:val="auto"/>
          <w:highlight w:val="none"/>
          <w:lang w:val="en-US" w:eastAsia="zh-CN"/>
        </w:rPr>
        <w:t>磋商</w:t>
      </w:r>
      <w:r>
        <w:rPr>
          <w:color w:val="auto"/>
          <w:highlight w:val="none"/>
        </w:rPr>
        <w:t>、询价项目出现前述情形的，如果采购人需求紧急需要直接变更方式采购，经采购人代表现场提出，评标委员会专家成员和评标监督人员同意，可以在评标专家、采购人代表、评标监督人员、投标供应商授权代表以及采购中心或者采购代理机构工作人员同时在场的情况下直接变更采购方式继续采购，并按下述规定办理：</w:t>
      </w:r>
    </w:p>
    <w:p w14:paraId="71024415">
      <w:pPr>
        <w:numPr>
          <w:ilvl w:val="0"/>
          <w:numId w:val="0"/>
        </w:numPr>
        <w:bidi w:val="0"/>
        <w:ind w:leftChars="0" w:firstLine="420" w:firstLineChars="0"/>
        <w:rPr>
          <w:rFonts w:hint="eastAsia" w:eastAsia="仿宋"/>
          <w:color w:val="auto"/>
          <w:highlight w:val="none"/>
          <w:lang w:eastAsia="zh-CN"/>
        </w:rPr>
      </w:pPr>
      <w:r>
        <w:rPr>
          <w:color w:val="auto"/>
          <w:highlight w:val="none"/>
        </w:rPr>
        <w:t>（1）采用招标方式采购项目，重新招标出现前述情形的，如果有两家供应商投标或者经评审有两家合格投标供应商，可以直接变更为两家供应商招标或者向两家供应商询价采购。</w:t>
      </w:r>
    </w:p>
    <w:p w14:paraId="424FAA91">
      <w:pPr>
        <w:numPr>
          <w:ilvl w:val="0"/>
          <w:numId w:val="0"/>
        </w:numPr>
        <w:bidi w:val="0"/>
        <w:ind w:leftChars="0" w:firstLine="420" w:firstLineChars="0"/>
        <w:rPr>
          <w:rFonts w:hint="eastAsia" w:eastAsia="仿宋"/>
          <w:color w:val="auto"/>
          <w:highlight w:val="none"/>
          <w:lang w:eastAsia="zh-CN"/>
        </w:rPr>
      </w:pPr>
      <w:r>
        <w:rPr>
          <w:color w:val="auto"/>
          <w:highlight w:val="none"/>
        </w:rPr>
        <w:t>（2）采用</w:t>
      </w:r>
      <w:r>
        <w:rPr>
          <w:rFonts w:hint="eastAsia"/>
          <w:color w:val="auto"/>
          <w:highlight w:val="none"/>
          <w:lang w:eastAsia="zh-CN"/>
        </w:rPr>
        <w:t>公开招标</w:t>
      </w:r>
      <w:r>
        <w:rPr>
          <w:color w:val="auto"/>
          <w:highlight w:val="none"/>
        </w:rPr>
        <w:t>、询价方式采购的项目，出现前述情形的，如果有两家供应商投标或者经评审由两家合格投标供应商，原采购方式为</w:t>
      </w:r>
      <w:r>
        <w:rPr>
          <w:rFonts w:hint="eastAsia"/>
          <w:color w:val="auto"/>
          <w:highlight w:val="none"/>
          <w:lang w:eastAsia="zh-CN"/>
        </w:rPr>
        <w:t>公开招标</w:t>
      </w:r>
      <w:r>
        <w:rPr>
          <w:color w:val="auto"/>
          <w:highlight w:val="none"/>
        </w:rPr>
        <w:t>的，应当直接变更为两家供应商</w:t>
      </w:r>
      <w:r>
        <w:rPr>
          <w:rFonts w:hint="eastAsia"/>
          <w:color w:val="auto"/>
          <w:highlight w:val="none"/>
          <w:lang w:eastAsia="zh-CN"/>
        </w:rPr>
        <w:t>公开招标</w:t>
      </w:r>
      <w:r>
        <w:rPr>
          <w:color w:val="auto"/>
          <w:highlight w:val="none"/>
        </w:rPr>
        <w:t>；原采购方式为询价的，应当直接变更为两家供应商询价采购。</w:t>
      </w:r>
    </w:p>
    <w:p w14:paraId="7014C906">
      <w:pPr>
        <w:numPr>
          <w:ilvl w:val="0"/>
          <w:numId w:val="0"/>
        </w:numPr>
        <w:bidi w:val="0"/>
        <w:ind w:leftChars="0" w:firstLine="420" w:firstLineChars="0"/>
        <w:rPr>
          <w:rFonts w:hint="eastAsia" w:eastAsia="仿宋"/>
          <w:color w:val="auto"/>
          <w:highlight w:val="none"/>
          <w:lang w:eastAsia="zh-CN"/>
        </w:rPr>
      </w:pPr>
      <w:r>
        <w:rPr>
          <w:color w:val="auto"/>
          <w:highlight w:val="none"/>
        </w:rPr>
        <w:t>（3）只有1家供应商投标，或者经评审只有1家合格供应商的，不得直接变24更为单一来源方式采购。采购人需要变更为单一来源方式采购的，应当在否决投标后向采购办申请批准。</w:t>
      </w:r>
    </w:p>
    <w:p w14:paraId="455FB4C6">
      <w:pPr>
        <w:numPr>
          <w:ilvl w:val="0"/>
          <w:numId w:val="0"/>
        </w:numPr>
        <w:bidi w:val="0"/>
        <w:ind w:leftChars="0" w:firstLine="420" w:firstLineChars="0"/>
        <w:rPr>
          <w:rFonts w:hint="eastAsia" w:eastAsia="仿宋"/>
          <w:color w:val="auto"/>
          <w:highlight w:val="none"/>
          <w:lang w:eastAsia="zh-CN"/>
        </w:rPr>
      </w:pPr>
      <w:r>
        <w:rPr>
          <w:color w:val="auto"/>
          <w:highlight w:val="none"/>
        </w:rPr>
        <w:t>（4）招标失败后直接变更采购方式的项目，应当当场由评标专家、采购人代表、评标监督人员和相关投标供应商授权代表共同签署《招标失败后直接变更采购方式备忘录》。评标结束后，由采购中心或者采购代理机构将《招标失败后直接变更采购方式备忘录》和评标纪要（评标报告）包采购办备案。</w:t>
      </w:r>
    </w:p>
    <w:p w14:paraId="228A9DCA">
      <w:pPr>
        <w:numPr>
          <w:ilvl w:val="0"/>
          <w:numId w:val="0"/>
        </w:numPr>
        <w:bidi w:val="0"/>
        <w:ind w:leftChars="0" w:firstLine="420" w:firstLineChars="0"/>
        <w:rPr>
          <w:color w:val="auto"/>
          <w:highlight w:val="none"/>
        </w:rPr>
      </w:pPr>
      <w:r>
        <w:rPr>
          <w:color w:val="auto"/>
          <w:highlight w:val="none"/>
        </w:rPr>
        <w:t>（5）招标失败后直接变更采购方式的条件应在采购文件中事先申明。</w:t>
      </w:r>
    </w:p>
    <w:p w14:paraId="70FF1F5E">
      <w:pPr>
        <w:numPr>
          <w:ilvl w:val="0"/>
          <w:numId w:val="0"/>
        </w:numPr>
        <w:bidi w:val="0"/>
        <w:ind w:leftChars="0" w:firstLine="420" w:firstLineChars="0"/>
        <w:rPr>
          <w:rFonts w:hint="eastAsia" w:eastAsia="仿宋"/>
          <w:color w:val="auto"/>
          <w:highlight w:val="none"/>
          <w:lang w:eastAsia="zh-CN"/>
        </w:rPr>
      </w:pPr>
      <w:r>
        <w:rPr>
          <w:color w:val="auto"/>
          <w:highlight w:val="none"/>
        </w:rPr>
        <w:t>20.评标方法和标准：</w:t>
      </w:r>
    </w:p>
    <w:p w14:paraId="332CCE69">
      <w:pPr>
        <w:numPr>
          <w:ilvl w:val="0"/>
          <w:numId w:val="0"/>
        </w:numPr>
        <w:bidi w:val="0"/>
        <w:ind w:leftChars="0" w:firstLine="420" w:firstLineChars="0"/>
        <w:rPr>
          <w:rFonts w:hint="eastAsia" w:eastAsia="仿宋"/>
          <w:color w:val="auto"/>
          <w:highlight w:val="none"/>
          <w:lang w:eastAsia="zh-CN"/>
        </w:rPr>
      </w:pPr>
      <w:r>
        <w:rPr>
          <w:color w:val="auto"/>
          <w:highlight w:val="none"/>
        </w:rPr>
        <w:t>20.1评标委员会将只对商务（供应商资格）审查和技术（符合性）审查均符合招标文件要求的投标进行详细评审。</w:t>
      </w:r>
    </w:p>
    <w:p w14:paraId="44BAAA5D">
      <w:pPr>
        <w:numPr>
          <w:ilvl w:val="0"/>
          <w:numId w:val="0"/>
        </w:numPr>
        <w:bidi w:val="0"/>
        <w:ind w:leftChars="0" w:firstLine="420" w:firstLineChars="0"/>
        <w:rPr>
          <w:rFonts w:hint="eastAsia" w:eastAsia="仿宋"/>
          <w:color w:val="auto"/>
          <w:highlight w:val="none"/>
          <w:lang w:eastAsia="zh-CN"/>
        </w:rPr>
      </w:pPr>
      <w:r>
        <w:rPr>
          <w:color w:val="auto"/>
          <w:highlight w:val="none"/>
        </w:rPr>
        <w:t>20.2本项目采用综合评分法评标，评标委员会将按下述标准评定预中标人：按评审后供应商得分由高到低的顺序排列；得分相同的，按投标报价由低到高顺序排列；得分且投标报价相同的，按技术指标优劣顺序排列。</w:t>
      </w:r>
    </w:p>
    <w:p w14:paraId="58E40DD2">
      <w:pPr>
        <w:numPr>
          <w:ilvl w:val="0"/>
          <w:numId w:val="0"/>
        </w:numPr>
        <w:bidi w:val="0"/>
        <w:ind w:leftChars="0" w:firstLine="420" w:firstLineChars="0"/>
        <w:rPr>
          <w:color w:val="auto"/>
          <w:highlight w:val="none"/>
        </w:rPr>
      </w:pPr>
      <w:r>
        <w:rPr>
          <w:color w:val="auto"/>
          <w:highlight w:val="none"/>
        </w:rPr>
        <w:t>本项目不接受任何额外捐赠。评标委员会在评审时，将按下列规定计算价格扣除：1、对于供应商投标纳人财政部、国家发改委发布的《节能产品政府采购清单》的产品：</w:t>
      </w:r>
    </w:p>
    <w:p w14:paraId="7A781843">
      <w:pPr>
        <w:numPr>
          <w:ilvl w:val="0"/>
          <w:numId w:val="7"/>
        </w:numPr>
        <w:bidi w:val="0"/>
        <w:ind w:leftChars="0" w:firstLine="420" w:firstLineChars="0"/>
        <w:rPr>
          <w:color w:val="auto"/>
          <w:highlight w:val="none"/>
        </w:rPr>
      </w:pPr>
      <w:r>
        <w:rPr>
          <w:color w:val="auto"/>
          <w:highlight w:val="none"/>
        </w:rPr>
        <w:t>给予投标报价得分的3％的加分，采购项目或者分包中既包含节能产品也包含非节能产品的，只对纳入《节能产品政府采购清单》的产品按其在总报价中所占的比例给予价格分加分。</w:t>
      </w:r>
    </w:p>
    <w:p w14:paraId="2BA17E9A">
      <w:pPr>
        <w:numPr>
          <w:ilvl w:val="0"/>
          <w:numId w:val="7"/>
        </w:numPr>
        <w:bidi w:val="0"/>
        <w:ind w:leftChars="0" w:firstLine="420" w:firstLineChars="0"/>
        <w:rPr>
          <w:rFonts w:hint="eastAsia"/>
          <w:color w:val="auto"/>
          <w:highlight w:val="none"/>
          <w:lang w:val="zh-CN"/>
        </w:rPr>
      </w:pPr>
      <w:r>
        <w:rPr>
          <w:color w:val="auto"/>
          <w:highlight w:val="none"/>
        </w:rPr>
        <w:t>对于技术评分项目，给予技术评分得分的3％的加分。</w:t>
      </w:r>
    </w:p>
    <w:p w14:paraId="743B6512">
      <w:pPr>
        <w:numPr>
          <w:ilvl w:val="0"/>
          <w:numId w:val="0"/>
        </w:numPr>
        <w:bidi w:val="0"/>
        <w:ind w:left="420" w:leftChars="0"/>
        <w:rPr>
          <w:rFonts w:hint="eastAsia"/>
          <w:color w:val="auto"/>
          <w:highlight w:val="none"/>
          <w:lang w:val="zh-CN"/>
        </w:rPr>
      </w:pPr>
      <w:r>
        <w:rPr>
          <w:color w:val="auto"/>
          <w:highlight w:val="none"/>
        </w:rPr>
        <w:t>2、对于供应商投标纳入财政部、环保总局发布的《环境标志产品政府采购清单》的产品：</w:t>
      </w:r>
    </w:p>
    <w:p w14:paraId="77D58F49">
      <w:pPr>
        <w:numPr>
          <w:ilvl w:val="0"/>
          <w:numId w:val="8"/>
        </w:numPr>
        <w:bidi w:val="0"/>
        <w:ind w:leftChars="0" w:firstLine="420" w:firstLineChars="0"/>
        <w:rPr>
          <w:rFonts w:hint="eastAsia"/>
          <w:color w:val="auto"/>
          <w:highlight w:val="none"/>
          <w:lang w:val="zh-CN"/>
        </w:rPr>
      </w:pPr>
      <w:r>
        <w:rPr>
          <w:color w:val="auto"/>
          <w:highlight w:val="none"/>
        </w:rPr>
        <w:t>给予投标报价得分的3％的加分，采购项目或者分包中既包含环境标志产品也包含非环境标志产品的，只对纳入《环境标志产品政府采购清单》的产品按其在总报价中所占的比例给予价格分加分。</w:t>
      </w:r>
    </w:p>
    <w:p w14:paraId="6AC7366B">
      <w:pPr>
        <w:numPr>
          <w:ilvl w:val="0"/>
          <w:numId w:val="8"/>
        </w:numPr>
        <w:bidi w:val="0"/>
        <w:ind w:leftChars="0" w:firstLine="420" w:firstLineChars="0"/>
        <w:rPr>
          <w:rFonts w:hint="eastAsia"/>
          <w:color w:val="auto"/>
          <w:highlight w:val="none"/>
          <w:lang w:val="zh-CN"/>
        </w:rPr>
      </w:pPr>
      <w:r>
        <w:rPr>
          <w:color w:val="auto"/>
          <w:highlight w:val="none"/>
        </w:rPr>
        <w:t>对于技术评分项民给予技术评分得分的3％的加分。</w:t>
      </w:r>
    </w:p>
    <w:p w14:paraId="467B33AE">
      <w:pPr>
        <w:numPr>
          <w:ilvl w:val="0"/>
          <w:numId w:val="9"/>
        </w:numPr>
        <w:bidi w:val="0"/>
        <w:ind w:left="420" w:leftChars="0"/>
        <w:rPr>
          <w:color w:val="auto"/>
          <w:highlight w:val="none"/>
        </w:rPr>
      </w:pPr>
      <w:r>
        <w:rPr>
          <w:color w:val="auto"/>
          <w:highlight w:val="none"/>
        </w:rPr>
        <w:t>投标产品同时纳入《环境标志产品政府采购清单》、《节能产品政府采购清单》的，将上述规定的价格分加分比例和技术分加分比例分别叠加后计算价格分加分和技术分加分。</w:t>
      </w:r>
    </w:p>
    <w:p w14:paraId="1D09A6EB">
      <w:pPr>
        <w:numPr>
          <w:ilvl w:val="0"/>
          <w:numId w:val="9"/>
        </w:numPr>
        <w:bidi w:val="0"/>
        <w:ind w:left="420" w:leftChars="0"/>
        <w:rPr>
          <w:rFonts w:hint="eastAsia"/>
          <w:color w:val="auto"/>
          <w:highlight w:val="none"/>
          <w:lang w:val="zh-CN"/>
        </w:rPr>
      </w:pPr>
      <w:r>
        <w:rPr>
          <w:color w:val="auto"/>
          <w:highlight w:val="none"/>
        </w:rPr>
        <w:t>根据《政府采购促进中小企业发展暂行办法》（财库【2011】181号）的规定，对满足价格扣除条件且在投标文件中提交了《中小企业声明函》的供应商，其投标报价中由小型和微型企业制造的产品的报价扣除6%后参与评审。</w:t>
      </w:r>
    </w:p>
    <w:p w14:paraId="55434BDB">
      <w:pPr>
        <w:numPr>
          <w:ilvl w:val="0"/>
          <w:numId w:val="0"/>
        </w:numPr>
        <w:bidi w:val="0"/>
        <w:ind w:left="420" w:leftChars="0"/>
        <w:rPr>
          <w:rFonts w:hint="eastAsia" w:eastAsia="仿宋"/>
          <w:color w:val="auto"/>
          <w:highlight w:val="none"/>
          <w:lang w:eastAsia="zh-CN"/>
        </w:rPr>
      </w:pPr>
      <w:r>
        <w:rPr>
          <w:color w:val="auto"/>
          <w:highlight w:val="none"/>
        </w:rPr>
        <w:t>20.3预中标结果将在中国政府采购网及相关媒体上公示一个工作日，如果没有异议，预中标人确定为中标人。如果供应商对预中标结果有异议，应当在公示期内以书面形式向招标机构提出质疑。供应商的质疑事项应当具体、明确并提供事实依据。</w:t>
      </w:r>
    </w:p>
    <w:p w14:paraId="4032390E">
      <w:pPr>
        <w:numPr>
          <w:ilvl w:val="0"/>
          <w:numId w:val="10"/>
        </w:numPr>
        <w:bidi w:val="0"/>
        <w:ind w:left="420" w:leftChars="0"/>
        <w:rPr>
          <w:color w:val="auto"/>
          <w:highlight w:val="none"/>
        </w:rPr>
      </w:pPr>
      <w:r>
        <w:rPr>
          <w:color w:val="auto"/>
          <w:highlight w:val="none"/>
        </w:rPr>
        <w:t>签订合同：</w:t>
      </w:r>
    </w:p>
    <w:p w14:paraId="1B23009A">
      <w:pPr>
        <w:numPr>
          <w:ilvl w:val="0"/>
          <w:numId w:val="0"/>
        </w:numPr>
        <w:bidi w:val="0"/>
        <w:ind w:left="420" w:leftChars="0"/>
        <w:rPr>
          <w:rFonts w:hint="eastAsia" w:eastAsia="仿宋"/>
          <w:color w:val="auto"/>
          <w:highlight w:val="none"/>
          <w:lang w:eastAsia="zh-CN"/>
        </w:rPr>
      </w:pPr>
      <w:r>
        <w:rPr>
          <w:color w:val="auto"/>
          <w:highlight w:val="none"/>
        </w:rPr>
        <w:t>21.1采购人将在投标有效期期满之前向中标人发出《中标通知书》。中标通知书是合同的组成部分，对采购人和中标人均具有法律约束力。</w:t>
      </w:r>
    </w:p>
    <w:p w14:paraId="60D13464">
      <w:pPr>
        <w:numPr>
          <w:ilvl w:val="0"/>
          <w:numId w:val="0"/>
        </w:numPr>
        <w:bidi w:val="0"/>
        <w:ind w:left="420" w:leftChars="0"/>
        <w:rPr>
          <w:rFonts w:hint="eastAsia" w:eastAsia="仿宋"/>
          <w:color w:val="auto"/>
          <w:highlight w:val="none"/>
          <w:lang w:eastAsia="zh-CN"/>
        </w:rPr>
      </w:pPr>
      <w:r>
        <w:rPr>
          <w:color w:val="auto"/>
          <w:highlight w:val="none"/>
        </w:rPr>
        <w:t>21.2中标通知书发出后，采购人改变中标结果的，或者中标人放弃中标项目的，应当依法承担法律责任。</w:t>
      </w:r>
    </w:p>
    <w:p w14:paraId="230F2D0F">
      <w:pPr>
        <w:numPr>
          <w:ilvl w:val="0"/>
          <w:numId w:val="0"/>
        </w:numPr>
        <w:bidi w:val="0"/>
        <w:ind w:left="420" w:leftChars="0"/>
        <w:rPr>
          <w:rFonts w:hint="eastAsia" w:eastAsia="仿宋"/>
          <w:color w:val="auto"/>
          <w:highlight w:val="none"/>
          <w:lang w:eastAsia="zh-CN"/>
        </w:rPr>
      </w:pPr>
      <w:r>
        <w:rPr>
          <w:color w:val="auto"/>
          <w:highlight w:val="none"/>
        </w:rPr>
        <w:t>21.3中标人应按中标通知书规定的时间与采购人和采购人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14:paraId="03AFA2B8">
      <w:pPr>
        <w:numPr>
          <w:ilvl w:val="0"/>
          <w:numId w:val="0"/>
        </w:numPr>
        <w:bidi w:val="0"/>
        <w:ind w:left="420" w:leftChars="0"/>
        <w:rPr>
          <w:rFonts w:hint="eastAsia" w:eastAsia="仿宋"/>
          <w:color w:val="auto"/>
          <w:highlight w:val="none"/>
          <w:lang w:eastAsia="zh-CN"/>
        </w:rPr>
      </w:pPr>
      <w:r>
        <w:rPr>
          <w:color w:val="auto"/>
          <w:highlight w:val="none"/>
        </w:rPr>
        <w:t>21.4中标结果将在发布招标公告的媒体上公告，不再以书面方式通知落标人。</w:t>
      </w:r>
    </w:p>
    <w:p w14:paraId="1C3DDC08">
      <w:pPr>
        <w:numPr>
          <w:ilvl w:val="0"/>
          <w:numId w:val="10"/>
        </w:numPr>
        <w:bidi w:val="0"/>
        <w:ind w:left="420" w:leftChars="0" w:firstLine="0" w:firstLineChars="0"/>
        <w:rPr>
          <w:color w:val="auto"/>
          <w:highlight w:val="none"/>
        </w:rPr>
      </w:pPr>
      <w:r>
        <w:rPr>
          <w:color w:val="auto"/>
          <w:highlight w:val="none"/>
        </w:rPr>
        <w:t>保密和披露：</w:t>
      </w:r>
    </w:p>
    <w:p w14:paraId="2D7BB7A4">
      <w:pPr>
        <w:numPr>
          <w:ilvl w:val="0"/>
          <w:numId w:val="0"/>
        </w:numPr>
        <w:bidi w:val="0"/>
        <w:ind w:left="420" w:leftChars="0"/>
        <w:rPr>
          <w:rFonts w:hint="eastAsia" w:eastAsia="仿宋"/>
          <w:color w:val="auto"/>
          <w:highlight w:val="none"/>
          <w:lang w:eastAsia="zh-CN"/>
        </w:rPr>
      </w:pPr>
      <w:r>
        <w:rPr>
          <w:color w:val="auto"/>
          <w:highlight w:val="none"/>
        </w:rPr>
        <w:t>22.1采购人有权将供应商提供的所有资料向其他政府部门或有关的非政府机构负责评审标书的人员或与评标有关的人员披露。</w:t>
      </w:r>
    </w:p>
    <w:p w14:paraId="3C31AFF9">
      <w:pPr>
        <w:numPr>
          <w:ilvl w:val="0"/>
          <w:numId w:val="0"/>
        </w:numPr>
        <w:bidi w:val="0"/>
        <w:ind w:left="420" w:leftChars="0"/>
        <w:rPr>
          <w:color w:val="auto"/>
          <w:highlight w:val="none"/>
        </w:rPr>
      </w:pPr>
      <w:r>
        <w:rPr>
          <w:color w:val="auto"/>
          <w:highlight w:val="none"/>
        </w:rPr>
        <w:t>22.2在下列情形下：当发布中标公告和其它公告时，当国家机关调查、审查、审计时，以及在其他符合法律规定的情形下，采购人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14:paraId="15427B49">
      <w:pPr>
        <w:numPr>
          <w:ilvl w:val="0"/>
          <w:numId w:val="0"/>
        </w:numPr>
        <w:bidi w:val="0"/>
        <w:ind w:left="420" w:leftChars="0"/>
        <w:rPr>
          <w:rFonts w:hint="eastAsia" w:eastAsia="仿宋"/>
          <w:color w:val="auto"/>
          <w:highlight w:val="none"/>
          <w:lang w:eastAsia="zh-CN"/>
        </w:rPr>
      </w:pPr>
      <w:r>
        <w:rPr>
          <w:color w:val="auto"/>
          <w:highlight w:val="none"/>
        </w:rPr>
        <w:t>23履约保证金：除投标人须知前附表另有规定外，投标人应按照合同约定向采购人提交合同总价款5%的履约保证金，履约保证金期限一年。</w:t>
      </w:r>
    </w:p>
    <w:p w14:paraId="4A5E10DF">
      <w:pPr>
        <w:numPr>
          <w:ilvl w:val="0"/>
          <w:numId w:val="0"/>
        </w:numPr>
        <w:bidi w:val="0"/>
        <w:ind w:left="420" w:leftChars="0"/>
        <w:rPr>
          <w:rFonts w:hint="eastAsia" w:eastAsia="仿宋"/>
          <w:color w:val="auto"/>
          <w:highlight w:val="none"/>
          <w:lang w:eastAsia="zh-CN"/>
        </w:rPr>
      </w:pPr>
      <w:r>
        <w:rPr>
          <w:color w:val="auto"/>
          <w:highlight w:val="none"/>
        </w:rPr>
        <w:t>24招标代理服务费：</w:t>
      </w:r>
    </w:p>
    <w:p w14:paraId="0BA25459">
      <w:pPr>
        <w:numPr>
          <w:ilvl w:val="0"/>
          <w:numId w:val="0"/>
        </w:numPr>
        <w:bidi w:val="0"/>
        <w:ind w:left="420" w:leftChars="0"/>
        <w:rPr>
          <w:color w:val="auto"/>
          <w:highlight w:val="none"/>
        </w:rPr>
      </w:pPr>
      <w:r>
        <w:rPr>
          <w:color w:val="auto"/>
          <w:highlight w:val="none"/>
        </w:rPr>
        <w:t>24.1招标代理服务费的收取标准按发改价格[2015]299号文件的规定执行。</w:t>
      </w:r>
    </w:p>
    <w:p w14:paraId="1612645E">
      <w:pPr>
        <w:numPr>
          <w:ilvl w:val="0"/>
          <w:numId w:val="0"/>
        </w:numPr>
        <w:bidi w:val="0"/>
        <w:ind w:left="420" w:leftChars="0"/>
        <w:rPr>
          <w:rFonts w:hint="eastAsia" w:eastAsia="仿宋"/>
          <w:color w:val="auto"/>
          <w:highlight w:val="none"/>
          <w:lang w:eastAsia="zh-CN"/>
        </w:rPr>
      </w:pPr>
      <w:r>
        <w:rPr>
          <w:color w:val="auto"/>
          <w:highlight w:val="none"/>
        </w:rPr>
        <w:t>24.2招标方按国家规定向中标人收取招标代理服务费。招标代理服务费从中标人的投标保证金中扣除。</w:t>
      </w:r>
    </w:p>
    <w:p w14:paraId="0C70692D">
      <w:pPr>
        <w:numPr>
          <w:ilvl w:val="0"/>
          <w:numId w:val="0"/>
        </w:numPr>
        <w:bidi w:val="0"/>
        <w:ind w:left="420" w:leftChars="0"/>
        <w:rPr>
          <w:rFonts w:hint="eastAsia"/>
          <w:color w:val="auto"/>
          <w:highlight w:val="none"/>
          <w:lang w:val="zh-CN"/>
        </w:rPr>
      </w:pPr>
      <w:r>
        <w:rPr>
          <w:color w:val="auto"/>
          <w:highlight w:val="none"/>
        </w:rPr>
        <w:t>24.3详见供应商须知前附表</w:t>
      </w:r>
    </w:p>
    <w:p w14:paraId="07FF2CBC">
      <w:pPr>
        <w:pStyle w:val="35"/>
        <w:numPr>
          <w:ilvl w:val="0"/>
          <w:numId w:val="0"/>
        </w:numPr>
        <w:spacing w:line="360" w:lineRule="auto"/>
        <w:ind w:left="425" w:leftChars="0"/>
        <w:rPr>
          <w:rFonts w:hint="eastAsia" w:ascii="仿宋" w:hAnsi="仿宋" w:eastAsia="仿宋" w:cs="仿宋"/>
          <w:color w:val="auto"/>
          <w:sz w:val="24"/>
          <w:szCs w:val="24"/>
          <w:highlight w:val="none"/>
        </w:rPr>
      </w:pPr>
    </w:p>
    <w:p w14:paraId="7B823D80">
      <w:pPr>
        <w:widowControl/>
        <w:jc w:val="left"/>
        <w:rPr>
          <w:rFonts w:hint="eastAsia" w:ascii="仿宋" w:hAnsi="仿宋" w:eastAsia="仿宋" w:cs="仿宋"/>
          <w:b/>
          <w:color w:val="auto"/>
          <w:sz w:val="24"/>
          <w:szCs w:val="24"/>
          <w:highlight w:val="none"/>
        </w:rPr>
        <w:sectPr>
          <w:footerReference r:id="rId6" w:type="default"/>
          <w:pgSz w:w="11907" w:h="16840"/>
          <w:pgMar w:top="1440" w:right="1800" w:bottom="1440" w:left="1800" w:header="680" w:footer="907" w:gutter="0"/>
          <w:pgBorders>
            <w:top w:val="none" w:sz="0" w:space="0"/>
            <w:left w:val="none" w:sz="0" w:space="0"/>
            <w:bottom w:val="none" w:sz="0" w:space="0"/>
            <w:right w:val="none" w:sz="0" w:space="0"/>
          </w:pgBorders>
          <w:pgNumType w:fmt="decimal" w:start="1"/>
          <w:cols w:space="0" w:num="1"/>
          <w:rtlGutter w:val="0"/>
          <w:docGrid w:linePitch="271" w:charSpace="0"/>
        </w:sectPr>
      </w:pPr>
    </w:p>
    <w:p w14:paraId="4D0648AA">
      <w:pPr>
        <w:pStyle w:val="2"/>
        <w:bidi w:val="0"/>
        <w:rPr>
          <w:rFonts w:hint="eastAsia"/>
          <w:color w:val="auto"/>
          <w:highlight w:val="none"/>
        </w:rPr>
      </w:pPr>
      <w:bookmarkStart w:id="49" w:name="_Toc22778"/>
      <w:bookmarkStart w:id="50" w:name="_Toc27874"/>
      <w:r>
        <w:rPr>
          <w:rFonts w:hint="eastAsia"/>
          <w:color w:val="auto"/>
          <w:highlight w:val="none"/>
          <w:lang w:val="en-US" w:eastAsia="zh-CN"/>
        </w:rPr>
        <w:t>第三章</w:t>
      </w:r>
      <w:r>
        <w:rPr>
          <w:rFonts w:hint="eastAsia"/>
          <w:color w:val="auto"/>
          <w:highlight w:val="none"/>
        </w:rPr>
        <w:t>合同条款</w:t>
      </w:r>
      <w:bookmarkEnd w:id="40"/>
      <w:bookmarkEnd w:id="41"/>
      <w:bookmarkEnd w:id="42"/>
      <w:bookmarkEnd w:id="43"/>
      <w:bookmarkEnd w:id="44"/>
      <w:bookmarkEnd w:id="45"/>
      <w:bookmarkEnd w:id="46"/>
      <w:bookmarkEnd w:id="47"/>
      <w:bookmarkEnd w:id="48"/>
      <w:bookmarkEnd w:id="49"/>
      <w:bookmarkEnd w:id="50"/>
    </w:p>
    <w:p w14:paraId="45FAD2DE">
      <w:pPr>
        <w:numPr>
          <w:ilvl w:val="0"/>
          <w:numId w:val="0"/>
        </w:numPr>
        <w:bidi w:val="0"/>
        <w:ind w:firstLine="42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注：（此合同文本仅为通用参考合同文本，在确定中标人后，双方将对商务、技术、承诺等内容签订更加详细的内容，采购人保留对合同条款修改的权利。）</w:t>
      </w:r>
    </w:p>
    <w:p w14:paraId="36F8940B">
      <w:pPr>
        <w:bidi w:val="0"/>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1．定义：除非另有约定，在本合同下列术语按如下定义进行解释：</w:t>
      </w:r>
    </w:p>
    <w:p w14:paraId="0E7FD88E">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（1）“合同”指供需双方签署的、在合同中载明的合同各方所达成的协议，包括构成合同的所有附件、附录和其他文件。</w:t>
      </w:r>
    </w:p>
    <w:p w14:paraId="03DF9967">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（2）“附件、附录”指与本合同的订立、履行有关的，经供需双方认可的，对本合同约定内容进行细化、补充、修改、变更等的文件资料。</w:t>
      </w:r>
    </w:p>
    <w:p w14:paraId="363DF795">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（3）“合同价格”指根据合同规定供方正确地完全履行合同义务后需方应支付给供方的价格。</w:t>
      </w:r>
    </w:p>
    <w:p w14:paraId="2CB3CDCB">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（4）“货物”指根据合同规定供方须向需方提供的一切材料、设备、机械、仪表、备件、工具和/或其它材料。</w:t>
      </w:r>
    </w:p>
    <w:p w14:paraId="4D03D253">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（5）“服务”指根据合同规定供方承担的与供货和履行合同有关的辅助服务。</w:t>
      </w:r>
    </w:p>
    <w:p w14:paraId="3E97A8FF">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（6）“需方”指政府招标货物和服务的使用单位。</w:t>
      </w:r>
    </w:p>
    <w:p w14:paraId="4B9536F6">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（7）“供方”指按照合同规定向需方提供货物和服务的公司或实体。</w:t>
      </w:r>
    </w:p>
    <w:p w14:paraId="45A6F956">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（8）“第三方”指本合同以外的任何中国境内、境外的法人、自然人或其他组织。</w:t>
      </w:r>
    </w:p>
    <w:p w14:paraId="5EF88785">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（9）“日、天”均指日历天数。</w:t>
      </w:r>
    </w:p>
    <w:p w14:paraId="2DE8C22E">
      <w:pPr>
        <w:bidi w:val="0"/>
        <w:ind w:left="0" w:leftChars="0" w:firstLine="42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（10）“工作日”指扣除公休日和国家法定节假日以外的日历日。</w:t>
      </w:r>
    </w:p>
    <w:p w14:paraId="565F82CE">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2．合同标的：详见</w:t>
      </w:r>
      <w:r>
        <w:rPr>
          <w:rFonts w:hint="eastAsia" w:cs="仿宋"/>
          <w:color w:val="auto"/>
          <w:sz w:val="21"/>
          <w:szCs w:val="21"/>
          <w:highlight w:val="none"/>
          <w:lang w:val="en-US" w:eastAsia="zh-CN"/>
        </w:rPr>
        <w:t>招标文件</w:t>
      </w:r>
      <w:r>
        <w:rPr>
          <w:rFonts w:hint="eastAsia" w:ascii="仿宋" w:hAnsi="仿宋" w:eastAsia="仿宋" w:cs="仿宋"/>
          <w:color w:val="auto"/>
          <w:sz w:val="21"/>
          <w:szCs w:val="21"/>
          <w:highlight w:val="none"/>
          <w:lang w:val="en-US" w:eastAsia="zh-CN"/>
        </w:rPr>
        <w:t>“货物需求及要求”及供方的投标文件。未尽事宜在“集中采购合同书中”约定。</w:t>
      </w:r>
    </w:p>
    <w:p w14:paraId="688FAE03">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3．合同价格、交货时间及地点、交货方式、付款方式及条件：在“集中采购合同书”中约定。</w:t>
      </w:r>
    </w:p>
    <w:p w14:paraId="60859505">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4．知识产权及有关规定：供方应保证需方在使用本合同项下的货物或其任何一部分时免受第三方提出侵犯其知识产权、商标权或工业设计权的起诉。如果发生此类问题，供方应负责交涉并承担一切费用和责任。</w:t>
      </w:r>
    </w:p>
    <w:p w14:paraId="0A4D6A3D">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5．包装要求：除合同另有规定外，供方提供的全部货物均应按国家或行业标准进行包装。因包装出现问题导致货物毁损的,由供方向需方直接承担责任。每一个包装箱内应附一份详细的装箱单和质量合格证书。</w:t>
      </w:r>
    </w:p>
    <w:p w14:paraId="1770091C">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6．包装标志：每一包装箱应用不褪色的油漆以醒目的中文字样做出相关标记。</w:t>
      </w:r>
    </w:p>
    <w:p w14:paraId="103B8AE5">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7．伴随服务</w:t>
      </w:r>
    </w:p>
    <w:p w14:paraId="086F5579">
      <w:pPr>
        <w:bidi w:val="0"/>
        <w:ind w:left="0" w:leftChars="0" w:firstLine="42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7.1供方应提供所交付货物的全套技术文件资料，包括产品目录、图纸、操作手册、使用说明、维护手册和服务指南等。</w:t>
      </w:r>
    </w:p>
    <w:p w14:paraId="7828A590">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7ED3519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7.3上述伴随服务的费用应包含在合同总价中，不单独进行支付。</w:t>
      </w:r>
    </w:p>
    <w:p w14:paraId="4FA436E1">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8．质量保证期及售后服务</w:t>
      </w:r>
    </w:p>
    <w:p w14:paraId="4594BA38">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8.1质量保证期及售后服务：详见</w:t>
      </w:r>
      <w:r>
        <w:rPr>
          <w:rFonts w:hint="eastAsia" w:cs="仿宋"/>
          <w:color w:val="auto"/>
          <w:sz w:val="21"/>
          <w:szCs w:val="21"/>
          <w:highlight w:val="none"/>
          <w:lang w:val="en-US" w:eastAsia="zh-CN"/>
        </w:rPr>
        <w:t>招标文件</w:t>
      </w:r>
      <w:r>
        <w:rPr>
          <w:rFonts w:hint="eastAsia" w:ascii="仿宋" w:hAnsi="仿宋" w:eastAsia="仿宋" w:cs="仿宋"/>
          <w:color w:val="auto"/>
          <w:sz w:val="21"/>
          <w:szCs w:val="21"/>
          <w:highlight w:val="none"/>
          <w:lang w:val="en-US" w:eastAsia="zh-CN"/>
        </w:rPr>
        <w:t>的要求，供方提交的售后服务承诺书和制造厂商的有关文件，如果上述文件有不一致之处，以对需方有利的为准。</w:t>
      </w:r>
    </w:p>
    <w:p w14:paraId="7208F05B">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8.2如果上述第8.1款无特别约定，本合同项下货物的质量保证期为从需方验收合格之日起。</w:t>
      </w:r>
    </w:p>
    <w:p w14:paraId="76E06FD3">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9．质量保证</w:t>
      </w:r>
    </w:p>
    <w:p w14:paraId="4AEB351C">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9.1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8条规定的质量保证期内，供方应对其交付的货物由于设计、工艺或材料的缺陷而产生的故障负责。</w:t>
      </w:r>
    </w:p>
    <w:p w14:paraId="46399CB6">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9.2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7C75DF36">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9.3在质量保证期内，供方在接到需方的通知后，应在本合同条款第8条约定的响应时间内,免费维修和/或更换有缺陷的货物或部件。</w:t>
      </w:r>
    </w:p>
    <w:p w14:paraId="61F796EE">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9.4如果供方在接到需方通知后，在本合同条款第8条约定的响应时间内没有弥补缺陷，需方可采取必要的补救措施，但其风险和费用将由供方负担，并且需方根据合同规定对供方行使的其他权利不受影响。</w:t>
      </w:r>
    </w:p>
    <w:p w14:paraId="51AD24E8">
      <w:pPr>
        <w:bidi w:val="0"/>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验收：供方提交的货物由需方负责检验验收，或由需方聘请当地质检（商检）部门或有关部门对货物的品种、规格、性能、质量、数量、外观以及配件等进行检验，并出具检验证书。检验费用由供需双方协商确定。</w:t>
      </w:r>
    </w:p>
    <w:p w14:paraId="33627588">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11．索赔</w:t>
      </w:r>
    </w:p>
    <w:p w14:paraId="2A352A07">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11.1需方有权根据国家技术监督局、进出口商品检验局或其他具有法定资格的质检机构出具的检验证书向供方提出索赔。</w:t>
      </w:r>
    </w:p>
    <w:p w14:paraId="00A36C86">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11.2如果供方对缺陷负有责任而需方提出索赔，供方应按照需方同意的下列一种或多种方式解决索赔事宜：</w:t>
      </w:r>
    </w:p>
    <w:p w14:paraId="5A3D2863">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（1）供方同意退货并用合同规定的货币将货款退还给需方，并承担由此发生的一切损失和费用，包括利息、银行手续费、运费、保险费、检验费、仓储费、装卸费以及为保护退回货物所需的其他必要费用。</w:t>
      </w:r>
    </w:p>
    <w:p w14:paraId="0DB36E2F">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（2）根据货物低劣、损坏程度以及需方所遭受损失的金额，经双方商定降低货物的价格。</w:t>
      </w:r>
    </w:p>
    <w:p w14:paraId="756E6A98">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02BBBE5B">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11.3如果在需方发出索赔通知后十天内供方未作答复，上述索赔应视为已被供方接受。如供方未能在接到需方索赔通知后十天内或需方同意的延长期限内，按照上述第11.2款规定的任何一种或多种方式解决索赔事宜并征得需方同意，需方有权从应付货款或从供方提交的履约保证金中扣回索赔金额，并拥有对赔偿不足部分进一步索赔的权利。</w:t>
      </w:r>
    </w:p>
    <w:p w14:paraId="25CF1020">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12．履约延误</w:t>
      </w:r>
    </w:p>
    <w:p w14:paraId="20C6159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12.1供方应按照合同规定的时间、地点交货和提供服务；需方应按照合同规定的时间、地点接收货物和接受服务。</w:t>
      </w:r>
    </w:p>
    <w:p w14:paraId="50233579">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12.2如果供方无正当理由拖延交货，将受到以下制裁：没收履约保证金、加收误期赔偿和／或违约终止合同；如果需方无正当理由拖延接收货物和接受服务，应承担相应责任。</w:t>
      </w:r>
    </w:p>
    <w:p w14:paraId="5DB4488D">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12.3在履行合同过程中，如果供方遇到可能妨碍其按时交货和提供服务的情况，或者需方遇到可能妨碍其按时接收货物和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7ECDEB91">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13．误期赔偿</w:t>
      </w:r>
    </w:p>
    <w:p w14:paraId="359895D8">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13.1除本合同条款第15条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0BD4CD3D">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13.2误期赔偿费可从应付货款和/或履约保证金中扣除。</w:t>
      </w:r>
    </w:p>
    <w:p w14:paraId="4F9516E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13.3收取误期赔偿费不影响需方采取合同规定的其他补救措施的权利。</w:t>
      </w:r>
    </w:p>
    <w:p w14:paraId="4D116DA9">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13.4在收取误期赔偿费期间，需方有权决定是否终止合同。</w:t>
      </w:r>
    </w:p>
    <w:p w14:paraId="59203DEB">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13.5如果需方违约，应承担相应的违约责任。</w:t>
      </w:r>
    </w:p>
    <w:p w14:paraId="1F9E0EC6">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14．履约保证金和质量保证金：在集中采购合同书中约定</w:t>
      </w:r>
    </w:p>
    <w:p w14:paraId="2AA8A739">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15．不可抗力</w:t>
      </w:r>
    </w:p>
    <w:p w14:paraId="63BF9DED">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15.1如果供方和需方因不可抗力而导致合同实施延误或不能履行合同义务，不应该承担误期赔偿或不能履行合同义务的责任。因供方或需方先延误或不能履行合同而后遇不可抗力的情形除外。</w:t>
      </w:r>
    </w:p>
    <w:p w14:paraId="626A0685">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15.2本条所述的“不可抗力”系指那些双方无法控制，不可预见的事件，但不包括双方的违约或疏忽。这些事件包括但不限于：战争、严重火灾、洪水、台风、地震以及其它双方商定的事件。</w:t>
      </w:r>
    </w:p>
    <w:p w14:paraId="7893A550">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15.3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75162887">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16．税费</w:t>
      </w:r>
    </w:p>
    <w:p w14:paraId="54E1DB8F">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16.1根据现行法律规定对需方征收的与本合同有关的一切税费均由需方负担。</w:t>
      </w:r>
    </w:p>
    <w:p w14:paraId="6573C74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16.2根据现行法律规定对供方征收的与本合同有关的一切税费均由供方负担。</w:t>
      </w:r>
    </w:p>
    <w:p w14:paraId="2FA7ACE4">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16.3在中国境外发生的与执行本合同有关的一切税费均由供方负担。</w:t>
      </w:r>
    </w:p>
    <w:p w14:paraId="3142ED5E">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17．争议解决方式</w:t>
      </w:r>
    </w:p>
    <w:p w14:paraId="6158936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17.1需方和供方应通过友好协商，解决在执行本合同过程中所发生的或与本合同有</w:t>
      </w:r>
    </w:p>
    <w:p w14:paraId="56B09D71">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关的一切争议。如从协商开始十天内仍不能解决，可向国家工商行政管理机关的合同管理</w:t>
      </w:r>
    </w:p>
    <w:p w14:paraId="663F369C">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部门提请调解。</w:t>
      </w:r>
    </w:p>
    <w:p w14:paraId="570D9D34">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17.2如果调解不成，供需双方中的任何一方可向人民法院提起诉讼。诉讼由合同签</w:t>
      </w:r>
    </w:p>
    <w:p w14:paraId="13561A0C">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订地人民法院管辖。</w:t>
      </w:r>
    </w:p>
    <w:p w14:paraId="066823C6">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17.3诉讼费由败诉方负担。</w:t>
      </w:r>
    </w:p>
    <w:p w14:paraId="44BEE991">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17.4因合同部分履行引发诉讼的，在诉讼期间，除正在进行诉讼的部分外，本合同的</w:t>
      </w:r>
    </w:p>
    <w:p w14:paraId="0816E769">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其它部分应继续执行。</w:t>
      </w:r>
    </w:p>
    <w:p w14:paraId="5026505C">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18．违约终止合同</w:t>
      </w:r>
    </w:p>
    <w:p w14:paraId="44669544">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18.1在需方因供方违约而按合同约定采取的任何补救措施不受影响的情况下，需方可在下列情况下向供方发出书面通知，提出终止部分或全部合同。</w:t>
      </w:r>
    </w:p>
    <w:p w14:paraId="3B42E08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（1）如果供方未能在合同规定的限期或需方同意延长的限期内提供部分或全部货物和服务。</w:t>
      </w:r>
    </w:p>
    <w:p w14:paraId="2EA8BE59">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（2）如果供方未能履行合同规定的其它任何义务。</w:t>
      </w:r>
    </w:p>
    <w:p w14:paraId="6BD429BA">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（3）如果供方在本合同订立和履行过程中采取了任何“不正当竞争行为”，危害到国家利益、社会公共利益和需方的合法权益。</w:t>
      </w:r>
    </w:p>
    <w:p w14:paraId="5AE74987">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18.2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055185FE">
      <w:pPr>
        <w:bidi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18.3如果需方违约，应承担相应的违约责任。</w:t>
      </w:r>
    </w:p>
    <w:p w14:paraId="49319B21">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19．破产终止合同：如果供方破产或丧失清偿能力，需方可在任何时候以书面形式通知供方终止合同而不给供方补偿。该终止合同将不损害或影响需方已经采取或将要采取任何补救措施的权力。</w:t>
      </w:r>
    </w:p>
    <w:p w14:paraId="0075AF62">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20．合同转让和分包：本合同不得转让与分包。</w:t>
      </w:r>
    </w:p>
    <w:p w14:paraId="469D92C4">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21．需要补充的合同条款：在集中采购合同书中约定。</w:t>
      </w:r>
    </w:p>
    <w:p w14:paraId="2CFD5EB5">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22．适用法律：本合同按照中华人民共和国的现行法律进行解释。</w:t>
      </w:r>
    </w:p>
    <w:p w14:paraId="68BACE32">
      <w:pPr>
        <w:bidi w:val="0"/>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23．合同备案：自集中采购合同书订立之日起七个工作日内，向本级采购监督管理部门备案。</w:t>
      </w:r>
    </w:p>
    <w:p w14:paraId="3C8B4155">
      <w:pPr>
        <w:bidi w:val="0"/>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1"/>
          <w:szCs w:val="21"/>
          <w:highlight w:val="none"/>
          <w:lang w:val="en-US" w:eastAsia="zh-CN"/>
        </w:rPr>
        <w:t>24．政府采购法对集中采购合同变更终止的规定：“集中采购合同的双方当事人（指供需双方）不得擅自变更、中止或者终止合同。集中采购合同继续履行将损害国家利益和社会公共利益的，双方当事人应当变更、中止或者终止合同。有过错的一方应当承担赔偿责任，双方都有过错的，各自承担相应的责任。”</w:t>
      </w:r>
    </w:p>
    <w:p w14:paraId="59D54B99">
      <w:pPr>
        <w:rPr>
          <w:rFonts w:hint="eastAsia" w:ascii="仿宋" w:hAnsi="仿宋" w:eastAsia="仿宋" w:cs="仿宋"/>
          <w:color w:val="auto"/>
          <w:highlight w:val="none"/>
          <w:lang w:val="en-US" w:eastAsia="zh-CN"/>
        </w:rPr>
      </w:pPr>
      <w:bookmarkStart w:id="51" w:name="_Toc179632804"/>
      <w:bookmarkStart w:id="52" w:name="_Toc246996353"/>
      <w:bookmarkStart w:id="53" w:name="_Toc247085870"/>
      <w:bookmarkStart w:id="54" w:name="_Toc144974854"/>
      <w:bookmarkStart w:id="55" w:name="_Toc152042574"/>
      <w:bookmarkStart w:id="56" w:name="_Toc20801"/>
      <w:bookmarkStart w:id="57" w:name="_Toc246997096"/>
      <w:bookmarkStart w:id="58" w:name="_Toc152045785"/>
      <w:bookmarkStart w:id="59" w:name="_Toc52181488"/>
      <w:bookmarkStart w:id="60" w:name="_Toc55285627"/>
      <w:r>
        <w:rPr>
          <w:rFonts w:hint="eastAsia" w:ascii="仿宋" w:hAnsi="仿宋" w:eastAsia="仿宋" w:cs="仿宋"/>
          <w:color w:val="auto"/>
          <w:highlight w:val="none"/>
          <w:lang w:val="en-US" w:eastAsia="zh-CN"/>
        </w:rPr>
        <w:br w:type="page"/>
      </w:r>
    </w:p>
    <w:p w14:paraId="2A7D2862">
      <w:pPr>
        <w:pStyle w:val="2"/>
        <w:bidi w:val="0"/>
        <w:rPr>
          <w:rFonts w:hint="default"/>
          <w:color w:val="auto"/>
          <w:highlight w:val="none"/>
          <w:lang w:val="en-US" w:eastAsia="zh-CN"/>
        </w:rPr>
      </w:pPr>
      <w:bookmarkStart w:id="61" w:name="_Toc13549"/>
      <w:r>
        <w:rPr>
          <w:rFonts w:hint="eastAsia"/>
          <w:color w:val="auto"/>
          <w:highlight w:val="none"/>
          <w:lang w:val="en-US" w:eastAsia="zh-CN"/>
        </w:rPr>
        <w:t>第四章</w:t>
      </w:r>
      <w:bookmarkEnd w:id="51"/>
      <w:bookmarkEnd w:id="52"/>
      <w:bookmarkEnd w:id="53"/>
      <w:bookmarkEnd w:id="54"/>
      <w:bookmarkEnd w:id="55"/>
      <w:bookmarkEnd w:id="56"/>
      <w:bookmarkEnd w:id="57"/>
      <w:bookmarkEnd w:id="58"/>
      <w:bookmarkEnd w:id="59"/>
      <w:bookmarkEnd w:id="60"/>
      <w:r>
        <w:rPr>
          <w:rFonts w:hint="eastAsia"/>
          <w:color w:val="auto"/>
          <w:highlight w:val="none"/>
          <w:lang w:val="en-US" w:eastAsia="zh-CN"/>
        </w:rPr>
        <w:t>合同格式</w:t>
      </w:r>
      <w:bookmarkEnd w:id="61"/>
    </w:p>
    <w:p w14:paraId="6F05EC29">
      <w:pPr>
        <w:keepNext w:val="0"/>
        <w:keepLines w:val="0"/>
        <w:widowControl/>
        <w:suppressLineNumbers w:val="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合同书格式</w:t>
      </w:r>
    </w:p>
    <w:p w14:paraId="2CDCE9FD">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（此合同文本仅为通用参考合同文本，在确定中标人后，双方将对商务、技术、保修承诺等内容签订更加详细的内容，招标人保留对合同条款修订的权利。）</w:t>
      </w:r>
    </w:p>
    <w:p w14:paraId="675994B7">
      <w:pPr>
        <w:numPr>
          <w:ilvl w:val="0"/>
          <w:numId w:val="0"/>
        </w:numPr>
        <w:bidi w:val="0"/>
        <w:ind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注：以实际合同为准</w:t>
      </w:r>
    </w:p>
    <w:p w14:paraId="38048778">
      <w:pPr>
        <w:bidi w:val="0"/>
        <w:ind w:left="0" w:leftChars="0" w:firstLine="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合同编号：</w:t>
      </w:r>
      <w:r>
        <w:rPr>
          <w:rFonts w:hint="eastAsia" w:ascii="仿宋" w:hAnsi="仿宋" w:eastAsia="仿宋" w:cs="仿宋"/>
          <w:color w:val="auto"/>
          <w:sz w:val="24"/>
          <w:szCs w:val="24"/>
          <w:highlight w:val="none"/>
          <w:u w:val="single"/>
          <w:lang w:val="en-US" w:eastAsia="zh-CN"/>
        </w:rPr>
        <w:t>.</w:t>
      </w:r>
    </w:p>
    <w:p w14:paraId="702ACE41">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签订地点：</w:t>
      </w:r>
      <w:r>
        <w:rPr>
          <w:rFonts w:hint="eastAsia" w:ascii="仿宋" w:hAnsi="仿宋" w:eastAsia="仿宋" w:cs="仿宋"/>
          <w:color w:val="auto"/>
          <w:sz w:val="24"/>
          <w:szCs w:val="24"/>
          <w:highlight w:val="none"/>
          <w:u w:val="single"/>
          <w:lang w:val="en-US" w:eastAsia="zh-CN"/>
        </w:rPr>
        <w:t>.</w:t>
      </w:r>
    </w:p>
    <w:p w14:paraId="3DF9D6B5">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签订日期：年月日</w:t>
      </w:r>
    </w:p>
    <w:p w14:paraId="05AEF308">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招标任务通知书编号：</w:t>
      </w:r>
    </w:p>
    <w:p w14:paraId="5CE4E52D">
      <w:pPr>
        <w:bidi w:val="0"/>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（需方）需求的（货物名称）经招标公司以编号为的</w:t>
      </w:r>
      <w:r>
        <w:rPr>
          <w:rFonts w:hint="eastAsia" w:cs="仿宋"/>
          <w:color w:val="auto"/>
          <w:sz w:val="24"/>
          <w:szCs w:val="24"/>
          <w:highlight w:val="none"/>
          <w:lang w:val="en-US" w:eastAsia="zh-CN"/>
        </w:rPr>
        <w:t>招标文件</w:t>
      </w:r>
      <w:r>
        <w:rPr>
          <w:rFonts w:hint="eastAsia" w:ascii="仿宋" w:hAnsi="仿宋" w:eastAsia="仿宋" w:cs="仿宋"/>
          <w:color w:val="auto"/>
          <w:sz w:val="24"/>
          <w:szCs w:val="24"/>
          <w:highlight w:val="none"/>
          <w:lang w:val="en-US" w:eastAsia="zh-CN"/>
        </w:rPr>
        <w:t>在国内公开招标，评标委员会评定（供方）为中标供应商。供需双方和</w:t>
      </w:r>
      <w:r>
        <w:rPr>
          <w:rFonts w:hint="eastAsia" w:cs="仿宋"/>
          <w:color w:val="auto"/>
          <w:sz w:val="24"/>
          <w:szCs w:val="24"/>
          <w:highlight w:val="none"/>
          <w:u w:val="single"/>
          <w:lang w:val="en-US" w:eastAsia="zh-CN"/>
        </w:rPr>
        <w:t>中屹宬信建设集团有限公司</w:t>
      </w:r>
      <w:r>
        <w:rPr>
          <w:rFonts w:hint="eastAsia" w:ascii="仿宋" w:hAnsi="仿宋" w:eastAsia="仿宋" w:cs="仿宋"/>
          <w:color w:val="auto"/>
          <w:sz w:val="24"/>
          <w:szCs w:val="24"/>
          <w:highlight w:val="none"/>
          <w:lang w:val="en-US" w:eastAsia="zh-CN"/>
        </w:rPr>
        <w:t>按照《中华人民共和国合同法》和有关法律法规，遵循平等、自愿、公平和诚实信用原则，同意按照下面的条款和条件订立本合同，共同信守。</w:t>
      </w:r>
    </w:p>
    <w:p w14:paraId="78C09E8D">
      <w:pPr>
        <w:numPr>
          <w:ilvl w:val="0"/>
          <w:numId w:val="11"/>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合同标的：</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536"/>
        <w:gridCol w:w="1056"/>
        <w:gridCol w:w="1705"/>
        <w:gridCol w:w="1705"/>
      </w:tblGrid>
      <w:tr w14:paraId="049C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14:paraId="5D752758">
            <w:pPr>
              <w:pStyle w:val="7"/>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招标项目名称</w:t>
            </w:r>
          </w:p>
        </w:tc>
        <w:tc>
          <w:tcPr>
            <w:tcW w:w="2536" w:type="dxa"/>
            <w:noWrap w:val="0"/>
            <w:vAlign w:val="top"/>
          </w:tcPr>
          <w:p w14:paraId="310D242B">
            <w:pPr>
              <w:pStyle w:val="7"/>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详细配置及主要技术参数</w:t>
            </w:r>
          </w:p>
        </w:tc>
        <w:tc>
          <w:tcPr>
            <w:tcW w:w="1056" w:type="dxa"/>
            <w:noWrap w:val="0"/>
            <w:vAlign w:val="top"/>
          </w:tcPr>
          <w:p w14:paraId="1E0391D4">
            <w:pPr>
              <w:keepNext w:val="0"/>
              <w:keepLines w:val="0"/>
              <w:widowControl/>
              <w:suppressLineNumbers w:val="0"/>
              <w:ind w:left="0" w:leftChars="0" w:firstLine="0" w:firstLine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bidi="ar"/>
              </w:rPr>
              <w:t>数量</w:t>
            </w:r>
          </w:p>
        </w:tc>
        <w:tc>
          <w:tcPr>
            <w:tcW w:w="1705" w:type="dxa"/>
            <w:noWrap w:val="0"/>
            <w:vAlign w:val="top"/>
          </w:tcPr>
          <w:p w14:paraId="266D0A87">
            <w:pPr>
              <w:pStyle w:val="7"/>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单价（元）</w:t>
            </w:r>
          </w:p>
        </w:tc>
        <w:tc>
          <w:tcPr>
            <w:tcW w:w="1705" w:type="dxa"/>
            <w:noWrap w:val="0"/>
            <w:vAlign w:val="top"/>
          </w:tcPr>
          <w:p w14:paraId="1A6B8705">
            <w:pPr>
              <w:pStyle w:val="7"/>
              <w:widowControl w:val="0"/>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小计金额（元）</w:t>
            </w:r>
          </w:p>
        </w:tc>
      </w:tr>
      <w:tr w14:paraId="5CBD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noWrap w:val="0"/>
            <w:vAlign w:val="top"/>
          </w:tcPr>
          <w:p w14:paraId="74A18F21">
            <w:pPr>
              <w:pStyle w:val="7"/>
              <w:widowControl w:val="0"/>
              <w:jc w:val="both"/>
              <w:rPr>
                <w:rFonts w:hint="eastAsia" w:ascii="仿宋" w:hAnsi="仿宋" w:eastAsia="仿宋" w:cs="仿宋"/>
                <w:color w:val="auto"/>
                <w:sz w:val="24"/>
                <w:szCs w:val="24"/>
                <w:highlight w:val="none"/>
                <w:vertAlign w:val="baseline"/>
                <w:lang w:val="en-US" w:eastAsia="zh-CN"/>
              </w:rPr>
            </w:pPr>
          </w:p>
        </w:tc>
        <w:tc>
          <w:tcPr>
            <w:tcW w:w="2536" w:type="dxa"/>
            <w:noWrap w:val="0"/>
            <w:vAlign w:val="top"/>
          </w:tcPr>
          <w:p w14:paraId="3AD97D3E">
            <w:pPr>
              <w:pStyle w:val="7"/>
              <w:widowControl w:val="0"/>
              <w:jc w:val="both"/>
              <w:rPr>
                <w:rFonts w:hint="eastAsia" w:ascii="仿宋" w:hAnsi="仿宋" w:eastAsia="仿宋" w:cs="仿宋"/>
                <w:color w:val="auto"/>
                <w:sz w:val="24"/>
                <w:szCs w:val="24"/>
                <w:highlight w:val="none"/>
                <w:vertAlign w:val="baseline"/>
                <w:lang w:val="en-US" w:eastAsia="zh-CN"/>
              </w:rPr>
            </w:pPr>
          </w:p>
        </w:tc>
        <w:tc>
          <w:tcPr>
            <w:tcW w:w="1056" w:type="dxa"/>
            <w:noWrap w:val="0"/>
            <w:vAlign w:val="top"/>
          </w:tcPr>
          <w:p w14:paraId="423BE143">
            <w:pPr>
              <w:pStyle w:val="7"/>
              <w:widowControl w:val="0"/>
              <w:jc w:val="both"/>
              <w:rPr>
                <w:rFonts w:hint="eastAsia" w:ascii="仿宋" w:hAnsi="仿宋" w:eastAsia="仿宋" w:cs="仿宋"/>
                <w:color w:val="auto"/>
                <w:sz w:val="24"/>
                <w:szCs w:val="24"/>
                <w:highlight w:val="none"/>
                <w:vertAlign w:val="baseline"/>
                <w:lang w:val="en-US" w:eastAsia="zh-CN"/>
              </w:rPr>
            </w:pPr>
          </w:p>
        </w:tc>
        <w:tc>
          <w:tcPr>
            <w:tcW w:w="1705" w:type="dxa"/>
            <w:noWrap w:val="0"/>
            <w:vAlign w:val="top"/>
          </w:tcPr>
          <w:p w14:paraId="1CBD08D8">
            <w:pPr>
              <w:pStyle w:val="7"/>
              <w:widowControl w:val="0"/>
              <w:jc w:val="both"/>
              <w:rPr>
                <w:rFonts w:hint="eastAsia" w:ascii="仿宋" w:hAnsi="仿宋" w:eastAsia="仿宋" w:cs="仿宋"/>
                <w:color w:val="auto"/>
                <w:sz w:val="24"/>
                <w:szCs w:val="24"/>
                <w:highlight w:val="none"/>
                <w:vertAlign w:val="baseline"/>
                <w:lang w:val="en-US" w:eastAsia="zh-CN"/>
              </w:rPr>
            </w:pPr>
          </w:p>
        </w:tc>
        <w:tc>
          <w:tcPr>
            <w:tcW w:w="1705" w:type="dxa"/>
            <w:noWrap w:val="0"/>
            <w:vAlign w:val="top"/>
          </w:tcPr>
          <w:p w14:paraId="67A3FBE1">
            <w:pPr>
              <w:pStyle w:val="7"/>
              <w:widowControl w:val="0"/>
              <w:jc w:val="both"/>
              <w:rPr>
                <w:rFonts w:hint="eastAsia" w:ascii="仿宋" w:hAnsi="仿宋" w:eastAsia="仿宋" w:cs="仿宋"/>
                <w:color w:val="auto"/>
                <w:sz w:val="24"/>
                <w:szCs w:val="24"/>
                <w:highlight w:val="none"/>
                <w:vertAlign w:val="baseline"/>
                <w:lang w:val="en-US" w:eastAsia="zh-CN"/>
              </w:rPr>
            </w:pPr>
          </w:p>
        </w:tc>
      </w:tr>
    </w:tbl>
    <w:p w14:paraId="0C0B4D6B">
      <w:pPr>
        <w:numPr>
          <w:ilvl w:val="0"/>
          <w:numId w:val="11"/>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合同价格：人民币（大写）元，（小写）</w:t>
      </w:r>
      <w:r>
        <w:rPr>
          <w:rFonts w:hint="eastAsia" w:ascii="仿宋" w:hAnsi="仿宋" w:eastAsia="仿宋" w:cs="仿宋"/>
          <w:b/>
          <w:bCs/>
          <w:color w:val="auto"/>
          <w:sz w:val="24"/>
          <w:szCs w:val="24"/>
          <w:highlight w:val="none"/>
          <w:u w:val="single"/>
          <w:lang w:val="en-US" w:eastAsia="zh-CN"/>
        </w:rPr>
        <w:t>￥:</w:t>
      </w:r>
      <w:r>
        <w:rPr>
          <w:rFonts w:hint="eastAsia" w:ascii="仿宋" w:hAnsi="仿宋" w:eastAsia="仿宋" w:cs="仿宋"/>
          <w:b/>
          <w:bCs/>
          <w:color w:val="auto"/>
          <w:sz w:val="24"/>
          <w:szCs w:val="24"/>
          <w:highlight w:val="none"/>
          <w:lang w:val="en-US" w:eastAsia="zh-CN"/>
        </w:rPr>
        <w:t>元。</w:t>
      </w:r>
    </w:p>
    <w:p w14:paraId="38EA560C">
      <w:pPr>
        <w:numPr>
          <w:ilvl w:val="0"/>
          <w:numId w:val="11"/>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服务时间、地点、方式</w:t>
      </w:r>
    </w:p>
    <w:p w14:paraId="487241A1">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3.1服务期：</w:t>
      </w:r>
    </w:p>
    <w:p w14:paraId="183B693E">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3.2交货地点：</w:t>
      </w:r>
    </w:p>
    <w:p w14:paraId="4F344479">
      <w:pPr>
        <w:numPr>
          <w:ilvl w:val="0"/>
          <w:numId w:val="11"/>
        </w:numPr>
        <w:bidi w:val="0"/>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4.付款方式</w:t>
      </w:r>
    </w:p>
    <w:p w14:paraId="50E04CC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4.1供方交货时应提交下列文件：销售发票，国家有关质检机构出具的检验报告或证书（如果合同约定有的话），进口产品的报关文件（如果合同约定有的话），制造厂商出具的质量检验证书、产品合格证等。</w:t>
      </w:r>
    </w:p>
    <w:p w14:paraId="4CFBF249">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4.2付款：以实际合同为准</w:t>
      </w:r>
    </w:p>
    <w:p w14:paraId="1D94AFA9">
      <w:pPr>
        <w:numPr>
          <w:ilvl w:val="0"/>
          <w:numId w:val="11"/>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履约保证金</w:t>
      </w:r>
    </w:p>
    <w:p w14:paraId="593E7FDD">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5.1在签署本合同之前，供方应向需方提交合同总价1%的履约保证金（人民币，取整数位到百元）。履约保证金可以采用银行转帐方式提交。</w:t>
      </w:r>
    </w:p>
    <w:p w14:paraId="7121A809">
      <w:pPr>
        <w:numPr>
          <w:ilvl w:val="0"/>
          <w:numId w:val="11"/>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质量保证金</w:t>
      </w:r>
    </w:p>
    <w:p w14:paraId="252550DE">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6.1质量保证金为合同总价款的%</w:t>
      </w:r>
    </w:p>
    <w:p w14:paraId="588D05E9">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6.2质量保证金由供方的履约保证金（如计取）转为质量保证金。</w:t>
      </w:r>
    </w:p>
    <w:p w14:paraId="559E10F4">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6.3质量保证金的有效期到合同规定的质保期期满之日止，扣除供方承担质量保证责任的费用后，剩余部分在质量保证期期满后20个工作日内返还，不计利息。</w:t>
      </w:r>
    </w:p>
    <w:p w14:paraId="67354F4D">
      <w:pPr>
        <w:numPr>
          <w:ilvl w:val="0"/>
          <w:numId w:val="11"/>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成果验收：项目提交成果通过甲方组织的专家验收。</w:t>
      </w:r>
    </w:p>
    <w:p w14:paraId="485E1697">
      <w:pPr>
        <w:numPr>
          <w:ilvl w:val="0"/>
          <w:numId w:val="11"/>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合同构成：</w:t>
      </w:r>
    </w:p>
    <w:p w14:paraId="306D0BD5">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下列文件构成本合同不可分割的组成部分，与本合同具有同等法律效力：</w:t>
      </w:r>
    </w:p>
    <w:p w14:paraId="5E16CAE5">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8.1本合同书；</w:t>
      </w:r>
    </w:p>
    <w:p w14:paraId="3E7154F4">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8.2中标通知书；</w:t>
      </w:r>
    </w:p>
    <w:p w14:paraId="49B2718A">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8.3</w:t>
      </w:r>
      <w:r>
        <w:rPr>
          <w:rFonts w:hint="eastAsia" w:cs="仿宋"/>
          <w:color w:val="auto"/>
          <w:kern w:val="0"/>
          <w:sz w:val="24"/>
          <w:szCs w:val="24"/>
          <w:highlight w:val="none"/>
          <w:lang w:val="en-US" w:eastAsia="zh-CN" w:bidi="ar"/>
        </w:rPr>
        <w:t>招标文件</w:t>
      </w:r>
      <w:r>
        <w:rPr>
          <w:rFonts w:hint="eastAsia" w:ascii="仿宋" w:hAnsi="仿宋" w:eastAsia="仿宋" w:cs="仿宋"/>
          <w:color w:val="auto"/>
          <w:kern w:val="0"/>
          <w:sz w:val="24"/>
          <w:szCs w:val="24"/>
          <w:highlight w:val="none"/>
          <w:lang w:val="en-US" w:eastAsia="zh-CN" w:bidi="ar"/>
        </w:rPr>
        <w:t>及澄清、修改、补遗文件；</w:t>
      </w:r>
    </w:p>
    <w:p w14:paraId="05DA3272">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8.4供方的投标文件及书面澄清、说明、补正文件；</w:t>
      </w:r>
    </w:p>
    <w:p w14:paraId="71FD98C8">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8.5产品样本、样品（样机）、说明书、图纸等有关资料；</w:t>
      </w:r>
    </w:p>
    <w:p w14:paraId="73241D13">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8.6政府招标验收报告单；</w:t>
      </w:r>
    </w:p>
    <w:p w14:paraId="099F5CCE">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8.7合同的其它附件。</w:t>
      </w:r>
    </w:p>
    <w:p w14:paraId="3A2FE155">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上述组成合同的文件如有不一致之处，以日期在后的为准。</w:t>
      </w:r>
    </w:p>
    <w:p w14:paraId="3670FAFB">
      <w:pPr>
        <w:numPr>
          <w:ilvl w:val="0"/>
          <w:numId w:val="11"/>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合同份数：</w:t>
      </w:r>
    </w:p>
    <w:p w14:paraId="7A889A4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本合同一式三份，供需双方各执一份，另一份需提交至监管部门做备存。</w:t>
      </w:r>
    </w:p>
    <w:p w14:paraId="44B3AF44">
      <w:pPr>
        <w:numPr>
          <w:ilvl w:val="0"/>
          <w:numId w:val="11"/>
        </w:numPr>
        <w:bidi w:val="0"/>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合同生效：</w:t>
      </w:r>
    </w:p>
    <w:p w14:paraId="2CB8D1E5">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本合同在供需双方法定代表人或其授权代理人签字、加盖双方公章或者合同专用章，并且需方收到供方提交的履约保证金（如计取）后生效。</w:t>
      </w:r>
    </w:p>
    <w:p w14:paraId="597663E9">
      <w:pPr>
        <w:numPr>
          <w:ilvl w:val="0"/>
          <w:numId w:val="11"/>
        </w:numPr>
        <w:bidi w:val="0"/>
        <w:ind w:left="0" w:leftChars="0" w:firstLine="0" w:firstLineChars="0"/>
        <w:rPr>
          <w:rFonts w:hint="eastAsia" w:ascii="仿宋" w:hAnsi="仿宋" w:eastAsia="仿宋" w:cs="仿宋"/>
          <w:b/>
          <w:color w:val="auto"/>
          <w:kern w:val="0"/>
          <w:sz w:val="24"/>
          <w:szCs w:val="24"/>
          <w:highlight w:val="none"/>
          <w:lang w:val="en-US" w:eastAsia="zh-CN" w:bidi="ar"/>
        </w:rPr>
      </w:pPr>
      <w:r>
        <w:rPr>
          <w:rFonts w:hint="eastAsia" w:ascii="仿宋" w:hAnsi="仿宋" w:eastAsia="仿宋" w:cs="仿宋"/>
          <w:b/>
          <w:color w:val="auto"/>
          <w:kern w:val="0"/>
          <w:sz w:val="24"/>
          <w:szCs w:val="24"/>
          <w:highlight w:val="none"/>
          <w:lang w:val="en-US" w:eastAsia="zh-CN" w:bidi="ar"/>
        </w:rPr>
        <w:t>合同修改：</w:t>
      </w:r>
    </w:p>
    <w:p w14:paraId="3A3F609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除供需双方签署书面修改、补充协议外，本合同条件不得有任何变化或修改。</w:t>
      </w:r>
    </w:p>
    <w:p w14:paraId="69EA72EE">
      <w:pPr>
        <w:pStyle w:val="7"/>
        <w:rPr>
          <w:rFonts w:hint="eastAsia" w:ascii="仿宋" w:hAnsi="仿宋" w:eastAsia="仿宋" w:cs="仿宋"/>
          <w:color w:val="auto"/>
          <w:kern w:val="0"/>
          <w:sz w:val="24"/>
          <w:szCs w:val="24"/>
          <w:highlight w:val="none"/>
          <w:lang w:val="en-US" w:eastAsia="zh-CN" w:bidi="ar"/>
        </w:rPr>
      </w:pPr>
    </w:p>
    <w:p w14:paraId="5B60D83F">
      <w:pPr>
        <w:pStyle w:val="7"/>
        <w:rPr>
          <w:rFonts w:hint="eastAsia" w:ascii="仿宋" w:hAnsi="仿宋" w:eastAsia="仿宋" w:cs="仿宋"/>
          <w:color w:val="auto"/>
          <w:kern w:val="0"/>
          <w:sz w:val="24"/>
          <w:szCs w:val="24"/>
          <w:highlight w:val="none"/>
          <w:lang w:val="en-US" w:eastAsia="zh-CN" w:bidi="ar"/>
        </w:rPr>
      </w:pPr>
    </w:p>
    <w:p w14:paraId="08A8E1C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需方：</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供方：</w:t>
      </w:r>
    </w:p>
    <w:p w14:paraId="70DBA925">
      <w:pPr>
        <w:keepNext w:val="0"/>
        <w:keepLines w:val="0"/>
        <w:widowControl/>
        <w:suppressLineNumbers w:val="0"/>
        <w:ind w:firstLine="897" w:firstLineChars="374"/>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（加盖公章或合同专用章）</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（加盖公章或合同专用章）</w:t>
      </w:r>
    </w:p>
    <w:p w14:paraId="25F644BC">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地址：</w:t>
      </w:r>
    </w:p>
    <w:p w14:paraId="04B7CB25">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法定代表人</w:t>
      </w:r>
    </w:p>
    <w:p w14:paraId="056FC63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或授权代理人签字：</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或授权代理人签字：</w:t>
      </w:r>
    </w:p>
    <w:p w14:paraId="250091E4">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签字日期：</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签字日期：</w:t>
      </w:r>
    </w:p>
    <w:p w14:paraId="32CDE879">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邮政编码：</w:t>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ab/>
      </w:r>
      <w:r>
        <w:rPr>
          <w:rFonts w:hint="eastAsia" w:ascii="仿宋" w:hAnsi="仿宋" w:eastAsia="仿宋" w:cs="仿宋"/>
          <w:color w:val="auto"/>
          <w:kern w:val="0"/>
          <w:sz w:val="24"/>
          <w:szCs w:val="24"/>
          <w:highlight w:val="none"/>
          <w:lang w:val="en-US" w:eastAsia="zh-CN" w:bidi="ar"/>
        </w:rPr>
        <w:t>邮政编码：</w:t>
      </w:r>
    </w:p>
    <w:p w14:paraId="19913D8C">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电话：</w:t>
      </w:r>
    </w:p>
    <w:p w14:paraId="30561183">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传真：</w:t>
      </w:r>
    </w:p>
    <w:p w14:paraId="5330A2BB">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联系人：</w:t>
      </w:r>
    </w:p>
    <w:p w14:paraId="10EB85EC">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开户银行：</w:t>
      </w:r>
    </w:p>
    <w:p w14:paraId="1656BE8E">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帐户名称：</w:t>
      </w:r>
    </w:p>
    <w:p w14:paraId="3F5F7B13">
      <w:pPr>
        <w:keepNext w:val="0"/>
        <w:keepLines w:val="0"/>
        <w:widowControl/>
        <w:suppressLineNumbers w:val="0"/>
        <w:ind w:firstLine="4238" w:firstLineChars="1766"/>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帐号：</w:t>
      </w:r>
    </w:p>
    <w:p w14:paraId="1E480373">
      <w:pPr>
        <w:pStyle w:val="2"/>
        <w:numPr>
          <w:ilvl w:val="0"/>
          <w:numId w:val="12"/>
        </w:numPr>
        <w:ind w:leftChars="0"/>
        <w:jc w:val="center"/>
        <w:rPr>
          <w:rFonts w:hint="eastAsia"/>
          <w:color w:val="auto"/>
          <w:highlight w:val="none"/>
        </w:rPr>
      </w:pPr>
      <w:bookmarkStart w:id="62" w:name="_Toc179632806"/>
      <w:bookmarkStart w:id="63" w:name="_Toc152045786"/>
      <w:bookmarkStart w:id="64" w:name="_Toc152042575"/>
      <w:bookmarkStart w:id="65" w:name="_Toc246996354"/>
      <w:bookmarkStart w:id="66" w:name="_Toc247085872"/>
      <w:bookmarkStart w:id="67" w:name="_Toc246997097"/>
      <w:bookmarkStart w:id="68" w:name="_Toc144974855"/>
      <w:r>
        <w:rPr>
          <w:rFonts w:hint="eastAsia" w:ascii="仿宋" w:hAnsi="仿宋" w:eastAsia="仿宋" w:cs="仿宋"/>
          <w:color w:val="auto"/>
          <w:szCs w:val="21"/>
          <w:highlight w:val="none"/>
        </w:rPr>
        <w:br w:type="page"/>
      </w:r>
      <w:bookmarkEnd w:id="62"/>
      <w:bookmarkEnd w:id="63"/>
      <w:bookmarkEnd w:id="64"/>
      <w:bookmarkEnd w:id="65"/>
      <w:bookmarkEnd w:id="66"/>
      <w:bookmarkEnd w:id="67"/>
      <w:bookmarkEnd w:id="68"/>
      <w:bookmarkStart w:id="69" w:name="_Toc9126"/>
      <w:r>
        <w:rPr>
          <w:rFonts w:hint="eastAsia" w:cs="仿宋"/>
          <w:color w:val="auto"/>
          <w:szCs w:val="44"/>
          <w:highlight w:val="none"/>
          <w:lang w:eastAsia="zh-CN"/>
        </w:rPr>
        <w:t>货物需求及要求</w:t>
      </w:r>
      <w:bookmarkEnd w:id="69"/>
    </w:p>
    <w:p w14:paraId="2ACB6892">
      <w:pPr>
        <w:rPr>
          <w:rFonts w:hint="eastAsia"/>
          <w:highlight w:val="none"/>
        </w:rPr>
      </w:pPr>
      <w:r>
        <w:rPr>
          <w:rFonts w:hint="eastAsia"/>
          <w:highlight w:val="none"/>
        </w:rPr>
        <w:t>一、有关说明</w:t>
      </w:r>
    </w:p>
    <w:p w14:paraId="4BAFE707">
      <w:pPr>
        <w:rPr>
          <w:rFonts w:hint="eastAsia"/>
          <w:highlight w:val="none"/>
        </w:rPr>
      </w:pPr>
      <w:r>
        <w:rPr>
          <w:rFonts w:hint="eastAsia"/>
          <w:highlight w:val="none"/>
        </w:rPr>
        <w:t>(一)投标人须对本项目的采购标的进行整体投标,任何只对本项目采购标的其中一部分内容数量进行的投标都被视为无效投标。</w:t>
      </w:r>
    </w:p>
    <w:p w14:paraId="48F7E946">
      <w:pPr>
        <w:rPr>
          <w:rFonts w:hint="eastAsia"/>
          <w:highlight w:val="none"/>
        </w:rPr>
      </w:pPr>
      <w:r>
        <w:rPr>
          <w:rFonts w:hint="eastAsia"/>
          <w:highlight w:val="none"/>
        </w:rPr>
        <w:t>请投标人注意:</w:t>
      </w:r>
    </w:p>
    <w:p w14:paraId="606793B8">
      <w:pPr>
        <w:rPr>
          <w:rFonts w:hint="eastAsia"/>
          <w:highlight w:val="none"/>
        </w:rPr>
      </w:pPr>
      <w:r>
        <w:rPr>
          <w:rFonts w:hint="eastAsia"/>
          <w:highlight w:val="none"/>
        </w:rPr>
        <w:t>1.采购需求中任意一项不满足采购文件要求的，将导致投标无效;</w:t>
      </w:r>
    </w:p>
    <w:p w14:paraId="101CA702">
      <w:pPr>
        <w:rPr>
          <w:rFonts w:hint="eastAsia" w:eastAsia="仿宋"/>
          <w:highlight w:val="none"/>
          <w:lang w:val="en-US" w:eastAsia="zh-CN"/>
        </w:rPr>
      </w:pPr>
      <w:r>
        <w:rPr>
          <w:rFonts w:hint="eastAsia"/>
          <w:highlight w:val="none"/>
        </w:rPr>
        <w:t>2.采购需求中标记▲号条款为重要条款，重要条款</w:t>
      </w:r>
      <w:r>
        <w:rPr>
          <w:rFonts w:hint="eastAsia"/>
          <w:highlight w:val="none"/>
          <w:lang w:val="en-US" w:eastAsia="zh-CN"/>
        </w:rPr>
        <w:t>优于</w:t>
      </w:r>
      <w:r>
        <w:rPr>
          <w:rFonts w:hint="eastAsia"/>
          <w:highlight w:val="none"/>
        </w:rPr>
        <w:t>采购文件要求的，将</w:t>
      </w:r>
      <w:r>
        <w:rPr>
          <w:rFonts w:hint="eastAsia"/>
          <w:highlight w:val="none"/>
          <w:lang w:val="en-US" w:eastAsia="zh-CN"/>
        </w:rPr>
        <w:t>在</w:t>
      </w:r>
      <w:r>
        <w:rPr>
          <w:rFonts w:hint="eastAsia"/>
          <w:highlight w:val="none"/>
        </w:rPr>
        <w:t>评审</w:t>
      </w:r>
      <w:r>
        <w:rPr>
          <w:rFonts w:hint="eastAsia"/>
          <w:highlight w:val="none"/>
          <w:lang w:val="en-US" w:eastAsia="zh-CN"/>
        </w:rPr>
        <w:t>过程中加</w:t>
      </w:r>
      <w:r>
        <w:rPr>
          <w:rFonts w:hint="eastAsia"/>
          <w:highlight w:val="none"/>
        </w:rPr>
        <w:t>分</w:t>
      </w:r>
      <w:r>
        <w:rPr>
          <w:rFonts w:hint="eastAsia"/>
          <w:highlight w:val="none"/>
          <w:lang w:eastAsia="zh-CN"/>
        </w:rPr>
        <w:t>。</w:t>
      </w:r>
    </w:p>
    <w:p w14:paraId="44399A51">
      <w:pPr>
        <w:rPr>
          <w:rFonts w:hint="eastAsia"/>
          <w:highlight w:val="none"/>
        </w:rPr>
      </w:pPr>
      <w:r>
        <w:rPr>
          <w:rFonts w:hint="eastAsia"/>
          <w:highlight w:val="none"/>
        </w:rPr>
        <w:t>(二)技术指标参数内容必须逐条进行响应。</w:t>
      </w:r>
    </w:p>
    <w:p w14:paraId="29476349">
      <w:pPr>
        <w:rPr>
          <w:rFonts w:hint="eastAsia"/>
          <w:highlight w:val="none"/>
        </w:rPr>
      </w:pPr>
      <w:r>
        <w:rPr>
          <w:rFonts w:hint="eastAsia"/>
          <w:highlight w:val="none"/>
        </w:rPr>
        <w:t>1.技术指标参数中的标记▲号条款(即重要条款)应当在投标文件中提供技术支持资料。技术支持资料需提供下述任意证明材料一种或多种:①《</w:t>
      </w:r>
      <w:r>
        <w:rPr>
          <w:rFonts w:hint="eastAsia" w:ascii="仿宋" w:hAnsi="仿宋" w:eastAsia="仿宋" w:cs="仿宋"/>
          <w:highlight w:val="none"/>
          <w:lang w:val="en-US" w:eastAsia="zh-CN"/>
        </w:rPr>
        <w:t>技术白皮书</w:t>
      </w:r>
      <w:r>
        <w:rPr>
          <w:rFonts w:hint="eastAsia"/>
          <w:highlight w:val="none"/>
        </w:rPr>
        <w:t>》并加盖公章:②第三方检测机构出具的检测报告并加盖公章。技术参数的佐证内容应体现在上述证明材料中，未体现的视为不响应，凡不符合上述要求的，将视为无效技术支持资料，[证明材料应在《采购需求条款响应一览表》中的“查阅/证明文件指引”明确对应页码]</w:t>
      </w:r>
    </w:p>
    <w:p w14:paraId="261DDA35">
      <w:pPr>
        <w:rPr>
          <w:rFonts w:hint="eastAsia" w:eastAsia="仿宋"/>
          <w:highlight w:val="none"/>
          <w:lang w:val="en-US" w:eastAsia="zh-CN"/>
        </w:rPr>
      </w:pPr>
      <w:r>
        <w:rPr>
          <w:rFonts w:hint="eastAsia"/>
          <w:highlight w:val="none"/>
        </w:rPr>
        <w:t>2.无特殊标记的技术参数为一般技术参数，一般技术参数以投标人《采购需求条款响应一览表》中的具体响应值为准</w:t>
      </w:r>
      <w:r>
        <w:rPr>
          <w:rFonts w:hint="eastAsia"/>
          <w:highlight w:val="none"/>
          <w:lang w:eastAsia="zh-CN"/>
        </w:rPr>
        <w:t>。</w:t>
      </w:r>
    </w:p>
    <w:p w14:paraId="4FA4F321">
      <w:pPr>
        <w:rPr>
          <w:rFonts w:hint="eastAsia" w:eastAsiaTheme="minorEastAsia"/>
          <w:highlight w:val="none"/>
          <w:lang w:val="en-US" w:eastAsia="zh-CN"/>
        </w:rPr>
      </w:pPr>
      <w:r>
        <w:rPr>
          <w:rFonts w:hint="eastAsia"/>
          <w:highlight w:val="none"/>
        </w:rPr>
        <w:t>3.投标人应在《采购需求条款响应一览表》中对采购文件提出的要求和条件作出明确响应，并列明具体响应数值或内容，只注明符合、满足等无具体内容表述的，将导致参数响应</w:t>
      </w:r>
      <w:r>
        <w:rPr>
          <w:rFonts w:hint="eastAsia"/>
          <w:highlight w:val="none"/>
          <w:lang w:val="en-US" w:eastAsia="zh-CN"/>
        </w:rPr>
        <w:t>无效。</w:t>
      </w:r>
    </w:p>
    <w:p w14:paraId="07F7D133">
      <w:pPr>
        <w:rPr>
          <w:rFonts w:hint="eastAsia"/>
          <w:highlight w:val="none"/>
        </w:rPr>
      </w:pPr>
      <w:r>
        <w:rPr>
          <w:rFonts w:hint="eastAsia"/>
          <w:highlight w:val="none"/>
        </w:rPr>
        <w:t>4.凡是标有序号的条款均以一项单独的条款计算，无论是否隶属于上一级编号;</w:t>
      </w:r>
    </w:p>
    <w:p w14:paraId="3E4ACCE6">
      <w:pPr>
        <w:rPr>
          <w:rFonts w:hint="eastAsia"/>
          <w:highlight w:val="none"/>
        </w:rPr>
      </w:pPr>
      <w:r>
        <w:rPr>
          <w:rFonts w:hint="eastAsia"/>
          <w:highlight w:val="none"/>
        </w:rPr>
        <w:t>5.投标文件不得有任何造假行为，</w:t>
      </w:r>
      <w:r>
        <w:rPr>
          <w:rFonts w:hint="eastAsia"/>
          <w:highlight w:val="none"/>
          <w:lang w:val="en-US" w:eastAsia="zh-CN"/>
        </w:rPr>
        <w:t>即使</w:t>
      </w:r>
      <w:r>
        <w:rPr>
          <w:rFonts w:hint="eastAsia"/>
          <w:highlight w:val="none"/>
        </w:rPr>
        <w:t>不是主要参数，一经发现，取消中标(成交)结果，供应商按中标(成交)总额10%赔偿采购人，以及赔偿采购人测算的所有设备的60天总收入，供应商以书面确认采购文件约定赔偿事项，未提供的其投标文件无效。(承诺函格式以投标文件《投标函》格式为准)</w:t>
      </w:r>
    </w:p>
    <w:p w14:paraId="5AA38E78">
      <w:pPr>
        <w:outlineLvl w:val="9"/>
        <w:rPr>
          <w:rFonts w:hint="eastAsia"/>
          <w:highlight w:val="none"/>
        </w:rPr>
      </w:pPr>
      <w:r>
        <w:rPr>
          <w:rFonts w:hint="eastAsia"/>
          <w:highlight w:val="none"/>
        </w:rPr>
        <w:t>6.如虚假响应或提供虚假证明材料，采购人及评标委员会有权追究其法律责任，并将违法情况上报主管部门，申请将其失信行为公示于信用中国网站(www.creditchina.gov.cn)和中国政府采购网(www.ccgp.gov.cn))。</w:t>
      </w:r>
    </w:p>
    <w:p w14:paraId="48A1D150">
      <w:pPr>
        <w:pStyle w:val="7"/>
        <w:spacing w:before="49" w:line="222" w:lineRule="auto"/>
        <w:ind w:left="82"/>
        <w:rPr>
          <w:rFonts w:ascii="Arial"/>
          <w:sz w:val="21"/>
          <w:highlight w:val="none"/>
        </w:rPr>
      </w:pPr>
      <w:r>
        <w:rPr>
          <w:b/>
          <w:bCs/>
          <w:spacing w:val="-5"/>
          <w:sz w:val="24"/>
          <w:szCs w:val="24"/>
          <w:highlight w:val="none"/>
        </w:rPr>
        <w:t>二、项目基本概况</w:t>
      </w:r>
    </w:p>
    <w:p w14:paraId="0530C25B">
      <w:pPr>
        <w:ind w:firstLine="420" w:firstLineChars="0"/>
        <w:outlineLvl w:val="9"/>
        <w:rPr>
          <w:spacing w:val="-3"/>
          <w:sz w:val="24"/>
          <w:szCs w:val="24"/>
          <w:highlight w:val="none"/>
        </w:rPr>
      </w:pPr>
      <w:r>
        <w:rPr>
          <w:rFonts w:hint="eastAsia"/>
          <w:spacing w:val="2"/>
          <w:sz w:val="24"/>
          <w:szCs w:val="24"/>
          <w:highlight w:val="none"/>
          <w:lang w:val="en-US" w:eastAsia="zh-CN"/>
        </w:rPr>
        <w:t>1</w:t>
      </w:r>
      <w:r>
        <w:rPr>
          <w:spacing w:val="2"/>
          <w:sz w:val="24"/>
          <w:szCs w:val="24"/>
          <w:highlight w:val="none"/>
        </w:rPr>
        <w:t>.所投产品应提供食品药品监督管理部门核发的完整有效的医疗器械注册或备案证明</w:t>
      </w:r>
      <w:r>
        <w:rPr>
          <w:spacing w:val="-3"/>
          <w:sz w:val="24"/>
          <w:szCs w:val="24"/>
          <w:highlight w:val="none"/>
        </w:rPr>
        <w:t>（适用于按医疗器械管理的货物，包括附件）。</w:t>
      </w:r>
    </w:p>
    <w:p w14:paraId="3A44432A">
      <w:pPr>
        <w:pStyle w:val="7"/>
        <w:spacing w:before="38" w:line="221" w:lineRule="auto"/>
        <w:ind w:left="81"/>
        <w:rPr>
          <w:sz w:val="24"/>
          <w:szCs w:val="24"/>
          <w:highlight w:val="none"/>
        </w:rPr>
      </w:pPr>
      <w:r>
        <w:rPr>
          <w:b/>
          <w:bCs/>
          <w:spacing w:val="-5"/>
          <w:sz w:val="24"/>
          <w:szCs w:val="24"/>
          <w:highlight w:val="none"/>
        </w:rPr>
        <w:t>三、采购项目清单</w:t>
      </w:r>
    </w:p>
    <w:tbl>
      <w:tblPr>
        <w:tblStyle w:val="48"/>
        <w:tblW w:w="107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9"/>
        <w:gridCol w:w="2527"/>
        <w:gridCol w:w="591"/>
        <w:gridCol w:w="708"/>
        <w:gridCol w:w="1276"/>
        <w:gridCol w:w="1276"/>
        <w:gridCol w:w="1845"/>
        <w:gridCol w:w="1845"/>
      </w:tblGrid>
      <w:tr w14:paraId="4011E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639" w:type="dxa"/>
            <w:tcBorders>
              <w:top w:val="single" w:color="000000" w:sz="2" w:space="0"/>
            </w:tcBorders>
            <w:shd w:val="clear" w:color="auto" w:fill="FFFFFF" w:themeFill="background1"/>
            <w:vAlign w:val="center"/>
          </w:tcPr>
          <w:p w14:paraId="6F472243">
            <w:pPr>
              <w:pStyle w:val="49"/>
              <w:keepNext w:val="0"/>
              <w:keepLines w:val="0"/>
              <w:pageBreakBefore w:val="0"/>
              <w:widowControl/>
              <w:kinsoku/>
              <w:wordWrap/>
              <w:overflowPunct/>
              <w:topLinePunct w:val="0"/>
              <w:autoSpaceDE/>
              <w:autoSpaceDN/>
              <w:bidi w:val="0"/>
              <w:adjustRightInd/>
              <w:snapToGrid/>
              <w:spacing w:line="222" w:lineRule="auto"/>
              <w:ind w:left="0" w:right="0"/>
              <w:jc w:val="center"/>
              <w:textAlignment w:val="auto"/>
              <w:rPr>
                <w:b/>
                <w:bCs/>
                <w:spacing w:val="-6"/>
                <w:highlight w:val="none"/>
              </w:rPr>
            </w:pPr>
            <w:r>
              <w:rPr>
                <w:b/>
                <w:bCs/>
                <w:spacing w:val="-6"/>
                <w:highlight w:val="none"/>
              </w:rPr>
              <w:t>标的</w:t>
            </w:r>
          </w:p>
          <w:p w14:paraId="2182052D">
            <w:pPr>
              <w:pStyle w:val="49"/>
              <w:keepNext w:val="0"/>
              <w:keepLines w:val="0"/>
              <w:pageBreakBefore w:val="0"/>
              <w:widowControl/>
              <w:kinsoku/>
              <w:wordWrap/>
              <w:overflowPunct/>
              <w:topLinePunct w:val="0"/>
              <w:autoSpaceDE/>
              <w:autoSpaceDN/>
              <w:bidi w:val="0"/>
              <w:adjustRightInd/>
              <w:snapToGrid/>
              <w:spacing w:line="222" w:lineRule="auto"/>
              <w:ind w:left="0" w:right="0"/>
              <w:jc w:val="center"/>
              <w:textAlignment w:val="auto"/>
              <w:rPr>
                <w:highlight w:val="none"/>
              </w:rPr>
            </w:pPr>
            <w:r>
              <w:rPr>
                <w:b/>
                <w:bCs/>
                <w:spacing w:val="-6"/>
                <w:highlight w:val="none"/>
              </w:rPr>
              <w:t>序号</w:t>
            </w:r>
          </w:p>
        </w:tc>
        <w:tc>
          <w:tcPr>
            <w:tcW w:w="2527" w:type="dxa"/>
            <w:tcBorders>
              <w:top w:val="single" w:color="000000" w:sz="2" w:space="0"/>
            </w:tcBorders>
            <w:shd w:val="clear" w:color="auto" w:fill="FFFFFF" w:themeFill="background1"/>
            <w:vAlign w:val="center"/>
          </w:tcPr>
          <w:p w14:paraId="601E10B9">
            <w:pPr>
              <w:pStyle w:val="49"/>
              <w:keepNext w:val="0"/>
              <w:keepLines w:val="0"/>
              <w:pageBreakBefore w:val="0"/>
              <w:widowControl/>
              <w:kinsoku/>
              <w:wordWrap/>
              <w:overflowPunct/>
              <w:topLinePunct w:val="0"/>
              <w:autoSpaceDE/>
              <w:autoSpaceDN/>
              <w:bidi w:val="0"/>
              <w:adjustRightInd/>
              <w:snapToGrid/>
              <w:spacing w:line="221" w:lineRule="auto"/>
              <w:ind w:left="0" w:right="0"/>
              <w:jc w:val="center"/>
              <w:textAlignment w:val="auto"/>
              <w:rPr>
                <w:highlight w:val="none"/>
              </w:rPr>
            </w:pPr>
            <w:r>
              <w:rPr>
                <w:b/>
                <w:bCs/>
                <w:spacing w:val="-6"/>
                <w:highlight w:val="none"/>
              </w:rPr>
              <w:t>标的名称</w:t>
            </w:r>
          </w:p>
        </w:tc>
        <w:tc>
          <w:tcPr>
            <w:tcW w:w="591" w:type="dxa"/>
            <w:tcBorders>
              <w:top w:val="single" w:color="000000" w:sz="2" w:space="0"/>
            </w:tcBorders>
            <w:shd w:val="clear" w:color="auto" w:fill="FFFFFF" w:themeFill="background1"/>
            <w:vAlign w:val="center"/>
          </w:tcPr>
          <w:p w14:paraId="101E6691">
            <w:pPr>
              <w:pStyle w:val="49"/>
              <w:keepNext w:val="0"/>
              <w:keepLines w:val="0"/>
              <w:pageBreakBefore w:val="0"/>
              <w:widowControl/>
              <w:kinsoku/>
              <w:wordWrap/>
              <w:overflowPunct/>
              <w:topLinePunct w:val="0"/>
              <w:autoSpaceDE/>
              <w:autoSpaceDN/>
              <w:bidi w:val="0"/>
              <w:adjustRightInd/>
              <w:snapToGrid/>
              <w:spacing w:line="223" w:lineRule="auto"/>
              <w:ind w:left="0" w:right="0"/>
              <w:jc w:val="center"/>
              <w:textAlignment w:val="auto"/>
              <w:rPr>
                <w:highlight w:val="none"/>
              </w:rPr>
            </w:pPr>
            <w:r>
              <w:rPr>
                <w:b/>
                <w:bCs/>
                <w:spacing w:val="-6"/>
                <w:highlight w:val="none"/>
              </w:rPr>
              <w:t>数量</w:t>
            </w:r>
          </w:p>
        </w:tc>
        <w:tc>
          <w:tcPr>
            <w:tcW w:w="708" w:type="dxa"/>
            <w:tcBorders>
              <w:top w:val="single" w:color="000000" w:sz="2" w:space="0"/>
            </w:tcBorders>
            <w:shd w:val="clear" w:color="auto" w:fill="FFFFFF" w:themeFill="background1"/>
            <w:vAlign w:val="center"/>
          </w:tcPr>
          <w:p w14:paraId="0B5E63A2">
            <w:pPr>
              <w:pStyle w:val="49"/>
              <w:keepNext w:val="0"/>
              <w:keepLines w:val="0"/>
              <w:pageBreakBefore w:val="0"/>
              <w:widowControl/>
              <w:kinsoku/>
              <w:wordWrap/>
              <w:overflowPunct/>
              <w:topLinePunct w:val="0"/>
              <w:autoSpaceDE/>
              <w:autoSpaceDN/>
              <w:bidi w:val="0"/>
              <w:adjustRightInd/>
              <w:snapToGrid/>
              <w:spacing w:line="221" w:lineRule="auto"/>
              <w:ind w:left="0" w:right="0"/>
              <w:jc w:val="center"/>
              <w:textAlignment w:val="auto"/>
              <w:rPr>
                <w:highlight w:val="none"/>
              </w:rPr>
            </w:pPr>
            <w:r>
              <w:rPr>
                <w:b/>
                <w:bCs/>
                <w:spacing w:val="-8"/>
                <w:highlight w:val="none"/>
              </w:rPr>
              <w:t>单位</w:t>
            </w:r>
          </w:p>
        </w:tc>
        <w:tc>
          <w:tcPr>
            <w:tcW w:w="1276" w:type="dxa"/>
            <w:tcBorders>
              <w:top w:val="single" w:color="000000" w:sz="2" w:space="0"/>
            </w:tcBorders>
            <w:shd w:val="clear" w:color="auto" w:fill="FFFFFF" w:themeFill="background1"/>
            <w:vAlign w:val="center"/>
          </w:tcPr>
          <w:p w14:paraId="654547A4">
            <w:pPr>
              <w:pStyle w:val="49"/>
              <w:keepNext w:val="0"/>
              <w:keepLines w:val="0"/>
              <w:pageBreakBefore w:val="0"/>
              <w:widowControl/>
              <w:kinsoku/>
              <w:wordWrap/>
              <w:overflowPunct/>
              <w:topLinePunct w:val="0"/>
              <w:autoSpaceDE/>
              <w:autoSpaceDN/>
              <w:bidi w:val="0"/>
              <w:adjustRightInd/>
              <w:snapToGrid/>
              <w:spacing w:line="222" w:lineRule="auto"/>
              <w:ind w:left="0" w:right="0"/>
              <w:jc w:val="center"/>
              <w:textAlignment w:val="auto"/>
              <w:rPr>
                <w:highlight w:val="none"/>
              </w:rPr>
            </w:pPr>
            <w:r>
              <w:rPr>
                <w:b/>
                <w:bCs/>
                <w:spacing w:val="-6"/>
                <w:highlight w:val="none"/>
              </w:rPr>
              <w:t>核心产品</w:t>
            </w:r>
          </w:p>
        </w:tc>
        <w:tc>
          <w:tcPr>
            <w:tcW w:w="1276" w:type="dxa"/>
            <w:tcBorders>
              <w:top w:val="single" w:color="000000" w:sz="2" w:space="0"/>
            </w:tcBorders>
            <w:shd w:val="clear" w:color="auto" w:fill="FFFFFF" w:themeFill="background1"/>
            <w:vAlign w:val="center"/>
          </w:tcPr>
          <w:p w14:paraId="3D80E1B9">
            <w:pPr>
              <w:pStyle w:val="49"/>
              <w:keepNext w:val="0"/>
              <w:keepLines w:val="0"/>
              <w:pageBreakBefore w:val="0"/>
              <w:widowControl/>
              <w:kinsoku/>
              <w:wordWrap/>
              <w:overflowPunct/>
              <w:topLinePunct w:val="0"/>
              <w:autoSpaceDE/>
              <w:autoSpaceDN/>
              <w:bidi w:val="0"/>
              <w:adjustRightInd/>
              <w:snapToGrid/>
              <w:spacing w:line="222" w:lineRule="auto"/>
              <w:ind w:left="0" w:right="0"/>
              <w:jc w:val="center"/>
              <w:textAlignment w:val="auto"/>
              <w:rPr>
                <w:highlight w:val="none"/>
              </w:rPr>
            </w:pPr>
            <w:r>
              <w:rPr>
                <w:b/>
                <w:bCs/>
                <w:spacing w:val="-7"/>
                <w:highlight w:val="none"/>
              </w:rPr>
              <w:t>主要标的</w:t>
            </w:r>
          </w:p>
        </w:tc>
        <w:tc>
          <w:tcPr>
            <w:tcW w:w="1845" w:type="dxa"/>
            <w:tcBorders>
              <w:top w:val="single" w:color="000000" w:sz="2" w:space="0"/>
              <w:right w:val="single" w:color="000000" w:sz="2" w:space="0"/>
            </w:tcBorders>
            <w:shd w:val="clear" w:color="auto" w:fill="FFFFFF" w:themeFill="background1"/>
            <w:vAlign w:val="center"/>
          </w:tcPr>
          <w:p w14:paraId="29481E88">
            <w:pPr>
              <w:pStyle w:val="49"/>
              <w:keepNext w:val="0"/>
              <w:keepLines w:val="0"/>
              <w:pageBreakBefore w:val="0"/>
              <w:widowControl/>
              <w:kinsoku/>
              <w:wordWrap/>
              <w:overflowPunct/>
              <w:topLinePunct w:val="0"/>
              <w:autoSpaceDE/>
              <w:autoSpaceDN/>
              <w:bidi w:val="0"/>
              <w:adjustRightInd/>
              <w:snapToGrid/>
              <w:spacing w:line="242" w:lineRule="auto"/>
              <w:ind w:left="0" w:right="0" w:firstLine="31"/>
              <w:jc w:val="center"/>
              <w:textAlignment w:val="auto"/>
              <w:rPr>
                <w:rFonts w:hint="eastAsia"/>
                <w:b/>
                <w:bCs/>
                <w:spacing w:val="-10"/>
                <w:highlight w:val="none"/>
                <w:lang w:val="en-US" w:eastAsia="zh-CN"/>
              </w:rPr>
            </w:pPr>
            <w:r>
              <w:rPr>
                <w:rFonts w:hint="eastAsia"/>
                <w:b/>
                <w:bCs/>
                <w:spacing w:val="-10"/>
                <w:highlight w:val="none"/>
                <w:lang w:val="en-US" w:eastAsia="zh-CN"/>
              </w:rPr>
              <w:t>最高投标限价</w:t>
            </w:r>
          </w:p>
          <w:p w14:paraId="5AD5EBFE">
            <w:pPr>
              <w:pStyle w:val="49"/>
              <w:keepNext w:val="0"/>
              <w:keepLines w:val="0"/>
              <w:pageBreakBefore w:val="0"/>
              <w:widowControl/>
              <w:kinsoku/>
              <w:wordWrap/>
              <w:overflowPunct/>
              <w:topLinePunct w:val="0"/>
              <w:autoSpaceDE/>
              <w:autoSpaceDN/>
              <w:bidi w:val="0"/>
              <w:adjustRightInd/>
              <w:snapToGrid/>
              <w:spacing w:line="242" w:lineRule="auto"/>
              <w:ind w:left="0" w:right="0" w:firstLine="31"/>
              <w:jc w:val="center"/>
              <w:textAlignment w:val="auto"/>
              <w:rPr>
                <w:rFonts w:hint="default" w:eastAsia="仿宋"/>
                <w:b/>
                <w:bCs/>
                <w:spacing w:val="-10"/>
                <w:highlight w:val="none"/>
                <w:lang w:val="en-US" w:eastAsia="zh-CN"/>
              </w:rPr>
            </w:pPr>
            <w:r>
              <w:rPr>
                <w:rFonts w:hint="eastAsia"/>
                <w:b/>
                <w:bCs/>
                <w:spacing w:val="-10"/>
                <w:highlight w:val="none"/>
                <w:lang w:val="en-US" w:eastAsia="zh-CN"/>
              </w:rPr>
              <w:t>（万元）</w:t>
            </w:r>
          </w:p>
        </w:tc>
        <w:tc>
          <w:tcPr>
            <w:tcW w:w="1845" w:type="dxa"/>
            <w:tcBorders>
              <w:top w:val="single" w:color="000000" w:sz="2" w:space="0"/>
              <w:right w:val="single" w:color="000000" w:sz="2" w:space="0"/>
            </w:tcBorders>
            <w:shd w:val="clear" w:color="auto" w:fill="FFFFFF" w:themeFill="background1"/>
            <w:vAlign w:val="center"/>
          </w:tcPr>
          <w:p w14:paraId="2D2FBF41">
            <w:pPr>
              <w:pStyle w:val="49"/>
              <w:keepNext w:val="0"/>
              <w:keepLines w:val="0"/>
              <w:pageBreakBefore w:val="0"/>
              <w:widowControl/>
              <w:kinsoku/>
              <w:wordWrap/>
              <w:overflowPunct/>
              <w:topLinePunct w:val="0"/>
              <w:autoSpaceDE/>
              <w:autoSpaceDN/>
              <w:bidi w:val="0"/>
              <w:adjustRightInd/>
              <w:snapToGrid/>
              <w:spacing w:line="242" w:lineRule="auto"/>
              <w:ind w:left="0" w:right="0" w:firstLine="31"/>
              <w:jc w:val="center"/>
              <w:textAlignment w:val="auto"/>
              <w:rPr>
                <w:highlight w:val="none"/>
              </w:rPr>
            </w:pPr>
            <w:r>
              <w:rPr>
                <w:b/>
                <w:bCs/>
                <w:spacing w:val="-10"/>
                <w:highlight w:val="none"/>
              </w:rPr>
              <w:t>中小企业划分</w:t>
            </w:r>
            <w:r>
              <w:rPr>
                <w:b/>
                <w:bCs/>
                <w:spacing w:val="-5"/>
                <w:highlight w:val="none"/>
              </w:rPr>
              <w:t>标准所属行业</w:t>
            </w:r>
          </w:p>
        </w:tc>
      </w:tr>
      <w:tr w14:paraId="6E090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E08B7C9">
            <w:pPr>
              <w:pStyle w:val="49"/>
              <w:keepNext w:val="0"/>
              <w:keepLines w:val="0"/>
              <w:pageBreakBefore w:val="0"/>
              <w:widowControl/>
              <w:kinsoku/>
              <w:wordWrap/>
              <w:overflowPunct/>
              <w:topLinePunct w:val="0"/>
              <w:autoSpaceDE/>
              <w:autoSpaceDN/>
              <w:bidi w:val="0"/>
              <w:adjustRightInd/>
              <w:snapToGrid/>
              <w:spacing w:line="179" w:lineRule="auto"/>
              <w:ind w:left="0" w:right="0"/>
              <w:jc w:val="center"/>
              <w:textAlignment w:val="auto"/>
              <w:rPr>
                <w:highlight w:val="none"/>
              </w:rPr>
            </w:pPr>
            <w:r>
              <w:rPr>
                <w:highlight w:val="none"/>
              </w:rPr>
              <w:t>1</w:t>
            </w:r>
          </w:p>
        </w:tc>
        <w:tc>
          <w:tcPr>
            <w:tcW w:w="2527" w:type="dxa"/>
            <w:vAlign w:val="center"/>
          </w:tcPr>
          <w:p w14:paraId="1196BBA4">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全自动血液细胞分析仪</w:t>
            </w:r>
          </w:p>
        </w:tc>
        <w:tc>
          <w:tcPr>
            <w:tcW w:w="591" w:type="dxa"/>
            <w:vAlign w:val="center"/>
          </w:tcPr>
          <w:p w14:paraId="2F03D7D6">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0DA5AA2E">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5E42F3DC">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highlight w:val="none"/>
              </w:rPr>
            </w:pPr>
          </w:p>
        </w:tc>
        <w:tc>
          <w:tcPr>
            <w:tcW w:w="1276" w:type="dxa"/>
            <w:vAlign w:val="center"/>
          </w:tcPr>
          <w:p w14:paraId="7E9BD94F">
            <w:pPr>
              <w:keepNext w:val="0"/>
              <w:keepLines w:val="0"/>
              <w:pageBreakBefore w:val="0"/>
              <w:widowControl/>
              <w:kinsoku/>
              <w:wordWrap/>
              <w:overflowPunct/>
              <w:topLinePunct w:val="0"/>
              <w:autoSpaceDE/>
              <w:autoSpaceDN/>
              <w:bidi w:val="0"/>
              <w:adjustRightInd/>
              <w:snapToGrid/>
              <w:ind w:left="0" w:right="0"/>
              <w:jc w:val="center"/>
              <w:textAlignment w:val="auto"/>
              <w:rPr>
                <w:rFonts w:ascii="Arial"/>
                <w:sz w:val="21"/>
                <w:highlight w:val="none"/>
              </w:rPr>
            </w:pPr>
            <w:r>
              <w:rPr>
                <w:b/>
                <w:bCs/>
                <w:spacing w:val="-3"/>
                <w:position w:val="1"/>
                <w:highlight w:val="none"/>
              </w:rPr>
              <w:t>√</w:t>
            </w:r>
          </w:p>
        </w:tc>
        <w:tc>
          <w:tcPr>
            <w:tcW w:w="1845" w:type="dxa"/>
            <w:tcBorders>
              <w:right w:val="single" w:color="000000" w:sz="2" w:space="0"/>
            </w:tcBorders>
            <w:vAlign w:val="center"/>
          </w:tcPr>
          <w:p w14:paraId="6891D2CD">
            <w:pPr>
              <w:keepNext w:val="0"/>
              <w:keepLines w:val="0"/>
              <w:widowControl/>
              <w:suppressLineNumbers w:val="0"/>
              <w:ind w:firstLine="0" w:firstLineChars="0"/>
              <w:jc w:val="center"/>
              <w:textAlignment w:val="center"/>
              <w:rPr>
                <w:spacing w:val="-6"/>
                <w:highlight w:val="none"/>
              </w:rPr>
            </w:pPr>
          </w:p>
        </w:tc>
        <w:tc>
          <w:tcPr>
            <w:tcW w:w="1845" w:type="dxa"/>
            <w:tcBorders>
              <w:right w:val="single" w:color="000000" w:sz="2" w:space="0"/>
            </w:tcBorders>
            <w:vAlign w:val="center"/>
          </w:tcPr>
          <w:p w14:paraId="6EA4D553">
            <w:pPr>
              <w:pStyle w:val="49"/>
              <w:keepNext w:val="0"/>
              <w:keepLines w:val="0"/>
              <w:pageBreakBefore w:val="0"/>
              <w:widowControl/>
              <w:kinsoku/>
              <w:wordWrap/>
              <w:overflowPunct/>
              <w:topLinePunct w:val="0"/>
              <w:autoSpaceDE/>
              <w:autoSpaceDN/>
              <w:bidi w:val="0"/>
              <w:adjustRightInd/>
              <w:snapToGrid/>
              <w:spacing w:line="233" w:lineRule="auto"/>
              <w:ind w:left="0" w:right="0"/>
              <w:jc w:val="center"/>
              <w:textAlignment w:val="auto"/>
              <w:rPr>
                <w:highlight w:val="none"/>
              </w:rPr>
            </w:pPr>
            <w:r>
              <w:rPr>
                <w:spacing w:val="-6"/>
                <w:highlight w:val="none"/>
              </w:rPr>
              <w:t>工业</w:t>
            </w:r>
          </w:p>
        </w:tc>
      </w:tr>
      <w:tr w14:paraId="2C96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DD37709">
            <w:pPr>
              <w:pStyle w:val="49"/>
              <w:keepNext w:val="0"/>
              <w:keepLines w:val="0"/>
              <w:pageBreakBefore w:val="0"/>
              <w:widowControl/>
              <w:kinsoku/>
              <w:wordWrap/>
              <w:overflowPunct/>
              <w:topLinePunct w:val="0"/>
              <w:autoSpaceDE/>
              <w:autoSpaceDN/>
              <w:bidi w:val="0"/>
              <w:adjustRightInd/>
              <w:snapToGrid/>
              <w:spacing w:line="179" w:lineRule="auto"/>
              <w:ind w:left="0" w:right="0"/>
              <w:jc w:val="center"/>
              <w:textAlignment w:val="auto"/>
              <w:rPr>
                <w:rFonts w:hint="eastAsia" w:eastAsia="仿宋"/>
                <w:highlight w:val="none"/>
                <w:lang w:val="en-US" w:eastAsia="zh-CN"/>
              </w:rPr>
            </w:pPr>
            <w:r>
              <w:rPr>
                <w:rFonts w:hint="eastAsia"/>
                <w:highlight w:val="none"/>
                <w:lang w:val="en-US" w:eastAsia="zh-CN"/>
              </w:rPr>
              <w:t>2</w:t>
            </w:r>
          </w:p>
        </w:tc>
        <w:tc>
          <w:tcPr>
            <w:tcW w:w="2527" w:type="dxa"/>
            <w:vAlign w:val="center"/>
          </w:tcPr>
          <w:p w14:paraId="5302A657">
            <w:pPr>
              <w:keepNext w:val="0"/>
              <w:keepLines w:val="0"/>
              <w:widowControl/>
              <w:suppressLineNumbers w:val="0"/>
              <w:ind w:firstLine="0" w:firstLineChars="0"/>
              <w:jc w:val="center"/>
              <w:textAlignment w:val="center"/>
              <w:rPr>
                <w:spacing w:val="-3"/>
                <w:highlight w:val="none"/>
              </w:rPr>
            </w:pPr>
            <w:r>
              <w:rPr>
                <w:rFonts w:hint="default" w:ascii="Tahoma" w:hAnsi="Tahoma" w:eastAsia="Tahoma" w:cs="Tahoma"/>
                <w:i w:val="0"/>
                <w:iCs w:val="0"/>
                <w:color w:val="000000"/>
                <w:kern w:val="0"/>
                <w:sz w:val="22"/>
                <w:szCs w:val="22"/>
                <w:highlight w:val="none"/>
                <w:u w:val="none"/>
                <w:lang w:val="en-US" w:eastAsia="zh-CN" w:bidi="ar"/>
              </w:rPr>
              <w:t>全自动尿液分析系统</w:t>
            </w:r>
          </w:p>
        </w:tc>
        <w:tc>
          <w:tcPr>
            <w:tcW w:w="591" w:type="dxa"/>
            <w:vAlign w:val="center"/>
          </w:tcPr>
          <w:p w14:paraId="61DC9376">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49C4CF19">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06239C73">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0E5F040">
            <w:pPr>
              <w:keepNext w:val="0"/>
              <w:keepLines w:val="0"/>
              <w:pageBreakBefore w:val="0"/>
              <w:widowControl/>
              <w:kinsoku/>
              <w:wordWrap/>
              <w:overflowPunct/>
              <w:topLinePunct w:val="0"/>
              <w:autoSpaceDE/>
              <w:autoSpaceDN/>
              <w:bidi w:val="0"/>
              <w:adjustRightInd/>
              <w:snapToGrid/>
              <w:ind w:left="0" w:right="0" w:firstLine="0" w:firstLineChars="0"/>
              <w:jc w:val="center"/>
              <w:textAlignment w:val="auto"/>
              <w:rPr>
                <w:rFonts w:ascii="Arial"/>
                <w:sz w:val="21"/>
                <w:highlight w:val="none"/>
              </w:rPr>
            </w:pPr>
            <w:r>
              <w:rPr>
                <w:b/>
                <w:bCs/>
                <w:spacing w:val="-3"/>
                <w:position w:val="1"/>
                <w:highlight w:val="none"/>
              </w:rPr>
              <w:t>√</w:t>
            </w:r>
          </w:p>
        </w:tc>
        <w:tc>
          <w:tcPr>
            <w:tcW w:w="1845" w:type="dxa"/>
            <w:tcBorders>
              <w:right w:val="single" w:color="000000" w:sz="2" w:space="0"/>
            </w:tcBorders>
            <w:vAlign w:val="center"/>
          </w:tcPr>
          <w:p w14:paraId="3AB2E920">
            <w:pPr>
              <w:keepNext w:val="0"/>
              <w:keepLines w:val="0"/>
              <w:widowControl/>
              <w:suppressLineNumbers w:val="0"/>
              <w:ind w:firstLine="0" w:firstLineChars="0"/>
              <w:jc w:val="center"/>
              <w:textAlignment w:val="center"/>
              <w:rPr>
                <w:spacing w:val="-6"/>
                <w:highlight w:val="none"/>
              </w:rPr>
            </w:pPr>
          </w:p>
        </w:tc>
        <w:tc>
          <w:tcPr>
            <w:tcW w:w="1845" w:type="dxa"/>
            <w:tcBorders>
              <w:right w:val="single" w:color="000000" w:sz="2" w:space="0"/>
            </w:tcBorders>
            <w:vAlign w:val="center"/>
          </w:tcPr>
          <w:p w14:paraId="7445EDEA">
            <w:pPr>
              <w:keepNext w:val="0"/>
              <w:keepLines w:val="0"/>
              <w:pageBreakBefore w:val="0"/>
              <w:widowControl/>
              <w:kinsoku/>
              <w:wordWrap/>
              <w:overflowPunct/>
              <w:topLinePunct w:val="0"/>
              <w:autoSpaceDE/>
              <w:autoSpaceDN/>
              <w:bidi w:val="0"/>
              <w:adjustRightInd/>
              <w:snapToGrid/>
              <w:spacing w:line="233" w:lineRule="auto"/>
              <w:ind w:left="0" w:right="0" w:firstLine="0" w:firstLineChars="0"/>
              <w:jc w:val="center"/>
              <w:textAlignment w:val="auto"/>
              <w:rPr>
                <w:spacing w:val="-6"/>
                <w:highlight w:val="none"/>
              </w:rPr>
            </w:pPr>
            <w:r>
              <w:rPr>
                <w:spacing w:val="-6"/>
                <w:highlight w:val="none"/>
              </w:rPr>
              <w:t>工业</w:t>
            </w:r>
          </w:p>
        </w:tc>
      </w:tr>
      <w:tr w14:paraId="1918A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662B36C6">
            <w:pPr>
              <w:pStyle w:val="49"/>
              <w:keepNext w:val="0"/>
              <w:keepLines w:val="0"/>
              <w:pageBreakBefore w:val="0"/>
              <w:widowControl/>
              <w:kinsoku/>
              <w:wordWrap/>
              <w:overflowPunct/>
              <w:topLinePunct w:val="0"/>
              <w:autoSpaceDE/>
              <w:autoSpaceDN/>
              <w:bidi w:val="0"/>
              <w:adjustRightInd/>
              <w:snapToGrid/>
              <w:spacing w:line="179" w:lineRule="auto"/>
              <w:ind w:left="0" w:right="0"/>
              <w:jc w:val="center"/>
              <w:textAlignment w:val="auto"/>
              <w:rPr>
                <w:rFonts w:hint="eastAsia" w:eastAsia="仿宋"/>
                <w:highlight w:val="none"/>
                <w:lang w:val="en-US" w:eastAsia="zh-CN"/>
              </w:rPr>
            </w:pPr>
            <w:r>
              <w:rPr>
                <w:rFonts w:hint="eastAsia"/>
                <w:highlight w:val="none"/>
                <w:lang w:val="en-US" w:eastAsia="zh-CN"/>
              </w:rPr>
              <w:t>3</w:t>
            </w:r>
          </w:p>
        </w:tc>
        <w:tc>
          <w:tcPr>
            <w:tcW w:w="2527" w:type="dxa"/>
            <w:vAlign w:val="center"/>
          </w:tcPr>
          <w:p w14:paraId="15E881A3">
            <w:pPr>
              <w:keepNext w:val="0"/>
              <w:keepLines w:val="0"/>
              <w:widowControl/>
              <w:suppressLineNumbers w:val="0"/>
              <w:ind w:firstLine="0" w:firstLineChars="0"/>
              <w:jc w:val="center"/>
              <w:textAlignment w:val="center"/>
              <w:rPr>
                <w:spacing w:val="-3"/>
                <w:highlight w:val="none"/>
              </w:rPr>
            </w:pPr>
            <w:r>
              <w:rPr>
                <w:rFonts w:hint="default" w:ascii="Tahoma" w:hAnsi="Tahoma" w:eastAsia="Tahoma" w:cs="Tahoma"/>
                <w:i w:val="0"/>
                <w:iCs w:val="0"/>
                <w:color w:val="000000"/>
                <w:kern w:val="0"/>
                <w:sz w:val="22"/>
                <w:szCs w:val="22"/>
                <w:highlight w:val="none"/>
                <w:u w:val="none"/>
                <w:lang w:val="en-US" w:eastAsia="zh-CN" w:bidi="ar"/>
              </w:rPr>
              <w:t>显微镜</w:t>
            </w:r>
          </w:p>
        </w:tc>
        <w:tc>
          <w:tcPr>
            <w:tcW w:w="591" w:type="dxa"/>
            <w:vAlign w:val="center"/>
          </w:tcPr>
          <w:p w14:paraId="081CF708">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1EAD0795">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3C84020F">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55D1305">
            <w:pPr>
              <w:keepNext w:val="0"/>
              <w:keepLines w:val="0"/>
              <w:pageBreakBefore w:val="0"/>
              <w:widowControl/>
              <w:kinsoku/>
              <w:wordWrap/>
              <w:overflowPunct/>
              <w:topLinePunct w:val="0"/>
              <w:autoSpaceDE/>
              <w:autoSpaceDN/>
              <w:bidi w:val="0"/>
              <w:adjustRightInd/>
              <w:snapToGrid/>
              <w:ind w:left="0" w:right="0" w:firstLine="0" w:firstLineChars="0"/>
              <w:jc w:val="center"/>
              <w:textAlignment w:val="auto"/>
              <w:rPr>
                <w:rFonts w:ascii="Arial"/>
                <w:sz w:val="21"/>
                <w:highlight w:val="none"/>
              </w:rPr>
            </w:pPr>
            <w:r>
              <w:rPr>
                <w:b/>
                <w:bCs/>
                <w:spacing w:val="-3"/>
                <w:position w:val="1"/>
                <w:highlight w:val="none"/>
              </w:rPr>
              <w:t>√</w:t>
            </w:r>
          </w:p>
        </w:tc>
        <w:tc>
          <w:tcPr>
            <w:tcW w:w="1845" w:type="dxa"/>
            <w:tcBorders>
              <w:right w:val="single" w:color="000000" w:sz="2" w:space="0"/>
            </w:tcBorders>
            <w:vAlign w:val="center"/>
          </w:tcPr>
          <w:p w14:paraId="726974A8">
            <w:pPr>
              <w:keepNext w:val="0"/>
              <w:keepLines w:val="0"/>
              <w:widowControl/>
              <w:suppressLineNumbers w:val="0"/>
              <w:ind w:firstLine="0" w:firstLineChars="0"/>
              <w:jc w:val="center"/>
              <w:textAlignment w:val="center"/>
              <w:rPr>
                <w:spacing w:val="-6"/>
                <w:highlight w:val="none"/>
              </w:rPr>
            </w:pPr>
          </w:p>
        </w:tc>
        <w:tc>
          <w:tcPr>
            <w:tcW w:w="1845" w:type="dxa"/>
            <w:tcBorders>
              <w:right w:val="single" w:color="000000" w:sz="2" w:space="0"/>
            </w:tcBorders>
            <w:vAlign w:val="center"/>
          </w:tcPr>
          <w:p w14:paraId="0C89C441">
            <w:pPr>
              <w:keepNext w:val="0"/>
              <w:keepLines w:val="0"/>
              <w:pageBreakBefore w:val="0"/>
              <w:widowControl/>
              <w:kinsoku/>
              <w:wordWrap/>
              <w:overflowPunct/>
              <w:topLinePunct w:val="0"/>
              <w:autoSpaceDE/>
              <w:autoSpaceDN/>
              <w:bidi w:val="0"/>
              <w:adjustRightInd/>
              <w:snapToGrid/>
              <w:spacing w:line="233" w:lineRule="auto"/>
              <w:ind w:left="0" w:right="0" w:firstLine="0" w:firstLineChars="0"/>
              <w:jc w:val="center"/>
              <w:textAlignment w:val="auto"/>
              <w:rPr>
                <w:spacing w:val="-6"/>
                <w:highlight w:val="none"/>
              </w:rPr>
            </w:pPr>
            <w:r>
              <w:rPr>
                <w:spacing w:val="-6"/>
                <w:highlight w:val="none"/>
              </w:rPr>
              <w:t>工业</w:t>
            </w:r>
          </w:p>
        </w:tc>
      </w:tr>
      <w:tr w14:paraId="68924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4A4F45C">
            <w:pPr>
              <w:pStyle w:val="49"/>
              <w:keepNext w:val="0"/>
              <w:keepLines w:val="0"/>
              <w:pageBreakBefore w:val="0"/>
              <w:widowControl/>
              <w:kinsoku/>
              <w:wordWrap/>
              <w:overflowPunct/>
              <w:topLinePunct w:val="0"/>
              <w:autoSpaceDE/>
              <w:autoSpaceDN/>
              <w:bidi w:val="0"/>
              <w:adjustRightInd/>
              <w:snapToGrid/>
              <w:spacing w:line="179" w:lineRule="auto"/>
              <w:ind w:left="0" w:right="0"/>
              <w:jc w:val="center"/>
              <w:textAlignment w:val="auto"/>
              <w:rPr>
                <w:rFonts w:hint="default" w:eastAsia="仿宋"/>
                <w:highlight w:val="none"/>
                <w:lang w:val="en-US" w:eastAsia="zh-CN"/>
              </w:rPr>
            </w:pPr>
            <w:r>
              <w:rPr>
                <w:rFonts w:hint="eastAsia"/>
                <w:highlight w:val="none"/>
                <w:lang w:val="en-US" w:eastAsia="zh-CN"/>
              </w:rPr>
              <w:t>4</w:t>
            </w:r>
          </w:p>
        </w:tc>
        <w:tc>
          <w:tcPr>
            <w:tcW w:w="2527" w:type="dxa"/>
            <w:vAlign w:val="center"/>
          </w:tcPr>
          <w:p w14:paraId="5CE90162">
            <w:pPr>
              <w:keepNext w:val="0"/>
              <w:keepLines w:val="0"/>
              <w:widowControl/>
              <w:suppressLineNumbers w:val="0"/>
              <w:ind w:firstLine="0" w:firstLineChars="0"/>
              <w:jc w:val="center"/>
              <w:textAlignment w:val="center"/>
              <w:rPr>
                <w:spacing w:val="-3"/>
                <w:highlight w:val="none"/>
              </w:rPr>
            </w:pPr>
            <w:r>
              <w:rPr>
                <w:rFonts w:hint="default" w:ascii="Tahoma" w:hAnsi="Tahoma" w:eastAsia="Tahoma" w:cs="Tahoma"/>
                <w:i w:val="0"/>
                <w:iCs w:val="0"/>
                <w:color w:val="000000"/>
                <w:kern w:val="0"/>
                <w:sz w:val="22"/>
                <w:szCs w:val="22"/>
                <w:highlight w:val="none"/>
                <w:u w:val="none"/>
                <w:lang w:val="en-US" w:eastAsia="zh-CN" w:bidi="ar"/>
              </w:rPr>
              <w:t>低速离心机</w:t>
            </w:r>
          </w:p>
        </w:tc>
        <w:tc>
          <w:tcPr>
            <w:tcW w:w="591" w:type="dxa"/>
            <w:vAlign w:val="center"/>
          </w:tcPr>
          <w:p w14:paraId="3DE2A2C1">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643E4C1D">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7D2F4078">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5FCC826">
            <w:pPr>
              <w:keepNext w:val="0"/>
              <w:keepLines w:val="0"/>
              <w:pageBreakBefore w:val="0"/>
              <w:widowControl/>
              <w:kinsoku/>
              <w:wordWrap/>
              <w:overflowPunct/>
              <w:topLinePunct w:val="0"/>
              <w:autoSpaceDE/>
              <w:autoSpaceDN/>
              <w:bidi w:val="0"/>
              <w:adjustRightInd/>
              <w:snapToGrid/>
              <w:ind w:left="0" w:right="0" w:firstLine="0" w:firstLineChars="0"/>
              <w:jc w:val="center"/>
              <w:textAlignment w:val="auto"/>
              <w:rPr>
                <w:rFonts w:ascii="Arial"/>
                <w:sz w:val="21"/>
                <w:highlight w:val="none"/>
              </w:rPr>
            </w:pPr>
            <w:r>
              <w:rPr>
                <w:b/>
                <w:bCs/>
                <w:spacing w:val="-3"/>
                <w:position w:val="1"/>
                <w:highlight w:val="none"/>
              </w:rPr>
              <w:t>√</w:t>
            </w:r>
          </w:p>
        </w:tc>
        <w:tc>
          <w:tcPr>
            <w:tcW w:w="1845" w:type="dxa"/>
            <w:tcBorders>
              <w:right w:val="single" w:color="000000" w:sz="2" w:space="0"/>
            </w:tcBorders>
            <w:vAlign w:val="center"/>
          </w:tcPr>
          <w:p w14:paraId="76B5D964">
            <w:pPr>
              <w:keepNext w:val="0"/>
              <w:keepLines w:val="0"/>
              <w:widowControl/>
              <w:suppressLineNumbers w:val="0"/>
              <w:ind w:firstLine="0" w:firstLineChars="0"/>
              <w:jc w:val="center"/>
              <w:textAlignment w:val="center"/>
              <w:rPr>
                <w:spacing w:val="-6"/>
                <w:highlight w:val="none"/>
              </w:rPr>
            </w:pPr>
          </w:p>
        </w:tc>
        <w:tc>
          <w:tcPr>
            <w:tcW w:w="1845" w:type="dxa"/>
            <w:tcBorders>
              <w:right w:val="single" w:color="000000" w:sz="2" w:space="0"/>
            </w:tcBorders>
            <w:vAlign w:val="center"/>
          </w:tcPr>
          <w:p w14:paraId="3BB0515F">
            <w:pPr>
              <w:keepNext w:val="0"/>
              <w:keepLines w:val="0"/>
              <w:pageBreakBefore w:val="0"/>
              <w:widowControl/>
              <w:kinsoku/>
              <w:wordWrap/>
              <w:overflowPunct/>
              <w:topLinePunct w:val="0"/>
              <w:autoSpaceDE/>
              <w:autoSpaceDN/>
              <w:bidi w:val="0"/>
              <w:adjustRightInd/>
              <w:snapToGrid/>
              <w:spacing w:line="233" w:lineRule="auto"/>
              <w:ind w:left="0" w:right="0" w:firstLine="0" w:firstLineChars="0"/>
              <w:jc w:val="center"/>
              <w:textAlignment w:val="auto"/>
              <w:rPr>
                <w:spacing w:val="-6"/>
                <w:highlight w:val="none"/>
              </w:rPr>
            </w:pPr>
            <w:r>
              <w:rPr>
                <w:spacing w:val="-6"/>
                <w:highlight w:val="none"/>
              </w:rPr>
              <w:t>工业</w:t>
            </w:r>
          </w:p>
        </w:tc>
      </w:tr>
      <w:tr w14:paraId="29462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7F08215">
            <w:pPr>
              <w:pStyle w:val="49"/>
              <w:keepNext w:val="0"/>
              <w:keepLines w:val="0"/>
              <w:pageBreakBefore w:val="0"/>
              <w:widowControl/>
              <w:kinsoku/>
              <w:wordWrap/>
              <w:overflowPunct/>
              <w:topLinePunct w:val="0"/>
              <w:autoSpaceDE/>
              <w:autoSpaceDN/>
              <w:bidi w:val="0"/>
              <w:adjustRightInd/>
              <w:snapToGrid/>
              <w:spacing w:line="179" w:lineRule="auto"/>
              <w:ind w:left="0" w:right="0"/>
              <w:jc w:val="center"/>
              <w:textAlignment w:val="auto"/>
              <w:rPr>
                <w:rFonts w:hint="eastAsia" w:eastAsia="仿宋"/>
                <w:highlight w:val="none"/>
                <w:lang w:val="en-US" w:eastAsia="zh-CN"/>
              </w:rPr>
            </w:pPr>
            <w:r>
              <w:rPr>
                <w:rFonts w:hint="eastAsia"/>
                <w:highlight w:val="none"/>
                <w:lang w:val="en-US" w:eastAsia="zh-CN"/>
              </w:rPr>
              <w:t>5</w:t>
            </w:r>
          </w:p>
        </w:tc>
        <w:tc>
          <w:tcPr>
            <w:tcW w:w="2527" w:type="dxa"/>
            <w:vAlign w:val="center"/>
          </w:tcPr>
          <w:p w14:paraId="6F69112B">
            <w:pPr>
              <w:keepNext w:val="0"/>
              <w:keepLines w:val="0"/>
              <w:widowControl/>
              <w:suppressLineNumbers w:val="0"/>
              <w:ind w:firstLine="0" w:firstLineChars="0"/>
              <w:jc w:val="center"/>
              <w:textAlignment w:val="center"/>
              <w:rPr>
                <w:spacing w:val="-3"/>
                <w:highlight w:val="none"/>
              </w:rPr>
            </w:pPr>
            <w:r>
              <w:rPr>
                <w:rFonts w:hint="default" w:ascii="Tahoma" w:hAnsi="Tahoma" w:eastAsia="Tahoma" w:cs="Tahoma"/>
                <w:i w:val="0"/>
                <w:iCs w:val="0"/>
                <w:color w:val="000000"/>
                <w:kern w:val="0"/>
                <w:sz w:val="22"/>
                <w:szCs w:val="22"/>
                <w:highlight w:val="none"/>
                <w:u w:val="none"/>
                <w:lang w:val="en-US" w:eastAsia="zh-CN" w:bidi="ar"/>
              </w:rPr>
              <w:t>水浴锅</w:t>
            </w:r>
          </w:p>
        </w:tc>
        <w:tc>
          <w:tcPr>
            <w:tcW w:w="591" w:type="dxa"/>
            <w:vAlign w:val="center"/>
          </w:tcPr>
          <w:p w14:paraId="2952DCAF">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4BE442A7">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5DBAA8E4">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6B8A53D">
            <w:pPr>
              <w:keepNext w:val="0"/>
              <w:keepLines w:val="0"/>
              <w:pageBreakBefore w:val="0"/>
              <w:widowControl/>
              <w:kinsoku/>
              <w:wordWrap/>
              <w:overflowPunct/>
              <w:topLinePunct w:val="0"/>
              <w:autoSpaceDE/>
              <w:autoSpaceDN/>
              <w:bidi w:val="0"/>
              <w:adjustRightInd/>
              <w:snapToGrid/>
              <w:ind w:left="0" w:right="0" w:firstLine="0" w:firstLineChars="0"/>
              <w:jc w:val="center"/>
              <w:textAlignment w:val="auto"/>
              <w:rPr>
                <w:rFonts w:ascii="Arial"/>
                <w:sz w:val="21"/>
                <w:highlight w:val="none"/>
              </w:rPr>
            </w:pPr>
            <w:r>
              <w:rPr>
                <w:b/>
                <w:bCs/>
                <w:spacing w:val="-3"/>
                <w:position w:val="1"/>
                <w:highlight w:val="none"/>
              </w:rPr>
              <w:t>√</w:t>
            </w:r>
          </w:p>
        </w:tc>
        <w:tc>
          <w:tcPr>
            <w:tcW w:w="1845" w:type="dxa"/>
            <w:tcBorders>
              <w:right w:val="single" w:color="000000" w:sz="2" w:space="0"/>
            </w:tcBorders>
            <w:vAlign w:val="center"/>
          </w:tcPr>
          <w:p w14:paraId="33BB3E3E">
            <w:pPr>
              <w:keepNext w:val="0"/>
              <w:keepLines w:val="0"/>
              <w:widowControl/>
              <w:suppressLineNumbers w:val="0"/>
              <w:ind w:firstLine="0" w:firstLineChars="0"/>
              <w:jc w:val="center"/>
              <w:textAlignment w:val="center"/>
              <w:rPr>
                <w:spacing w:val="-6"/>
                <w:highlight w:val="none"/>
              </w:rPr>
            </w:pPr>
          </w:p>
        </w:tc>
        <w:tc>
          <w:tcPr>
            <w:tcW w:w="1845" w:type="dxa"/>
            <w:tcBorders>
              <w:right w:val="single" w:color="000000" w:sz="2" w:space="0"/>
            </w:tcBorders>
            <w:vAlign w:val="center"/>
          </w:tcPr>
          <w:p w14:paraId="10C7F73C">
            <w:pPr>
              <w:keepNext w:val="0"/>
              <w:keepLines w:val="0"/>
              <w:pageBreakBefore w:val="0"/>
              <w:widowControl/>
              <w:kinsoku/>
              <w:wordWrap/>
              <w:overflowPunct/>
              <w:topLinePunct w:val="0"/>
              <w:autoSpaceDE/>
              <w:autoSpaceDN/>
              <w:bidi w:val="0"/>
              <w:adjustRightInd/>
              <w:snapToGrid/>
              <w:spacing w:line="233" w:lineRule="auto"/>
              <w:ind w:left="0" w:right="0" w:firstLine="0" w:firstLineChars="0"/>
              <w:jc w:val="center"/>
              <w:textAlignment w:val="auto"/>
              <w:rPr>
                <w:spacing w:val="-6"/>
                <w:highlight w:val="none"/>
              </w:rPr>
            </w:pPr>
            <w:r>
              <w:rPr>
                <w:spacing w:val="-6"/>
                <w:highlight w:val="none"/>
              </w:rPr>
              <w:t>工业</w:t>
            </w:r>
          </w:p>
        </w:tc>
      </w:tr>
      <w:tr w14:paraId="521C7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1D6E18C">
            <w:pPr>
              <w:pStyle w:val="49"/>
              <w:keepNext w:val="0"/>
              <w:keepLines w:val="0"/>
              <w:pageBreakBefore w:val="0"/>
              <w:widowControl/>
              <w:kinsoku/>
              <w:wordWrap/>
              <w:overflowPunct/>
              <w:topLinePunct w:val="0"/>
              <w:autoSpaceDE/>
              <w:autoSpaceDN/>
              <w:bidi w:val="0"/>
              <w:adjustRightInd/>
              <w:snapToGrid/>
              <w:spacing w:line="179" w:lineRule="auto"/>
              <w:ind w:left="0" w:right="0"/>
              <w:jc w:val="center"/>
              <w:textAlignment w:val="auto"/>
              <w:rPr>
                <w:rFonts w:hint="eastAsia" w:eastAsia="仿宋"/>
                <w:highlight w:val="none"/>
                <w:lang w:val="en-US" w:eastAsia="zh-CN"/>
              </w:rPr>
            </w:pPr>
            <w:r>
              <w:rPr>
                <w:rFonts w:hint="eastAsia"/>
                <w:highlight w:val="none"/>
                <w:lang w:val="en-US" w:eastAsia="zh-CN"/>
              </w:rPr>
              <w:t>6</w:t>
            </w:r>
          </w:p>
        </w:tc>
        <w:tc>
          <w:tcPr>
            <w:tcW w:w="2527" w:type="dxa"/>
            <w:vAlign w:val="center"/>
          </w:tcPr>
          <w:p w14:paraId="093963B1">
            <w:pPr>
              <w:keepNext w:val="0"/>
              <w:keepLines w:val="0"/>
              <w:widowControl/>
              <w:suppressLineNumbers w:val="0"/>
              <w:ind w:firstLine="0" w:firstLineChars="0"/>
              <w:jc w:val="center"/>
              <w:textAlignment w:val="center"/>
              <w:rPr>
                <w:spacing w:val="-3"/>
                <w:highlight w:val="none"/>
              </w:rPr>
            </w:pPr>
            <w:r>
              <w:rPr>
                <w:rFonts w:hint="default" w:ascii="Tahoma" w:hAnsi="Tahoma" w:eastAsia="Tahoma" w:cs="Tahoma"/>
                <w:i w:val="0"/>
                <w:iCs w:val="0"/>
                <w:color w:val="000000"/>
                <w:kern w:val="0"/>
                <w:sz w:val="22"/>
                <w:szCs w:val="22"/>
                <w:highlight w:val="none"/>
                <w:u w:val="none"/>
                <w:lang w:val="en-US" w:eastAsia="zh-CN" w:bidi="ar"/>
              </w:rPr>
              <w:t>医用冷藏保存箱</w:t>
            </w:r>
          </w:p>
        </w:tc>
        <w:tc>
          <w:tcPr>
            <w:tcW w:w="591" w:type="dxa"/>
            <w:vAlign w:val="center"/>
          </w:tcPr>
          <w:p w14:paraId="0CF71118">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4C512F62">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620EBBC4">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251C896D">
            <w:pPr>
              <w:keepNext w:val="0"/>
              <w:keepLines w:val="0"/>
              <w:pageBreakBefore w:val="0"/>
              <w:widowControl/>
              <w:kinsoku/>
              <w:wordWrap/>
              <w:overflowPunct/>
              <w:topLinePunct w:val="0"/>
              <w:autoSpaceDE/>
              <w:autoSpaceDN/>
              <w:bidi w:val="0"/>
              <w:adjustRightInd/>
              <w:snapToGrid/>
              <w:ind w:left="0" w:right="0" w:firstLine="0" w:firstLineChars="0"/>
              <w:jc w:val="center"/>
              <w:textAlignment w:val="auto"/>
              <w:rPr>
                <w:rFonts w:ascii="Arial"/>
                <w:sz w:val="21"/>
                <w:highlight w:val="none"/>
              </w:rPr>
            </w:pPr>
            <w:r>
              <w:rPr>
                <w:b/>
                <w:bCs/>
                <w:spacing w:val="-3"/>
                <w:position w:val="1"/>
                <w:highlight w:val="none"/>
              </w:rPr>
              <w:t>√</w:t>
            </w:r>
          </w:p>
        </w:tc>
        <w:tc>
          <w:tcPr>
            <w:tcW w:w="1845" w:type="dxa"/>
            <w:tcBorders>
              <w:right w:val="single" w:color="000000" w:sz="2" w:space="0"/>
            </w:tcBorders>
            <w:vAlign w:val="center"/>
          </w:tcPr>
          <w:p w14:paraId="12FED575">
            <w:pPr>
              <w:keepNext w:val="0"/>
              <w:keepLines w:val="0"/>
              <w:widowControl/>
              <w:suppressLineNumbers w:val="0"/>
              <w:ind w:firstLine="0" w:firstLineChars="0"/>
              <w:jc w:val="center"/>
              <w:textAlignment w:val="center"/>
              <w:rPr>
                <w:spacing w:val="-6"/>
                <w:highlight w:val="none"/>
              </w:rPr>
            </w:pPr>
          </w:p>
        </w:tc>
        <w:tc>
          <w:tcPr>
            <w:tcW w:w="1845" w:type="dxa"/>
            <w:tcBorders>
              <w:right w:val="single" w:color="000000" w:sz="2" w:space="0"/>
            </w:tcBorders>
            <w:vAlign w:val="center"/>
          </w:tcPr>
          <w:p w14:paraId="066C10E8">
            <w:pPr>
              <w:keepNext w:val="0"/>
              <w:keepLines w:val="0"/>
              <w:pageBreakBefore w:val="0"/>
              <w:widowControl/>
              <w:kinsoku/>
              <w:wordWrap/>
              <w:overflowPunct/>
              <w:topLinePunct w:val="0"/>
              <w:autoSpaceDE/>
              <w:autoSpaceDN/>
              <w:bidi w:val="0"/>
              <w:adjustRightInd/>
              <w:snapToGrid/>
              <w:spacing w:line="233" w:lineRule="auto"/>
              <w:ind w:left="0" w:right="0" w:firstLine="0" w:firstLineChars="0"/>
              <w:jc w:val="center"/>
              <w:textAlignment w:val="auto"/>
              <w:rPr>
                <w:spacing w:val="-6"/>
                <w:highlight w:val="none"/>
              </w:rPr>
            </w:pPr>
            <w:r>
              <w:rPr>
                <w:spacing w:val="-6"/>
                <w:highlight w:val="none"/>
              </w:rPr>
              <w:t>工业</w:t>
            </w:r>
          </w:p>
        </w:tc>
      </w:tr>
      <w:tr w14:paraId="2C14D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6DE81D0">
            <w:pPr>
              <w:pStyle w:val="49"/>
              <w:keepNext w:val="0"/>
              <w:keepLines w:val="0"/>
              <w:pageBreakBefore w:val="0"/>
              <w:widowControl/>
              <w:kinsoku/>
              <w:wordWrap/>
              <w:overflowPunct/>
              <w:topLinePunct w:val="0"/>
              <w:autoSpaceDE/>
              <w:autoSpaceDN/>
              <w:bidi w:val="0"/>
              <w:adjustRightInd/>
              <w:snapToGrid/>
              <w:spacing w:line="179" w:lineRule="auto"/>
              <w:ind w:left="0" w:right="0"/>
              <w:jc w:val="center"/>
              <w:textAlignment w:val="auto"/>
              <w:rPr>
                <w:rFonts w:hint="eastAsia" w:eastAsia="仿宋"/>
                <w:highlight w:val="none"/>
                <w:lang w:val="en-US" w:eastAsia="zh-CN"/>
              </w:rPr>
            </w:pPr>
            <w:r>
              <w:rPr>
                <w:rFonts w:hint="eastAsia"/>
                <w:highlight w:val="none"/>
                <w:lang w:val="en-US" w:eastAsia="zh-CN"/>
              </w:rPr>
              <w:t>7</w:t>
            </w:r>
          </w:p>
        </w:tc>
        <w:tc>
          <w:tcPr>
            <w:tcW w:w="2527" w:type="dxa"/>
            <w:vAlign w:val="center"/>
          </w:tcPr>
          <w:p w14:paraId="1F09E40D">
            <w:pPr>
              <w:keepNext w:val="0"/>
              <w:keepLines w:val="0"/>
              <w:widowControl/>
              <w:suppressLineNumbers w:val="0"/>
              <w:ind w:firstLine="0" w:firstLineChars="0"/>
              <w:jc w:val="center"/>
              <w:textAlignment w:val="center"/>
              <w:rPr>
                <w:spacing w:val="-3"/>
                <w:highlight w:val="none"/>
              </w:rPr>
            </w:pPr>
            <w:r>
              <w:rPr>
                <w:rFonts w:hint="default" w:ascii="Tahoma" w:hAnsi="Tahoma" w:eastAsia="Tahoma" w:cs="Tahoma"/>
                <w:i w:val="0"/>
                <w:iCs w:val="0"/>
                <w:color w:val="000000"/>
                <w:kern w:val="0"/>
                <w:sz w:val="22"/>
                <w:szCs w:val="22"/>
                <w:highlight w:val="none"/>
                <w:u w:val="none"/>
                <w:lang w:val="en-US" w:eastAsia="zh-CN" w:bidi="ar"/>
              </w:rPr>
              <w:t>全自动化学发光免疫分析仪</w:t>
            </w:r>
          </w:p>
        </w:tc>
        <w:tc>
          <w:tcPr>
            <w:tcW w:w="591" w:type="dxa"/>
            <w:vAlign w:val="center"/>
          </w:tcPr>
          <w:p w14:paraId="7E28CB32">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23E21028">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17FCDE09">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9E930CA">
            <w:pPr>
              <w:keepNext w:val="0"/>
              <w:keepLines w:val="0"/>
              <w:pageBreakBefore w:val="0"/>
              <w:widowControl/>
              <w:kinsoku/>
              <w:wordWrap/>
              <w:overflowPunct/>
              <w:topLinePunct w:val="0"/>
              <w:autoSpaceDE/>
              <w:autoSpaceDN/>
              <w:bidi w:val="0"/>
              <w:adjustRightInd/>
              <w:snapToGrid/>
              <w:ind w:left="0" w:right="0" w:firstLine="0" w:firstLineChars="0"/>
              <w:jc w:val="center"/>
              <w:textAlignment w:val="auto"/>
              <w:rPr>
                <w:rFonts w:ascii="Arial"/>
                <w:sz w:val="21"/>
                <w:highlight w:val="none"/>
              </w:rPr>
            </w:pPr>
            <w:r>
              <w:rPr>
                <w:b/>
                <w:bCs/>
                <w:spacing w:val="-3"/>
                <w:position w:val="1"/>
                <w:highlight w:val="none"/>
              </w:rPr>
              <w:t>√</w:t>
            </w:r>
          </w:p>
        </w:tc>
        <w:tc>
          <w:tcPr>
            <w:tcW w:w="1845" w:type="dxa"/>
            <w:tcBorders>
              <w:right w:val="single" w:color="000000" w:sz="2" w:space="0"/>
            </w:tcBorders>
            <w:vAlign w:val="center"/>
          </w:tcPr>
          <w:p w14:paraId="6478682F">
            <w:pPr>
              <w:keepNext w:val="0"/>
              <w:keepLines w:val="0"/>
              <w:widowControl/>
              <w:suppressLineNumbers w:val="0"/>
              <w:ind w:firstLine="0" w:firstLineChars="0"/>
              <w:jc w:val="center"/>
              <w:textAlignment w:val="center"/>
              <w:rPr>
                <w:spacing w:val="-6"/>
                <w:highlight w:val="none"/>
              </w:rPr>
            </w:pPr>
          </w:p>
        </w:tc>
        <w:tc>
          <w:tcPr>
            <w:tcW w:w="1845" w:type="dxa"/>
            <w:tcBorders>
              <w:right w:val="single" w:color="000000" w:sz="2" w:space="0"/>
            </w:tcBorders>
            <w:vAlign w:val="center"/>
          </w:tcPr>
          <w:p w14:paraId="179140A2">
            <w:pPr>
              <w:keepNext w:val="0"/>
              <w:keepLines w:val="0"/>
              <w:pageBreakBefore w:val="0"/>
              <w:widowControl/>
              <w:kinsoku/>
              <w:wordWrap/>
              <w:overflowPunct/>
              <w:topLinePunct w:val="0"/>
              <w:autoSpaceDE/>
              <w:autoSpaceDN/>
              <w:bidi w:val="0"/>
              <w:adjustRightInd/>
              <w:snapToGrid/>
              <w:spacing w:line="233" w:lineRule="auto"/>
              <w:ind w:left="0" w:right="0" w:firstLine="0" w:firstLineChars="0"/>
              <w:jc w:val="center"/>
              <w:textAlignment w:val="auto"/>
              <w:rPr>
                <w:spacing w:val="-6"/>
                <w:highlight w:val="none"/>
              </w:rPr>
            </w:pPr>
            <w:r>
              <w:rPr>
                <w:spacing w:val="-6"/>
                <w:highlight w:val="none"/>
              </w:rPr>
              <w:t>工业</w:t>
            </w:r>
          </w:p>
        </w:tc>
      </w:tr>
      <w:tr w14:paraId="5A7D5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6A1C875">
            <w:pPr>
              <w:pStyle w:val="49"/>
              <w:keepNext w:val="0"/>
              <w:keepLines w:val="0"/>
              <w:pageBreakBefore w:val="0"/>
              <w:widowControl/>
              <w:kinsoku/>
              <w:wordWrap/>
              <w:overflowPunct/>
              <w:topLinePunct w:val="0"/>
              <w:autoSpaceDE/>
              <w:autoSpaceDN/>
              <w:bidi w:val="0"/>
              <w:adjustRightInd/>
              <w:snapToGrid/>
              <w:spacing w:line="179" w:lineRule="auto"/>
              <w:ind w:left="0" w:right="0"/>
              <w:jc w:val="center"/>
              <w:textAlignment w:val="auto"/>
              <w:rPr>
                <w:rFonts w:hint="eastAsia" w:eastAsia="仿宋"/>
                <w:highlight w:val="none"/>
                <w:lang w:val="en-US" w:eastAsia="zh-CN"/>
              </w:rPr>
            </w:pPr>
            <w:r>
              <w:rPr>
                <w:rFonts w:hint="eastAsia"/>
                <w:highlight w:val="none"/>
                <w:lang w:val="en-US" w:eastAsia="zh-CN"/>
              </w:rPr>
              <w:t>8</w:t>
            </w:r>
          </w:p>
        </w:tc>
        <w:tc>
          <w:tcPr>
            <w:tcW w:w="2527" w:type="dxa"/>
            <w:vAlign w:val="center"/>
          </w:tcPr>
          <w:p w14:paraId="5BDB2BE9">
            <w:pPr>
              <w:keepNext w:val="0"/>
              <w:keepLines w:val="0"/>
              <w:widowControl/>
              <w:suppressLineNumbers w:val="0"/>
              <w:ind w:firstLine="0" w:firstLineChars="0"/>
              <w:jc w:val="center"/>
              <w:textAlignment w:val="center"/>
              <w:rPr>
                <w:spacing w:val="-3"/>
                <w:highlight w:val="none"/>
              </w:rPr>
            </w:pPr>
            <w:r>
              <w:rPr>
                <w:rFonts w:hint="default" w:ascii="Tahoma" w:hAnsi="Tahoma" w:eastAsia="Tahoma" w:cs="Tahoma"/>
                <w:i w:val="0"/>
                <w:iCs w:val="0"/>
                <w:color w:val="000000"/>
                <w:kern w:val="0"/>
                <w:sz w:val="22"/>
                <w:szCs w:val="22"/>
                <w:highlight w:val="none"/>
                <w:u w:val="none"/>
                <w:lang w:val="en-US" w:eastAsia="zh-CN" w:bidi="ar"/>
              </w:rPr>
              <w:t>全自动生化分析仪</w:t>
            </w:r>
          </w:p>
        </w:tc>
        <w:tc>
          <w:tcPr>
            <w:tcW w:w="591" w:type="dxa"/>
            <w:vAlign w:val="center"/>
          </w:tcPr>
          <w:p w14:paraId="0BCBF81F">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1F393DDD">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40D576B1">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5803907">
            <w:pPr>
              <w:keepNext w:val="0"/>
              <w:keepLines w:val="0"/>
              <w:pageBreakBefore w:val="0"/>
              <w:widowControl/>
              <w:kinsoku/>
              <w:wordWrap/>
              <w:overflowPunct/>
              <w:topLinePunct w:val="0"/>
              <w:autoSpaceDE/>
              <w:autoSpaceDN/>
              <w:bidi w:val="0"/>
              <w:adjustRightInd/>
              <w:snapToGrid/>
              <w:ind w:left="0" w:right="0" w:firstLine="0" w:firstLineChars="0"/>
              <w:jc w:val="center"/>
              <w:textAlignment w:val="auto"/>
              <w:rPr>
                <w:rFonts w:ascii="Arial"/>
                <w:sz w:val="21"/>
                <w:highlight w:val="none"/>
              </w:rPr>
            </w:pPr>
            <w:r>
              <w:rPr>
                <w:b/>
                <w:bCs/>
                <w:spacing w:val="-3"/>
                <w:position w:val="1"/>
                <w:highlight w:val="none"/>
              </w:rPr>
              <w:t>√</w:t>
            </w:r>
          </w:p>
        </w:tc>
        <w:tc>
          <w:tcPr>
            <w:tcW w:w="1845" w:type="dxa"/>
            <w:tcBorders>
              <w:right w:val="single" w:color="000000" w:sz="2" w:space="0"/>
            </w:tcBorders>
            <w:vAlign w:val="center"/>
          </w:tcPr>
          <w:p w14:paraId="0A05DE92">
            <w:pPr>
              <w:keepNext w:val="0"/>
              <w:keepLines w:val="0"/>
              <w:widowControl/>
              <w:suppressLineNumbers w:val="0"/>
              <w:ind w:firstLine="0" w:firstLineChars="0"/>
              <w:jc w:val="center"/>
              <w:textAlignment w:val="center"/>
              <w:rPr>
                <w:spacing w:val="-6"/>
                <w:highlight w:val="none"/>
              </w:rPr>
            </w:pPr>
          </w:p>
        </w:tc>
        <w:tc>
          <w:tcPr>
            <w:tcW w:w="1845" w:type="dxa"/>
            <w:tcBorders>
              <w:right w:val="single" w:color="000000" w:sz="2" w:space="0"/>
            </w:tcBorders>
            <w:vAlign w:val="center"/>
          </w:tcPr>
          <w:p w14:paraId="056EA5C4">
            <w:pPr>
              <w:keepNext w:val="0"/>
              <w:keepLines w:val="0"/>
              <w:pageBreakBefore w:val="0"/>
              <w:widowControl/>
              <w:kinsoku/>
              <w:wordWrap/>
              <w:overflowPunct/>
              <w:topLinePunct w:val="0"/>
              <w:autoSpaceDE/>
              <w:autoSpaceDN/>
              <w:bidi w:val="0"/>
              <w:adjustRightInd/>
              <w:snapToGrid/>
              <w:spacing w:line="233" w:lineRule="auto"/>
              <w:ind w:left="0" w:right="0" w:firstLine="0" w:firstLineChars="0"/>
              <w:jc w:val="center"/>
              <w:textAlignment w:val="auto"/>
              <w:rPr>
                <w:spacing w:val="-6"/>
                <w:highlight w:val="none"/>
              </w:rPr>
            </w:pPr>
            <w:r>
              <w:rPr>
                <w:spacing w:val="-6"/>
                <w:highlight w:val="none"/>
              </w:rPr>
              <w:t>工业</w:t>
            </w:r>
          </w:p>
        </w:tc>
      </w:tr>
      <w:tr w14:paraId="0900F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A6B4B1D">
            <w:pPr>
              <w:pStyle w:val="49"/>
              <w:keepNext w:val="0"/>
              <w:keepLines w:val="0"/>
              <w:pageBreakBefore w:val="0"/>
              <w:widowControl/>
              <w:kinsoku/>
              <w:wordWrap/>
              <w:overflowPunct/>
              <w:topLinePunct w:val="0"/>
              <w:autoSpaceDE/>
              <w:autoSpaceDN/>
              <w:bidi w:val="0"/>
              <w:adjustRightInd/>
              <w:snapToGrid/>
              <w:spacing w:line="179" w:lineRule="auto"/>
              <w:ind w:left="0" w:right="0"/>
              <w:jc w:val="center"/>
              <w:textAlignment w:val="auto"/>
              <w:rPr>
                <w:rFonts w:hint="eastAsia" w:eastAsia="仿宋"/>
                <w:highlight w:val="none"/>
                <w:lang w:val="en-US" w:eastAsia="zh-CN"/>
              </w:rPr>
            </w:pPr>
            <w:r>
              <w:rPr>
                <w:rFonts w:hint="eastAsia"/>
                <w:highlight w:val="none"/>
                <w:lang w:val="en-US" w:eastAsia="zh-CN"/>
              </w:rPr>
              <w:t>9</w:t>
            </w:r>
          </w:p>
        </w:tc>
        <w:tc>
          <w:tcPr>
            <w:tcW w:w="2527" w:type="dxa"/>
            <w:vAlign w:val="center"/>
          </w:tcPr>
          <w:p w14:paraId="09495FD2">
            <w:pPr>
              <w:keepNext w:val="0"/>
              <w:keepLines w:val="0"/>
              <w:widowControl/>
              <w:suppressLineNumbers w:val="0"/>
              <w:ind w:firstLine="0" w:firstLineChars="0"/>
              <w:jc w:val="center"/>
              <w:textAlignment w:val="center"/>
              <w:rPr>
                <w:spacing w:val="-3"/>
                <w:highlight w:val="none"/>
              </w:rPr>
            </w:pPr>
            <w:r>
              <w:rPr>
                <w:rFonts w:hint="default" w:ascii="Tahoma" w:hAnsi="Tahoma" w:eastAsia="Tahoma" w:cs="Tahoma"/>
                <w:i w:val="0"/>
                <w:iCs w:val="0"/>
                <w:color w:val="000000"/>
                <w:kern w:val="0"/>
                <w:sz w:val="22"/>
                <w:szCs w:val="22"/>
                <w:highlight w:val="none"/>
                <w:u w:val="none"/>
                <w:lang w:val="en-US" w:eastAsia="zh-CN" w:bidi="ar"/>
              </w:rPr>
              <w:t>电解质分析仪</w:t>
            </w:r>
          </w:p>
        </w:tc>
        <w:tc>
          <w:tcPr>
            <w:tcW w:w="591" w:type="dxa"/>
            <w:vAlign w:val="center"/>
          </w:tcPr>
          <w:p w14:paraId="26B06AF2">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1F3750E2">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5AAF2617">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45306381">
            <w:pPr>
              <w:keepNext w:val="0"/>
              <w:keepLines w:val="0"/>
              <w:pageBreakBefore w:val="0"/>
              <w:widowControl/>
              <w:kinsoku/>
              <w:wordWrap/>
              <w:overflowPunct/>
              <w:topLinePunct w:val="0"/>
              <w:autoSpaceDE/>
              <w:autoSpaceDN/>
              <w:bidi w:val="0"/>
              <w:adjustRightInd/>
              <w:snapToGrid/>
              <w:ind w:left="0" w:right="0" w:firstLine="0" w:firstLineChars="0"/>
              <w:jc w:val="center"/>
              <w:textAlignment w:val="auto"/>
              <w:rPr>
                <w:rFonts w:ascii="Arial"/>
                <w:sz w:val="21"/>
                <w:highlight w:val="none"/>
              </w:rPr>
            </w:pPr>
            <w:r>
              <w:rPr>
                <w:b/>
                <w:bCs/>
                <w:spacing w:val="-3"/>
                <w:position w:val="1"/>
                <w:highlight w:val="none"/>
              </w:rPr>
              <w:t>√</w:t>
            </w:r>
          </w:p>
        </w:tc>
        <w:tc>
          <w:tcPr>
            <w:tcW w:w="1845" w:type="dxa"/>
            <w:tcBorders>
              <w:right w:val="single" w:color="000000" w:sz="2" w:space="0"/>
            </w:tcBorders>
            <w:vAlign w:val="center"/>
          </w:tcPr>
          <w:p w14:paraId="6D594FDF">
            <w:pPr>
              <w:keepNext w:val="0"/>
              <w:keepLines w:val="0"/>
              <w:widowControl/>
              <w:suppressLineNumbers w:val="0"/>
              <w:ind w:firstLine="0" w:firstLineChars="0"/>
              <w:jc w:val="center"/>
              <w:textAlignment w:val="center"/>
              <w:rPr>
                <w:rFonts w:hint="default"/>
                <w:spacing w:val="-6"/>
                <w:highlight w:val="none"/>
                <w:lang w:val="en-US"/>
              </w:rPr>
            </w:pPr>
          </w:p>
        </w:tc>
        <w:tc>
          <w:tcPr>
            <w:tcW w:w="1845" w:type="dxa"/>
            <w:tcBorders>
              <w:right w:val="single" w:color="000000" w:sz="2" w:space="0"/>
            </w:tcBorders>
            <w:vAlign w:val="center"/>
          </w:tcPr>
          <w:p w14:paraId="35BB736B">
            <w:pPr>
              <w:keepNext w:val="0"/>
              <w:keepLines w:val="0"/>
              <w:pageBreakBefore w:val="0"/>
              <w:widowControl/>
              <w:kinsoku/>
              <w:wordWrap/>
              <w:overflowPunct/>
              <w:topLinePunct w:val="0"/>
              <w:autoSpaceDE/>
              <w:autoSpaceDN/>
              <w:bidi w:val="0"/>
              <w:adjustRightInd/>
              <w:snapToGrid/>
              <w:spacing w:line="233" w:lineRule="auto"/>
              <w:ind w:left="0" w:right="0" w:firstLine="0" w:firstLineChars="0"/>
              <w:jc w:val="center"/>
              <w:textAlignment w:val="auto"/>
              <w:rPr>
                <w:spacing w:val="-6"/>
                <w:highlight w:val="none"/>
              </w:rPr>
            </w:pPr>
            <w:r>
              <w:rPr>
                <w:spacing w:val="-6"/>
                <w:highlight w:val="none"/>
              </w:rPr>
              <w:t>工业</w:t>
            </w:r>
          </w:p>
        </w:tc>
      </w:tr>
      <w:tr w14:paraId="77612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B79BBBD">
            <w:pPr>
              <w:pStyle w:val="49"/>
              <w:keepNext w:val="0"/>
              <w:keepLines w:val="0"/>
              <w:pageBreakBefore w:val="0"/>
              <w:widowControl/>
              <w:kinsoku/>
              <w:wordWrap/>
              <w:overflowPunct/>
              <w:topLinePunct w:val="0"/>
              <w:autoSpaceDE/>
              <w:autoSpaceDN/>
              <w:bidi w:val="0"/>
              <w:adjustRightInd/>
              <w:snapToGrid/>
              <w:spacing w:line="179" w:lineRule="auto"/>
              <w:ind w:left="0" w:right="0"/>
              <w:jc w:val="center"/>
              <w:textAlignment w:val="auto"/>
              <w:rPr>
                <w:rFonts w:hint="eastAsia" w:eastAsia="仿宋"/>
                <w:highlight w:val="none"/>
                <w:lang w:val="en-US" w:eastAsia="zh-CN"/>
              </w:rPr>
            </w:pPr>
            <w:r>
              <w:rPr>
                <w:rFonts w:hint="eastAsia"/>
                <w:highlight w:val="none"/>
                <w:lang w:val="en-US" w:eastAsia="zh-CN"/>
              </w:rPr>
              <w:t>10</w:t>
            </w:r>
          </w:p>
        </w:tc>
        <w:tc>
          <w:tcPr>
            <w:tcW w:w="2527" w:type="dxa"/>
            <w:vAlign w:val="center"/>
          </w:tcPr>
          <w:p w14:paraId="55DFC271">
            <w:pPr>
              <w:keepNext w:val="0"/>
              <w:keepLines w:val="0"/>
              <w:widowControl/>
              <w:suppressLineNumbers w:val="0"/>
              <w:ind w:firstLine="0" w:firstLineChars="0"/>
              <w:jc w:val="center"/>
              <w:textAlignment w:val="center"/>
              <w:rPr>
                <w:spacing w:val="-3"/>
                <w:highlight w:val="none"/>
              </w:rPr>
            </w:pPr>
            <w:r>
              <w:rPr>
                <w:rFonts w:hint="default" w:ascii="Tahoma" w:hAnsi="Tahoma" w:eastAsia="Tahoma" w:cs="Tahoma"/>
                <w:i w:val="0"/>
                <w:iCs w:val="0"/>
                <w:color w:val="000000"/>
                <w:kern w:val="0"/>
                <w:sz w:val="22"/>
                <w:szCs w:val="22"/>
                <w:highlight w:val="none"/>
                <w:u w:val="none"/>
                <w:lang w:val="en-US" w:eastAsia="zh-CN" w:bidi="ar"/>
              </w:rPr>
              <w:t>血气分析仪</w:t>
            </w:r>
          </w:p>
        </w:tc>
        <w:tc>
          <w:tcPr>
            <w:tcW w:w="591" w:type="dxa"/>
            <w:vAlign w:val="center"/>
          </w:tcPr>
          <w:p w14:paraId="78ABFE07">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10B80680">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61EA7A0F">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964380A">
            <w:pPr>
              <w:keepNext w:val="0"/>
              <w:keepLines w:val="0"/>
              <w:pageBreakBefore w:val="0"/>
              <w:widowControl/>
              <w:kinsoku/>
              <w:wordWrap/>
              <w:overflowPunct/>
              <w:topLinePunct w:val="0"/>
              <w:autoSpaceDE/>
              <w:autoSpaceDN/>
              <w:bidi w:val="0"/>
              <w:adjustRightInd/>
              <w:snapToGrid/>
              <w:ind w:left="0" w:right="0" w:firstLine="0" w:firstLineChars="0"/>
              <w:jc w:val="center"/>
              <w:textAlignment w:val="auto"/>
              <w:rPr>
                <w:rFonts w:ascii="Arial"/>
                <w:sz w:val="21"/>
                <w:highlight w:val="none"/>
              </w:rPr>
            </w:pPr>
            <w:r>
              <w:rPr>
                <w:b/>
                <w:bCs/>
                <w:spacing w:val="-3"/>
                <w:position w:val="1"/>
                <w:highlight w:val="none"/>
              </w:rPr>
              <w:t>√</w:t>
            </w:r>
          </w:p>
        </w:tc>
        <w:tc>
          <w:tcPr>
            <w:tcW w:w="1845" w:type="dxa"/>
            <w:tcBorders>
              <w:right w:val="single" w:color="000000" w:sz="2" w:space="0"/>
            </w:tcBorders>
            <w:vAlign w:val="center"/>
          </w:tcPr>
          <w:p w14:paraId="36442239">
            <w:pPr>
              <w:keepNext w:val="0"/>
              <w:keepLines w:val="0"/>
              <w:widowControl/>
              <w:suppressLineNumbers w:val="0"/>
              <w:ind w:firstLine="0" w:firstLineChars="0"/>
              <w:jc w:val="center"/>
              <w:textAlignment w:val="center"/>
              <w:rPr>
                <w:spacing w:val="-6"/>
                <w:highlight w:val="none"/>
              </w:rPr>
            </w:pPr>
          </w:p>
        </w:tc>
        <w:tc>
          <w:tcPr>
            <w:tcW w:w="1845" w:type="dxa"/>
            <w:tcBorders>
              <w:right w:val="single" w:color="000000" w:sz="2" w:space="0"/>
            </w:tcBorders>
            <w:vAlign w:val="center"/>
          </w:tcPr>
          <w:p w14:paraId="4228A725">
            <w:pPr>
              <w:keepNext w:val="0"/>
              <w:keepLines w:val="0"/>
              <w:pageBreakBefore w:val="0"/>
              <w:widowControl/>
              <w:kinsoku/>
              <w:wordWrap/>
              <w:overflowPunct/>
              <w:topLinePunct w:val="0"/>
              <w:autoSpaceDE/>
              <w:autoSpaceDN/>
              <w:bidi w:val="0"/>
              <w:adjustRightInd/>
              <w:snapToGrid/>
              <w:spacing w:line="233" w:lineRule="auto"/>
              <w:ind w:left="0" w:right="0" w:firstLine="0" w:firstLineChars="0"/>
              <w:jc w:val="center"/>
              <w:textAlignment w:val="auto"/>
              <w:rPr>
                <w:spacing w:val="-6"/>
                <w:highlight w:val="none"/>
              </w:rPr>
            </w:pPr>
            <w:r>
              <w:rPr>
                <w:spacing w:val="-6"/>
                <w:highlight w:val="none"/>
              </w:rPr>
              <w:t>工业</w:t>
            </w:r>
          </w:p>
        </w:tc>
      </w:tr>
      <w:tr w14:paraId="5B426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5DC33EE">
            <w:pPr>
              <w:pStyle w:val="49"/>
              <w:keepNext w:val="0"/>
              <w:keepLines w:val="0"/>
              <w:pageBreakBefore w:val="0"/>
              <w:widowControl/>
              <w:kinsoku/>
              <w:wordWrap/>
              <w:overflowPunct/>
              <w:topLinePunct w:val="0"/>
              <w:autoSpaceDE/>
              <w:autoSpaceDN/>
              <w:bidi w:val="0"/>
              <w:adjustRightInd/>
              <w:snapToGrid/>
              <w:spacing w:line="179" w:lineRule="auto"/>
              <w:ind w:left="0" w:right="0"/>
              <w:jc w:val="center"/>
              <w:textAlignment w:val="auto"/>
              <w:rPr>
                <w:rFonts w:hint="default" w:eastAsia="仿宋"/>
                <w:highlight w:val="none"/>
                <w:lang w:val="en-US" w:eastAsia="zh-CN"/>
              </w:rPr>
            </w:pPr>
            <w:r>
              <w:rPr>
                <w:rFonts w:hint="eastAsia"/>
                <w:highlight w:val="none"/>
                <w:lang w:val="en-US" w:eastAsia="zh-CN"/>
              </w:rPr>
              <w:t>11</w:t>
            </w:r>
          </w:p>
        </w:tc>
        <w:tc>
          <w:tcPr>
            <w:tcW w:w="2527" w:type="dxa"/>
            <w:vAlign w:val="center"/>
          </w:tcPr>
          <w:p w14:paraId="574A88BD">
            <w:pPr>
              <w:keepNext w:val="0"/>
              <w:keepLines w:val="0"/>
              <w:widowControl/>
              <w:suppressLineNumbers w:val="0"/>
              <w:ind w:firstLine="0" w:firstLineChars="0"/>
              <w:jc w:val="center"/>
              <w:textAlignment w:val="center"/>
              <w:rPr>
                <w:spacing w:val="-3"/>
                <w:highlight w:val="none"/>
              </w:rPr>
            </w:pPr>
            <w:r>
              <w:rPr>
                <w:rFonts w:hint="default" w:ascii="Tahoma" w:hAnsi="Tahoma" w:eastAsia="Tahoma" w:cs="Tahoma"/>
                <w:i w:val="0"/>
                <w:iCs w:val="0"/>
                <w:color w:val="000000"/>
                <w:kern w:val="0"/>
                <w:sz w:val="22"/>
                <w:szCs w:val="22"/>
                <w:highlight w:val="none"/>
                <w:u w:val="none"/>
                <w:lang w:val="en-US" w:eastAsia="zh-CN" w:bidi="ar"/>
              </w:rPr>
              <w:t>全自动凝血分析仪</w:t>
            </w:r>
          </w:p>
        </w:tc>
        <w:tc>
          <w:tcPr>
            <w:tcW w:w="591" w:type="dxa"/>
            <w:vAlign w:val="center"/>
          </w:tcPr>
          <w:p w14:paraId="770F2C33">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05A32CF3">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0AA919AB">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A91EF6B">
            <w:pPr>
              <w:keepNext w:val="0"/>
              <w:keepLines w:val="0"/>
              <w:pageBreakBefore w:val="0"/>
              <w:widowControl/>
              <w:kinsoku/>
              <w:wordWrap/>
              <w:overflowPunct/>
              <w:topLinePunct w:val="0"/>
              <w:autoSpaceDE/>
              <w:autoSpaceDN/>
              <w:bidi w:val="0"/>
              <w:adjustRightInd/>
              <w:snapToGrid/>
              <w:ind w:left="0" w:right="0" w:firstLine="0" w:firstLineChars="0"/>
              <w:jc w:val="center"/>
              <w:textAlignment w:val="auto"/>
              <w:rPr>
                <w:rFonts w:ascii="Arial"/>
                <w:sz w:val="21"/>
                <w:highlight w:val="none"/>
              </w:rPr>
            </w:pPr>
            <w:r>
              <w:rPr>
                <w:b/>
                <w:bCs/>
                <w:spacing w:val="-3"/>
                <w:position w:val="1"/>
                <w:highlight w:val="none"/>
              </w:rPr>
              <w:t>√</w:t>
            </w:r>
          </w:p>
        </w:tc>
        <w:tc>
          <w:tcPr>
            <w:tcW w:w="1845" w:type="dxa"/>
            <w:tcBorders>
              <w:right w:val="single" w:color="000000" w:sz="2" w:space="0"/>
            </w:tcBorders>
            <w:vAlign w:val="center"/>
          </w:tcPr>
          <w:p w14:paraId="50F017BF">
            <w:pPr>
              <w:keepNext w:val="0"/>
              <w:keepLines w:val="0"/>
              <w:widowControl/>
              <w:suppressLineNumbers w:val="0"/>
              <w:ind w:firstLine="0" w:firstLineChars="0"/>
              <w:jc w:val="center"/>
              <w:textAlignment w:val="center"/>
              <w:rPr>
                <w:spacing w:val="-6"/>
                <w:highlight w:val="none"/>
              </w:rPr>
            </w:pPr>
          </w:p>
        </w:tc>
        <w:tc>
          <w:tcPr>
            <w:tcW w:w="1845" w:type="dxa"/>
            <w:tcBorders>
              <w:right w:val="single" w:color="000000" w:sz="2" w:space="0"/>
            </w:tcBorders>
            <w:vAlign w:val="center"/>
          </w:tcPr>
          <w:p w14:paraId="10C10490">
            <w:pPr>
              <w:keepNext w:val="0"/>
              <w:keepLines w:val="0"/>
              <w:pageBreakBefore w:val="0"/>
              <w:widowControl/>
              <w:kinsoku/>
              <w:wordWrap/>
              <w:overflowPunct/>
              <w:topLinePunct w:val="0"/>
              <w:autoSpaceDE/>
              <w:autoSpaceDN/>
              <w:bidi w:val="0"/>
              <w:adjustRightInd/>
              <w:snapToGrid/>
              <w:spacing w:line="233" w:lineRule="auto"/>
              <w:ind w:left="0" w:right="0" w:firstLine="0" w:firstLineChars="0"/>
              <w:jc w:val="center"/>
              <w:textAlignment w:val="auto"/>
              <w:rPr>
                <w:spacing w:val="-6"/>
                <w:highlight w:val="none"/>
              </w:rPr>
            </w:pPr>
            <w:r>
              <w:rPr>
                <w:spacing w:val="-6"/>
                <w:highlight w:val="none"/>
              </w:rPr>
              <w:t>工业</w:t>
            </w:r>
          </w:p>
        </w:tc>
      </w:tr>
      <w:tr w14:paraId="333A4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D1E691C">
            <w:pPr>
              <w:pStyle w:val="49"/>
              <w:keepNext w:val="0"/>
              <w:keepLines w:val="0"/>
              <w:pageBreakBefore w:val="0"/>
              <w:widowControl/>
              <w:kinsoku/>
              <w:wordWrap/>
              <w:overflowPunct/>
              <w:topLinePunct w:val="0"/>
              <w:autoSpaceDE/>
              <w:autoSpaceDN/>
              <w:bidi w:val="0"/>
              <w:adjustRightInd/>
              <w:snapToGrid/>
              <w:spacing w:line="179" w:lineRule="auto"/>
              <w:ind w:left="0" w:right="0"/>
              <w:jc w:val="center"/>
              <w:textAlignment w:val="auto"/>
              <w:rPr>
                <w:rFonts w:hint="default" w:eastAsia="仿宋"/>
                <w:highlight w:val="none"/>
                <w:lang w:val="en-US" w:eastAsia="zh-CN"/>
              </w:rPr>
            </w:pPr>
            <w:r>
              <w:rPr>
                <w:rFonts w:hint="eastAsia"/>
                <w:highlight w:val="none"/>
                <w:lang w:val="en-US" w:eastAsia="zh-CN"/>
              </w:rPr>
              <w:t>12</w:t>
            </w:r>
          </w:p>
        </w:tc>
        <w:tc>
          <w:tcPr>
            <w:tcW w:w="2527" w:type="dxa"/>
            <w:vAlign w:val="center"/>
          </w:tcPr>
          <w:p w14:paraId="7ED3044F">
            <w:pPr>
              <w:keepNext w:val="0"/>
              <w:keepLines w:val="0"/>
              <w:widowControl/>
              <w:suppressLineNumbers w:val="0"/>
              <w:ind w:firstLine="0" w:firstLineChars="0"/>
              <w:jc w:val="center"/>
              <w:textAlignment w:val="center"/>
              <w:rPr>
                <w:spacing w:val="-3"/>
                <w:highlight w:val="none"/>
              </w:rPr>
            </w:pPr>
            <w:r>
              <w:rPr>
                <w:rFonts w:hint="default" w:ascii="Tahoma" w:hAnsi="Tahoma" w:eastAsia="Tahoma" w:cs="Tahoma"/>
                <w:i w:val="0"/>
                <w:iCs w:val="0"/>
                <w:color w:val="000000"/>
                <w:kern w:val="0"/>
                <w:sz w:val="22"/>
                <w:szCs w:val="22"/>
                <w:highlight w:val="none"/>
                <w:u w:val="none"/>
                <w:lang w:val="en-US" w:eastAsia="zh-CN" w:bidi="ar"/>
              </w:rPr>
              <w:t>全自动超纯水机</w:t>
            </w:r>
          </w:p>
        </w:tc>
        <w:tc>
          <w:tcPr>
            <w:tcW w:w="591" w:type="dxa"/>
            <w:vAlign w:val="center"/>
          </w:tcPr>
          <w:p w14:paraId="61684346">
            <w:pPr>
              <w:keepNext w:val="0"/>
              <w:keepLines w:val="0"/>
              <w:widowControl/>
              <w:suppressLineNumbers w:val="0"/>
              <w:ind w:firstLine="0" w:firstLineChars="0"/>
              <w:jc w:val="center"/>
              <w:textAlignment w:val="center"/>
              <w:rPr>
                <w:rFonts w:hint="eastAsia" w:eastAsia="仿宋"/>
                <w:highlight w:val="none"/>
                <w:lang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680E5A8B">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7D026281">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21E9B06">
            <w:pPr>
              <w:keepNext w:val="0"/>
              <w:keepLines w:val="0"/>
              <w:pageBreakBefore w:val="0"/>
              <w:widowControl/>
              <w:kinsoku/>
              <w:wordWrap/>
              <w:overflowPunct/>
              <w:topLinePunct w:val="0"/>
              <w:autoSpaceDE/>
              <w:autoSpaceDN/>
              <w:bidi w:val="0"/>
              <w:adjustRightInd/>
              <w:snapToGrid/>
              <w:ind w:left="0" w:right="0" w:firstLine="0" w:firstLineChars="0"/>
              <w:jc w:val="center"/>
              <w:textAlignment w:val="auto"/>
              <w:rPr>
                <w:rFonts w:ascii="Arial"/>
                <w:sz w:val="21"/>
                <w:highlight w:val="none"/>
              </w:rPr>
            </w:pPr>
            <w:r>
              <w:rPr>
                <w:b/>
                <w:bCs/>
                <w:spacing w:val="-3"/>
                <w:position w:val="1"/>
                <w:highlight w:val="none"/>
              </w:rPr>
              <w:t>√</w:t>
            </w:r>
          </w:p>
        </w:tc>
        <w:tc>
          <w:tcPr>
            <w:tcW w:w="1845" w:type="dxa"/>
            <w:tcBorders>
              <w:right w:val="single" w:color="000000" w:sz="2" w:space="0"/>
            </w:tcBorders>
            <w:vAlign w:val="center"/>
          </w:tcPr>
          <w:p w14:paraId="1C47881C">
            <w:pPr>
              <w:keepNext w:val="0"/>
              <w:keepLines w:val="0"/>
              <w:widowControl/>
              <w:suppressLineNumbers w:val="0"/>
              <w:ind w:firstLine="0" w:firstLineChars="0"/>
              <w:jc w:val="center"/>
              <w:textAlignment w:val="center"/>
              <w:rPr>
                <w:spacing w:val="-6"/>
                <w:highlight w:val="none"/>
              </w:rPr>
            </w:pPr>
          </w:p>
        </w:tc>
        <w:tc>
          <w:tcPr>
            <w:tcW w:w="1845" w:type="dxa"/>
            <w:tcBorders>
              <w:right w:val="single" w:color="000000" w:sz="2" w:space="0"/>
            </w:tcBorders>
            <w:vAlign w:val="center"/>
          </w:tcPr>
          <w:p w14:paraId="38CE216A">
            <w:pPr>
              <w:keepNext w:val="0"/>
              <w:keepLines w:val="0"/>
              <w:pageBreakBefore w:val="0"/>
              <w:widowControl/>
              <w:kinsoku/>
              <w:wordWrap/>
              <w:overflowPunct/>
              <w:topLinePunct w:val="0"/>
              <w:autoSpaceDE/>
              <w:autoSpaceDN/>
              <w:bidi w:val="0"/>
              <w:adjustRightInd/>
              <w:snapToGrid/>
              <w:spacing w:line="233" w:lineRule="auto"/>
              <w:ind w:left="0" w:right="0" w:firstLine="0" w:firstLineChars="0"/>
              <w:jc w:val="center"/>
              <w:textAlignment w:val="auto"/>
              <w:rPr>
                <w:spacing w:val="-6"/>
                <w:highlight w:val="none"/>
              </w:rPr>
            </w:pPr>
            <w:r>
              <w:rPr>
                <w:spacing w:val="-6"/>
                <w:highlight w:val="none"/>
              </w:rPr>
              <w:t>工业</w:t>
            </w:r>
          </w:p>
        </w:tc>
      </w:tr>
      <w:tr w14:paraId="733BC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DD366A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13</w:t>
            </w:r>
          </w:p>
        </w:tc>
        <w:tc>
          <w:tcPr>
            <w:tcW w:w="2527" w:type="dxa"/>
            <w:vAlign w:val="center"/>
          </w:tcPr>
          <w:p w14:paraId="01BC8A3B">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医用诊断X射线机</w:t>
            </w:r>
          </w:p>
        </w:tc>
        <w:tc>
          <w:tcPr>
            <w:tcW w:w="591" w:type="dxa"/>
            <w:vAlign w:val="center"/>
          </w:tcPr>
          <w:p w14:paraId="3FAEB42F">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0BF886A5">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27BA345D">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r>
              <w:rPr>
                <w:b/>
                <w:bCs/>
                <w:spacing w:val="-3"/>
                <w:position w:val="1"/>
                <w:highlight w:val="none"/>
              </w:rPr>
              <w:t>√</w:t>
            </w:r>
          </w:p>
        </w:tc>
        <w:tc>
          <w:tcPr>
            <w:tcW w:w="1276" w:type="dxa"/>
            <w:vAlign w:val="center"/>
          </w:tcPr>
          <w:p w14:paraId="4B9A757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p>
        </w:tc>
        <w:tc>
          <w:tcPr>
            <w:tcW w:w="1845" w:type="dxa"/>
            <w:tcBorders>
              <w:right w:val="single" w:color="000000" w:sz="2" w:space="0"/>
            </w:tcBorders>
            <w:vAlign w:val="center"/>
          </w:tcPr>
          <w:p w14:paraId="3B37289C">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55EDF44">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4A42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A3D58D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14</w:t>
            </w:r>
          </w:p>
        </w:tc>
        <w:tc>
          <w:tcPr>
            <w:tcW w:w="2527" w:type="dxa"/>
            <w:vAlign w:val="center"/>
          </w:tcPr>
          <w:p w14:paraId="0F7CCB0C">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牙科X射线机</w:t>
            </w:r>
          </w:p>
        </w:tc>
        <w:tc>
          <w:tcPr>
            <w:tcW w:w="591" w:type="dxa"/>
            <w:vAlign w:val="center"/>
          </w:tcPr>
          <w:p w14:paraId="4E20222B">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565827F6">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547A474A">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2DA4FAB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D97301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736B0E7">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8839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32D7DF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15</w:t>
            </w:r>
          </w:p>
        </w:tc>
        <w:tc>
          <w:tcPr>
            <w:tcW w:w="2527" w:type="dxa"/>
            <w:vAlign w:val="center"/>
          </w:tcPr>
          <w:p w14:paraId="66564CE5">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超声波洁牙机</w:t>
            </w:r>
          </w:p>
        </w:tc>
        <w:tc>
          <w:tcPr>
            <w:tcW w:w="591" w:type="dxa"/>
            <w:vAlign w:val="center"/>
          </w:tcPr>
          <w:p w14:paraId="4846134F">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75FCA7C6">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225638A3">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C1B19F0">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481F33F">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9939EF2">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15D7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11B84E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16</w:t>
            </w:r>
          </w:p>
        </w:tc>
        <w:tc>
          <w:tcPr>
            <w:tcW w:w="2527" w:type="dxa"/>
            <w:vAlign w:val="center"/>
          </w:tcPr>
          <w:p w14:paraId="28DF77D6">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立式压力蒸汽灭菌器</w:t>
            </w:r>
          </w:p>
        </w:tc>
        <w:tc>
          <w:tcPr>
            <w:tcW w:w="591" w:type="dxa"/>
            <w:vAlign w:val="center"/>
          </w:tcPr>
          <w:p w14:paraId="5539921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7FE5BB33">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15862EC7">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DDD780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FE2A5E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7768EC83">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485F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87ED51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17</w:t>
            </w:r>
          </w:p>
        </w:tc>
        <w:tc>
          <w:tcPr>
            <w:tcW w:w="2527" w:type="dxa"/>
            <w:vAlign w:val="center"/>
          </w:tcPr>
          <w:p w14:paraId="540DB474">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牙科综合治疗机</w:t>
            </w:r>
          </w:p>
        </w:tc>
        <w:tc>
          <w:tcPr>
            <w:tcW w:w="591" w:type="dxa"/>
            <w:vAlign w:val="center"/>
          </w:tcPr>
          <w:p w14:paraId="702DCDE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6ABE1C45">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0B9EA0E2">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7F846B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33B687B">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47661B7">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2121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9097A6B">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18</w:t>
            </w:r>
          </w:p>
        </w:tc>
        <w:tc>
          <w:tcPr>
            <w:tcW w:w="2527" w:type="dxa"/>
            <w:vAlign w:val="center"/>
          </w:tcPr>
          <w:p w14:paraId="6CF38650">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根管治疗机扩仪+</w:t>
            </w:r>
          </w:p>
        </w:tc>
        <w:tc>
          <w:tcPr>
            <w:tcW w:w="591" w:type="dxa"/>
            <w:vAlign w:val="center"/>
          </w:tcPr>
          <w:p w14:paraId="527C223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11C8C933">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30CE601F">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E92DE6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078588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C8E4D63">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3857B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7F4853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19</w:t>
            </w:r>
          </w:p>
        </w:tc>
        <w:tc>
          <w:tcPr>
            <w:tcW w:w="2527" w:type="dxa"/>
            <w:vAlign w:val="center"/>
          </w:tcPr>
          <w:p w14:paraId="0260733E">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牙科电动无油空压机+</w:t>
            </w:r>
          </w:p>
        </w:tc>
        <w:tc>
          <w:tcPr>
            <w:tcW w:w="591" w:type="dxa"/>
            <w:vAlign w:val="center"/>
          </w:tcPr>
          <w:p w14:paraId="493F8BA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0F338149">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4FE23C66">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7A5BF1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EC47ABB">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192F7EA6">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30B1C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49015B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20</w:t>
            </w:r>
          </w:p>
        </w:tc>
        <w:tc>
          <w:tcPr>
            <w:tcW w:w="2527" w:type="dxa"/>
            <w:vAlign w:val="center"/>
          </w:tcPr>
          <w:p w14:paraId="73E54D67">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台式压力灭菌器+</w:t>
            </w:r>
          </w:p>
        </w:tc>
        <w:tc>
          <w:tcPr>
            <w:tcW w:w="591" w:type="dxa"/>
            <w:vAlign w:val="center"/>
          </w:tcPr>
          <w:p w14:paraId="5D99B59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07A9EFA2">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10B0D5C1">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48E9FC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6591CEE">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934DFE3">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5E2C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290A36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21</w:t>
            </w:r>
          </w:p>
        </w:tc>
        <w:tc>
          <w:tcPr>
            <w:tcW w:w="2527" w:type="dxa"/>
            <w:vAlign w:val="center"/>
          </w:tcPr>
          <w:p w14:paraId="1FEACA01">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超声洁牙机+</w:t>
            </w:r>
          </w:p>
        </w:tc>
        <w:tc>
          <w:tcPr>
            <w:tcW w:w="591" w:type="dxa"/>
            <w:vAlign w:val="center"/>
          </w:tcPr>
          <w:p w14:paraId="3C03CCE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52D94B5B">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477E69F1">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4FF8E6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B79246C">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3CE7C31B">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3FA4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64BF6F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22</w:t>
            </w:r>
          </w:p>
        </w:tc>
        <w:tc>
          <w:tcPr>
            <w:tcW w:w="2527" w:type="dxa"/>
            <w:vAlign w:val="center"/>
          </w:tcPr>
          <w:p w14:paraId="6594A3BB">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超声喷砂牙周治疗仪+</w:t>
            </w:r>
          </w:p>
        </w:tc>
        <w:tc>
          <w:tcPr>
            <w:tcW w:w="591" w:type="dxa"/>
            <w:vAlign w:val="center"/>
          </w:tcPr>
          <w:p w14:paraId="0D25291F">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6AC04D6B">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222C5466">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1E2B87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04F2E1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5760B44">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570D7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C512F4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23</w:t>
            </w:r>
          </w:p>
        </w:tc>
        <w:tc>
          <w:tcPr>
            <w:tcW w:w="2527" w:type="dxa"/>
            <w:vAlign w:val="center"/>
          </w:tcPr>
          <w:p w14:paraId="35C37587">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高速无刷电子打磨雕刻机+</w:t>
            </w:r>
          </w:p>
        </w:tc>
        <w:tc>
          <w:tcPr>
            <w:tcW w:w="591" w:type="dxa"/>
            <w:vAlign w:val="center"/>
          </w:tcPr>
          <w:p w14:paraId="16580DC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2DC3DE55">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1F6A749F">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6A6DC0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3C3FF1F">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5D879242">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46A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B5FAD8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24</w:t>
            </w:r>
          </w:p>
        </w:tc>
        <w:tc>
          <w:tcPr>
            <w:tcW w:w="2527" w:type="dxa"/>
            <w:vAlign w:val="center"/>
          </w:tcPr>
          <w:p w14:paraId="766D1A40">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高速涡轮牙科手机+</w:t>
            </w:r>
          </w:p>
        </w:tc>
        <w:tc>
          <w:tcPr>
            <w:tcW w:w="591" w:type="dxa"/>
            <w:vAlign w:val="center"/>
          </w:tcPr>
          <w:p w14:paraId="111AFA8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w:t>
            </w:r>
          </w:p>
        </w:tc>
        <w:tc>
          <w:tcPr>
            <w:tcW w:w="708" w:type="dxa"/>
            <w:vAlign w:val="center"/>
          </w:tcPr>
          <w:p w14:paraId="40739E20">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202F8463">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695EF2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0DB24BB0">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A179426">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416F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4E06A6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25</w:t>
            </w:r>
          </w:p>
        </w:tc>
        <w:tc>
          <w:tcPr>
            <w:tcW w:w="2527" w:type="dxa"/>
            <w:vAlign w:val="center"/>
          </w:tcPr>
          <w:p w14:paraId="7F398E37">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牙科气动马达手机+</w:t>
            </w:r>
          </w:p>
        </w:tc>
        <w:tc>
          <w:tcPr>
            <w:tcW w:w="591" w:type="dxa"/>
            <w:vAlign w:val="center"/>
          </w:tcPr>
          <w:p w14:paraId="581289B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52591129">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2E552483">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102742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FA3D8BD">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10E0EB1A">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6D961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8CBDF0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26</w:t>
            </w:r>
          </w:p>
        </w:tc>
        <w:tc>
          <w:tcPr>
            <w:tcW w:w="2527" w:type="dxa"/>
            <w:vAlign w:val="center"/>
          </w:tcPr>
          <w:p w14:paraId="30D80DFD">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口腔观察仪+</w:t>
            </w:r>
          </w:p>
        </w:tc>
        <w:tc>
          <w:tcPr>
            <w:tcW w:w="591" w:type="dxa"/>
            <w:vAlign w:val="center"/>
          </w:tcPr>
          <w:p w14:paraId="72848AC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70D7C4ED">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51C99E1D">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7F56FB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42F414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3DB488DA">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464C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6B82AC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27</w:t>
            </w:r>
          </w:p>
        </w:tc>
        <w:tc>
          <w:tcPr>
            <w:tcW w:w="2527" w:type="dxa"/>
            <w:vAlign w:val="center"/>
          </w:tcPr>
          <w:p w14:paraId="441ECFAD">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真空压膜机+</w:t>
            </w:r>
          </w:p>
        </w:tc>
        <w:tc>
          <w:tcPr>
            <w:tcW w:w="591" w:type="dxa"/>
            <w:vAlign w:val="center"/>
          </w:tcPr>
          <w:p w14:paraId="79520C8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5C8AE7E7">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47F049C6">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2C9C1C08">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BB70624">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EE49B12">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3792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176B84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28</w:t>
            </w:r>
          </w:p>
        </w:tc>
        <w:tc>
          <w:tcPr>
            <w:tcW w:w="2527" w:type="dxa"/>
            <w:vAlign w:val="center"/>
          </w:tcPr>
          <w:p w14:paraId="1AF60523">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紫外线消毒柜+</w:t>
            </w:r>
          </w:p>
        </w:tc>
        <w:tc>
          <w:tcPr>
            <w:tcW w:w="591" w:type="dxa"/>
            <w:vAlign w:val="center"/>
          </w:tcPr>
          <w:p w14:paraId="3E169E8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0814B8A9">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4543FD23">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8A3011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569196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8EF2FF2">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10CB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1B557B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29</w:t>
            </w:r>
          </w:p>
        </w:tc>
        <w:tc>
          <w:tcPr>
            <w:tcW w:w="2527" w:type="dxa"/>
            <w:vAlign w:val="center"/>
          </w:tcPr>
          <w:p w14:paraId="16CC86C4">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干燥柜</w:t>
            </w:r>
          </w:p>
        </w:tc>
        <w:tc>
          <w:tcPr>
            <w:tcW w:w="591" w:type="dxa"/>
            <w:vAlign w:val="center"/>
          </w:tcPr>
          <w:p w14:paraId="543F51EB">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6D26D606">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1B862F4C">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F86994E">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097632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7A49225C">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AC21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jc w:val="center"/>
        </w:trPr>
        <w:tc>
          <w:tcPr>
            <w:tcW w:w="639" w:type="dxa"/>
            <w:vAlign w:val="center"/>
          </w:tcPr>
          <w:p w14:paraId="761F7A7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30</w:t>
            </w:r>
          </w:p>
        </w:tc>
        <w:tc>
          <w:tcPr>
            <w:tcW w:w="2527" w:type="dxa"/>
            <w:vAlign w:val="center"/>
          </w:tcPr>
          <w:p w14:paraId="2444AC74">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治疗车+</w:t>
            </w:r>
          </w:p>
        </w:tc>
        <w:tc>
          <w:tcPr>
            <w:tcW w:w="591" w:type="dxa"/>
            <w:vAlign w:val="center"/>
          </w:tcPr>
          <w:p w14:paraId="24B92A08">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0D301518">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0BECDAC9">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45E90BE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244B66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6296C5F">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6202F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60557278">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31</w:t>
            </w:r>
          </w:p>
        </w:tc>
        <w:tc>
          <w:tcPr>
            <w:tcW w:w="2527" w:type="dxa"/>
            <w:vAlign w:val="center"/>
          </w:tcPr>
          <w:p w14:paraId="38A05D0E">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护士操作椅+</w:t>
            </w:r>
          </w:p>
        </w:tc>
        <w:tc>
          <w:tcPr>
            <w:tcW w:w="591" w:type="dxa"/>
            <w:vAlign w:val="center"/>
          </w:tcPr>
          <w:p w14:paraId="41DBAB5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48CBD7D6">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1350155C">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DEF2FA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92CEA0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73742F7">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492C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01BA04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32</w:t>
            </w:r>
          </w:p>
        </w:tc>
        <w:tc>
          <w:tcPr>
            <w:tcW w:w="2527" w:type="dxa"/>
            <w:vAlign w:val="center"/>
          </w:tcPr>
          <w:p w14:paraId="6E47B481">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诊室内医用垃圾桶+</w:t>
            </w:r>
          </w:p>
        </w:tc>
        <w:tc>
          <w:tcPr>
            <w:tcW w:w="591" w:type="dxa"/>
            <w:vAlign w:val="center"/>
          </w:tcPr>
          <w:p w14:paraId="6176A15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20</w:t>
            </w:r>
          </w:p>
        </w:tc>
        <w:tc>
          <w:tcPr>
            <w:tcW w:w="708" w:type="dxa"/>
            <w:vAlign w:val="center"/>
          </w:tcPr>
          <w:p w14:paraId="53715217">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42032D44">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49E281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716083D">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8108C3F">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27D6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5ACB44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33</w:t>
            </w:r>
          </w:p>
        </w:tc>
        <w:tc>
          <w:tcPr>
            <w:tcW w:w="2527" w:type="dxa"/>
            <w:vAlign w:val="center"/>
          </w:tcPr>
          <w:p w14:paraId="0BD62306">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诊室内家用垃圾桶+</w:t>
            </w:r>
          </w:p>
        </w:tc>
        <w:tc>
          <w:tcPr>
            <w:tcW w:w="591" w:type="dxa"/>
            <w:vAlign w:val="center"/>
          </w:tcPr>
          <w:p w14:paraId="2DD162B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20</w:t>
            </w:r>
          </w:p>
        </w:tc>
        <w:tc>
          <w:tcPr>
            <w:tcW w:w="708" w:type="dxa"/>
            <w:vAlign w:val="center"/>
          </w:tcPr>
          <w:p w14:paraId="21DD2911">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10E00684">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CF6AD30">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6EC152EE">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5F8347D1">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1180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F9ED8E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34</w:t>
            </w:r>
          </w:p>
        </w:tc>
        <w:tc>
          <w:tcPr>
            <w:tcW w:w="2527" w:type="dxa"/>
            <w:vAlign w:val="center"/>
          </w:tcPr>
          <w:p w14:paraId="0243C011">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诊室内医疗垃圾袋+</w:t>
            </w:r>
          </w:p>
        </w:tc>
        <w:tc>
          <w:tcPr>
            <w:tcW w:w="591" w:type="dxa"/>
            <w:vAlign w:val="center"/>
          </w:tcPr>
          <w:p w14:paraId="74664A4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27ED4B33">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捆</w:t>
            </w:r>
          </w:p>
        </w:tc>
        <w:tc>
          <w:tcPr>
            <w:tcW w:w="1276" w:type="dxa"/>
            <w:vAlign w:val="center"/>
          </w:tcPr>
          <w:p w14:paraId="3D938467">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CFAD6EE">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7AE9D1D">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3D76198">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5528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00CE25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35</w:t>
            </w:r>
          </w:p>
        </w:tc>
        <w:tc>
          <w:tcPr>
            <w:tcW w:w="2527" w:type="dxa"/>
            <w:vAlign w:val="center"/>
          </w:tcPr>
          <w:p w14:paraId="75BC912B">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医疗利器盒++</w:t>
            </w:r>
          </w:p>
        </w:tc>
        <w:tc>
          <w:tcPr>
            <w:tcW w:w="591" w:type="dxa"/>
            <w:vAlign w:val="center"/>
          </w:tcPr>
          <w:p w14:paraId="1FE46F4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w:t>
            </w:r>
          </w:p>
        </w:tc>
        <w:tc>
          <w:tcPr>
            <w:tcW w:w="708" w:type="dxa"/>
            <w:vAlign w:val="center"/>
          </w:tcPr>
          <w:p w14:paraId="2E3893F4">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64896EA5">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4482AED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0A486B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7D83395">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BD55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3F544217">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36</w:t>
            </w:r>
          </w:p>
        </w:tc>
        <w:tc>
          <w:tcPr>
            <w:tcW w:w="2527" w:type="dxa"/>
            <w:vAlign w:val="center"/>
          </w:tcPr>
          <w:p w14:paraId="5E74EBB2">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彩色多普勒超声诊断系统</w:t>
            </w:r>
          </w:p>
        </w:tc>
        <w:tc>
          <w:tcPr>
            <w:tcW w:w="591" w:type="dxa"/>
            <w:vAlign w:val="center"/>
          </w:tcPr>
          <w:p w14:paraId="06B666C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5630A898">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5EE895BF">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r>
              <w:rPr>
                <w:b/>
                <w:bCs/>
                <w:spacing w:val="-3"/>
                <w:position w:val="1"/>
                <w:highlight w:val="none"/>
              </w:rPr>
              <w:t>√</w:t>
            </w:r>
          </w:p>
        </w:tc>
        <w:tc>
          <w:tcPr>
            <w:tcW w:w="1276" w:type="dxa"/>
            <w:vAlign w:val="center"/>
          </w:tcPr>
          <w:p w14:paraId="7E1F34D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p>
        </w:tc>
        <w:tc>
          <w:tcPr>
            <w:tcW w:w="1845" w:type="dxa"/>
            <w:tcBorders>
              <w:right w:val="single" w:color="000000" w:sz="2" w:space="0"/>
            </w:tcBorders>
            <w:vAlign w:val="center"/>
          </w:tcPr>
          <w:p w14:paraId="4F66D81F">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EEA9969">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7D1D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32A9B2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37</w:t>
            </w:r>
          </w:p>
        </w:tc>
        <w:tc>
          <w:tcPr>
            <w:tcW w:w="2527" w:type="dxa"/>
            <w:vAlign w:val="center"/>
          </w:tcPr>
          <w:p w14:paraId="4B42B738">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便携式彩色多普勒超声诊断仪</w:t>
            </w:r>
          </w:p>
        </w:tc>
        <w:tc>
          <w:tcPr>
            <w:tcW w:w="591" w:type="dxa"/>
            <w:vAlign w:val="center"/>
          </w:tcPr>
          <w:p w14:paraId="04AB68A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532231E4">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1F26D95D">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r>
              <w:rPr>
                <w:b/>
                <w:bCs/>
                <w:spacing w:val="-3"/>
                <w:position w:val="1"/>
                <w:highlight w:val="none"/>
              </w:rPr>
              <w:t>√</w:t>
            </w:r>
          </w:p>
        </w:tc>
        <w:tc>
          <w:tcPr>
            <w:tcW w:w="1276" w:type="dxa"/>
            <w:vAlign w:val="center"/>
          </w:tcPr>
          <w:p w14:paraId="7225068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p>
        </w:tc>
        <w:tc>
          <w:tcPr>
            <w:tcW w:w="1845" w:type="dxa"/>
            <w:tcBorders>
              <w:right w:val="single" w:color="000000" w:sz="2" w:space="0"/>
            </w:tcBorders>
            <w:vAlign w:val="center"/>
          </w:tcPr>
          <w:p w14:paraId="12E2940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70EBD6E">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20C3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39F4F7C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38</w:t>
            </w:r>
          </w:p>
        </w:tc>
        <w:tc>
          <w:tcPr>
            <w:tcW w:w="2527" w:type="dxa"/>
            <w:vAlign w:val="center"/>
          </w:tcPr>
          <w:p w14:paraId="7B43B59D">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多参数监护仪</w:t>
            </w:r>
          </w:p>
        </w:tc>
        <w:tc>
          <w:tcPr>
            <w:tcW w:w="591" w:type="dxa"/>
            <w:vAlign w:val="center"/>
          </w:tcPr>
          <w:p w14:paraId="0496A2C7">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6D7CDEA2">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010E0B3C">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5DA3E7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D0FEDBB">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36C2107">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D4B2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6696CE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39</w:t>
            </w:r>
          </w:p>
        </w:tc>
        <w:tc>
          <w:tcPr>
            <w:tcW w:w="2527" w:type="dxa"/>
            <w:vAlign w:val="center"/>
          </w:tcPr>
          <w:p w14:paraId="5E4F7E95">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十二道数字心电图机</w:t>
            </w:r>
          </w:p>
        </w:tc>
        <w:tc>
          <w:tcPr>
            <w:tcW w:w="591" w:type="dxa"/>
            <w:vAlign w:val="center"/>
          </w:tcPr>
          <w:p w14:paraId="5417C7C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2DB2197C">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7A44D5DC">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E9EFA78">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2BB0D3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3FA0A78">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30F7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D7ADB5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40</w:t>
            </w:r>
          </w:p>
        </w:tc>
        <w:tc>
          <w:tcPr>
            <w:tcW w:w="2527" w:type="dxa"/>
            <w:vAlign w:val="center"/>
          </w:tcPr>
          <w:p w14:paraId="29EF72C2">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体外除颤监护仪</w:t>
            </w:r>
          </w:p>
        </w:tc>
        <w:tc>
          <w:tcPr>
            <w:tcW w:w="591" w:type="dxa"/>
            <w:vAlign w:val="center"/>
          </w:tcPr>
          <w:p w14:paraId="4D2791D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475315F3">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12F466F8">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3B0E27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DA0001E">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EEEE45A">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879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3397DA0F">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41</w:t>
            </w:r>
          </w:p>
        </w:tc>
        <w:tc>
          <w:tcPr>
            <w:tcW w:w="2527" w:type="dxa"/>
            <w:vAlign w:val="center"/>
          </w:tcPr>
          <w:p w14:paraId="67A874BB">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病床</w:t>
            </w:r>
          </w:p>
        </w:tc>
        <w:tc>
          <w:tcPr>
            <w:tcW w:w="591" w:type="dxa"/>
            <w:vAlign w:val="center"/>
          </w:tcPr>
          <w:p w14:paraId="2AEC35A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30</w:t>
            </w:r>
          </w:p>
        </w:tc>
        <w:tc>
          <w:tcPr>
            <w:tcW w:w="708" w:type="dxa"/>
            <w:vAlign w:val="center"/>
          </w:tcPr>
          <w:p w14:paraId="30D3A83F">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张</w:t>
            </w:r>
          </w:p>
        </w:tc>
        <w:tc>
          <w:tcPr>
            <w:tcW w:w="1276" w:type="dxa"/>
            <w:vAlign w:val="center"/>
          </w:tcPr>
          <w:p w14:paraId="4ACCD0FE">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CF1076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48D33DA">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ED686E9">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65962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3FA8937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42</w:t>
            </w:r>
          </w:p>
        </w:tc>
        <w:tc>
          <w:tcPr>
            <w:tcW w:w="2527" w:type="dxa"/>
            <w:vAlign w:val="center"/>
          </w:tcPr>
          <w:p w14:paraId="6D5A3B22">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床垫</w:t>
            </w:r>
          </w:p>
        </w:tc>
        <w:tc>
          <w:tcPr>
            <w:tcW w:w="591" w:type="dxa"/>
            <w:vAlign w:val="center"/>
          </w:tcPr>
          <w:p w14:paraId="74BDA934">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30</w:t>
            </w:r>
          </w:p>
        </w:tc>
        <w:tc>
          <w:tcPr>
            <w:tcW w:w="708" w:type="dxa"/>
            <w:vAlign w:val="center"/>
          </w:tcPr>
          <w:p w14:paraId="06A4D285">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6B82594D">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1191FF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7520B6C">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3CEA2E56">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5EEB6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53D68E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43</w:t>
            </w:r>
          </w:p>
        </w:tc>
        <w:tc>
          <w:tcPr>
            <w:tcW w:w="2527" w:type="dxa"/>
            <w:vAlign w:val="center"/>
          </w:tcPr>
          <w:p w14:paraId="3C0F594C">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床头柜</w:t>
            </w:r>
          </w:p>
        </w:tc>
        <w:tc>
          <w:tcPr>
            <w:tcW w:w="591" w:type="dxa"/>
            <w:vAlign w:val="center"/>
          </w:tcPr>
          <w:p w14:paraId="481358A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30</w:t>
            </w:r>
          </w:p>
        </w:tc>
        <w:tc>
          <w:tcPr>
            <w:tcW w:w="708" w:type="dxa"/>
            <w:vAlign w:val="center"/>
          </w:tcPr>
          <w:p w14:paraId="322267E0">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23A6A1D6">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9AFDE7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913BFE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3D6DDB61">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ABDD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BAF66E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44</w:t>
            </w:r>
          </w:p>
        </w:tc>
        <w:tc>
          <w:tcPr>
            <w:tcW w:w="2527" w:type="dxa"/>
            <w:vAlign w:val="center"/>
          </w:tcPr>
          <w:p w14:paraId="09E386DC">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抢救车</w:t>
            </w:r>
          </w:p>
        </w:tc>
        <w:tc>
          <w:tcPr>
            <w:tcW w:w="591" w:type="dxa"/>
            <w:vAlign w:val="center"/>
          </w:tcPr>
          <w:p w14:paraId="34C1154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w:t>
            </w:r>
          </w:p>
        </w:tc>
        <w:tc>
          <w:tcPr>
            <w:tcW w:w="708" w:type="dxa"/>
            <w:vAlign w:val="center"/>
          </w:tcPr>
          <w:p w14:paraId="1A357CFE">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2F93B420">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353030E">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686FF444">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5F81B47D">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60213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80D607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45</w:t>
            </w:r>
          </w:p>
        </w:tc>
        <w:tc>
          <w:tcPr>
            <w:tcW w:w="2527" w:type="dxa"/>
            <w:vAlign w:val="center"/>
          </w:tcPr>
          <w:p w14:paraId="5029FF1B">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担架车</w:t>
            </w:r>
          </w:p>
        </w:tc>
        <w:tc>
          <w:tcPr>
            <w:tcW w:w="591" w:type="dxa"/>
            <w:vAlign w:val="center"/>
          </w:tcPr>
          <w:p w14:paraId="2602972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w:t>
            </w:r>
          </w:p>
        </w:tc>
        <w:tc>
          <w:tcPr>
            <w:tcW w:w="708" w:type="dxa"/>
            <w:vAlign w:val="center"/>
          </w:tcPr>
          <w:p w14:paraId="2A9F2B35">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585D8C13">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21B3720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971F84C">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245E574">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9197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9C8114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46</w:t>
            </w:r>
          </w:p>
        </w:tc>
        <w:tc>
          <w:tcPr>
            <w:tcW w:w="2527" w:type="dxa"/>
            <w:vAlign w:val="center"/>
          </w:tcPr>
          <w:p w14:paraId="04ECB2B2">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治疗车</w:t>
            </w:r>
          </w:p>
        </w:tc>
        <w:tc>
          <w:tcPr>
            <w:tcW w:w="591" w:type="dxa"/>
            <w:vAlign w:val="center"/>
          </w:tcPr>
          <w:p w14:paraId="2C748A6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w:t>
            </w:r>
          </w:p>
        </w:tc>
        <w:tc>
          <w:tcPr>
            <w:tcW w:w="708" w:type="dxa"/>
            <w:vAlign w:val="center"/>
          </w:tcPr>
          <w:p w14:paraId="5D58C497">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48F9B28C">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22CAD00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AB6F8F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1A00273">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024E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E3F596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47</w:t>
            </w:r>
          </w:p>
        </w:tc>
        <w:tc>
          <w:tcPr>
            <w:tcW w:w="2527" w:type="dxa"/>
            <w:vAlign w:val="center"/>
          </w:tcPr>
          <w:p w14:paraId="74676DAA">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轮椅</w:t>
            </w:r>
          </w:p>
        </w:tc>
        <w:tc>
          <w:tcPr>
            <w:tcW w:w="591" w:type="dxa"/>
            <w:vAlign w:val="center"/>
          </w:tcPr>
          <w:p w14:paraId="05807E6F">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5886AF6E">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19B72576">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35A054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C476C6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F69805C">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6AE1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8C237B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48</w:t>
            </w:r>
          </w:p>
        </w:tc>
        <w:tc>
          <w:tcPr>
            <w:tcW w:w="2527" w:type="dxa"/>
            <w:vAlign w:val="center"/>
          </w:tcPr>
          <w:p w14:paraId="7F0860D2">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医用器械等</w:t>
            </w:r>
          </w:p>
        </w:tc>
        <w:tc>
          <w:tcPr>
            <w:tcW w:w="591" w:type="dxa"/>
            <w:vAlign w:val="center"/>
          </w:tcPr>
          <w:p w14:paraId="5D346F5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787E545C">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套</w:t>
            </w:r>
          </w:p>
        </w:tc>
        <w:tc>
          <w:tcPr>
            <w:tcW w:w="1276" w:type="dxa"/>
            <w:vAlign w:val="center"/>
          </w:tcPr>
          <w:p w14:paraId="471A3FB7">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4C19B4E0">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41C465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740DB4E">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62A37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074406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49</w:t>
            </w:r>
          </w:p>
        </w:tc>
        <w:tc>
          <w:tcPr>
            <w:tcW w:w="2527" w:type="dxa"/>
            <w:vAlign w:val="center"/>
          </w:tcPr>
          <w:p w14:paraId="1EDADB49">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医用灰阶显示器</w:t>
            </w:r>
          </w:p>
        </w:tc>
        <w:tc>
          <w:tcPr>
            <w:tcW w:w="591" w:type="dxa"/>
            <w:vAlign w:val="center"/>
          </w:tcPr>
          <w:p w14:paraId="65AB7C0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01EBAC7B">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套</w:t>
            </w:r>
          </w:p>
        </w:tc>
        <w:tc>
          <w:tcPr>
            <w:tcW w:w="1276" w:type="dxa"/>
            <w:vAlign w:val="center"/>
          </w:tcPr>
          <w:p w14:paraId="02D772E8">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4330F77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686C0FCD">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035A1EC">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6965D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E705FC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50</w:t>
            </w:r>
          </w:p>
        </w:tc>
        <w:tc>
          <w:tcPr>
            <w:tcW w:w="2527" w:type="dxa"/>
            <w:vAlign w:val="center"/>
          </w:tcPr>
          <w:p w14:paraId="0E3DC713">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空气消毒器</w:t>
            </w:r>
          </w:p>
        </w:tc>
        <w:tc>
          <w:tcPr>
            <w:tcW w:w="591" w:type="dxa"/>
            <w:vAlign w:val="center"/>
          </w:tcPr>
          <w:p w14:paraId="47E4CB77">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w:t>
            </w:r>
          </w:p>
        </w:tc>
        <w:tc>
          <w:tcPr>
            <w:tcW w:w="708" w:type="dxa"/>
            <w:vAlign w:val="center"/>
          </w:tcPr>
          <w:p w14:paraId="6F24C569">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237047F9">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7064DA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6AAD292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AF4BA1B">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D401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20E241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51</w:t>
            </w:r>
          </w:p>
        </w:tc>
        <w:tc>
          <w:tcPr>
            <w:tcW w:w="2527" w:type="dxa"/>
            <w:vAlign w:val="center"/>
          </w:tcPr>
          <w:p w14:paraId="2ACEB316">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电动流产吸引器</w:t>
            </w:r>
          </w:p>
        </w:tc>
        <w:tc>
          <w:tcPr>
            <w:tcW w:w="591" w:type="dxa"/>
            <w:vAlign w:val="center"/>
          </w:tcPr>
          <w:p w14:paraId="02666BC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22824E2C">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5E808A29">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48196DB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40D1AA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0B94F05">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322F0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A6F4C3F">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52</w:t>
            </w:r>
          </w:p>
        </w:tc>
        <w:tc>
          <w:tcPr>
            <w:tcW w:w="2527" w:type="dxa"/>
            <w:vAlign w:val="center"/>
          </w:tcPr>
          <w:p w14:paraId="36E52A48">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高频电刀</w:t>
            </w:r>
          </w:p>
        </w:tc>
        <w:tc>
          <w:tcPr>
            <w:tcW w:w="591" w:type="dxa"/>
            <w:vAlign w:val="center"/>
          </w:tcPr>
          <w:p w14:paraId="724F0C94">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6DFE89C1">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3AEF1342">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ECEAFF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BD9F77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732D7F97">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D008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20C10B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53</w:t>
            </w:r>
          </w:p>
        </w:tc>
        <w:tc>
          <w:tcPr>
            <w:tcW w:w="2527" w:type="dxa"/>
            <w:vAlign w:val="center"/>
          </w:tcPr>
          <w:p w14:paraId="0B0AA0B0">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电子阴道镜数字成像系统</w:t>
            </w:r>
          </w:p>
        </w:tc>
        <w:tc>
          <w:tcPr>
            <w:tcW w:w="591" w:type="dxa"/>
            <w:vAlign w:val="center"/>
          </w:tcPr>
          <w:p w14:paraId="48CBD29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36943955">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套</w:t>
            </w:r>
          </w:p>
        </w:tc>
        <w:tc>
          <w:tcPr>
            <w:tcW w:w="1276" w:type="dxa"/>
            <w:vAlign w:val="center"/>
          </w:tcPr>
          <w:p w14:paraId="06228DCF">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48ED9C2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2055F2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70F02CCB">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5E6B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B8E921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54</w:t>
            </w:r>
          </w:p>
        </w:tc>
        <w:tc>
          <w:tcPr>
            <w:tcW w:w="2527" w:type="dxa"/>
            <w:vAlign w:val="center"/>
          </w:tcPr>
          <w:p w14:paraId="5162E9E3">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超高清内窥镜摄像系统</w:t>
            </w:r>
          </w:p>
        </w:tc>
        <w:tc>
          <w:tcPr>
            <w:tcW w:w="591" w:type="dxa"/>
            <w:vAlign w:val="center"/>
          </w:tcPr>
          <w:p w14:paraId="0EAF674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51C25169">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套</w:t>
            </w:r>
          </w:p>
        </w:tc>
        <w:tc>
          <w:tcPr>
            <w:tcW w:w="1276" w:type="dxa"/>
            <w:vAlign w:val="center"/>
          </w:tcPr>
          <w:p w14:paraId="716B2358">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5CB368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06CDE17C">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CDD7D08">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0C2B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6937E63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55</w:t>
            </w:r>
          </w:p>
        </w:tc>
        <w:tc>
          <w:tcPr>
            <w:tcW w:w="2527" w:type="dxa"/>
            <w:vAlign w:val="center"/>
          </w:tcPr>
          <w:p w14:paraId="07571F3E">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妇科检查床</w:t>
            </w:r>
          </w:p>
        </w:tc>
        <w:tc>
          <w:tcPr>
            <w:tcW w:w="591" w:type="dxa"/>
            <w:vAlign w:val="center"/>
          </w:tcPr>
          <w:p w14:paraId="0D01182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w:t>
            </w:r>
          </w:p>
        </w:tc>
        <w:tc>
          <w:tcPr>
            <w:tcW w:w="708" w:type="dxa"/>
            <w:vAlign w:val="center"/>
          </w:tcPr>
          <w:p w14:paraId="7E980010">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张</w:t>
            </w:r>
          </w:p>
        </w:tc>
        <w:tc>
          <w:tcPr>
            <w:tcW w:w="1276" w:type="dxa"/>
            <w:vAlign w:val="center"/>
          </w:tcPr>
          <w:p w14:paraId="52C5B599">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4FEBF43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EDBE7D2">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3F7D48A1">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50DB9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E89311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56</w:t>
            </w:r>
          </w:p>
        </w:tc>
        <w:tc>
          <w:tcPr>
            <w:tcW w:w="2527" w:type="dxa"/>
            <w:vAlign w:val="center"/>
          </w:tcPr>
          <w:p w14:paraId="214DCC31">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地灯</w:t>
            </w:r>
          </w:p>
        </w:tc>
        <w:tc>
          <w:tcPr>
            <w:tcW w:w="591" w:type="dxa"/>
            <w:vAlign w:val="center"/>
          </w:tcPr>
          <w:p w14:paraId="0F38515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w:t>
            </w:r>
          </w:p>
        </w:tc>
        <w:tc>
          <w:tcPr>
            <w:tcW w:w="708" w:type="dxa"/>
            <w:vAlign w:val="center"/>
          </w:tcPr>
          <w:p w14:paraId="6528D1E6">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21A2CE02">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FCA651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D6C4384">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B3DDA11">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A47C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68AE24F">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57</w:t>
            </w:r>
          </w:p>
        </w:tc>
        <w:tc>
          <w:tcPr>
            <w:tcW w:w="2527" w:type="dxa"/>
            <w:vAlign w:val="center"/>
          </w:tcPr>
          <w:p w14:paraId="7227A4BF">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自动两煎煎药器</w:t>
            </w:r>
          </w:p>
        </w:tc>
        <w:tc>
          <w:tcPr>
            <w:tcW w:w="591" w:type="dxa"/>
            <w:vAlign w:val="center"/>
          </w:tcPr>
          <w:p w14:paraId="5FFBCB0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1F15D593">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5781AA13">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FAA8B2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6C4055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96A72C5">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321D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686BB48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58</w:t>
            </w:r>
          </w:p>
        </w:tc>
        <w:tc>
          <w:tcPr>
            <w:tcW w:w="2527" w:type="dxa"/>
            <w:vAlign w:val="center"/>
          </w:tcPr>
          <w:p w14:paraId="70BF14E7">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液体包装机</w:t>
            </w:r>
          </w:p>
        </w:tc>
        <w:tc>
          <w:tcPr>
            <w:tcW w:w="591" w:type="dxa"/>
            <w:vAlign w:val="center"/>
          </w:tcPr>
          <w:p w14:paraId="76322A0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2E1917CD">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7740CFE9">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11494E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9BF5FD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7E7E04A5">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62D2E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8529DD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59</w:t>
            </w:r>
          </w:p>
        </w:tc>
        <w:tc>
          <w:tcPr>
            <w:tcW w:w="2527" w:type="dxa"/>
            <w:vAlign w:val="center"/>
          </w:tcPr>
          <w:p w14:paraId="4072EF23">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不锈钢药柜</w:t>
            </w:r>
          </w:p>
        </w:tc>
        <w:tc>
          <w:tcPr>
            <w:tcW w:w="591" w:type="dxa"/>
            <w:vAlign w:val="center"/>
          </w:tcPr>
          <w:p w14:paraId="3AB99EF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03B54F4C">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套</w:t>
            </w:r>
          </w:p>
        </w:tc>
        <w:tc>
          <w:tcPr>
            <w:tcW w:w="1276" w:type="dxa"/>
            <w:vAlign w:val="center"/>
          </w:tcPr>
          <w:p w14:paraId="6B54C179">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15C2E2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0474AB3A">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2C4DDA2">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18A2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DB4144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60</w:t>
            </w:r>
          </w:p>
        </w:tc>
        <w:tc>
          <w:tcPr>
            <w:tcW w:w="2527" w:type="dxa"/>
            <w:vAlign w:val="center"/>
          </w:tcPr>
          <w:p w14:paraId="1436ECFF">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医用冷藏保存箱</w:t>
            </w:r>
          </w:p>
        </w:tc>
        <w:tc>
          <w:tcPr>
            <w:tcW w:w="591" w:type="dxa"/>
            <w:vAlign w:val="center"/>
          </w:tcPr>
          <w:p w14:paraId="73DDEB7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w:t>
            </w:r>
          </w:p>
        </w:tc>
        <w:tc>
          <w:tcPr>
            <w:tcW w:w="708" w:type="dxa"/>
            <w:vAlign w:val="center"/>
          </w:tcPr>
          <w:p w14:paraId="7E482354">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768FDA37">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B10EEC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0DD4F8F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5614BFA9">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5283C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DC0C25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61</w:t>
            </w:r>
          </w:p>
        </w:tc>
        <w:tc>
          <w:tcPr>
            <w:tcW w:w="2527" w:type="dxa"/>
            <w:vAlign w:val="center"/>
          </w:tcPr>
          <w:p w14:paraId="74AA75DF">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医用冷藏保存箱</w:t>
            </w:r>
          </w:p>
        </w:tc>
        <w:tc>
          <w:tcPr>
            <w:tcW w:w="591" w:type="dxa"/>
            <w:vAlign w:val="center"/>
          </w:tcPr>
          <w:p w14:paraId="75E34A34">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w:t>
            </w:r>
          </w:p>
        </w:tc>
        <w:tc>
          <w:tcPr>
            <w:tcW w:w="708" w:type="dxa"/>
            <w:vAlign w:val="center"/>
          </w:tcPr>
          <w:p w14:paraId="77A92C68">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628497BF">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61850F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7916B22">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271E057">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5FC5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9D6B887">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62</w:t>
            </w:r>
          </w:p>
        </w:tc>
        <w:tc>
          <w:tcPr>
            <w:tcW w:w="2527" w:type="dxa"/>
            <w:vAlign w:val="center"/>
          </w:tcPr>
          <w:p w14:paraId="2FE7957D">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扫码枪</w:t>
            </w:r>
          </w:p>
        </w:tc>
        <w:tc>
          <w:tcPr>
            <w:tcW w:w="591" w:type="dxa"/>
            <w:vAlign w:val="center"/>
          </w:tcPr>
          <w:p w14:paraId="3D7603E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12</w:t>
            </w:r>
          </w:p>
        </w:tc>
        <w:tc>
          <w:tcPr>
            <w:tcW w:w="708" w:type="dxa"/>
            <w:vAlign w:val="center"/>
          </w:tcPr>
          <w:p w14:paraId="3EC6B5F3">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72F18E59">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E860FE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7F6C5A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1AA92ABD">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DCB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485109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63</w:t>
            </w:r>
          </w:p>
        </w:tc>
        <w:tc>
          <w:tcPr>
            <w:tcW w:w="2527" w:type="dxa"/>
            <w:vAlign w:val="center"/>
          </w:tcPr>
          <w:p w14:paraId="0D6A84FA">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身份证读卡器</w:t>
            </w:r>
          </w:p>
        </w:tc>
        <w:tc>
          <w:tcPr>
            <w:tcW w:w="591" w:type="dxa"/>
            <w:vAlign w:val="center"/>
          </w:tcPr>
          <w:p w14:paraId="6A300E7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w:t>
            </w:r>
          </w:p>
        </w:tc>
        <w:tc>
          <w:tcPr>
            <w:tcW w:w="708" w:type="dxa"/>
            <w:vAlign w:val="center"/>
          </w:tcPr>
          <w:p w14:paraId="09B3AD2A">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550D56D1">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F3BBD0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0B39140">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22AD55A">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5854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8021BEF">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64</w:t>
            </w:r>
          </w:p>
        </w:tc>
        <w:tc>
          <w:tcPr>
            <w:tcW w:w="2527" w:type="dxa"/>
            <w:vAlign w:val="center"/>
          </w:tcPr>
          <w:p w14:paraId="5C82938B">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空调</w:t>
            </w:r>
          </w:p>
        </w:tc>
        <w:tc>
          <w:tcPr>
            <w:tcW w:w="591" w:type="dxa"/>
            <w:vAlign w:val="center"/>
          </w:tcPr>
          <w:p w14:paraId="65F1125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79E547C0">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77F98FFE">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E64401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03D2FFD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D267889">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5B7E6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051B5E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65</w:t>
            </w:r>
          </w:p>
        </w:tc>
        <w:tc>
          <w:tcPr>
            <w:tcW w:w="2527" w:type="dxa"/>
            <w:vAlign w:val="center"/>
          </w:tcPr>
          <w:p w14:paraId="0B9363EA">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体质辨识机</w:t>
            </w:r>
          </w:p>
        </w:tc>
        <w:tc>
          <w:tcPr>
            <w:tcW w:w="591" w:type="dxa"/>
            <w:vAlign w:val="center"/>
          </w:tcPr>
          <w:p w14:paraId="28A2B69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05270477">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0414B413">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FE227E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75B0B2C">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581DC634">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1305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4B7DED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66</w:t>
            </w:r>
          </w:p>
        </w:tc>
        <w:tc>
          <w:tcPr>
            <w:tcW w:w="2527" w:type="dxa"/>
            <w:vAlign w:val="center"/>
          </w:tcPr>
          <w:p w14:paraId="05FA6691">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拔牙钳</w:t>
            </w:r>
          </w:p>
        </w:tc>
        <w:tc>
          <w:tcPr>
            <w:tcW w:w="591" w:type="dxa"/>
            <w:vAlign w:val="center"/>
          </w:tcPr>
          <w:p w14:paraId="166DF53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w:t>
            </w:r>
          </w:p>
        </w:tc>
        <w:tc>
          <w:tcPr>
            <w:tcW w:w="708" w:type="dxa"/>
            <w:vAlign w:val="center"/>
          </w:tcPr>
          <w:p w14:paraId="649562AC">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7717B529">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37DCB2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D0422E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1A7311B">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30B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0CB893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67</w:t>
            </w:r>
          </w:p>
        </w:tc>
        <w:tc>
          <w:tcPr>
            <w:tcW w:w="2527" w:type="dxa"/>
            <w:vAlign w:val="center"/>
          </w:tcPr>
          <w:p w14:paraId="2CAC0ACC">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压根挺</w:t>
            </w:r>
          </w:p>
        </w:tc>
        <w:tc>
          <w:tcPr>
            <w:tcW w:w="591" w:type="dxa"/>
            <w:vAlign w:val="center"/>
          </w:tcPr>
          <w:p w14:paraId="143F6628">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w:t>
            </w:r>
          </w:p>
        </w:tc>
        <w:tc>
          <w:tcPr>
            <w:tcW w:w="708" w:type="dxa"/>
            <w:vAlign w:val="center"/>
          </w:tcPr>
          <w:p w14:paraId="72D0B499">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2C213FAF">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A7AE71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88F616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3774F53">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0D0E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4CABBA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68</w:t>
            </w:r>
          </w:p>
        </w:tc>
        <w:tc>
          <w:tcPr>
            <w:tcW w:w="2527" w:type="dxa"/>
            <w:vAlign w:val="center"/>
          </w:tcPr>
          <w:p w14:paraId="13F6251A">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石膏调拌刀</w:t>
            </w:r>
          </w:p>
        </w:tc>
        <w:tc>
          <w:tcPr>
            <w:tcW w:w="591" w:type="dxa"/>
            <w:vAlign w:val="center"/>
          </w:tcPr>
          <w:p w14:paraId="5E174AD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4A9F042A">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3CC72776">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24DAF1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31B7E3AE">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1C83CE0">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0247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7D98C57">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69</w:t>
            </w:r>
          </w:p>
        </w:tc>
        <w:tc>
          <w:tcPr>
            <w:tcW w:w="2527" w:type="dxa"/>
            <w:vAlign w:val="center"/>
          </w:tcPr>
          <w:p w14:paraId="21AA4C5B">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蜡刀、蜡匙</w:t>
            </w:r>
          </w:p>
        </w:tc>
        <w:tc>
          <w:tcPr>
            <w:tcW w:w="591" w:type="dxa"/>
            <w:vAlign w:val="center"/>
          </w:tcPr>
          <w:p w14:paraId="0F93EDF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w:t>
            </w:r>
          </w:p>
        </w:tc>
        <w:tc>
          <w:tcPr>
            <w:tcW w:w="708" w:type="dxa"/>
            <w:vAlign w:val="center"/>
          </w:tcPr>
          <w:p w14:paraId="17F5C394">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493EF48A">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A7B274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85EE64D">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46F2B76">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A279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3509166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70</w:t>
            </w:r>
          </w:p>
        </w:tc>
        <w:tc>
          <w:tcPr>
            <w:tcW w:w="2527" w:type="dxa"/>
            <w:vAlign w:val="center"/>
          </w:tcPr>
          <w:p w14:paraId="12711549">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树脂充填器</w:t>
            </w:r>
          </w:p>
        </w:tc>
        <w:tc>
          <w:tcPr>
            <w:tcW w:w="591" w:type="dxa"/>
            <w:vAlign w:val="center"/>
          </w:tcPr>
          <w:p w14:paraId="1C54956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20F5A986">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6E5DB6B6">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470763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9A9642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B3047F4">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D91E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6A593DC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71</w:t>
            </w:r>
          </w:p>
        </w:tc>
        <w:tc>
          <w:tcPr>
            <w:tcW w:w="2527" w:type="dxa"/>
            <w:vAlign w:val="center"/>
          </w:tcPr>
          <w:p w14:paraId="6AB60DCD">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离子充填器</w:t>
            </w:r>
          </w:p>
        </w:tc>
        <w:tc>
          <w:tcPr>
            <w:tcW w:w="591" w:type="dxa"/>
            <w:vAlign w:val="center"/>
          </w:tcPr>
          <w:p w14:paraId="3D2241F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57944B14">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770CEB24">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232A4AC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B45573B">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E19F124">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D23E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612D117">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72</w:t>
            </w:r>
          </w:p>
        </w:tc>
        <w:tc>
          <w:tcPr>
            <w:tcW w:w="2527" w:type="dxa"/>
            <w:vAlign w:val="center"/>
          </w:tcPr>
          <w:p w14:paraId="6DC21C12">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窝沟充填器</w:t>
            </w:r>
          </w:p>
        </w:tc>
        <w:tc>
          <w:tcPr>
            <w:tcW w:w="591" w:type="dxa"/>
            <w:vAlign w:val="center"/>
          </w:tcPr>
          <w:p w14:paraId="116CA13F">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12E9B718">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74587F22">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A2B2E7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96FDB2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66C7AAB">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8118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6F1B59A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73</w:t>
            </w:r>
          </w:p>
        </w:tc>
        <w:tc>
          <w:tcPr>
            <w:tcW w:w="2527" w:type="dxa"/>
            <w:vAlign w:val="center"/>
          </w:tcPr>
          <w:p w14:paraId="2F0AE729">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光固化刀</w:t>
            </w:r>
          </w:p>
        </w:tc>
        <w:tc>
          <w:tcPr>
            <w:tcW w:w="591" w:type="dxa"/>
            <w:vAlign w:val="center"/>
          </w:tcPr>
          <w:p w14:paraId="416954B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5B1ABBC4">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0A2159DF">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2A0B3B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36BF1BF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170BA3D7">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C02F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6B06C54">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74</w:t>
            </w:r>
          </w:p>
        </w:tc>
        <w:tc>
          <w:tcPr>
            <w:tcW w:w="2527" w:type="dxa"/>
            <w:vAlign w:val="center"/>
          </w:tcPr>
          <w:p w14:paraId="1FBB94C1">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一次性空腔器械盒</w:t>
            </w:r>
          </w:p>
        </w:tc>
        <w:tc>
          <w:tcPr>
            <w:tcW w:w="591" w:type="dxa"/>
            <w:vAlign w:val="center"/>
          </w:tcPr>
          <w:p w14:paraId="020E45F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2BFDE7F8">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箱</w:t>
            </w:r>
          </w:p>
        </w:tc>
        <w:tc>
          <w:tcPr>
            <w:tcW w:w="1276" w:type="dxa"/>
            <w:vAlign w:val="center"/>
          </w:tcPr>
          <w:p w14:paraId="5CA9B191">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62CA73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6B87A7E">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54602218">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5FA9E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6166AE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75</w:t>
            </w:r>
          </w:p>
        </w:tc>
        <w:tc>
          <w:tcPr>
            <w:tcW w:w="2527" w:type="dxa"/>
            <w:vAlign w:val="center"/>
          </w:tcPr>
          <w:p w14:paraId="0BB461F1">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牙胶尖切断器</w:t>
            </w:r>
          </w:p>
        </w:tc>
        <w:tc>
          <w:tcPr>
            <w:tcW w:w="591" w:type="dxa"/>
            <w:vAlign w:val="center"/>
          </w:tcPr>
          <w:p w14:paraId="044827EF">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008D27CA">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4D6CD680">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755C81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948079E">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F017CA2">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386A5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3A57FD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76</w:t>
            </w:r>
          </w:p>
        </w:tc>
        <w:tc>
          <w:tcPr>
            <w:tcW w:w="2527" w:type="dxa"/>
            <w:vAlign w:val="center"/>
          </w:tcPr>
          <w:p w14:paraId="4D20EDFA">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挖匙</w:t>
            </w:r>
          </w:p>
        </w:tc>
        <w:tc>
          <w:tcPr>
            <w:tcW w:w="591" w:type="dxa"/>
            <w:vAlign w:val="center"/>
          </w:tcPr>
          <w:p w14:paraId="58E17E9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w:t>
            </w:r>
          </w:p>
        </w:tc>
        <w:tc>
          <w:tcPr>
            <w:tcW w:w="708" w:type="dxa"/>
            <w:vAlign w:val="center"/>
          </w:tcPr>
          <w:p w14:paraId="5E2ED92D">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580764C3">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3440A5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32A615C">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568CAF62">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5AD9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124FA6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77</w:t>
            </w:r>
          </w:p>
        </w:tc>
        <w:tc>
          <w:tcPr>
            <w:tcW w:w="2527" w:type="dxa"/>
            <w:vAlign w:val="center"/>
          </w:tcPr>
          <w:p w14:paraId="4D104EBA">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广口瓶宅口瓶</w:t>
            </w:r>
          </w:p>
        </w:tc>
        <w:tc>
          <w:tcPr>
            <w:tcW w:w="591" w:type="dxa"/>
            <w:vAlign w:val="center"/>
          </w:tcPr>
          <w:p w14:paraId="57D4DE4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w:t>
            </w:r>
          </w:p>
        </w:tc>
        <w:tc>
          <w:tcPr>
            <w:tcW w:w="708" w:type="dxa"/>
            <w:vAlign w:val="center"/>
          </w:tcPr>
          <w:p w14:paraId="6579308D">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17B23D4A">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362AB2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197DF3B">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329F7FB1">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6F7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12FE624">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78</w:t>
            </w:r>
          </w:p>
        </w:tc>
        <w:tc>
          <w:tcPr>
            <w:tcW w:w="2527" w:type="dxa"/>
            <w:vAlign w:val="center"/>
          </w:tcPr>
          <w:p w14:paraId="2A19D51F">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正畸钳子</w:t>
            </w:r>
          </w:p>
        </w:tc>
        <w:tc>
          <w:tcPr>
            <w:tcW w:w="591" w:type="dxa"/>
            <w:vAlign w:val="center"/>
          </w:tcPr>
          <w:p w14:paraId="581E8D3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226699C4">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5BE7DBEF">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18E8E50">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A165EA2">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FFB9DE9">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3D57E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4D8E864">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79</w:t>
            </w:r>
          </w:p>
        </w:tc>
        <w:tc>
          <w:tcPr>
            <w:tcW w:w="2527" w:type="dxa"/>
            <w:vAlign w:val="center"/>
          </w:tcPr>
          <w:p w14:paraId="44673DD0">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自锁托槽</w:t>
            </w:r>
          </w:p>
        </w:tc>
        <w:tc>
          <w:tcPr>
            <w:tcW w:w="591" w:type="dxa"/>
            <w:vAlign w:val="center"/>
          </w:tcPr>
          <w:p w14:paraId="3CC4BCB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w:t>
            </w:r>
          </w:p>
        </w:tc>
        <w:tc>
          <w:tcPr>
            <w:tcW w:w="708" w:type="dxa"/>
            <w:vAlign w:val="center"/>
          </w:tcPr>
          <w:p w14:paraId="64DA7DE9">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0E81939C">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D68804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F0437C5">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3451A536">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3BF9C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0FBE7E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80</w:t>
            </w:r>
          </w:p>
        </w:tc>
        <w:tc>
          <w:tcPr>
            <w:tcW w:w="2527" w:type="dxa"/>
            <w:vAlign w:val="center"/>
          </w:tcPr>
          <w:p w14:paraId="2F5807FA">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橡皮圈</w:t>
            </w:r>
          </w:p>
        </w:tc>
        <w:tc>
          <w:tcPr>
            <w:tcW w:w="591" w:type="dxa"/>
            <w:vAlign w:val="center"/>
          </w:tcPr>
          <w:p w14:paraId="49279944">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w:t>
            </w:r>
          </w:p>
        </w:tc>
        <w:tc>
          <w:tcPr>
            <w:tcW w:w="708" w:type="dxa"/>
            <w:vAlign w:val="center"/>
          </w:tcPr>
          <w:p w14:paraId="065D9CF1">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522A44E9">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467B630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9A8DF9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6EE4D44">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6E4F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5DEAE8F">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81</w:t>
            </w:r>
          </w:p>
        </w:tc>
        <w:tc>
          <w:tcPr>
            <w:tcW w:w="2527" w:type="dxa"/>
            <w:vAlign w:val="center"/>
          </w:tcPr>
          <w:p w14:paraId="2056642B">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止血钳</w:t>
            </w:r>
          </w:p>
        </w:tc>
        <w:tc>
          <w:tcPr>
            <w:tcW w:w="591" w:type="dxa"/>
            <w:vAlign w:val="center"/>
          </w:tcPr>
          <w:p w14:paraId="4704F987">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w:t>
            </w:r>
          </w:p>
        </w:tc>
        <w:tc>
          <w:tcPr>
            <w:tcW w:w="708" w:type="dxa"/>
            <w:vAlign w:val="center"/>
          </w:tcPr>
          <w:p w14:paraId="05221230">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7099959A">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B20559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D337C6F">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704BC9FE">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CD45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C40648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82</w:t>
            </w:r>
          </w:p>
        </w:tc>
        <w:tc>
          <w:tcPr>
            <w:tcW w:w="2527" w:type="dxa"/>
            <w:vAlign w:val="center"/>
          </w:tcPr>
          <w:p w14:paraId="2F0E3D98">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手术刀片（柄）</w:t>
            </w:r>
          </w:p>
        </w:tc>
        <w:tc>
          <w:tcPr>
            <w:tcW w:w="591" w:type="dxa"/>
            <w:vAlign w:val="center"/>
          </w:tcPr>
          <w:p w14:paraId="6ACF029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72F2C9EF">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4BBE51AF">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234F70A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865FA72">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549C5025">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ACED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E1BC10B">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83</w:t>
            </w:r>
          </w:p>
        </w:tc>
        <w:tc>
          <w:tcPr>
            <w:tcW w:w="2527" w:type="dxa"/>
            <w:vAlign w:val="center"/>
          </w:tcPr>
          <w:p w14:paraId="31C531FA">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喷枪头</w:t>
            </w:r>
          </w:p>
        </w:tc>
        <w:tc>
          <w:tcPr>
            <w:tcW w:w="591" w:type="dxa"/>
            <w:vAlign w:val="center"/>
          </w:tcPr>
          <w:p w14:paraId="6217C487">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w:t>
            </w:r>
          </w:p>
        </w:tc>
        <w:tc>
          <w:tcPr>
            <w:tcW w:w="708" w:type="dxa"/>
            <w:vAlign w:val="center"/>
          </w:tcPr>
          <w:p w14:paraId="45EF221C">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17052EB0">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3E3CC18">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EEDD1A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679D410">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6F039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9DB9D98">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84</w:t>
            </w:r>
          </w:p>
        </w:tc>
        <w:tc>
          <w:tcPr>
            <w:tcW w:w="2527" w:type="dxa"/>
            <w:vAlign w:val="center"/>
          </w:tcPr>
          <w:p w14:paraId="57162CA3">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取膜托盘</w:t>
            </w:r>
          </w:p>
        </w:tc>
        <w:tc>
          <w:tcPr>
            <w:tcW w:w="591" w:type="dxa"/>
            <w:vAlign w:val="center"/>
          </w:tcPr>
          <w:p w14:paraId="329B5B64">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30</w:t>
            </w:r>
          </w:p>
        </w:tc>
        <w:tc>
          <w:tcPr>
            <w:tcW w:w="708" w:type="dxa"/>
            <w:vAlign w:val="center"/>
          </w:tcPr>
          <w:p w14:paraId="4C45B6EA">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66542662">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91B8A6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6B2ACC3C">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CC0897A">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C179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43E865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85</w:t>
            </w:r>
          </w:p>
        </w:tc>
        <w:tc>
          <w:tcPr>
            <w:tcW w:w="2527" w:type="dxa"/>
            <w:vAlign w:val="center"/>
          </w:tcPr>
          <w:p w14:paraId="3525885C">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诊室移动消毒灯</w:t>
            </w:r>
          </w:p>
        </w:tc>
        <w:tc>
          <w:tcPr>
            <w:tcW w:w="591" w:type="dxa"/>
            <w:vAlign w:val="center"/>
          </w:tcPr>
          <w:p w14:paraId="2538261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4B87D528">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55A5C5B7">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4F0084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D0C609B">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96AA6B0">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9A6C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4161F9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86</w:t>
            </w:r>
          </w:p>
        </w:tc>
        <w:tc>
          <w:tcPr>
            <w:tcW w:w="2527" w:type="dxa"/>
            <w:vAlign w:val="center"/>
          </w:tcPr>
          <w:p w14:paraId="48E486D2">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补牙成型片</w:t>
            </w:r>
          </w:p>
        </w:tc>
        <w:tc>
          <w:tcPr>
            <w:tcW w:w="591" w:type="dxa"/>
            <w:vAlign w:val="center"/>
          </w:tcPr>
          <w:p w14:paraId="1A6B4A3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56D0962C">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1F637454">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E345ED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342494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389924C4">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4CF2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6787AE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87</w:t>
            </w:r>
          </w:p>
        </w:tc>
        <w:tc>
          <w:tcPr>
            <w:tcW w:w="2527" w:type="dxa"/>
            <w:vAlign w:val="center"/>
          </w:tcPr>
          <w:p w14:paraId="3107D68F">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拔髓针光滑针</w:t>
            </w:r>
          </w:p>
        </w:tc>
        <w:tc>
          <w:tcPr>
            <w:tcW w:w="591" w:type="dxa"/>
            <w:vAlign w:val="center"/>
          </w:tcPr>
          <w:p w14:paraId="1DB310B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w:t>
            </w:r>
          </w:p>
        </w:tc>
        <w:tc>
          <w:tcPr>
            <w:tcW w:w="708" w:type="dxa"/>
            <w:vAlign w:val="center"/>
          </w:tcPr>
          <w:p w14:paraId="129C242F">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支</w:t>
            </w:r>
          </w:p>
        </w:tc>
        <w:tc>
          <w:tcPr>
            <w:tcW w:w="1276" w:type="dxa"/>
            <w:vAlign w:val="center"/>
          </w:tcPr>
          <w:p w14:paraId="7C54ADE7">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EE955C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671C4B4">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B19668F">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535E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988398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88</w:t>
            </w:r>
          </w:p>
        </w:tc>
        <w:tc>
          <w:tcPr>
            <w:tcW w:w="2527" w:type="dxa"/>
            <w:vAlign w:val="center"/>
          </w:tcPr>
          <w:p w14:paraId="20FA9EFE">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磨牙车针</w:t>
            </w:r>
          </w:p>
        </w:tc>
        <w:tc>
          <w:tcPr>
            <w:tcW w:w="591" w:type="dxa"/>
            <w:vAlign w:val="center"/>
          </w:tcPr>
          <w:p w14:paraId="31B21A2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200</w:t>
            </w:r>
          </w:p>
        </w:tc>
        <w:tc>
          <w:tcPr>
            <w:tcW w:w="708" w:type="dxa"/>
            <w:vAlign w:val="center"/>
          </w:tcPr>
          <w:p w14:paraId="3D31D978">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支</w:t>
            </w:r>
          </w:p>
        </w:tc>
        <w:tc>
          <w:tcPr>
            <w:tcW w:w="1276" w:type="dxa"/>
            <w:vAlign w:val="center"/>
          </w:tcPr>
          <w:p w14:paraId="0F7BB1DC">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C6E539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07B37B1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34532CA1">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A9B9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6DB1090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89</w:t>
            </w:r>
          </w:p>
        </w:tc>
        <w:tc>
          <w:tcPr>
            <w:tcW w:w="2527" w:type="dxa"/>
            <w:vAlign w:val="center"/>
          </w:tcPr>
          <w:p w14:paraId="0E9C6104">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维他比色斑</w:t>
            </w:r>
          </w:p>
        </w:tc>
        <w:tc>
          <w:tcPr>
            <w:tcW w:w="591" w:type="dxa"/>
            <w:vAlign w:val="center"/>
          </w:tcPr>
          <w:p w14:paraId="442F4C7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01EBBA2E">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7DE48ED5">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5FAA30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7EE706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1AAE64DC">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96D7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7F7EDF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90</w:t>
            </w:r>
          </w:p>
        </w:tc>
        <w:tc>
          <w:tcPr>
            <w:tcW w:w="2527" w:type="dxa"/>
            <w:vAlign w:val="center"/>
          </w:tcPr>
          <w:p w14:paraId="3BE63248">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档案柜</w:t>
            </w:r>
          </w:p>
        </w:tc>
        <w:tc>
          <w:tcPr>
            <w:tcW w:w="591" w:type="dxa"/>
            <w:vAlign w:val="center"/>
          </w:tcPr>
          <w:p w14:paraId="2D15B9FB">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w:t>
            </w:r>
          </w:p>
        </w:tc>
        <w:tc>
          <w:tcPr>
            <w:tcW w:w="708" w:type="dxa"/>
            <w:vAlign w:val="center"/>
          </w:tcPr>
          <w:p w14:paraId="30CDE86F">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组</w:t>
            </w:r>
          </w:p>
        </w:tc>
        <w:tc>
          <w:tcPr>
            <w:tcW w:w="1276" w:type="dxa"/>
            <w:vAlign w:val="center"/>
          </w:tcPr>
          <w:p w14:paraId="1FCA1E90">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825AC7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39A4757F">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79D41AEF">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7186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3474C8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91</w:t>
            </w:r>
          </w:p>
        </w:tc>
        <w:tc>
          <w:tcPr>
            <w:tcW w:w="2527" w:type="dxa"/>
            <w:vAlign w:val="center"/>
          </w:tcPr>
          <w:p w14:paraId="0658F16D">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医用低温保存箱</w:t>
            </w:r>
          </w:p>
        </w:tc>
        <w:tc>
          <w:tcPr>
            <w:tcW w:w="591" w:type="dxa"/>
            <w:vAlign w:val="center"/>
          </w:tcPr>
          <w:p w14:paraId="746460B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2B65DC95">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16964D78">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784E76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9D6D662">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C975551">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4FB8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15A5E5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92</w:t>
            </w:r>
          </w:p>
        </w:tc>
        <w:tc>
          <w:tcPr>
            <w:tcW w:w="2527" w:type="dxa"/>
            <w:vAlign w:val="center"/>
          </w:tcPr>
          <w:p w14:paraId="426179DD">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饮水机</w:t>
            </w:r>
          </w:p>
        </w:tc>
        <w:tc>
          <w:tcPr>
            <w:tcW w:w="591" w:type="dxa"/>
            <w:vAlign w:val="center"/>
          </w:tcPr>
          <w:p w14:paraId="7CAA219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w:t>
            </w:r>
          </w:p>
        </w:tc>
        <w:tc>
          <w:tcPr>
            <w:tcW w:w="708" w:type="dxa"/>
            <w:vAlign w:val="center"/>
          </w:tcPr>
          <w:p w14:paraId="2889B34F">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18FD6C82">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59B9DF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DF79D4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736E34E">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CA24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FF127E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93</w:t>
            </w:r>
          </w:p>
        </w:tc>
        <w:tc>
          <w:tcPr>
            <w:tcW w:w="2527" w:type="dxa"/>
            <w:vAlign w:val="center"/>
          </w:tcPr>
          <w:p w14:paraId="42567F6E">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诊床</w:t>
            </w:r>
          </w:p>
        </w:tc>
        <w:tc>
          <w:tcPr>
            <w:tcW w:w="591" w:type="dxa"/>
            <w:vAlign w:val="center"/>
          </w:tcPr>
          <w:p w14:paraId="2FD8E17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w:t>
            </w:r>
          </w:p>
        </w:tc>
        <w:tc>
          <w:tcPr>
            <w:tcW w:w="708" w:type="dxa"/>
            <w:vAlign w:val="center"/>
          </w:tcPr>
          <w:p w14:paraId="5BBFBF14">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69B586B6">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445E5E7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DAB87B8">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F8001CD">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A39C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29BA31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94</w:t>
            </w:r>
          </w:p>
        </w:tc>
        <w:tc>
          <w:tcPr>
            <w:tcW w:w="2527" w:type="dxa"/>
            <w:vAlign w:val="center"/>
          </w:tcPr>
          <w:p w14:paraId="26C9CED1">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氧气瓶</w:t>
            </w:r>
          </w:p>
        </w:tc>
        <w:tc>
          <w:tcPr>
            <w:tcW w:w="591" w:type="dxa"/>
            <w:vAlign w:val="center"/>
          </w:tcPr>
          <w:p w14:paraId="0ADD0DBB">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w:t>
            </w:r>
          </w:p>
        </w:tc>
        <w:tc>
          <w:tcPr>
            <w:tcW w:w="708" w:type="dxa"/>
            <w:vAlign w:val="center"/>
          </w:tcPr>
          <w:p w14:paraId="4F4C0BE7">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48420A18">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59ED43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11CC274">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15559820">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62BE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8D8F8E8">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95</w:t>
            </w:r>
          </w:p>
        </w:tc>
        <w:tc>
          <w:tcPr>
            <w:tcW w:w="2527" w:type="dxa"/>
            <w:vAlign w:val="center"/>
          </w:tcPr>
          <w:p w14:paraId="5C6BC366">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紫外线消毒车</w:t>
            </w:r>
          </w:p>
        </w:tc>
        <w:tc>
          <w:tcPr>
            <w:tcW w:w="591" w:type="dxa"/>
            <w:vAlign w:val="center"/>
          </w:tcPr>
          <w:p w14:paraId="2A1E7F3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w:t>
            </w:r>
          </w:p>
        </w:tc>
        <w:tc>
          <w:tcPr>
            <w:tcW w:w="708" w:type="dxa"/>
            <w:vAlign w:val="center"/>
          </w:tcPr>
          <w:p w14:paraId="58050C8E">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4F2035C0">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69A9F1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6CC3DCE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3DF68B8B">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1A8F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8B34A9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96</w:t>
            </w:r>
          </w:p>
        </w:tc>
        <w:tc>
          <w:tcPr>
            <w:tcW w:w="2527" w:type="dxa"/>
            <w:vAlign w:val="center"/>
          </w:tcPr>
          <w:p w14:paraId="571B5009">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急救包</w:t>
            </w:r>
          </w:p>
        </w:tc>
        <w:tc>
          <w:tcPr>
            <w:tcW w:w="591" w:type="dxa"/>
            <w:vAlign w:val="center"/>
          </w:tcPr>
          <w:p w14:paraId="1242C4B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w:t>
            </w:r>
          </w:p>
        </w:tc>
        <w:tc>
          <w:tcPr>
            <w:tcW w:w="708" w:type="dxa"/>
            <w:vAlign w:val="center"/>
          </w:tcPr>
          <w:p w14:paraId="36AC0C1D">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1D900D14">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26DB18F">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50C4B1F">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CEA93C5">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5329D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9AF117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97</w:t>
            </w:r>
          </w:p>
        </w:tc>
        <w:tc>
          <w:tcPr>
            <w:tcW w:w="2527" w:type="dxa"/>
            <w:vAlign w:val="center"/>
          </w:tcPr>
          <w:p w14:paraId="0F26230E">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氧气袋</w:t>
            </w:r>
          </w:p>
        </w:tc>
        <w:tc>
          <w:tcPr>
            <w:tcW w:w="591" w:type="dxa"/>
            <w:vAlign w:val="center"/>
          </w:tcPr>
          <w:p w14:paraId="2FD804B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4</w:t>
            </w:r>
          </w:p>
        </w:tc>
        <w:tc>
          <w:tcPr>
            <w:tcW w:w="708" w:type="dxa"/>
            <w:vAlign w:val="center"/>
          </w:tcPr>
          <w:p w14:paraId="453A10F2">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1F9D9427">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1E9BF6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1713D84">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328F0E6">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AD99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53B6D9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98</w:t>
            </w:r>
          </w:p>
        </w:tc>
        <w:tc>
          <w:tcPr>
            <w:tcW w:w="2527" w:type="dxa"/>
            <w:vAlign w:val="center"/>
          </w:tcPr>
          <w:p w14:paraId="2006A53C">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穿衣柜</w:t>
            </w:r>
          </w:p>
        </w:tc>
        <w:tc>
          <w:tcPr>
            <w:tcW w:w="591" w:type="dxa"/>
            <w:vAlign w:val="center"/>
          </w:tcPr>
          <w:p w14:paraId="7994AB8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2121CED4">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组</w:t>
            </w:r>
          </w:p>
        </w:tc>
        <w:tc>
          <w:tcPr>
            <w:tcW w:w="1276" w:type="dxa"/>
            <w:vAlign w:val="center"/>
          </w:tcPr>
          <w:p w14:paraId="3FFD8B44">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74183E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5A06C9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5B39B1B">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CD9F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C031F18">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99</w:t>
            </w:r>
          </w:p>
        </w:tc>
        <w:tc>
          <w:tcPr>
            <w:tcW w:w="2527" w:type="dxa"/>
            <w:vAlign w:val="center"/>
          </w:tcPr>
          <w:p w14:paraId="53D6A21D">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单人功能输液椅</w:t>
            </w:r>
          </w:p>
        </w:tc>
        <w:tc>
          <w:tcPr>
            <w:tcW w:w="591" w:type="dxa"/>
            <w:vAlign w:val="center"/>
          </w:tcPr>
          <w:p w14:paraId="2AFA79F7">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30</w:t>
            </w:r>
          </w:p>
        </w:tc>
        <w:tc>
          <w:tcPr>
            <w:tcW w:w="708" w:type="dxa"/>
            <w:vAlign w:val="center"/>
          </w:tcPr>
          <w:p w14:paraId="6016A336">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套</w:t>
            </w:r>
          </w:p>
        </w:tc>
        <w:tc>
          <w:tcPr>
            <w:tcW w:w="1276" w:type="dxa"/>
            <w:vAlign w:val="center"/>
          </w:tcPr>
          <w:p w14:paraId="39D9F26D">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4FA13710">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3EC5D92E">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7EA56D2">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977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66BC3F0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100</w:t>
            </w:r>
          </w:p>
        </w:tc>
        <w:tc>
          <w:tcPr>
            <w:tcW w:w="2527" w:type="dxa"/>
            <w:vAlign w:val="center"/>
          </w:tcPr>
          <w:p w14:paraId="6FD38C2A">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测温门</w:t>
            </w:r>
          </w:p>
        </w:tc>
        <w:tc>
          <w:tcPr>
            <w:tcW w:w="591" w:type="dxa"/>
            <w:vAlign w:val="center"/>
          </w:tcPr>
          <w:p w14:paraId="42891C6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2D8936AE">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36CAFED2">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69927B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2606634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38FDDE0">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177C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8CA395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101</w:t>
            </w:r>
          </w:p>
        </w:tc>
        <w:tc>
          <w:tcPr>
            <w:tcW w:w="2527" w:type="dxa"/>
            <w:vAlign w:val="center"/>
          </w:tcPr>
          <w:p w14:paraId="0AD6F0C1">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臂式电子血压计</w:t>
            </w:r>
          </w:p>
        </w:tc>
        <w:tc>
          <w:tcPr>
            <w:tcW w:w="591" w:type="dxa"/>
            <w:vAlign w:val="center"/>
          </w:tcPr>
          <w:p w14:paraId="2F31CC38">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20</w:t>
            </w:r>
          </w:p>
        </w:tc>
        <w:tc>
          <w:tcPr>
            <w:tcW w:w="708" w:type="dxa"/>
            <w:vAlign w:val="center"/>
          </w:tcPr>
          <w:p w14:paraId="58A02329">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5D29CB0C">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9D1F07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2A46EF5">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1779D0E">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3C038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9AB7C3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102</w:t>
            </w:r>
          </w:p>
        </w:tc>
        <w:tc>
          <w:tcPr>
            <w:tcW w:w="2527" w:type="dxa"/>
            <w:vAlign w:val="center"/>
          </w:tcPr>
          <w:p w14:paraId="2CFCFA91">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血压计（水银）</w:t>
            </w:r>
          </w:p>
        </w:tc>
        <w:tc>
          <w:tcPr>
            <w:tcW w:w="591" w:type="dxa"/>
            <w:vAlign w:val="center"/>
          </w:tcPr>
          <w:p w14:paraId="0F0AE4D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w:t>
            </w:r>
          </w:p>
        </w:tc>
        <w:tc>
          <w:tcPr>
            <w:tcW w:w="708" w:type="dxa"/>
            <w:vAlign w:val="center"/>
          </w:tcPr>
          <w:p w14:paraId="3EA026F1">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365B65C6">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B0B77C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6A72CBDE">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63873BE">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5F9F8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39EC13A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103</w:t>
            </w:r>
          </w:p>
        </w:tc>
        <w:tc>
          <w:tcPr>
            <w:tcW w:w="2527" w:type="dxa"/>
            <w:vAlign w:val="center"/>
          </w:tcPr>
          <w:p w14:paraId="7B8825FF">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身高体重计</w:t>
            </w:r>
          </w:p>
        </w:tc>
        <w:tc>
          <w:tcPr>
            <w:tcW w:w="591" w:type="dxa"/>
            <w:vAlign w:val="center"/>
          </w:tcPr>
          <w:p w14:paraId="10A7F8B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6BB596EE">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175EACFA">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E2C0B8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6C0E057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5BD64746">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6A161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76FC8B4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104</w:t>
            </w:r>
          </w:p>
        </w:tc>
        <w:tc>
          <w:tcPr>
            <w:tcW w:w="2527" w:type="dxa"/>
            <w:vAlign w:val="center"/>
          </w:tcPr>
          <w:p w14:paraId="07DE5C73">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商务投影机</w:t>
            </w:r>
          </w:p>
        </w:tc>
        <w:tc>
          <w:tcPr>
            <w:tcW w:w="591" w:type="dxa"/>
            <w:vAlign w:val="center"/>
          </w:tcPr>
          <w:p w14:paraId="1507A3DF">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w:t>
            </w:r>
          </w:p>
        </w:tc>
        <w:tc>
          <w:tcPr>
            <w:tcW w:w="708" w:type="dxa"/>
            <w:vAlign w:val="center"/>
          </w:tcPr>
          <w:p w14:paraId="0C34B022">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016CBF2F">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C4EC2BE">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BDAB372">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C29EFF7">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962D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35EA5C68">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105</w:t>
            </w:r>
          </w:p>
        </w:tc>
        <w:tc>
          <w:tcPr>
            <w:tcW w:w="2527" w:type="dxa"/>
            <w:vAlign w:val="center"/>
          </w:tcPr>
          <w:p w14:paraId="40D9F263">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屈光筛查仪</w:t>
            </w:r>
          </w:p>
        </w:tc>
        <w:tc>
          <w:tcPr>
            <w:tcW w:w="591" w:type="dxa"/>
            <w:vAlign w:val="center"/>
          </w:tcPr>
          <w:p w14:paraId="205DD0D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7F93DE70">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1A88111A">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2585407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0AE80D4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59AD3C60">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4475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394D704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106</w:t>
            </w:r>
          </w:p>
        </w:tc>
        <w:tc>
          <w:tcPr>
            <w:tcW w:w="2527" w:type="dxa"/>
            <w:vAlign w:val="center"/>
          </w:tcPr>
          <w:p w14:paraId="1AAC220D">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铸铁捣药罐+捣药棒</w:t>
            </w:r>
          </w:p>
        </w:tc>
        <w:tc>
          <w:tcPr>
            <w:tcW w:w="591" w:type="dxa"/>
            <w:vAlign w:val="center"/>
          </w:tcPr>
          <w:p w14:paraId="2E1A763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4196EDC1">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套</w:t>
            </w:r>
          </w:p>
        </w:tc>
        <w:tc>
          <w:tcPr>
            <w:tcW w:w="1276" w:type="dxa"/>
            <w:vAlign w:val="center"/>
          </w:tcPr>
          <w:p w14:paraId="15ACBDA7">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BD048B7">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66B8522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D441274">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A7FF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AA06BF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107</w:t>
            </w:r>
          </w:p>
        </w:tc>
        <w:tc>
          <w:tcPr>
            <w:tcW w:w="2527" w:type="dxa"/>
            <w:vAlign w:val="center"/>
          </w:tcPr>
          <w:p w14:paraId="58A11EC2">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中药小铜秤</w:t>
            </w:r>
          </w:p>
        </w:tc>
        <w:tc>
          <w:tcPr>
            <w:tcW w:w="591" w:type="dxa"/>
            <w:vAlign w:val="center"/>
          </w:tcPr>
          <w:p w14:paraId="7D0D390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52B17AD4">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套</w:t>
            </w:r>
          </w:p>
        </w:tc>
        <w:tc>
          <w:tcPr>
            <w:tcW w:w="1276" w:type="dxa"/>
            <w:vAlign w:val="center"/>
          </w:tcPr>
          <w:p w14:paraId="77ED9F88">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7F3E5D0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BCE7E91">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71325EBB">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4170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3468C3A7">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108</w:t>
            </w:r>
          </w:p>
        </w:tc>
        <w:tc>
          <w:tcPr>
            <w:tcW w:w="2527" w:type="dxa"/>
            <w:vAlign w:val="center"/>
          </w:tcPr>
          <w:p w14:paraId="57FAFECA">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盘秤</w:t>
            </w:r>
          </w:p>
        </w:tc>
        <w:tc>
          <w:tcPr>
            <w:tcW w:w="591" w:type="dxa"/>
            <w:vAlign w:val="center"/>
          </w:tcPr>
          <w:p w14:paraId="02CDEB9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6E86D10F">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套</w:t>
            </w:r>
          </w:p>
        </w:tc>
        <w:tc>
          <w:tcPr>
            <w:tcW w:w="1276" w:type="dxa"/>
            <w:vAlign w:val="center"/>
          </w:tcPr>
          <w:p w14:paraId="66C67596">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47755B0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BA6C8CC">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3D90E1BD">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60F6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30560FE7">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109</w:t>
            </w:r>
          </w:p>
        </w:tc>
        <w:tc>
          <w:tcPr>
            <w:tcW w:w="2527" w:type="dxa"/>
            <w:vAlign w:val="center"/>
          </w:tcPr>
          <w:p w14:paraId="17FD8F3C">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不锈钢53抽中药柜</w:t>
            </w:r>
          </w:p>
        </w:tc>
        <w:tc>
          <w:tcPr>
            <w:tcW w:w="591" w:type="dxa"/>
            <w:vAlign w:val="center"/>
          </w:tcPr>
          <w:p w14:paraId="2688125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067EAB2F">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组</w:t>
            </w:r>
          </w:p>
        </w:tc>
        <w:tc>
          <w:tcPr>
            <w:tcW w:w="1276" w:type="dxa"/>
            <w:vAlign w:val="center"/>
          </w:tcPr>
          <w:p w14:paraId="33292218">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3831A0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FD7D180">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D273442">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6935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6109788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110</w:t>
            </w:r>
          </w:p>
        </w:tc>
        <w:tc>
          <w:tcPr>
            <w:tcW w:w="2527" w:type="dxa"/>
            <w:vAlign w:val="center"/>
          </w:tcPr>
          <w:p w14:paraId="29933FC5">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金属折叠西药柜</w:t>
            </w:r>
          </w:p>
        </w:tc>
        <w:tc>
          <w:tcPr>
            <w:tcW w:w="591" w:type="dxa"/>
            <w:vAlign w:val="center"/>
          </w:tcPr>
          <w:p w14:paraId="01A0841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69492D9E">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组</w:t>
            </w:r>
          </w:p>
        </w:tc>
        <w:tc>
          <w:tcPr>
            <w:tcW w:w="1276" w:type="dxa"/>
            <w:vAlign w:val="center"/>
          </w:tcPr>
          <w:p w14:paraId="04B9DD5C">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20FB1A0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EAFCDEE">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1822366B">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F1B5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B001F2B">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111</w:t>
            </w:r>
          </w:p>
        </w:tc>
        <w:tc>
          <w:tcPr>
            <w:tcW w:w="2527" w:type="dxa"/>
            <w:vAlign w:val="center"/>
          </w:tcPr>
          <w:p w14:paraId="213F3630">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药品冷藏箱</w:t>
            </w:r>
          </w:p>
        </w:tc>
        <w:tc>
          <w:tcPr>
            <w:tcW w:w="591" w:type="dxa"/>
            <w:vAlign w:val="center"/>
          </w:tcPr>
          <w:p w14:paraId="321EFD0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w:t>
            </w:r>
          </w:p>
        </w:tc>
        <w:tc>
          <w:tcPr>
            <w:tcW w:w="708" w:type="dxa"/>
            <w:vAlign w:val="center"/>
          </w:tcPr>
          <w:p w14:paraId="6D93F2EE">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3F4527B9">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15DE11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B6AC529">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8B3ADA2">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23E5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30AB2EF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112</w:t>
            </w:r>
          </w:p>
        </w:tc>
        <w:tc>
          <w:tcPr>
            <w:tcW w:w="2527" w:type="dxa"/>
            <w:vAlign w:val="center"/>
          </w:tcPr>
          <w:p w14:paraId="07F4F46D">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不锈钢面.座药品柜</w:t>
            </w:r>
          </w:p>
        </w:tc>
        <w:tc>
          <w:tcPr>
            <w:tcW w:w="591" w:type="dxa"/>
            <w:vAlign w:val="center"/>
          </w:tcPr>
          <w:p w14:paraId="5AD3840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5DF69B86">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组</w:t>
            </w:r>
          </w:p>
        </w:tc>
        <w:tc>
          <w:tcPr>
            <w:tcW w:w="1276" w:type="dxa"/>
            <w:vAlign w:val="center"/>
          </w:tcPr>
          <w:p w14:paraId="23889159">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4AAAB892">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6E7B26F2">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3921EAD5">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D4BE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597132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113</w:t>
            </w:r>
          </w:p>
        </w:tc>
        <w:tc>
          <w:tcPr>
            <w:tcW w:w="2527" w:type="dxa"/>
            <w:vAlign w:val="center"/>
          </w:tcPr>
          <w:p w14:paraId="4BCA26AC">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电动洗胃机</w:t>
            </w:r>
          </w:p>
        </w:tc>
        <w:tc>
          <w:tcPr>
            <w:tcW w:w="591" w:type="dxa"/>
            <w:vAlign w:val="center"/>
          </w:tcPr>
          <w:p w14:paraId="1B5F40D9">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7A247EBA">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5724FD2B">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5BC960E">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37F52FA6">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9BFCF67">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756C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3613B8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114</w:t>
            </w:r>
          </w:p>
        </w:tc>
        <w:tc>
          <w:tcPr>
            <w:tcW w:w="2527" w:type="dxa"/>
            <w:vAlign w:val="center"/>
          </w:tcPr>
          <w:p w14:paraId="49D36201">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LED光固化机</w:t>
            </w:r>
          </w:p>
        </w:tc>
        <w:tc>
          <w:tcPr>
            <w:tcW w:w="591" w:type="dxa"/>
            <w:vAlign w:val="center"/>
          </w:tcPr>
          <w:p w14:paraId="07C067A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3A720976">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1941A536">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23AAD8BC">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2D29B7A">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2D2F1CBE">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4571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1BAEC9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115</w:t>
            </w:r>
          </w:p>
        </w:tc>
        <w:tc>
          <w:tcPr>
            <w:tcW w:w="2527" w:type="dxa"/>
            <w:vAlign w:val="center"/>
          </w:tcPr>
          <w:p w14:paraId="52621840">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弯钳</w:t>
            </w:r>
          </w:p>
        </w:tc>
        <w:tc>
          <w:tcPr>
            <w:tcW w:w="591" w:type="dxa"/>
            <w:vAlign w:val="center"/>
          </w:tcPr>
          <w:p w14:paraId="69D5C79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20</w:t>
            </w:r>
          </w:p>
        </w:tc>
        <w:tc>
          <w:tcPr>
            <w:tcW w:w="708" w:type="dxa"/>
            <w:vAlign w:val="center"/>
          </w:tcPr>
          <w:p w14:paraId="03758E97">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0459A7D4">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420449D">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758D72D">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14C70132">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434CE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6110AD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116</w:t>
            </w:r>
          </w:p>
        </w:tc>
        <w:tc>
          <w:tcPr>
            <w:tcW w:w="2527" w:type="dxa"/>
            <w:vAlign w:val="center"/>
          </w:tcPr>
          <w:p w14:paraId="41CBAE50">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直钳</w:t>
            </w:r>
          </w:p>
        </w:tc>
        <w:tc>
          <w:tcPr>
            <w:tcW w:w="591" w:type="dxa"/>
            <w:vAlign w:val="center"/>
          </w:tcPr>
          <w:p w14:paraId="67B8A8C2">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w:t>
            </w:r>
          </w:p>
        </w:tc>
        <w:tc>
          <w:tcPr>
            <w:tcW w:w="708" w:type="dxa"/>
            <w:vAlign w:val="center"/>
          </w:tcPr>
          <w:p w14:paraId="5A4F9E6C">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3FD9C1A2">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E9A9293">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2A58C2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C36007F">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628C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BE35A9C">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117</w:t>
            </w:r>
          </w:p>
        </w:tc>
        <w:tc>
          <w:tcPr>
            <w:tcW w:w="2527" w:type="dxa"/>
            <w:vAlign w:val="center"/>
          </w:tcPr>
          <w:p w14:paraId="61A7C5CA">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持针钳</w:t>
            </w:r>
          </w:p>
        </w:tc>
        <w:tc>
          <w:tcPr>
            <w:tcW w:w="591" w:type="dxa"/>
            <w:vAlign w:val="center"/>
          </w:tcPr>
          <w:p w14:paraId="32A2893B">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20</w:t>
            </w:r>
          </w:p>
        </w:tc>
        <w:tc>
          <w:tcPr>
            <w:tcW w:w="708" w:type="dxa"/>
            <w:vAlign w:val="center"/>
          </w:tcPr>
          <w:p w14:paraId="12E947DF">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52C3F913">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F66A45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05E595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17097563">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3E28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A569E6B">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118</w:t>
            </w:r>
          </w:p>
        </w:tc>
        <w:tc>
          <w:tcPr>
            <w:tcW w:w="2527" w:type="dxa"/>
            <w:vAlign w:val="center"/>
          </w:tcPr>
          <w:p w14:paraId="18A19BD7">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流产吸引器</w:t>
            </w:r>
          </w:p>
        </w:tc>
        <w:tc>
          <w:tcPr>
            <w:tcW w:w="591" w:type="dxa"/>
            <w:vAlign w:val="center"/>
          </w:tcPr>
          <w:p w14:paraId="0B468A3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30</w:t>
            </w:r>
          </w:p>
        </w:tc>
        <w:tc>
          <w:tcPr>
            <w:tcW w:w="708" w:type="dxa"/>
            <w:vAlign w:val="center"/>
          </w:tcPr>
          <w:p w14:paraId="43385554">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根</w:t>
            </w:r>
          </w:p>
        </w:tc>
        <w:tc>
          <w:tcPr>
            <w:tcW w:w="1276" w:type="dxa"/>
            <w:vAlign w:val="center"/>
          </w:tcPr>
          <w:p w14:paraId="0E46A09E">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557D044">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09C991B">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5021C3B">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57DAA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25EB31A">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119</w:t>
            </w:r>
          </w:p>
        </w:tc>
        <w:tc>
          <w:tcPr>
            <w:tcW w:w="2527" w:type="dxa"/>
            <w:vAlign w:val="center"/>
          </w:tcPr>
          <w:p w14:paraId="26254CE6">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子宫探针</w:t>
            </w:r>
          </w:p>
        </w:tc>
        <w:tc>
          <w:tcPr>
            <w:tcW w:w="591" w:type="dxa"/>
            <w:vAlign w:val="center"/>
          </w:tcPr>
          <w:p w14:paraId="3C5A6B1B">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20</w:t>
            </w:r>
          </w:p>
        </w:tc>
        <w:tc>
          <w:tcPr>
            <w:tcW w:w="708" w:type="dxa"/>
            <w:vAlign w:val="center"/>
          </w:tcPr>
          <w:p w14:paraId="584E2C67">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根</w:t>
            </w:r>
          </w:p>
        </w:tc>
        <w:tc>
          <w:tcPr>
            <w:tcW w:w="1276" w:type="dxa"/>
            <w:vAlign w:val="center"/>
          </w:tcPr>
          <w:p w14:paraId="3F570172">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D89F08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D30259A">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54E5E0B7">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16A4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B0A1EA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120</w:t>
            </w:r>
          </w:p>
        </w:tc>
        <w:tc>
          <w:tcPr>
            <w:tcW w:w="2527" w:type="dxa"/>
            <w:vAlign w:val="center"/>
          </w:tcPr>
          <w:p w14:paraId="11E88774">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子宫刮</w:t>
            </w:r>
          </w:p>
        </w:tc>
        <w:tc>
          <w:tcPr>
            <w:tcW w:w="591" w:type="dxa"/>
            <w:vAlign w:val="center"/>
          </w:tcPr>
          <w:p w14:paraId="757A9C4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w:t>
            </w:r>
          </w:p>
        </w:tc>
        <w:tc>
          <w:tcPr>
            <w:tcW w:w="708" w:type="dxa"/>
            <w:vAlign w:val="center"/>
          </w:tcPr>
          <w:p w14:paraId="443DE219">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1D892D41">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15FFC66">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7C24B24">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5F807807">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FD54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2F73F82B">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121</w:t>
            </w:r>
          </w:p>
        </w:tc>
        <w:tc>
          <w:tcPr>
            <w:tcW w:w="2527" w:type="dxa"/>
            <w:vAlign w:val="center"/>
          </w:tcPr>
          <w:p w14:paraId="55B6ABB1">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宫内节育器取出钩</w:t>
            </w:r>
          </w:p>
        </w:tc>
        <w:tc>
          <w:tcPr>
            <w:tcW w:w="591" w:type="dxa"/>
            <w:vAlign w:val="center"/>
          </w:tcPr>
          <w:p w14:paraId="20BEACB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20</w:t>
            </w:r>
          </w:p>
        </w:tc>
        <w:tc>
          <w:tcPr>
            <w:tcW w:w="708" w:type="dxa"/>
            <w:vAlign w:val="center"/>
          </w:tcPr>
          <w:p w14:paraId="5F6AFD2B">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根</w:t>
            </w:r>
          </w:p>
        </w:tc>
        <w:tc>
          <w:tcPr>
            <w:tcW w:w="1276" w:type="dxa"/>
            <w:vAlign w:val="center"/>
          </w:tcPr>
          <w:p w14:paraId="21A11AE1">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3960B41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01868147">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768C734">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CB44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A0D7BA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122</w:t>
            </w:r>
          </w:p>
        </w:tc>
        <w:tc>
          <w:tcPr>
            <w:tcW w:w="2527" w:type="dxa"/>
            <w:vAlign w:val="center"/>
          </w:tcPr>
          <w:p w14:paraId="4A696D27">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子宫扩张器</w:t>
            </w:r>
          </w:p>
        </w:tc>
        <w:tc>
          <w:tcPr>
            <w:tcW w:w="591" w:type="dxa"/>
            <w:vAlign w:val="center"/>
          </w:tcPr>
          <w:p w14:paraId="55444ED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110</w:t>
            </w:r>
          </w:p>
        </w:tc>
        <w:tc>
          <w:tcPr>
            <w:tcW w:w="708" w:type="dxa"/>
            <w:vAlign w:val="center"/>
          </w:tcPr>
          <w:p w14:paraId="7F372CDA">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根</w:t>
            </w:r>
          </w:p>
        </w:tc>
        <w:tc>
          <w:tcPr>
            <w:tcW w:w="1276" w:type="dxa"/>
            <w:vAlign w:val="center"/>
          </w:tcPr>
          <w:p w14:paraId="289955BE">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51878311">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68ABC830">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20E210A">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FCAA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900DB8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123</w:t>
            </w:r>
          </w:p>
        </w:tc>
        <w:tc>
          <w:tcPr>
            <w:tcW w:w="2527" w:type="dxa"/>
            <w:vAlign w:val="center"/>
          </w:tcPr>
          <w:p w14:paraId="051E43D9">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宫内节育器取出钳</w:t>
            </w:r>
          </w:p>
        </w:tc>
        <w:tc>
          <w:tcPr>
            <w:tcW w:w="591" w:type="dxa"/>
            <w:vAlign w:val="center"/>
          </w:tcPr>
          <w:p w14:paraId="62E5B6F0">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10</w:t>
            </w:r>
          </w:p>
        </w:tc>
        <w:tc>
          <w:tcPr>
            <w:tcW w:w="708" w:type="dxa"/>
            <w:vAlign w:val="center"/>
          </w:tcPr>
          <w:p w14:paraId="606365A4">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37819531">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63314AF0">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3307FF2A">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329FED04">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3A905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0AFC07F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124</w:t>
            </w:r>
          </w:p>
        </w:tc>
        <w:tc>
          <w:tcPr>
            <w:tcW w:w="2527" w:type="dxa"/>
            <w:vAlign w:val="center"/>
          </w:tcPr>
          <w:p w14:paraId="5EDD7FDB">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双翼阴道扩张器</w:t>
            </w:r>
          </w:p>
        </w:tc>
        <w:tc>
          <w:tcPr>
            <w:tcW w:w="591" w:type="dxa"/>
            <w:vAlign w:val="center"/>
          </w:tcPr>
          <w:p w14:paraId="66FC9C9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50</w:t>
            </w:r>
          </w:p>
        </w:tc>
        <w:tc>
          <w:tcPr>
            <w:tcW w:w="708" w:type="dxa"/>
            <w:vAlign w:val="center"/>
          </w:tcPr>
          <w:p w14:paraId="756B8372">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65596E25">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4567FEE">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1A1A920D">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6C996BA">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06B8F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448F910E">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125</w:t>
            </w:r>
          </w:p>
        </w:tc>
        <w:tc>
          <w:tcPr>
            <w:tcW w:w="2527" w:type="dxa"/>
            <w:vAlign w:val="center"/>
          </w:tcPr>
          <w:p w14:paraId="541129F8">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敷料罐</w:t>
            </w:r>
          </w:p>
        </w:tc>
        <w:tc>
          <w:tcPr>
            <w:tcW w:w="591" w:type="dxa"/>
            <w:vAlign w:val="center"/>
          </w:tcPr>
          <w:p w14:paraId="56932C93">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5</w:t>
            </w:r>
          </w:p>
        </w:tc>
        <w:tc>
          <w:tcPr>
            <w:tcW w:w="708" w:type="dxa"/>
            <w:vAlign w:val="center"/>
          </w:tcPr>
          <w:p w14:paraId="4BC4B99C">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73780DA4">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2FF20B10">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7DF1DE3B">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AAF14BA">
            <w:pPr>
              <w:pStyle w:val="49"/>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6ABFF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5DA02307">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126</w:t>
            </w:r>
          </w:p>
        </w:tc>
        <w:tc>
          <w:tcPr>
            <w:tcW w:w="2527" w:type="dxa"/>
            <w:vAlign w:val="center"/>
          </w:tcPr>
          <w:p w14:paraId="35A72A77">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镊子</w:t>
            </w:r>
          </w:p>
        </w:tc>
        <w:tc>
          <w:tcPr>
            <w:tcW w:w="591" w:type="dxa"/>
            <w:vAlign w:val="center"/>
          </w:tcPr>
          <w:p w14:paraId="6BDCB30D">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20</w:t>
            </w:r>
          </w:p>
        </w:tc>
        <w:tc>
          <w:tcPr>
            <w:tcW w:w="708" w:type="dxa"/>
            <w:vAlign w:val="center"/>
          </w:tcPr>
          <w:p w14:paraId="52262CEB">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7E56430B">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CE434DA">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3E55A958">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192952F7">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165E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6F31A814">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127</w:t>
            </w:r>
          </w:p>
        </w:tc>
        <w:tc>
          <w:tcPr>
            <w:tcW w:w="2527" w:type="dxa"/>
            <w:vAlign w:val="center"/>
          </w:tcPr>
          <w:p w14:paraId="25CA981F">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敷料缸</w:t>
            </w:r>
          </w:p>
        </w:tc>
        <w:tc>
          <w:tcPr>
            <w:tcW w:w="591" w:type="dxa"/>
            <w:vAlign w:val="center"/>
          </w:tcPr>
          <w:p w14:paraId="0F7FBED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20</w:t>
            </w:r>
          </w:p>
        </w:tc>
        <w:tc>
          <w:tcPr>
            <w:tcW w:w="708" w:type="dxa"/>
            <w:vAlign w:val="center"/>
          </w:tcPr>
          <w:p w14:paraId="45AA28B7">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个</w:t>
            </w:r>
          </w:p>
        </w:tc>
        <w:tc>
          <w:tcPr>
            <w:tcW w:w="1276" w:type="dxa"/>
            <w:vAlign w:val="center"/>
          </w:tcPr>
          <w:p w14:paraId="18DC599C">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AD04CD9">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5D9CA3E5">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44AA1CDE">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2DF27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3136162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128</w:t>
            </w:r>
          </w:p>
        </w:tc>
        <w:tc>
          <w:tcPr>
            <w:tcW w:w="2527" w:type="dxa"/>
            <w:vAlign w:val="center"/>
          </w:tcPr>
          <w:p w14:paraId="250D6D81">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宫颈钳</w:t>
            </w:r>
          </w:p>
        </w:tc>
        <w:tc>
          <w:tcPr>
            <w:tcW w:w="591" w:type="dxa"/>
            <w:vAlign w:val="center"/>
          </w:tcPr>
          <w:p w14:paraId="66AFA678">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20</w:t>
            </w:r>
          </w:p>
        </w:tc>
        <w:tc>
          <w:tcPr>
            <w:tcW w:w="708" w:type="dxa"/>
            <w:vAlign w:val="center"/>
          </w:tcPr>
          <w:p w14:paraId="6E328386">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把</w:t>
            </w:r>
          </w:p>
        </w:tc>
        <w:tc>
          <w:tcPr>
            <w:tcW w:w="1276" w:type="dxa"/>
            <w:vAlign w:val="center"/>
          </w:tcPr>
          <w:p w14:paraId="228D2BC1">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12B4E280">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4A6AAF35">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6884191D">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70A07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18F32956">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129</w:t>
            </w:r>
          </w:p>
        </w:tc>
        <w:tc>
          <w:tcPr>
            <w:tcW w:w="2527" w:type="dxa"/>
            <w:vAlign w:val="center"/>
          </w:tcPr>
          <w:p w14:paraId="05C1D59E">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立式灭菌器</w:t>
            </w:r>
          </w:p>
        </w:tc>
        <w:tc>
          <w:tcPr>
            <w:tcW w:w="591" w:type="dxa"/>
            <w:vAlign w:val="center"/>
          </w:tcPr>
          <w:p w14:paraId="6BCE427B">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5314DA1A">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18C30B04">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C795FD5">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64EF2F83">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143BDCC9">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r w14:paraId="5E49E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639" w:type="dxa"/>
            <w:vAlign w:val="center"/>
          </w:tcPr>
          <w:p w14:paraId="6F0D7CD5">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130</w:t>
            </w:r>
          </w:p>
        </w:tc>
        <w:tc>
          <w:tcPr>
            <w:tcW w:w="2527" w:type="dxa"/>
            <w:vAlign w:val="center"/>
          </w:tcPr>
          <w:p w14:paraId="295ED8EA">
            <w:pPr>
              <w:keepNext w:val="0"/>
              <w:keepLines w:val="0"/>
              <w:widowControl/>
              <w:suppressLineNumbers w:val="0"/>
              <w:ind w:firstLine="0" w:firstLineChars="0"/>
              <w:jc w:val="center"/>
              <w:textAlignment w:val="center"/>
              <w:rPr>
                <w:rFonts w:hint="eastAsia"/>
                <w:spacing w:val="-3"/>
                <w:sz w:val="24"/>
                <w:szCs w:val="24"/>
                <w:highlight w:val="none"/>
              </w:rPr>
            </w:pPr>
            <w:r>
              <w:rPr>
                <w:rFonts w:hint="default" w:ascii="Tahoma" w:hAnsi="Tahoma" w:eastAsia="Tahoma" w:cs="Tahoma"/>
                <w:i w:val="0"/>
                <w:iCs w:val="0"/>
                <w:color w:val="000000"/>
                <w:kern w:val="0"/>
                <w:sz w:val="22"/>
                <w:szCs w:val="22"/>
                <w:highlight w:val="none"/>
                <w:u w:val="none"/>
                <w:lang w:val="en-US" w:eastAsia="zh-CN" w:bidi="ar"/>
              </w:rPr>
              <w:t>呼吸机</w:t>
            </w:r>
          </w:p>
        </w:tc>
        <w:tc>
          <w:tcPr>
            <w:tcW w:w="591" w:type="dxa"/>
            <w:vAlign w:val="center"/>
          </w:tcPr>
          <w:p w14:paraId="79F48E01">
            <w:pPr>
              <w:keepNext w:val="0"/>
              <w:keepLines w:val="0"/>
              <w:widowControl/>
              <w:suppressLineNumbers w:val="0"/>
              <w:ind w:firstLine="0" w:firstLineChars="0"/>
              <w:jc w:val="center"/>
              <w:textAlignment w:val="center"/>
              <w:rPr>
                <w:rFonts w:hint="eastAsia"/>
                <w:highlight w:val="none"/>
                <w:lang w:val="en-US" w:eastAsia="zh-CN"/>
              </w:rPr>
            </w:pPr>
            <w:r>
              <w:rPr>
                <w:rFonts w:hint="default" w:ascii="Tahoma" w:hAnsi="Tahoma" w:eastAsia="Tahoma" w:cs="Tahoma"/>
                <w:i w:val="0"/>
                <w:iCs w:val="0"/>
                <w:color w:val="000000"/>
                <w:kern w:val="0"/>
                <w:sz w:val="22"/>
                <w:szCs w:val="22"/>
                <w:highlight w:val="none"/>
                <w:u w:val="none"/>
                <w:lang w:val="en-US" w:eastAsia="zh-CN" w:bidi="ar"/>
              </w:rPr>
              <w:t>1</w:t>
            </w:r>
          </w:p>
        </w:tc>
        <w:tc>
          <w:tcPr>
            <w:tcW w:w="708" w:type="dxa"/>
            <w:vAlign w:val="center"/>
          </w:tcPr>
          <w:p w14:paraId="03E3F37D">
            <w:pPr>
              <w:keepNext w:val="0"/>
              <w:keepLines w:val="0"/>
              <w:widowControl/>
              <w:suppressLineNumbers w:val="0"/>
              <w:ind w:firstLine="0" w:firstLineChars="0"/>
              <w:jc w:val="center"/>
              <w:textAlignment w:val="center"/>
              <w:rPr>
                <w:highlight w:val="none"/>
              </w:rPr>
            </w:pPr>
            <w:r>
              <w:rPr>
                <w:rFonts w:hint="default" w:ascii="Tahoma" w:hAnsi="Tahoma" w:eastAsia="Tahoma" w:cs="Tahoma"/>
                <w:i w:val="0"/>
                <w:iCs w:val="0"/>
                <w:color w:val="000000"/>
                <w:kern w:val="0"/>
                <w:sz w:val="22"/>
                <w:szCs w:val="22"/>
                <w:highlight w:val="none"/>
                <w:u w:val="none"/>
                <w:lang w:val="en-US" w:eastAsia="zh-CN" w:bidi="ar"/>
              </w:rPr>
              <w:t>台</w:t>
            </w:r>
          </w:p>
        </w:tc>
        <w:tc>
          <w:tcPr>
            <w:tcW w:w="1276" w:type="dxa"/>
            <w:vAlign w:val="center"/>
          </w:tcPr>
          <w:p w14:paraId="32C8C7A4">
            <w:pPr>
              <w:pStyle w:val="49"/>
              <w:keepNext w:val="0"/>
              <w:keepLines w:val="0"/>
              <w:pageBreakBefore w:val="0"/>
              <w:widowControl/>
              <w:kinsoku/>
              <w:wordWrap/>
              <w:overflowPunct/>
              <w:topLinePunct w:val="0"/>
              <w:autoSpaceDE/>
              <w:autoSpaceDN/>
              <w:bidi w:val="0"/>
              <w:adjustRightInd/>
              <w:snapToGrid/>
              <w:spacing w:line="315" w:lineRule="exact"/>
              <w:ind w:left="0" w:right="0"/>
              <w:jc w:val="center"/>
              <w:textAlignment w:val="auto"/>
              <w:rPr>
                <w:b/>
                <w:bCs/>
                <w:spacing w:val="-3"/>
                <w:position w:val="1"/>
                <w:highlight w:val="none"/>
              </w:rPr>
            </w:pPr>
          </w:p>
        </w:tc>
        <w:tc>
          <w:tcPr>
            <w:tcW w:w="1276" w:type="dxa"/>
            <w:vAlign w:val="center"/>
          </w:tcPr>
          <w:p w14:paraId="0ADBB1EB">
            <w:pPr>
              <w:keepNext w:val="0"/>
              <w:keepLines w:val="0"/>
              <w:pageBreakBefore w:val="0"/>
              <w:widowControl/>
              <w:kinsoku/>
              <w:wordWrap/>
              <w:overflowPunct/>
              <w:topLinePunct w:val="0"/>
              <w:autoSpaceDE/>
              <w:autoSpaceDN/>
              <w:bidi w:val="0"/>
              <w:adjustRightInd/>
              <w:snapToGrid/>
              <w:ind w:left="0" w:leftChars="0" w:right="0" w:rightChars="0" w:firstLine="0" w:firstLineChars="0"/>
              <w:jc w:val="center"/>
              <w:textAlignment w:val="auto"/>
              <w:rPr>
                <w:b/>
                <w:bCs/>
                <w:spacing w:val="-3"/>
                <w:position w:val="1"/>
                <w:highlight w:val="none"/>
              </w:rPr>
            </w:pPr>
            <w:r>
              <w:rPr>
                <w:b/>
                <w:bCs/>
                <w:spacing w:val="-3"/>
                <w:position w:val="1"/>
                <w:highlight w:val="none"/>
              </w:rPr>
              <w:t>√</w:t>
            </w:r>
          </w:p>
        </w:tc>
        <w:tc>
          <w:tcPr>
            <w:tcW w:w="1845" w:type="dxa"/>
            <w:tcBorders>
              <w:right w:val="single" w:color="000000" w:sz="2" w:space="0"/>
            </w:tcBorders>
            <w:vAlign w:val="center"/>
          </w:tcPr>
          <w:p w14:paraId="67E7C55D">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845" w:type="dxa"/>
            <w:tcBorders>
              <w:right w:val="single" w:color="000000" w:sz="2" w:space="0"/>
            </w:tcBorders>
            <w:vAlign w:val="center"/>
          </w:tcPr>
          <w:p w14:paraId="0AD24A8A">
            <w:pPr>
              <w:keepNext w:val="0"/>
              <w:keepLines w:val="0"/>
              <w:pageBreakBefore w:val="0"/>
              <w:widowControl/>
              <w:kinsoku/>
              <w:wordWrap/>
              <w:overflowPunct/>
              <w:topLinePunct w:val="0"/>
              <w:autoSpaceDE/>
              <w:autoSpaceDN/>
              <w:bidi w:val="0"/>
              <w:adjustRightInd/>
              <w:snapToGrid/>
              <w:spacing w:line="233" w:lineRule="auto"/>
              <w:ind w:left="0" w:leftChars="0" w:right="0" w:rightChars="0" w:firstLine="0" w:firstLineChars="0"/>
              <w:jc w:val="center"/>
              <w:textAlignment w:val="auto"/>
              <w:rPr>
                <w:spacing w:val="-6"/>
                <w:highlight w:val="none"/>
              </w:rPr>
            </w:pPr>
            <w:r>
              <w:rPr>
                <w:spacing w:val="-6"/>
                <w:highlight w:val="none"/>
              </w:rPr>
              <w:t>工业</w:t>
            </w:r>
          </w:p>
        </w:tc>
      </w:tr>
    </w:tbl>
    <w:p w14:paraId="6C4C8FED">
      <w:pPr>
        <w:ind w:firstLine="420" w:firstLineChars="0"/>
        <w:outlineLvl w:val="9"/>
        <w:rPr>
          <w:spacing w:val="-8"/>
          <w:sz w:val="24"/>
          <w:szCs w:val="24"/>
          <w:highlight w:val="none"/>
        </w:rPr>
      </w:pPr>
      <w:r>
        <w:rPr>
          <w:spacing w:val="-8"/>
          <w:sz w:val="24"/>
          <w:szCs w:val="24"/>
          <w:highlight w:val="none"/>
        </w:rPr>
        <w:t>备注：投标人投标时，采购的核心产品和主要标的应在《投标分项报价表》中清晰列明“产品名称、品牌、产地、规格型号、单价、数量”投标人总价不得超过最高限价，否则将导致投标无效；</w:t>
      </w:r>
    </w:p>
    <w:p w14:paraId="4CBB53CB">
      <w:pPr>
        <w:rPr>
          <w:b/>
          <w:bCs/>
          <w:spacing w:val="-5"/>
          <w:sz w:val="24"/>
          <w:szCs w:val="24"/>
          <w:highlight w:val="none"/>
        </w:rPr>
      </w:pPr>
      <w:r>
        <w:rPr>
          <w:b/>
          <w:bCs/>
          <w:spacing w:val="-5"/>
          <w:sz w:val="24"/>
          <w:szCs w:val="24"/>
          <w:highlight w:val="none"/>
        </w:rPr>
        <w:br w:type="page"/>
      </w:r>
    </w:p>
    <w:p w14:paraId="26CAC59B">
      <w:pPr>
        <w:pStyle w:val="7"/>
        <w:spacing w:before="38" w:line="221" w:lineRule="auto"/>
        <w:ind w:left="81"/>
        <w:rPr>
          <w:b/>
          <w:bCs/>
          <w:spacing w:val="-5"/>
          <w:sz w:val="24"/>
          <w:szCs w:val="24"/>
          <w:highlight w:val="none"/>
        </w:rPr>
      </w:pPr>
      <w:r>
        <w:rPr>
          <w:b/>
          <w:bCs/>
          <w:spacing w:val="-5"/>
          <w:sz w:val="24"/>
          <w:szCs w:val="24"/>
          <w:highlight w:val="none"/>
        </w:rPr>
        <w:t>四、技术指标参数</w:t>
      </w:r>
    </w:p>
    <w:p w14:paraId="322B2931">
      <w:pPr>
        <w:pStyle w:val="5"/>
        <w:spacing w:line="540" w:lineRule="exact"/>
        <w:ind w:firstLine="1928" w:firstLineChars="600"/>
        <w:rPr>
          <w:rFonts w:hint="eastAsia" w:ascii="宋体" w:hAnsi="宋体" w:cs="宋体"/>
          <w:b/>
          <w:bCs/>
          <w:sz w:val="32"/>
          <w:szCs w:val="32"/>
          <w:highlight w:val="none"/>
        </w:rPr>
      </w:pPr>
      <w:bookmarkStart w:id="70" w:name="_Toc5281"/>
      <w:r>
        <w:rPr>
          <w:rFonts w:hint="eastAsia" w:ascii="宋体" w:hAnsi="宋体" w:cs="宋体"/>
          <w:b/>
          <w:bCs/>
          <w:sz w:val="32"/>
          <w:szCs w:val="32"/>
          <w:highlight w:val="none"/>
        </w:rPr>
        <w:t xml:space="preserve">设备1.全自动血液细胞分析仪  </w:t>
      </w:r>
    </w:p>
    <w:p w14:paraId="6B4AD308">
      <w:pPr>
        <w:pStyle w:val="5"/>
        <w:spacing w:line="540" w:lineRule="exact"/>
        <w:ind w:firstLine="0" w:firstLineChars="0"/>
        <w:rPr>
          <w:rFonts w:ascii="宋体" w:hAnsi="宋体" w:cs="宋体"/>
          <w:b/>
          <w:bCs/>
          <w:sz w:val="32"/>
          <w:szCs w:val="32"/>
          <w:highlight w:val="none"/>
        </w:rPr>
      </w:pPr>
      <w:r>
        <w:rPr>
          <w:rFonts w:hint="eastAsia" w:ascii="宋体" w:hAnsi="宋体" w:cs="宋体"/>
          <w:b/>
          <w:bCs/>
          <w:sz w:val="32"/>
          <w:szCs w:val="32"/>
          <w:highlight w:val="none"/>
        </w:rPr>
        <w:t>数量： 1台</w:t>
      </w:r>
    </w:p>
    <w:p w14:paraId="63C22E7D">
      <w:pPr>
        <w:numPr>
          <w:ilvl w:val="0"/>
          <w:numId w:val="13"/>
        </w:numPr>
        <w:spacing w:line="360" w:lineRule="auto"/>
        <w:rPr>
          <w:rFonts w:hint="eastAsia" w:ascii="宋体" w:hAnsi="宋体" w:cs="宋体"/>
          <w:sz w:val="24"/>
          <w:highlight w:val="none"/>
        </w:rPr>
      </w:pPr>
      <w:r>
        <w:rPr>
          <w:rFonts w:hint="eastAsia" w:ascii="宋体" w:hAnsi="宋体" w:cs="宋体"/>
          <w:sz w:val="24"/>
          <w:highlight w:val="none"/>
        </w:rPr>
        <w:t>仪器描述：供临床检验中作血液细胞计数、白细胞分类、血红蛋白浓度测量、特定蛋白测量；仪器为血常规、特定蛋白检测一体机。</w:t>
      </w:r>
    </w:p>
    <w:p w14:paraId="4E44B34D">
      <w:pPr>
        <w:numPr>
          <w:ilvl w:val="0"/>
          <w:numId w:val="13"/>
        </w:numPr>
        <w:spacing w:line="360" w:lineRule="auto"/>
        <w:rPr>
          <w:rFonts w:hint="eastAsia" w:ascii="宋体" w:hAnsi="宋体" w:cs="宋体"/>
          <w:sz w:val="24"/>
          <w:highlight w:val="none"/>
        </w:rPr>
      </w:pPr>
      <w:r>
        <w:rPr>
          <w:rFonts w:hint="eastAsia" w:ascii="宋体" w:hAnsi="宋体" w:cs="宋体"/>
          <w:sz w:val="24"/>
          <w:highlight w:val="none"/>
        </w:rPr>
        <w:t>检测方法及原理：</w:t>
      </w:r>
      <w:r>
        <w:rPr>
          <w:rFonts w:hint="eastAsia" w:ascii="宋体" w:hAnsi="宋体" w:cs="宋体"/>
          <w:sz w:val="24"/>
          <w:highlight w:val="none"/>
          <w:lang w:val="en-US" w:eastAsia="zh-CN"/>
        </w:rPr>
        <w:t>血液分析采用半导体激光法、鞘流电阻抗法、荧光染色法和流式细胞技术原理。</w:t>
      </w:r>
    </w:p>
    <w:p w14:paraId="5B59B0A5">
      <w:pPr>
        <w:numPr>
          <w:ilvl w:val="0"/>
          <w:numId w:val="13"/>
        </w:numPr>
        <w:spacing w:line="360" w:lineRule="auto"/>
        <w:rPr>
          <w:rFonts w:hint="eastAsia" w:ascii="宋体" w:hAnsi="宋体" w:cs="宋体"/>
          <w:sz w:val="24"/>
          <w:highlight w:val="none"/>
        </w:rPr>
      </w:pPr>
      <w:r>
        <w:rPr>
          <w:rFonts w:hint="eastAsia" w:ascii="宋体" w:hAnsi="宋体" w:cs="宋体"/>
          <w:sz w:val="24"/>
          <w:highlight w:val="none"/>
        </w:rPr>
        <w:t>血常规报告参数≥25个（不含直方图、散点图），散点图≥2个。单机检测速度：CBC＋DIFF≥ 80个样本/</w:t>
      </w:r>
      <w:bookmarkStart w:id="71" w:name="OLE_LINK5"/>
      <w:bookmarkStart w:id="72" w:name="OLE_LINK6"/>
      <w:r>
        <w:rPr>
          <w:rFonts w:hint="eastAsia" w:ascii="宋体" w:hAnsi="宋体" w:cs="宋体"/>
          <w:sz w:val="24"/>
          <w:highlight w:val="none"/>
        </w:rPr>
        <w:t>小时</w:t>
      </w:r>
      <w:bookmarkEnd w:id="71"/>
      <w:bookmarkEnd w:id="72"/>
    </w:p>
    <w:p w14:paraId="47A176BC">
      <w:pPr>
        <w:numPr>
          <w:ilvl w:val="0"/>
          <w:numId w:val="13"/>
        </w:numPr>
        <w:spacing w:line="360" w:lineRule="auto"/>
        <w:rPr>
          <w:rFonts w:hint="eastAsia" w:ascii="宋体" w:hAnsi="宋体" w:cs="宋体"/>
          <w:sz w:val="24"/>
          <w:highlight w:val="none"/>
        </w:rPr>
      </w:pPr>
      <w:r>
        <w:rPr>
          <w:rFonts w:hint="eastAsia" w:ascii="宋体" w:hAnsi="宋体" w:cs="宋体"/>
          <w:sz w:val="24"/>
          <w:highlight w:val="none"/>
        </w:rPr>
        <w:t xml:space="preserve">末梢血进样方式及用血量：末梢血可实现自动批量进样或手动进样；末梢全血检测CD+CRP用血量≤40μl。 </w:t>
      </w:r>
    </w:p>
    <w:p w14:paraId="7CE5C3E8">
      <w:pPr>
        <w:numPr>
          <w:ilvl w:val="0"/>
          <w:numId w:val="13"/>
        </w:numPr>
        <w:spacing w:line="360" w:lineRule="auto"/>
        <w:rPr>
          <w:rFonts w:hint="eastAsia" w:ascii="宋体" w:hAnsi="宋体" w:cs="宋体"/>
          <w:sz w:val="24"/>
          <w:highlight w:val="none"/>
        </w:rPr>
      </w:pPr>
      <w:r>
        <w:rPr>
          <w:rFonts w:hint="eastAsia" w:ascii="宋体" w:hAnsi="宋体" w:cs="宋体"/>
          <w:sz w:val="24"/>
          <w:highlight w:val="none"/>
          <w:shd w:val="clear" w:color="auto" w:fill="auto"/>
          <w:lang w:val="en-US" w:eastAsia="zh-CN"/>
        </w:rPr>
        <w:t>标配</w:t>
      </w:r>
      <w:r>
        <w:rPr>
          <w:rFonts w:hint="eastAsia" w:ascii="宋体" w:hAnsi="宋体" w:cs="宋体"/>
          <w:sz w:val="24"/>
          <w:highlight w:val="none"/>
        </w:rPr>
        <w:t xml:space="preserve">自动进样器，自动进样器内轨有回退功能 </w:t>
      </w:r>
    </w:p>
    <w:p w14:paraId="4C8B2C41">
      <w:pPr>
        <w:numPr>
          <w:ilvl w:val="0"/>
          <w:numId w:val="13"/>
        </w:numPr>
        <w:spacing w:line="360" w:lineRule="auto"/>
        <w:rPr>
          <w:rFonts w:hint="eastAsia" w:ascii="宋体" w:hAnsi="宋体" w:cs="宋体"/>
          <w:sz w:val="24"/>
          <w:highlight w:val="none"/>
        </w:rPr>
      </w:pPr>
      <w:r>
        <w:rPr>
          <w:rFonts w:hint="eastAsia" w:ascii="宋体" w:hAnsi="宋体" w:cs="宋体"/>
          <w:sz w:val="24"/>
          <w:highlight w:val="none"/>
        </w:rPr>
        <w:t>具有全自动体液（含胸水、腹水、脑脊液和浆膜液等体液）细胞计数和对体液中的白细胞进行分类的功能。</w:t>
      </w:r>
    </w:p>
    <w:p w14:paraId="43CC2E4F">
      <w:pPr>
        <w:numPr>
          <w:ilvl w:val="0"/>
          <w:numId w:val="13"/>
        </w:numPr>
        <w:spacing w:line="360" w:lineRule="auto"/>
        <w:rPr>
          <w:rFonts w:hint="eastAsia" w:ascii="宋体" w:hAnsi="宋体" w:cs="宋体"/>
          <w:sz w:val="24"/>
          <w:highlight w:val="none"/>
        </w:rPr>
      </w:pPr>
      <w:r>
        <w:rPr>
          <w:rFonts w:hint="eastAsia" w:ascii="宋体" w:hAnsi="宋体" w:cs="宋体"/>
          <w:sz w:val="24"/>
          <w:highlight w:val="none"/>
        </w:rPr>
        <w:t xml:space="preserve">具有低值白细胞检测功能，如遇白细胞低值时可通过增加计数颗粒数量来保证检测结果的准确性。 </w:t>
      </w:r>
    </w:p>
    <w:p w14:paraId="65B875D2">
      <w:pPr>
        <w:numPr>
          <w:ilvl w:val="0"/>
          <w:numId w:val="13"/>
        </w:numPr>
        <w:spacing w:line="360" w:lineRule="auto"/>
        <w:rPr>
          <w:rFonts w:hint="eastAsia" w:ascii="宋体" w:hAnsi="宋体" w:cs="宋体"/>
          <w:sz w:val="24"/>
          <w:highlight w:val="none"/>
        </w:rPr>
      </w:pPr>
      <w:r>
        <w:rPr>
          <w:rFonts w:hint="eastAsia" w:ascii="宋体" w:hAnsi="宋体" w:cs="宋体"/>
          <w:sz w:val="24"/>
          <w:highlight w:val="none"/>
        </w:rPr>
        <w:t>仪器数据结果储存量≥13万条</w:t>
      </w:r>
    </w:p>
    <w:p w14:paraId="68416858">
      <w:pPr>
        <w:numPr>
          <w:ilvl w:val="0"/>
          <w:numId w:val="13"/>
        </w:numPr>
        <w:spacing w:line="360" w:lineRule="auto"/>
        <w:rPr>
          <w:rFonts w:hint="eastAsia" w:ascii="宋体" w:hAnsi="宋体" w:cs="宋体"/>
          <w:sz w:val="24"/>
          <w:highlight w:val="none"/>
        </w:rPr>
      </w:pPr>
      <w:r>
        <w:rPr>
          <w:rFonts w:hint="eastAsia" w:ascii="宋体" w:hAnsi="宋体" w:cs="宋体"/>
          <w:sz w:val="24"/>
          <w:highlight w:val="none"/>
        </w:rPr>
        <w:t xml:space="preserve"> 血液分析线性范围（静脉血）：白细胞：（0-500）</w:t>
      </w:r>
      <w:r>
        <w:rPr>
          <w:rFonts w:hint="eastAsia" w:ascii="宋体" w:hAnsi="宋体" w:cs="宋体"/>
          <w:sz w:val="24"/>
          <w:highlight w:val="none"/>
        </w:rPr>
        <w:sym w:font="Symbol" w:char="F0B4"/>
      </w:r>
      <w:r>
        <w:rPr>
          <w:rFonts w:hint="eastAsia" w:ascii="宋体" w:hAnsi="宋体" w:cs="宋体"/>
          <w:sz w:val="24"/>
          <w:highlight w:val="none"/>
        </w:rPr>
        <w:t xml:space="preserve"> 10</w:t>
      </w:r>
      <w:r>
        <w:rPr>
          <w:rFonts w:hint="eastAsia" w:ascii="宋体" w:hAnsi="宋体" w:cs="宋体"/>
          <w:sz w:val="24"/>
          <w:highlight w:val="none"/>
          <w:vertAlign w:val="superscript"/>
        </w:rPr>
        <w:t>9</w:t>
      </w:r>
      <w:r>
        <w:rPr>
          <w:rFonts w:hint="eastAsia" w:ascii="宋体" w:hAnsi="宋体" w:cs="宋体"/>
          <w:sz w:val="24"/>
          <w:highlight w:val="none"/>
        </w:rPr>
        <w:t>/L，红细胞：（0-8.6）</w:t>
      </w:r>
      <w:r>
        <w:rPr>
          <w:rFonts w:hint="eastAsia" w:ascii="宋体" w:hAnsi="宋体" w:cs="宋体"/>
          <w:sz w:val="24"/>
          <w:highlight w:val="none"/>
        </w:rPr>
        <w:sym w:font="Symbol" w:char="F0B4"/>
      </w:r>
      <w:r>
        <w:rPr>
          <w:rFonts w:hint="eastAsia" w:ascii="宋体" w:hAnsi="宋体" w:cs="宋体"/>
          <w:sz w:val="24"/>
          <w:highlight w:val="none"/>
        </w:rPr>
        <w:t xml:space="preserve"> 10</w:t>
      </w:r>
      <w:r>
        <w:rPr>
          <w:rFonts w:hint="eastAsia" w:ascii="宋体" w:hAnsi="宋体" w:cs="宋体"/>
          <w:sz w:val="24"/>
          <w:highlight w:val="none"/>
          <w:vertAlign w:val="superscript"/>
        </w:rPr>
        <w:t>12</w:t>
      </w:r>
      <w:r>
        <w:rPr>
          <w:rFonts w:hint="eastAsia" w:ascii="宋体" w:hAnsi="宋体" w:cs="宋体"/>
          <w:sz w:val="24"/>
          <w:highlight w:val="none"/>
        </w:rPr>
        <w:t>/L，血小板：（0-5000）</w:t>
      </w:r>
      <w:r>
        <w:rPr>
          <w:rFonts w:hint="eastAsia" w:ascii="宋体" w:hAnsi="宋体" w:cs="宋体"/>
          <w:sz w:val="24"/>
          <w:highlight w:val="none"/>
        </w:rPr>
        <w:sym w:font="Symbol" w:char="F0B4"/>
      </w:r>
      <w:r>
        <w:rPr>
          <w:rFonts w:hint="eastAsia" w:ascii="宋体" w:hAnsi="宋体" w:cs="宋体"/>
          <w:sz w:val="24"/>
          <w:highlight w:val="none"/>
        </w:rPr>
        <w:t xml:space="preserve"> 10</w:t>
      </w:r>
      <w:r>
        <w:rPr>
          <w:rFonts w:hint="eastAsia" w:ascii="宋体" w:hAnsi="宋体" w:cs="宋体"/>
          <w:sz w:val="24"/>
          <w:highlight w:val="none"/>
          <w:vertAlign w:val="superscript"/>
        </w:rPr>
        <w:t>9</w:t>
      </w:r>
      <w:r>
        <w:rPr>
          <w:rFonts w:hint="eastAsia" w:ascii="宋体" w:hAnsi="宋体" w:cs="宋体"/>
          <w:sz w:val="24"/>
          <w:highlight w:val="none"/>
        </w:rPr>
        <w:t>/L，血红蛋白：（0-260）g/L。</w:t>
      </w:r>
    </w:p>
    <w:p w14:paraId="4608426B">
      <w:pPr>
        <w:pStyle w:val="35"/>
        <w:numPr>
          <w:ilvl w:val="0"/>
          <w:numId w:val="13"/>
        </w:numPr>
        <w:spacing w:line="360" w:lineRule="auto"/>
        <w:ind w:firstLineChars="0"/>
        <w:rPr>
          <w:rFonts w:hint="eastAsia" w:ascii="宋体" w:hAnsi="宋体" w:cs="宋体"/>
          <w:sz w:val="24"/>
          <w:highlight w:val="none"/>
        </w:rPr>
      </w:pPr>
      <w:r>
        <w:rPr>
          <w:rFonts w:hint="eastAsia" w:ascii="宋体" w:hAnsi="宋体" w:cs="宋体"/>
          <w:sz w:val="24"/>
          <w:highlight w:val="none"/>
        </w:rPr>
        <w:t>CRP检测线性范围0.5mg/L~300mg/L</w:t>
      </w:r>
    </w:p>
    <w:p w14:paraId="4205ADC5">
      <w:pPr>
        <w:pStyle w:val="5"/>
        <w:spacing w:line="540" w:lineRule="exact"/>
        <w:ind w:left="420"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设备2.全自动尿液分析系统 </w:t>
      </w:r>
    </w:p>
    <w:p w14:paraId="00911130">
      <w:pPr>
        <w:pStyle w:val="5"/>
        <w:spacing w:line="540" w:lineRule="exact"/>
        <w:ind w:firstLine="0" w:firstLineChars="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数量：1台</w:t>
      </w:r>
    </w:p>
    <w:p w14:paraId="0E03C641">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1.检测原理：有形成分采用数字成像自动识别原理，流式及深度学习人工智能识别技术</w:t>
      </w:r>
    </w:p>
    <w:p w14:paraId="6AF3D839">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2.干化学检测项目：干化学测试项目≥14项，并提供微量白蛋白与肌酐的比值参数（ACR比值）和蛋白质与肌酐比值参数（PCR）</w:t>
      </w:r>
    </w:p>
    <w:p w14:paraId="6096433A">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3.有形成分检测项目：有形成分自动识别测试项目≥30项</w:t>
      </w:r>
    </w:p>
    <w:p w14:paraId="646AAADF">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4.理学检测项目：颜色、浊度、比重、电导率、渗透压</w:t>
      </w:r>
    </w:p>
    <w:p w14:paraId="25924F05">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5.红细胞形态学项目：≥4项报告参数</w:t>
      </w:r>
    </w:p>
    <w:p w14:paraId="19FAD2F7">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6.检测速度：干化学测试模式≥300个/每小时；有形成分测试模式≥80个/每小时；联合测试模式≥80个/每小时</w:t>
      </w:r>
    </w:p>
    <w:p w14:paraId="40431CBF">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开机自检与提示：开机后能自检，出现异常时能识别并显示故障信息和诊断信息</w:t>
      </w:r>
    </w:p>
    <w:p w14:paraId="6670B9A6">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样本放置位：可放置不少于50个样本</w:t>
      </w:r>
    </w:p>
    <w:p w14:paraId="244188FD">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9.密闭样本采样：支持密闭标本的直接采样（穿刺采样），无需人工开盖</w:t>
      </w:r>
    </w:p>
    <w:p w14:paraId="5FAFA75D">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10.条形码360°旋转纠正：具有试管条形码360°旋转纠正功能，能自动将不正对扫描器的条形码旋转纠正至扫描区域</w:t>
      </w:r>
    </w:p>
    <w:p w14:paraId="6A9EA6B9">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11.干化学原始图像：可提供尿试纸CIS彩色原始图像，显示每个检测项目对应试纸检测块的颜色</w:t>
      </w:r>
    </w:p>
    <w:p w14:paraId="3561E345">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12.有形成分检测原始视频：可提供尿液有形成分检测是的原始视频，可按帧查看</w:t>
      </w:r>
    </w:p>
    <w:p w14:paraId="7CB6C54C">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13.存储与查询：至少能存储100万个干化学数据、50万个尿试纸图像、40万个尿有形数据</w:t>
      </w:r>
    </w:p>
    <w:p w14:paraId="6D437331">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14.尿有形成分拍摄图像数量：单个样本检测最高可拍摄1400张图像</w:t>
      </w:r>
    </w:p>
    <w:p w14:paraId="5D3DB602">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15.吸样量：干化学≤0.6ml，有形成分≤1.6ml</w:t>
      </w:r>
    </w:p>
    <w:p w14:paraId="4C0AD91F">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16.自动对焦：可自动聚焦校准数字成像系统的焦距</w:t>
      </w:r>
    </w:p>
    <w:p w14:paraId="41EF7DA8">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17.自动维护：可设定维护时间或者维护周期，进行自动维护</w:t>
      </w:r>
    </w:p>
    <w:p w14:paraId="7553E32B">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18.检测结果自动审核：可对检测结果自动审核，自动完成样本的分类、提示异常结果</w:t>
      </w:r>
    </w:p>
    <w:p w14:paraId="45D6DAC5">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19.远程协助服务：可通过网络远程进行人工智能深度学习识别算法的训练，可远程报告故障代码或质控信息，并进行问题解决</w:t>
      </w:r>
    </w:p>
    <w:p w14:paraId="32177064">
      <w:pPr>
        <w:numPr>
          <w:ilvl w:val="0"/>
          <w:numId w:val="0"/>
        </w:numPr>
        <w:spacing w:line="360" w:lineRule="auto"/>
        <w:ind w:left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20、具有同品牌的校准物，并能提供五种浓度水平的质控液</w:t>
      </w:r>
    </w:p>
    <w:p w14:paraId="2FC72999">
      <w:pPr>
        <w:numPr>
          <w:ilvl w:val="0"/>
          <w:numId w:val="0"/>
        </w:numPr>
        <w:spacing w:line="360" w:lineRule="auto"/>
        <w:ind w:leftChars="0"/>
        <w:jc w:val="center"/>
        <w:rPr>
          <w:rFonts w:hint="eastAsia" w:ascii="宋体" w:hAnsi="宋体" w:cs="宋体"/>
          <w:b/>
          <w:bCs/>
          <w:sz w:val="32"/>
          <w:szCs w:val="32"/>
          <w:highlight w:val="none"/>
        </w:rPr>
      </w:pPr>
      <w:r>
        <w:rPr>
          <w:rFonts w:hint="eastAsia" w:ascii="宋体" w:hAnsi="宋体" w:cs="宋体"/>
          <w:b/>
          <w:bCs/>
          <w:sz w:val="32"/>
          <w:szCs w:val="32"/>
          <w:highlight w:val="none"/>
        </w:rPr>
        <w:t>设备3.显微镜</w:t>
      </w:r>
    </w:p>
    <w:p w14:paraId="3E5810CB">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数量：2台</w:t>
      </w:r>
    </w:p>
    <w:p w14:paraId="0E8C0BB0">
      <w:pPr>
        <w:widowControl/>
        <w:numPr>
          <w:ilvl w:val="0"/>
          <w:numId w:val="14"/>
        </w:numPr>
        <w:spacing w:line="360" w:lineRule="auto"/>
        <w:rPr>
          <w:rFonts w:hint="eastAsia" w:ascii="宋体" w:hAnsi="宋体" w:cs="宋体"/>
          <w:kern w:val="0"/>
          <w:sz w:val="24"/>
          <w:highlight w:val="none"/>
        </w:rPr>
      </w:pPr>
      <w:r>
        <w:rPr>
          <w:rFonts w:hint="eastAsia" w:ascii="宋体" w:hAnsi="宋体" w:cs="宋体"/>
          <w:kern w:val="0"/>
          <w:sz w:val="24"/>
          <w:highlight w:val="none"/>
        </w:rPr>
        <w:t>照明系统：内置传输照明系统</w:t>
      </w:r>
    </w:p>
    <w:p w14:paraId="65909163">
      <w:pPr>
        <w:widowControl/>
        <w:numPr>
          <w:ilvl w:val="0"/>
          <w:numId w:val="14"/>
        </w:numPr>
        <w:spacing w:line="360" w:lineRule="auto"/>
        <w:rPr>
          <w:rFonts w:hint="eastAsia" w:ascii="宋体" w:hAnsi="宋体" w:cs="宋体"/>
          <w:kern w:val="0"/>
          <w:sz w:val="24"/>
          <w:highlight w:val="none"/>
        </w:rPr>
      </w:pPr>
      <w:r>
        <w:rPr>
          <w:rFonts w:hint="eastAsia" w:ascii="宋体" w:hAnsi="宋体" w:cs="宋体"/>
          <w:kern w:val="0"/>
          <w:sz w:val="24"/>
          <w:highlight w:val="none"/>
        </w:rPr>
        <w:t>物镜转换器：固定四孔物镜转盘，向内倾斜</w:t>
      </w:r>
    </w:p>
    <w:p w14:paraId="2CDC2F9B">
      <w:pPr>
        <w:widowControl/>
        <w:numPr>
          <w:ilvl w:val="0"/>
          <w:numId w:val="14"/>
        </w:num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载物台：线性机械固定载物台</w:t>
      </w:r>
    </w:p>
    <w:p w14:paraId="2DF3AA4A">
      <w:pPr>
        <w:widowControl/>
        <w:numPr>
          <w:ilvl w:val="0"/>
          <w:numId w:val="14"/>
        </w:num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标本位置刻度：XY载物台移动止动器</w:t>
      </w:r>
    </w:p>
    <w:p w14:paraId="0C5DACF6">
      <w:pPr>
        <w:widowControl/>
        <w:numPr>
          <w:ilvl w:val="0"/>
          <w:numId w:val="14"/>
        </w:numPr>
        <w:spacing w:line="360" w:lineRule="auto"/>
        <w:rPr>
          <w:rFonts w:hint="eastAsia" w:ascii="宋体" w:hAnsi="宋体" w:cs="宋体"/>
          <w:kern w:val="0"/>
          <w:sz w:val="24"/>
          <w:highlight w:val="none"/>
        </w:rPr>
      </w:pPr>
      <w:r>
        <w:rPr>
          <w:rFonts w:hint="eastAsia" w:ascii="宋体" w:hAnsi="宋体" w:cs="宋体"/>
          <w:kern w:val="0"/>
          <w:sz w:val="24"/>
          <w:highlight w:val="none"/>
        </w:rPr>
        <w:t>观察筒：倾斜三目观察筒</w:t>
      </w:r>
    </w:p>
    <w:p w14:paraId="0F370D30">
      <w:pPr>
        <w:widowControl/>
        <w:numPr>
          <w:ilvl w:val="0"/>
          <w:numId w:val="14"/>
        </w:num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光路选择器：目镜/摄像头端口= 100/0或0/100</w:t>
      </w:r>
    </w:p>
    <w:p w14:paraId="28631665">
      <w:pPr>
        <w:widowControl/>
        <w:numPr>
          <w:ilvl w:val="0"/>
          <w:numId w:val="14"/>
        </w:num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瞳距调节范围：48-75mm</w:t>
      </w:r>
    </w:p>
    <w:p w14:paraId="3D84BB7A">
      <w:pPr>
        <w:widowControl/>
        <w:numPr>
          <w:ilvl w:val="0"/>
          <w:numId w:val="14"/>
        </w:num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眼点调整：375.0-427.9mm</w:t>
      </w:r>
    </w:p>
    <w:p w14:paraId="4D40C11F">
      <w:pPr>
        <w:widowControl/>
        <w:numPr>
          <w:ilvl w:val="0"/>
          <w:numId w:val="14"/>
        </w:numPr>
        <w:spacing w:line="360" w:lineRule="auto"/>
        <w:rPr>
          <w:rFonts w:hint="eastAsia" w:ascii="宋体" w:hAnsi="宋体" w:cs="宋体"/>
          <w:kern w:val="0"/>
          <w:sz w:val="24"/>
          <w:highlight w:val="none"/>
        </w:rPr>
      </w:pPr>
      <w:r>
        <w:rPr>
          <w:rFonts w:hint="eastAsia" w:ascii="宋体" w:hAnsi="宋体" w:cs="宋体"/>
          <w:kern w:val="0"/>
          <w:sz w:val="24"/>
          <w:highlight w:val="none"/>
        </w:rPr>
        <w:t>目镜（抗真菌）：10X视场数（FN）：20</w:t>
      </w:r>
    </w:p>
    <w:p w14:paraId="58F43D61">
      <w:pPr>
        <w:widowControl/>
        <w:numPr>
          <w:ilvl w:val="0"/>
          <w:numId w:val="14"/>
        </w:numPr>
        <w:spacing w:line="360" w:lineRule="auto"/>
        <w:rPr>
          <w:rFonts w:hint="eastAsia" w:ascii="宋体" w:hAnsi="宋体" w:cs="宋体"/>
          <w:kern w:val="0"/>
          <w:sz w:val="24"/>
          <w:highlight w:val="none"/>
        </w:rPr>
      </w:pPr>
      <w:r>
        <w:rPr>
          <w:rFonts w:hint="eastAsia" w:ascii="宋体" w:hAnsi="宋体" w:cs="宋体"/>
          <w:kern w:val="0"/>
          <w:sz w:val="24"/>
          <w:highlight w:val="none"/>
        </w:rPr>
        <w:t>聚光镜：聚光镜NA 1.25，油浸式内置光圈调节</w:t>
      </w:r>
    </w:p>
    <w:p w14:paraId="6263AFAF">
      <w:pPr>
        <w:widowControl/>
        <w:numPr>
          <w:ilvl w:val="0"/>
          <w:numId w:val="14"/>
        </w:numPr>
        <w:spacing w:line="360" w:lineRule="auto"/>
        <w:rPr>
          <w:rFonts w:hint="eastAsia" w:ascii="宋体" w:hAnsi="宋体" w:cs="宋体"/>
          <w:kern w:val="0"/>
          <w:sz w:val="24"/>
          <w:highlight w:val="none"/>
        </w:rPr>
      </w:pPr>
      <w:r>
        <w:rPr>
          <w:rFonts w:hint="eastAsia" w:ascii="宋体" w:hAnsi="宋体" w:cs="宋体"/>
          <w:kern w:val="0"/>
          <w:sz w:val="24"/>
          <w:highlight w:val="none"/>
        </w:rPr>
        <w:t>观察方法：明场、暗场</w:t>
      </w:r>
    </w:p>
    <w:p w14:paraId="0CA9F56A">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设备4.低速离心机 </w:t>
      </w:r>
    </w:p>
    <w:p w14:paraId="441F7FAB">
      <w:pPr>
        <w:spacing w:line="360" w:lineRule="auto"/>
        <w:jc w:val="left"/>
        <w:rPr>
          <w:rFonts w:ascii="宋体" w:hAnsi="宋体" w:cs="宋体"/>
          <w:sz w:val="24"/>
          <w:highlight w:val="none"/>
        </w:rPr>
      </w:pPr>
      <w:r>
        <w:rPr>
          <w:rFonts w:hint="eastAsia" w:ascii="宋体" w:hAnsi="宋体" w:cs="宋体"/>
          <w:b/>
          <w:bCs/>
          <w:sz w:val="32"/>
          <w:szCs w:val="32"/>
          <w:highlight w:val="none"/>
        </w:rPr>
        <w:t>数量：2台</w:t>
      </w:r>
    </w:p>
    <w:p w14:paraId="44A8B684">
      <w:pPr>
        <w:spacing w:line="360" w:lineRule="auto"/>
        <w:rPr>
          <w:rFonts w:hint="eastAsia" w:ascii="宋体" w:hAnsi="宋体" w:cs="宋体"/>
          <w:sz w:val="24"/>
          <w:highlight w:val="none"/>
        </w:rPr>
      </w:pPr>
      <w:r>
        <w:rPr>
          <w:rFonts w:hint="eastAsia" w:ascii="宋体" w:hAnsi="宋体" w:cs="宋体"/>
          <w:sz w:val="24"/>
          <w:highlight w:val="none"/>
        </w:rPr>
        <w:t>1.适配不同尺寸采血管和离心管，满足不同实验需求；</w:t>
      </w:r>
    </w:p>
    <w:p w14:paraId="2F397612">
      <w:pPr>
        <w:spacing w:line="360" w:lineRule="auto"/>
        <w:rPr>
          <w:rFonts w:hint="eastAsia" w:ascii="宋体" w:hAnsi="宋体" w:cs="宋体"/>
          <w:sz w:val="24"/>
          <w:highlight w:val="none"/>
        </w:rPr>
      </w:pPr>
      <w:r>
        <w:rPr>
          <w:rFonts w:hint="eastAsia" w:ascii="宋体" w:hAnsi="宋体" w:cs="宋体"/>
          <w:sz w:val="24"/>
          <w:highlight w:val="none"/>
        </w:rPr>
        <w:t>2.预设多个常用程序；</w:t>
      </w:r>
    </w:p>
    <w:p w14:paraId="6DC57261">
      <w:pPr>
        <w:spacing w:line="360" w:lineRule="auto"/>
        <w:rPr>
          <w:rFonts w:hint="eastAsia" w:ascii="宋体" w:hAnsi="宋体" w:cs="宋体"/>
          <w:sz w:val="24"/>
          <w:highlight w:val="none"/>
        </w:rPr>
      </w:pPr>
      <w:r>
        <w:rPr>
          <w:rFonts w:hint="eastAsia" w:ascii="宋体" w:hAnsi="宋体" w:cs="宋体"/>
          <w:sz w:val="24"/>
          <w:highlight w:val="none"/>
        </w:rPr>
        <w:t>3.运行状态及故障信息提醒；</w:t>
      </w:r>
    </w:p>
    <w:p w14:paraId="437667C1">
      <w:pPr>
        <w:spacing w:line="360" w:lineRule="auto"/>
        <w:rPr>
          <w:rFonts w:hint="eastAsia" w:ascii="宋体" w:hAnsi="宋体" w:cs="宋体"/>
          <w:sz w:val="24"/>
          <w:highlight w:val="none"/>
        </w:rPr>
      </w:pPr>
      <w:r>
        <w:rPr>
          <w:rFonts w:hint="eastAsia" w:ascii="宋体" w:hAnsi="宋体" w:cs="宋体"/>
          <w:sz w:val="24"/>
          <w:highlight w:val="none"/>
        </w:rPr>
        <w:t>4.转速范围1-10000rpm</w:t>
      </w:r>
    </w:p>
    <w:p w14:paraId="5C97D4BE">
      <w:pPr>
        <w:spacing w:line="360" w:lineRule="auto"/>
        <w:rPr>
          <w:rFonts w:hint="eastAsia" w:ascii="宋体" w:hAnsi="宋体" w:cs="宋体"/>
          <w:sz w:val="24"/>
          <w:highlight w:val="none"/>
        </w:rPr>
      </w:pPr>
      <w:r>
        <w:rPr>
          <w:rFonts w:hint="eastAsia" w:ascii="宋体" w:hAnsi="宋体" w:cs="宋体"/>
          <w:sz w:val="24"/>
          <w:highlight w:val="none"/>
        </w:rPr>
        <w:t xml:space="preserve">5.转速精度±100rpm  </w:t>
      </w:r>
    </w:p>
    <w:p w14:paraId="3643D33B">
      <w:pPr>
        <w:spacing w:line="360" w:lineRule="auto"/>
        <w:rPr>
          <w:rFonts w:hint="eastAsia" w:ascii="宋体" w:hAnsi="宋体" w:cs="宋体"/>
          <w:sz w:val="24"/>
          <w:highlight w:val="none"/>
        </w:rPr>
      </w:pPr>
      <w:r>
        <w:rPr>
          <w:rFonts w:hint="eastAsia" w:ascii="宋体" w:hAnsi="宋体" w:cs="宋体"/>
          <w:sz w:val="24"/>
          <w:highlight w:val="none"/>
        </w:rPr>
        <w:t>6.显示屏：有</w:t>
      </w:r>
    </w:p>
    <w:p w14:paraId="36CDDF45">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设备5.水浴锅 </w:t>
      </w:r>
    </w:p>
    <w:p w14:paraId="5CDF5369">
      <w:pPr>
        <w:spacing w:line="360" w:lineRule="auto"/>
        <w:jc w:val="left"/>
        <w:rPr>
          <w:rFonts w:ascii="宋体" w:hAnsi="宋体" w:cs="宋体"/>
          <w:b/>
          <w:bCs/>
          <w:sz w:val="24"/>
          <w:highlight w:val="none"/>
        </w:rPr>
      </w:pPr>
      <w:r>
        <w:rPr>
          <w:rFonts w:hint="eastAsia" w:ascii="宋体" w:hAnsi="宋体" w:cs="宋体"/>
          <w:b/>
          <w:bCs/>
          <w:sz w:val="32"/>
          <w:szCs w:val="32"/>
          <w:highlight w:val="none"/>
        </w:rPr>
        <w:t>数量：2台</w:t>
      </w:r>
    </w:p>
    <w:p w14:paraId="32EAB7B2">
      <w:pPr>
        <w:spacing w:line="360" w:lineRule="auto"/>
        <w:rPr>
          <w:rFonts w:hint="eastAsia" w:ascii="宋体" w:hAnsi="宋体" w:cs="宋体"/>
          <w:sz w:val="24"/>
          <w:highlight w:val="none"/>
        </w:rPr>
      </w:pPr>
      <w:r>
        <w:rPr>
          <w:rFonts w:hint="eastAsia" w:ascii="宋体" w:hAnsi="宋体" w:cs="宋体"/>
          <w:sz w:val="24"/>
          <w:highlight w:val="none"/>
        </w:rPr>
        <w:t>1.数字显示设定值和实际值；</w:t>
      </w:r>
    </w:p>
    <w:p w14:paraId="1C1224EF">
      <w:pPr>
        <w:spacing w:line="360" w:lineRule="auto"/>
        <w:rPr>
          <w:rFonts w:hint="eastAsia" w:ascii="宋体" w:hAnsi="宋体" w:cs="宋体"/>
          <w:sz w:val="24"/>
          <w:highlight w:val="none"/>
        </w:rPr>
      </w:pPr>
      <w:r>
        <w:rPr>
          <w:rFonts w:hint="eastAsia" w:ascii="宋体" w:hAnsi="宋体" w:cs="宋体"/>
          <w:sz w:val="24"/>
          <w:highlight w:val="none"/>
        </w:rPr>
        <w:t>2.浴槽采用整体拉伸成型工艺，减少内部污染，特殊处理工艺；</w:t>
      </w:r>
    </w:p>
    <w:p w14:paraId="107E0668">
      <w:pPr>
        <w:spacing w:line="360" w:lineRule="auto"/>
        <w:rPr>
          <w:rFonts w:hint="eastAsia" w:ascii="宋体" w:hAnsi="宋体" w:cs="宋体"/>
          <w:sz w:val="24"/>
          <w:highlight w:val="none"/>
        </w:rPr>
      </w:pPr>
      <w:r>
        <w:rPr>
          <w:rFonts w:hint="eastAsia" w:ascii="宋体" w:hAnsi="宋体" w:cs="宋体"/>
          <w:sz w:val="24"/>
          <w:highlight w:val="none"/>
        </w:rPr>
        <w:t>3.过温保护功能；具有</w:t>
      </w:r>
    </w:p>
    <w:p w14:paraId="54E75E68">
      <w:pPr>
        <w:spacing w:line="360" w:lineRule="auto"/>
        <w:rPr>
          <w:rFonts w:hint="eastAsia" w:ascii="宋体" w:hAnsi="宋体" w:cs="宋体"/>
          <w:sz w:val="24"/>
          <w:highlight w:val="none"/>
        </w:rPr>
      </w:pPr>
      <w:r>
        <w:rPr>
          <w:rFonts w:hint="eastAsia" w:ascii="宋体" w:hAnsi="宋体" w:cs="宋体"/>
          <w:sz w:val="24"/>
          <w:highlight w:val="none"/>
        </w:rPr>
        <w:t>4.电子元器件易分离，安全且便于维修；</w:t>
      </w:r>
    </w:p>
    <w:p w14:paraId="7EBA11A1">
      <w:pPr>
        <w:spacing w:line="360" w:lineRule="auto"/>
        <w:rPr>
          <w:rFonts w:hint="eastAsia" w:ascii="宋体" w:hAnsi="宋体" w:cs="宋体"/>
          <w:sz w:val="24"/>
          <w:highlight w:val="none"/>
        </w:rPr>
      </w:pPr>
    </w:p>
    <w:p w14:paraId="6FCD5FA0">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设备6.医用冷藏保存箱</w:t>
      </w:r>
    </w:p>
    <w:p w14:paraId="31284C11">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数量：2台</w:t>
      </w:r>
    </w:p>
    <w:p w14:paraId="4793D637">
      <w:pPr>
        <w:spacing w:line="360" w:lineRule="auto"/>
        <w:jc w:val="left"/>
        <w:rPr>
          <w:rFonts w:hint="eastAsia" w:ascii="宋体" w:hAnsi="宋体" w:cs="宋体"/>
          <w:color w:val="000000"/>
          <w:sz w:val="24"/>
          <w:highlight w:val="none"/>
        </w:rPr>
      </w:pPr>
      <w:bookmarkStart w:id="73" w:name="_Hlk523407953"/>
      <w:r>
        <w:rPr>
          <w:rFonts w:hint="eastAsia" w:ascii="宋体" w:hAnsi="宋体" w:cs="宋体"/>
          <w:color w:val="000000"/>
          <w:sz w:val="24"/>
          <w:highlight w:val="none"/>
        </w:rPr>
        <w:t>1.样式：立式。</w:t>
      </w:r>
    </w:p>
    <w:p w14:paraId="50363CA5">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2.气候类型：</w:t>
      </w:r>
      <w:r>
        <w:rPr>
          <w:rFonts w:hint="eastAsia" w:ascii="宋体" w:hAnsi="宋体" w:cs="宋体"/>
          <w:color w:val="000000"/>
          <w:kern w:val="0"/>
          <w:sz w:val="24"/>
          <w:highlight w:val="none"/>
        </w:rPr>
        <w:t>SN/N。</w:t>
      </w:r>
    </w:p>
    <w:p w14:paraId="1C86D923">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3.</w:t>
      </w:r>
      <w:r>
        <w:rPr>
          <w:rFonts w:hint="eastAsia" w:ascii="宋体" w:hAnsi="宋体" w:cs="宋体"/>
          <w:bCs/>
          <w:color w:val="000000"/>
          <w:sz w:val="24"/>
          <w:highlight w:val="none"/>
        </w:rPr>
        <w:t>制冷方式</w:t>
      </w:r>
      <w:r>
        <w:rPr>
          <w:rFonts w:hint="eastAsia" w:ascii="宋体" w:hAnsi="宋体" w:cs="宋体"/>
          <w:color w:val="000000"/>
          <w:sz w:val="24"/>
          <w:highlight w:val="none"/>
        </w:rPr>
        <w:t>：风冷。</w:t>
      </w:r>
    </w:p>
    <w:p w14:paraId="21BFE573">
      <w:pPr>
        <w:spacing w:line="360" w:lineRule="auto"/>
        <w:jc w:val="left"/>
        <w:rPr>
          <w:rFonts w:hint="eastAsia" w:ascii="宋体" w:hAnsi="宋体" w:cs="宋体"/>
          <w:color w:val="000000"/>
          <w:sz w:val="24"/>
          <w:highlight w:val="none"/>
        </w:rPr>
      </w:pPr>
      <w:bookmarkStart w:id="74" w:name="_Hlk523406359"/>
      <w:bookmarkStart w:id="75" w:name="_Hlk523476688"/>
      <w:r>
        <w:rPr>
          <w:rFonts w:hint="eastAsia" w:ascii="宋体" w:hAnsi="宋体" w:cs="宋体"/>
          <w:color w:val="000000"/>
          <w:sz w:val="24"/>
          <w:highlight w:val="none"/>
        </w:rPr>
        <w:t>4.箱内温度：2～8℃。</w:t>
      </w:r>
      <w:bookmarkEnd w:id="74"/>
    </w:p>
    <w:bookmarkEnd w:id="75"/>
    <w:p w14:paraId="1FE6913A">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5.门体数量：1扇。</w:t>
      </w:r>
    </w:p>
    <w:p w14:paraId="5F39AA9E">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 xml:space="preserve">6.网架：标配多层网架，搁架配有插卡槽。 </w:t>
      </w:r>
    </w:p>
    <w:p w14:paraId="035D5D1C">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7.脚轮：4个脚轮，用户可根据需要移动箱体；带调平脚，可固定箱体。</w:t>
      </w:r>
    </w:p>
    <w:p w14:paraId="1E83FBCA">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8.测试孔：1个，方便安装温湿度记录仪。</w:t>
      </w:r>
    </w:p>
    <w:p w14:paraId="6159DBD1">
      <w:pPr>
        <w:spacing w:line="360" w:lineRule="auto"/>
        <w:jc w:val="left"/>
        <w:rPr>
          <w:rFonts w:hint="eastAsia" w:ascii="宋体" w:hAnsi="宋体" w:cs="宋体"/>
          <w:color w:val="000000"/>
          <w:sz w:val="24"/>
          <w:highlight w:val="none"/>
        </w:rPr>
      </w:pPr>
      <w:bookmarkStart w:id="76" w:name="_Hlk523840617"/>
      <w:r>
        <w:rPr>
          <w:rFonts w:hint="eastAsia" w:ascii="宋体" w:hAnsi="宋体" w:cs="宋体"/>
          <w:color w:val="000000"/>
          <w:sz w:val="24"/>
          <w:highlight w:val="none"/>
        </w:rPr>
        <w:t>9.压缩机：品牌压缩机，数量1个。</w:t>
      </w:r>
    </w:p>
    <w:bookmarkEnd w:id="73"/>
    <w:p w14:paraId="23E1B3AB">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10.温度控制：</w:t>
      </w:r>
      <w:r>
        <w:rPr>
          <w:rFonts w:hint="eastAsia" w:ascii="宋体" w:hAnsi="宋体" w:cs="宋体"/>
          <w:color w:val="000000"/>
          <w:kern w:val="0"/>
          <w:sz w:val="24"/>
          <w:highlight w:val="none"/>
        </w:rPr>
        <w:t>LED数码显示温度数据，可确保精确稳定的运行；精准的电子温度控制及显示，精度达到0.1℃。</w:t>
      </w:r>
      <w:r>
        <w:rPr>
          <w:rFonts w:hint="eastAsia" w:ascii="宋体" w:hAnsi="宋体" w:cs="宋体"/>
          <w:color w:val="000000"/>
          <w:sz w:val="24"/>
          <w:highlight w:val="none"/>
        </w:rPr>
        <w:t xml:space="preserve"> </w:t>
      </w:r>
    </w:p>
    <w:p w14:paraId="6754CF4C">
      <w:pPr>
        <w:spacing w:line="360" w:lineRule="auto"/>
        <w:jc w:val="left"/>
        <w:rPr>
          <w:rFonts w:hint="eastAsia" w:ascii="宋体" w:hAnsi="宋体" w:cs="宋体"/>
          <w:b/>
          <w:bCs/>
          <w:sz w:val="24"/>
          <w:highlight w:val="none"/>
        </w:rPr>
      </w:pPr>
      <w:r>
        <w:rPr>
          <w:rFonts w:hint="eastAsia" w:ascii="宋体" w:hAnsi="宋体" w:cs="宋体"/>
          <w:color w:val="000000"/>
          <w:sz w:val="24"/>
          <w:highlight w:val="none"/>
        </w:rPr>
        <w:t>11.显示方式：显示屏，可显示箱内温度及各种报警信息。</w:t>
      </w:r>
      <w:bookmarkEnd w:id="76"/>
    </w:p>
    <w:p w14:paraId="2C0989F4">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设备7.全自动化学发光免疫分析仪 </w:t>
      </w:r>
    </w:p>
    <w:p w14:paraId="00F587CD">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5F50A0C3">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1.</w:t>
      </w:r>
      <w:r>
        <w:rPr>
          <w:rFonts w:hint="eastAsia" w:ascii="仿宋" w:hAnsi="仿宋" w:eastAsia="仿宋" w:cs="仿宋"/>
          <w:sz w:val="24"/>
          <w:highlight w:val="none"/>
          <w:lang w:val="zh-CN"/>
        </w:rPr>
        <w:t>方法学:</w:t>
      </w:r>
      <w:r>
        <w:rPr>
          <w:rFonts w:hint="eastAsia" w:ascii="仿宋" w:hAnsi="仿宋" w:eastAsia="仿宋" w:cs="仿宋"/>
          <w:sz w:val="24"/>
          <w:highlight w:val="none"/>
          <w:lang w:val="en-US" w:eastAsia="zh-CN"/>
        </w:rPr>
        <w:t>辉光型</w:t>
      </w:r>
      <w:r>
        <w:rPr>
          <w:rFonts w:hint="eastAsia" w:ascii="仿宋" w:hAnsi="仿宋" w:eastAsia="仿宋" w:cs="仿宋"/>
          <w:sz w:val="24"/>
          <w:highlight w:val="none"/>
          <w:lang w:val="zh-CN"/>
        </w:rPr>
        <w:t>化学发光法</w:t>
      </w:r>
    </w:p>
    <w:p w14:paraId="3462FD35">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2.</w:t>
      </w:r>
      <w:r>
        <w:rPr>
          <w:rFonts w:hint="eastAsia" w:ascii="仿宋" w:hAnsi="仿宋" w:eastAsia="仿宋" w:cs="仿宋"/>
          <w:sz w:val="24"/>
          <w:highlight w:val="none"/>
          <w:lang w:val="zh-CN"/>
        </w:rPr>
        <w:t>检测样本:血清、血浆、尿液</w:t>
      </w:r>
    </w:p>
    <w:p w14:paraId="7002BC4A">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3.</w:t>
      </w:r>
      <w:r>
        <w:rPr>
          <w:rFonts w:hint="eastAsia" w:ascii="仿宋" w:hAnsi="仿宋" w:eastAsia="仿宋" w:cs="仿宋"/>
          <w:sz w:val="24"/>
          <w:highlight w:val="none"/>
          <w:lang w:val="zh-CN"/>
        </w:rPr>
        <w:t>样本管:具有多种规格原始管上样功能，系统条形码功能。</w:t>
      </w:r>
    </w:p>
    <w:p w14:paraId="4A3EA694">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4.</w:t>
      </w:r>
      <w:r>
        <w:rPr>
          <w:rFonts w:hint="eastAsia" w:ascii="仿宋" w:hAnsi="仿宋" w:eastAsia="仿宋" w:cs="仿宋"/>
          <w:sz w:val="24"/>
          <w:highlight w:val="none"/>
          <w:lang w:val="zh-CN"/>
        </w:rPr>
        <w:t>样本位:采用轨道进样，可放置</w:t>
      </w:r>
      <w:r>
        <w:rPr>
          <w:rFonts w:hint="eastAsia" w:ascii="仿宋" w:hAnsi="仿宋" w:eastAsia="仿宋" w:cs="仿宋"/>
          <w:sz w:val="24"/>
          <w:highlight w:val="none"/>
        </w:rPr>
        <w:t>≥</w:t>
      </w:r>
      <w:r>
        <w:rPr>
          <w:rFonts w:hint="eastAsia" w:ascii="仿宋" w:hAnsi="仿宋" w:eastAsia="仿宋" w:cs="仿宋"/>
          <w:sz w:val="24"/>
          <w:highlight w:val="none"/>
          <w:lang w:val="zh-CN"/>
        </w:rPr>
        <w:t>60个样本，随时连续进样，支持自动重测</w:t>
      </w:r>
    </w:p>
    <w:p w14:paraId="3723D7AE">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5.</w:t>
      </w:r>
      <w:r>
        <w:rPr>
          <w:rFonts w:hint="eastAsia" w:ascii="仿宋" w:hAnsi="仿宋" w:eastAsia="仿宋" w:cs="仿宋"/>
          <w:sz w:val="24"/>
          <w:highlight w:val="none"/>
          <w:lang w:val="zh-CN"/>
        </w:rPr>
        <w:t>急诊进样系统:具有急诊通道，急诊样本，优先处理</w:t>
      </w:r>
    </w:p>
    <w:p w14:paraId="22F08B2D">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6.</w:t>
      </w:r>
      <w:r>
        <w:rPr>
          <w:rFonts w:hint="eastAsia" w:ascii="仿宋" w:hAnsi="仿宋" w:eastAsia="仿宋" w:cs="仿宋"/>
          <w:sz w:val="24"/>
          <w:highlight w:val="none"/>
          <w:lang w:val="zh-CN"/>
        </w:rPr>
        <w:t>样本整体性控制:基于压力传感技术的液面感应，堵塞检测，空吸检测，样本量不足标记和管理</w:t>
      </w:r>
    </w:p>
    <w:p w14:paraId="6F739075">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7.</w:t>
      </w:r>
      <w:r>
        <w:rPr>
          <w:rFonts w:hint="eastAsia" w:ascii="仿宋" w:hAnsi="仿宋" w:eastAsia="仿宋" w:cs="仿宋"/>
          <w:sz w:val="24"/>
          <w:highlight w:val="none"/>
          <w:lang w:val="zh-CN"/>
        </w:rPr>
        <w:t>样本管理:具有在机稀释，自动重检功能</w:t>
      </w:r>
    </w:p>
    <w:p w14:paraId="6D48BC87">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8.</w:t>
      </w:r>
      <w:r>
        <w:rPr>
          <w:rFonts w:hint="eastAsia" w:ascii="仿宋" w:hAnsi="仿宋" w:eastAsia="仿宋" w:cs="仿宋"/>
          <w:sz w:val="24"/>
          <w:highlight w:val="none"/>
          <w:lang w:val="zh-CN"/>
        </w:rPr>
        <w:t>检测速度:测试速度</w:t>
      </w:r>
      <w:r>
        <w:rPr>
          <w:rFonts w:hint="eastAsia" w:ascii="仿宋" w:hAnsi="仿宋" w:eastAsia="仿宋" w:cs="仿宋"/>
          <w:sz w:val="24"/>
          <w:highlight w:val="none"/>
        </w:rPr>
        <w:t>≥</w:t>
      </w:r>
      <w:r>
        <w:rPr>
          <w:rFonts w:hint="eastAsia" w:ascii="仿宋" w:hAnsi="仿宋" w:eastAsia="仿宋" w:cs="仿宋"/>
          <w:sz w:val="24"/>
          <w:highlight w:val="none"/>
          <w:lang w:val="zh-CN"/>
        </w:rPr>
        <w:t>180测试/小时</w:t>
      </w:r>
    </w:p>
    <w:p w14:paraId="27332C35">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9.</w:t>
      </w:r>
      <w:r>
        <w:rPr>
          <w:rFonts w:hint="eastAsia" w:ascii="仿宋" w:hAnsi="仿宋" w:eastAsia="仿宋" w:cs="仿宋"/>
          <w:sz w:val="24"/>
          <w:highlight w:val="none"/>
          <w:lang w:val="zh-CN"/>
        </w:rPr>
        <w:t>试剂位:具有</w:t>
      </w:r>
      <w:r>
        <w:rPr>
          <w:rFonts w:hint="eastAsia" w:ascii="仿宋" w:hAnsi="仿宋" w:eastAsia="仿宋" w:cs="仿宋"/>
          <w:sz w:val="24"/>
          <w:highlight w:val="none"/>
        </w:rPr>
        <w:t>≥</w:t>
      </w:r>
      <w:r>
        <w:rPr>
          <w:rFonts w:hint="eastAsia" w:ascii="仿宋" w:hAnsi="仿宋" w:eastAsia="仿宋" w:cs="仿宋"/>
          <w:sz w:val="24"/>
          <w:highlight w:val="none"/>
          <w:lang w:val="zh-CN"/>
        </w:rPr>
        <w:t>25个冷藏试剂位，2-8℃不间断冷藏</w:t>
      </w:r>
    </w:p>
    <w:p w14:paraId="625A902B">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10.</w:t>
      </w:r>
      <w:r>
        <w:rPr>
          <w:rFonts w:hint="eastAsia" w:ascii="仿宋" w:hAnsi="仿宋" w:eastAsia="仿宋" w:cs="仿宋"/>
          <w:sz w:val="24"/>
          <w:highlight w:val="none"/>
          <w:lang w:val="zh-CN"/>
        </w:rPr>
        <w:t>试剂完整性控制:条形码试剂鉴别，自动存量追踪和标记，校准有效性追踪和标记，试剂有效期追踪和标记</w:t>
      </w:r>
    </w:p>
    <w:p w14:paraId="6D7B1E10">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11.</w:t>
      </w:r>
      <w:r>
        <w:rPr>
          <w:rFonts w:hint="eastAsia" w:ascii="仿宋" w:hAnsi="仿宋" w:eastAsia="仿宋" w:cs="仿宋"/>
          <w:sz w:val="24"/>
          <w:highlight w:val="none"/>
          <w:lang w:val="zh-CN"/>
        </w:rPr>
        <w:t>反应杯:</w:t>
      </w:r>
      <w:r>
        <w:rPr>
          <w:rFonts w:hint="eastAsia" w:ascii="仿宋" w:hAnsi="仿宋" w:eastAsia="仿宋" w:cs="仿宋"/>
          <w:sz w:val="24"/>
          <w:highlight w:val="none"/>
        </w:rPr>
        <w:t>独立的单个反应杯设计</w:t>
      </w:r>
      <w:r>
        <w:rPr>
          <w:rFonts w:hint="eastAsia" w:ascii="仿宋" w:hAnsi="仿宋" w:eastAsia="仿宋" w:cs="仿宋"/>
          <w:sz w:val="24"/>
          <w:highlight w:val="none"/>
          <w:lang w:val="zh-CN"/>
        </w:rPr>
        <w:t>，并可随时添加</w:t>
      </w:r>
    </w:p>
    <w:p w14:paraId="29075774">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12.</w:t>
      </w:r>
      <w:r>
        <w:rPr>
          <w:rFonts w:hint="eastAsia" w:ascii="仿宋" w:hAnsi="仿宋" w:eastAsia="仿宋" w:cs="仿宋"/>
          <w:sz w:val="24"/>
          <w:highlight w:val="none"/>
          <w:lang w:val="zh-CN"/>
        </w:rPr>
        <w:t>持续运行能力:可以24小时开机</w:t>
      </w:r>
    </w:p>
    <w:p w14:paraId="54FD18BC">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13.</w:t>
      </w:r>
      <w:r>
        <w:rPr>
          <w:rFonts w:hint="eastAsia" w:ascii="仿宋" w:hAnsi="仿宋" w:eastAsia="仿宋" w:cs="仿宋"/>
          <w:sz w:val="24"/>
          <w:highlight w:val="none"/>
          <w:lang w:val="zh-CN"/>
        </w:rPr>
        <w:t>检测项目:≥57种试剂项目，具有甲状腺功能、性腺激素、传染病、肝纤等检测</w:t>
      </w:r>
    </w:p>
    <w:p w14:paraId="56179544">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14.</w:t>
      </w:r>
      <w:r>
        <w:rPr>
          <w:rFonts w:hint="eastAsia" w:ascii="仿宋" w:hAnsi="仿宋" w:eastAsia="仿宋" w:cs="仿宋"/>
          <w:sz w:val="24"/>
          <w:highlight w:val="none"/>
          <w:lang w:val="zh-CN"/>
        </w:rPr>
        <w:t>促甲状腺激素（TSH）:为第三代，功能灵敏度≦0.02mIU/L</w:t>
      </w:r>
    </w:p>
    <w:p w14:paraId="4513D150">
      <w:pPr>
        <w:pStyle w:val="35"/>
        <w:numPr>
          <w:ilvl w:val="0"/>
          <w:numId w:val="0"/>
        </w:numPr>
        <w:spacing w:line="360" w:lineRule="auto"/>
        <w:ind w:left="709" w:leftChars="0" w:hanging="425" w:firstLineChars="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15.传染病项目:HIV 为第四代产品，抗原抗体联检，乙肝表面抗原可溯源至WHO 第二代国际标准单位</w:t>
      </w:r>
    </w:p>
    <w:p w14:paraId="657C4D47">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1</w:t>
      </w:r>
      <w:r>
        <w:rPr>
          <w:rFonts w:hint="eastAsia" w:ascii="仿宋" w:hAnsi="仿宋" w:eastAsia="仿宋" w:cs="仿宋"/>
          <w:kern w:val="2"/>
          <w:sz w:val="24"/>
          <w:szCs w:val="24"/>
          <w:highlight w:val="none"/>
          <w:lang w:val="en-US" w:eastAsia="zh-CN" w:bidi="ar-SA"/>
        </w:rPr>
        <w:t>6</w:t>
      </w:r>
      <w:r>
        <w:rPr>
          <w:rFonts w:hint="eastAsia" w:ascii="仿宋" w:hAnsi="仿宋" w:eastAsia="仿宋" w:cs="仿宋"/>
          <w:kern w:val="2"/>
          <w:sz w:val="24"/>
          <w:szCs w:val="24"/>
          <w:highlight w:val="none"/>
          <w:lang w:val="zh-CN" w:eastAsia="zh-CN" w:bidi="ar-SA"/>
        </w:rPr>
        <w:t>.</w:t>
      </w:r>
      <w:r>
        <w:rPr>
          <w:rFonts w:hint="eastAsia" w:ascii="仿宋" w:hAnsi="仿宋" w:eastAsia="仿宋" w:cs="仿宋"/>
          <w:sz w:val="24"/>
          <w:highlight w:val="none"/>
          <w:lang w:val="zh-CN"/>
        </w:rPr>
        <w:t>定标要求:内置主曲线，二维码识别，三点校准</w:t>
      </w:r>
    </w:p>
    <w:p w14:paraId="27C32C31">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1</w:t>
      </w:r>
      <w:r>
        <w:rPr>
          <w:rFonts w:hint="eastAsia" w:ascii="仿宋" w:hAnsi="仿宋" w:eastAsia="仿宋" w:cs="仿宋"/>
          <w:kern w:val="2"/>
          <w:sz w:val="24"/>
          <w:szCs w:val="24"/>
          <w:highlight w:val="none"/>
          <w:lang w:val="en-US" w:eastAsia="zh-CN" w:bidi="ar-SA"/>
        </w:rPr>
        <w:t>7</w:t>
      </w:r>
      <w:r>
        <w:rPr>
          <w:rFonts w:hint="eastAsia" w:ascii="仿宋" w:hAnsi="仿宋" w:eastAsia="仿宋" w:cs="仿宋"/>
          <w:kern w:val="2"/>
          <w:sz w:val="24"/>
          <w:szCs w:val="24"/>
          <w:highlight w:val="none"/>
          <w:lang w:val="zh-CN" w:eastAsia="zh-CN" w:bidi="ar-SA"/>
        </w:rPr>
        <w:t>.</w:t>
      </w:r>
      <w:r>
        <w:rPr>
          <w:rFonts w:hint="eastAsia" w:ascii="仿宋" w:hAnsi="仿宋" w:eastAsia="仿宋" w:cs="仿宋"/>
          <w:sz w:val="24"/>
          <w:highlight w:val="none"/>
          <w:lang w:val="zh-CN"/>
        </w:rPr>
        <w:t>校准要求:采用独立注册的原厂校准品，满足溯源性要求</w:t>
      </w:r>
    </w:p>
    <w:p w14:paraId="7ADE0F1B">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1</w:t>
      </w:r>
      <w:r>
        <w:rPr>
          <w:rFonts w:hint="eastAsia" w:ascii="仿宋" w:hAnsi="仿宋" w:eastAsia="仿宋" w:cs="仿宋"/>
          <w:kern w:val="2"/>
          <w:sz w:val="24"/>
          <w:szCs w:val="24"/>
          <w:highlight w:val="none"/>
          <w:lang w:val="en-US" w:eastAsia="zh-CN" w:bidi="ar-SA"/>
        </w:rPr>
        <w:t>8</w:t>
      </w:r>
      <w:r>
        <w:rPr>
          <w:rFonts w:hint="eastAsia" w:ascii="仿宋" w:hAnsi="仿宋" w:eastAsia="仿宋" w:cs="仿宋"/>
          <w:kern w:val="2"/>
          <w:sz w:val="24"/>
          <w:szCs w:val="24"/>
          <w:highlight w:val="none"/>
          <w:lang w:val="zh-CN" w:eastAsia="zh-CN" w:bidi="ar-SA"/>
        </w:rPr>
        <w:t>.</w:t>
      </w:r>
      <w:r>
        <w:rPr>
          <w:rFonts w:hint="eastAsia" w:ascii="仿宋" w:hAnsi="仿宋" w:eastAsia="仿宋" w:cs="仿宋"/>
          <w:sz w:val="24"/>
          <w:highlight w:val="none"/>
          <w:lang w:val="zh-CN"/>
        </w:rPr>
        <w:t>用户界面:</w:t>
      </w:r>
      <w:r>
        <w:rPr>
          <w:rFonts w:hint="eastAsia" w:ascii="仿宋" w:hAnsi="仿宋" w:eastAsia="仿宋" w:cs="仿宋"/>
          <w:sz w:val="24"/>
          <w:highlight w:val="none"/>
        </w:rPr>
        <w:t>≥</w:t>
      </w:r>
      <w:r>
        <w:rPr>
          <w:rFonts w:hint="eastAsia" w:ascii="仿宋" w:hAnsi="仿宋" w:eastAsia="仿宋" w:cs="仿宋"/>
          <w:sz w:val="24"/>
          <w:highlight w:val="none"/>
          <w:lang w:val="zh-CN"/>
        </w:rPr>
        <w:t>17寸高分别率彩色触摸显示器，Windows10（64bit）操作系统,中文操作界面</w:t>
      </w:r>
    </w:p>
    <w:p w14:paraId="4843A292">
      <w:pPr>
        <w:pStyle w:val="35"/>
        <w:numPr>
          <w:ilvl w:val="0"/>
          <w:numId w:val="0"/>
        </w:numPr>
        <w:spacing w:line="360" w:lineRule="auto"/>
        <w:ind w:left="709" w:leftChars="0" w:hanging="425" w:firstLineChars="0"/>
        <w:rPr>
          <w:rFonts w:hint="eastAsia" w:ascii="仿宋" w:hAnsi="仿宋" w:eastAsia="仿宋" w:cs="仿宋"/>
          <w:sz w:val="24"/>
          <w:highlight w:val="none"/>
          <w:lang w:val="zh-CN"/>
        </w:rPr>
      </w:pPr>
      <w:r>
        <w:rPr>
          <w:rFonts w:hint="eastAsia" w:ascii="仿宋" w:hAnsi="仿宋" w:eastAsia="仿宋" w:cs="仿宋"/>
          <w:kern w:val="2"/>
          <w:sz w:val="24"/>
          <w:szCs w:val="24"/>
          <w:highlight w:val="none"/>
          <w:lang w:val="zh-CN" w:eastAsia="zh-CN" w:bidi="ar-SA"/>
        </w:rPr>
        <w:t>1</w:t>
      </w:r>
      <w:r>
        <w:rPr>
          <w:rFonts w:hint="eastAsia" w:ascii="仿宋" w:hAnsi="仿宋" w:eastAsia="仿宋" w:cs="仿宋"/>
          <w:kern w:val="2"/>
          <w:sz w:val="24"/>
          <w:szCs w:val="24"/>
          <w:highlight w:val="none"/>
          <w:lang w:val="en-US" w:eastAsia="zh-CN" w:bidi="ar-SA"/>
        </w:rPr>
        <w:t>9</w:t>
      </w:r>
      <w:r>
        <w:rPr>
          <w:rFonts w:hint="eastAsia" w:ascii="仿宋" w:hAnsi="仿宋" w:eastAsia="仿宋" w:cs="仿宋"/>
          <w:kern w:val="2"/>
          <w:sz w:val="24"/>
          <w:szCs w:val="24"/>
          <w:highlight w:val="none"/>
          <w:lang w:val="zh-CN" w:eastAsia="zh-CN" w:bidi="ar-SA"/>
        </w:rPr>
        <w:t>.</w:t>
      </w:r>
      <w:r>
        <w:rPr>
          <w:rFonts w:hint="eastAsia" w:ascii="仿宋" w:hAnsi="仿宋" w:eastAsia="仿宋" w:cs="仿宋"/>
          <w:sz w:val="24"/>
          <w:highlight w:val="none"/>
          <w:lang w:val="zh-CN"/>
        </w:rPr>
        <w:t>网络连接能力:有单向、双向连接外部Lis软件或网络的能力</w:t>
      </w:r>
    </w:p>
    <w:p w14:paraId="63A191F3">
      <w:pPr>
        <w:pStyle w:val="35"/>
        <w:numPr>
          <w:ilvl w:val="0"/>
          <w:numId w:val="0"/>
        </w:numPr>
        <w:spacing w:line="360" w:lineRule="auto"/>
        <w:ind w:left="709" w:leftChars="0" w:hanging="425" w:firstLineChars="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20.CFDA 认证情况:仪器及试剂、相关耗品等都具有 CFDA 认证</w:t>
      </w:r>
    </w:p>
    <w:p w14:paraId="121BF7EF">
      <w:pPr>
        <w:pStyle w:val="35"/>
        <w:numPr>
          <w:ilvl w:val="0"/>
          <w:numId w:val="0"/>
        </w:numPr>
        <w:spacing w:line="360" w:lineRule="auto"/>
        <w:ind w:left="709" w:leftChars="0" w:hanging="425" w:firstLineChars="0"/>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21.</w:t>
      </w:r>
      <w:r>
        <w:rPr>
          <w:rFonts w:hint="eastAsia" w:ascii="仿宋" w:hAnsi="仿宋" w:eastAsia="仿宋" w:cs="仿宋"/>
          <w:sz w:val="24"/>
          <w:highlight w:val="none"/>
          <w:lang w:val="zh-CN"/>
        </w:rPr>
        <w:t>操作及保养:操作简便，每天保养工作简单，随时可以待机</w:t>
      </w:r>
    </w:p>
    <w:p w14:paraId="7AFFD88B">
      <w:pPr>
        <w:pStyle w:val="35"/>
        <w:spacing w:line="360" w:lineRule="auto"/>
        <w:ind w:left="284" w:firstLine="0" w:firstLineChars="0"/>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设备8.全自动生化分析仪 </w:t>
      </w:r>
    </w:p>
    <w:p w14:paraId="14F9718B">
      <w:pPr>
        <w:pStyle w:val="35"/>
        <w:spacing w:line="360" w:lineRule="auto"/>
        <w:ind w:firstLine="0" w:firstLineChars="0"/>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7634275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1.仪器类型：随机任选、分立式全自动生化分析仪</w:t>
      </w:r>
    </w:p>
    <w:p w14:paraId="6F17B537">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2.分析速度：生化恒速≥800T/H，选配ISE速度可达1200T/H</w:t>
      </w:r>
    </w:p>
    <w:p w14:paraId="45C14BF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3.最大可同时分析项目：≥180个</w:t>
      </w:r>
    </w:p>
    <w:p w14:paraId="2591363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4.测试原理：比色法、比浊法、离子选择电极法(选配)</w:t>
      </w:r>
    </w:p>
    <w:p w14:paraId="0647377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5.分析方法：终点法、固定时间法、动力学法</w:t>
      </w:r>
    </w:p>
    <w:p w14:paraId="64013B8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6.样本位：≥190个样本位；</w:t>
      </w:r>
    </w:p>
    <w:p w14:paraId="0E48513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7.样本量：1.5μL～35uL， 0.1µl步进。</w:t>
      </w:r>
    </w:p>
    <w:p w14:paraId="287F568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8.试剂位：≥180个试剂位；</w:t>
      </w:r>
    </w:p>
    <w:p w14:paraId="0E29935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9.试剂盘冷藏温度：2～8℃</w:t>
      </w:r>
    </w:p>
    <w:p w14:paraId="3B34544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10.试剂量：10μL～200uL， 0.5µl步进。</w:t>
      </w:r>
    </w:p>
    <w:p w14:paraId="304B93B2">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11.反应杯位：≥165个,光径5mm；</w:t>
      </w:r>
    </w:p>
    <w:p w14:paraId="2BEDE0A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12.反应体积： 70µl～300uL；</w:t>
      </w:r>
    </w:p>
    <w:p w14:paraId="2118984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13.温控方式：固体直热，升温快，免维护；</w:t>
      </w:r>
    </w:p>
    <w:p w14:paraId="536A43F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14.比色杯清洗：8阶</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自动温水/清洗剂清洗</w:t>
      </w:r>
    </w:p>
    <w:p w14:paraId="2BE7B6C8">
      <w:pPr>
        <w:spacing w:line="360" w:lineRule="auto"/>
        <w:rPr>
          <w:rFonts w:hint="default" w:ascii="仿宋" w:hAnsi="仿宋" w:eastAsia="仿宋" w:cs="仿宋"/>
          <w:sz w:val="24"/>
          <w:szCs w:val="24"/>
          <w:highlight w:val="none"/>
          <w:lang w:val="en-US" w:eastAsia="zh-CN"/>
        </w:rPr>
      </w:pPr>
      <w:r>
        <w:rPr>
          <w:rFonts w:hint="eastAsia" w:cs="仿宋"/>
          <w:sz w:val="24"/>
          <w:szCs w:val="24"/>
          <w:highlight w:val="none"/>
          <w:lang w:val="en-US" w:eastAsia="zh-CN"/>
        </w:rPr>
        <w:t>15.光学系统:全息凹面光栅后分光系统</w:t>
      </w:r>
    </w:p>
    <w:p w14:paraId="52CB942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cs="仿宋"/>
          <w:sz w:val="24"/>
          <w:szCs w:val="24"/>
          <w:highlight w:val="none"/>
          <w:lang w:val="en-US" w:eastAsia="zh-CN"/>
        </w:rPr>
        <w:t>6</w:t>
      </w:r>
      <w:r>
        <w:rPr>
          <w:rFonts w:hint="eastAsia" w:ascii="仿宋" w:hAnsi="仿宋" w:eastAsia="仿宋" w:cs="仿宋"/>
          <w:sz w:val="24"/>
          <w:szCs w:val="24"/>
          <w:highlight w:val="none"/>
        </w:rPr>
        <w:t>.波长：340～850nm ,16个波长</w:t>
      </w:r>
    </w:p>
    <w:p w14:paraId="17BFA0C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cs="仿宋"/>
          <w:sz w:val="24"/>
          <w:szCs w:val="24"/>
          <w:highlight w:val="none"/>
          <w:lang w:val="en-US" w:eastAsia="zh-CN"/>
        </w:rPr>
        <w:t>7</w:t>
      </w:r>
      <w:r>
        <w:rPr>
          <w:rFonts w:hint="eastAsia" w:ascii="仿宋" w:hAnsi="仿宋" w:eastAsia="仿宋" w:cs="仿宋"/>
          <w:sz w:val="24"/>
          <w:szCs w:val="24"/>
          <w:highlight w:val="none"/>
        </w:rPr>
        <w:t>.吸光度线性范围：0～3.5 Abs</w:t>
      </w:r>
    </w:p>
    <w:p w14:paraId="14FE69B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cs="仿宋"/>
          <w:sz w:val="24"/>
          <w:szCs w:val="24"/>
          <w:highlight w:val="none"/>
          <w:lang w:val="en-US" w:eastAsia="zh-CN"/>
        </w:rPr>
        <w:t>8</w:t>
      </w:r>
      <w:r>
        <w:rPr>
          <w:rFonts w:hint="eastAsia" w:ascii="仿宋" w:hAnsi="仿宋" w:eastAsia="仿宋" w:cs="仿宋"/>
          <w:sz w:val="24"/>
          <w:szCs w:val="24"/>
          <w:highlight w:val="none"/>
        </w:rPr>
        <w:t>.样品携带污染率：不大于0.05%</w:t>
      </w:r>
    </w:p>
    <w:p w14:paraId="6716BA39">
      <w:pPr>
        <w:spacing w:line="360" w:lineRule="auto"/>
        <w:rPr>
          <w:rFonts w:hint="eastAsia" w:ascii="仿宋" w:hAnsi="仿宋" w:eastAsia="仿宋" w:cs="仿宋"/>
          <w:sz w:val="24"/>
          <w:szCs w:val="24"/>
          <w:highlight w:val="none"/>
        </w:rPr>
      </w:pPr>
      <w:r>
        <w:rPr>
          <w:rFonts w:hint="eastAsia" w:cs="仿宋"/>
          <w:sz w:val="24"/>
          <w:szCs w:val="24"/>
          <w:highlight w:val="none"/>
          <w:lang w:val="en-US" w:eastAsia="zh-CN"/>
        </w:rPr>
        <w:t>19.</w:t>
      </w:r>
      <w:r>
        <w:rPr>
          <w:rFonts w:hint="eastAsia" w:ascii="仿宋" w:hAnsi="仿宋" w:eastAsia="仿宋" w:cs="仿宋"/>
          <w:sz w:val="24"/>
          <w:szCs w:val="24"/>
          <w:highlight w:val="none"/>
        </w:rPr>
        <w:t>支持 HbAlc 全血测试功能</w:t>
      </w:r>
    </w:p>
    <w:p w14:paraId="3FA1E9B0">
      <w:pPr>
        <w:spacing w:line="360" w:lineRule="auto"/>
        <w:rPr>
          <w:rFonts w:hint="eastAsia" w:ascii="仿宋" w:hAnsi="仿宋" w:eastAsia="仿宋" w:cs="仿宋"/>
          <w:sz w:val="24"/>
          <w:szCs w:val="24"/>
          <w:highlight w:val="none"/>
        </w:rPr>
      </w:pPr>
      <w:r>
        <w:rPr>
          <w:rFonts w:hint="eastAsia" w:cs="仿宋"/>
          <w:sz w:val="24"/>
          <w:szCs w:val="24"/>
          <w:highlight w:val="none"/>
          <w:lang w:val="en-US" w:eastAsia="zh-CN"/>
        </w:rPr>
        <w:t>20</w:t>
      </w:r>
      <w:r>
        <w:rPr>
          <w:rFonts w:hint="eastAsia" w:ascii="仿宋" w:hAnsi="仿宋" w:eastAsia="仿宋" w:cs="仿宋"/>
          <w:sz w:val="24"/>
          <w:szCs w:val="24"/>
          <w:highlight w:val="none"/>
        </w:rPr>
        <w:t>.具有酶线性拓展功能</w:t>
      </w:r>
    </w:p>
    <w:p w14:paraId="2032AAB4">
      <w:pPr>
        <w:spacing w:line="360" w:lineRule="auto"/>
        <w:rPr>
          <w:rFonts w:hint="eastAsia" w:ascii="仿宋" w:hAnsi="仿宋" w:eastAsia="仿宋" w:cs="仿宋"/>
          <w:sz w:val="24"/>
          <w:szCs w:val="24"/>
          <w:highlight w:val="none"/>
        </w:rPr>
      </w:pPr>
      <w:r>
        <w:rPr>
          <w:rFonts w:hint="eastAsia" w:cs="仿宋"/>
          <w:sz w:val="24"/>
          <w:szCs w:val="24"/>
          <w:highlight w:val="none"/>
          <w:lang w:val="en-US" w:eastAsia="zh-CN"/>
        </w:rPr>
        <w:t>21</w:t>
      </w:r>
      <w:r>
        <w:rPr>
          <w:rFonts w:hint="eastAsia" w:ascii="仿宋" w:hAnsi="仿宋" w:eastAsia="仿宋" w:cs="仿宋"/>
          <w:sz w:val="24"/>
          <w:szCs w:val="24"/>
          <w:highlight w:val="none"/>
        </w:rPr>
        <w:t>.支持在线试剂装载</w:t>
      </w:r>
    </w:p>
    <w:p w14:paraId="03FDBDC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cs="仿宋"/>
          <w:sz w:val="24"/>
          <w:szCs w:val="24"/>
          <w:highlight w:val="none"/>
          <w:lang w:val="en-US" w:eastAsia="zh-CN"/>
        </w:rPr>
        <w:t>2</w:t>
      </w:r>
      <w:r>
        <w:rPr>
          <w:rFonts w:hint="eastAsia" w:ascii="仿宋" w:hAnsi="仿宋" w:eastAsia="仿宋" w:cs="仿宋"/>
          <w:sz w:val="24"/>
          <w:szCs w:val="24"/>
          <w:highlight w:val="none"/>
        </w:rPr>
        <w:t>.支持一个项目放置多套试剂</w:t>
      </w:r>
    </w:p>
    <w:p w14:paraId="02DEB82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cs="仿宋"/>
          <w:sz w:val="24"/>
          <w:szCs w:val="24"/>
          <w:highlight w:val="none"/>
          <w:lang w:val="en-US" w:eastAsia="zh-CN"/>
        </w:rPr>
        <w:t>3</w:t>
      </w:r>
      <w:r>
        <w:rPr>
          <w:rFonts w:hint="eastAsia" w:ascii="仿宋" w:hAnsi="仿宋" w:eastAsia="仿宋" w:cs="仿宋"/>
          <w:sz w:val="24"/>
          <w:szCs w:val="24"/>
          <w:highlight w:val="none"/>
        </w:rPr>
        <w:t>.支持定时休眠和手动休眠</w:t>
      </w:r>
    </w:p>
    <w:p w14:paraId="17B16E9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cs="仿宋"/>
          <w:sz w:val="24"/>
          <w:szCs w:val="24"/>
          <w:highlight w:val="none"/>
          <w:lang w:val="en-US" w:eastAsia="zh-CN"/>
        </w:rPr>
        <w:t>4</w:t>
      </w:r>
      <w:r>
        <w:rPr>
          <w:rFonts w:hint="eastAsia" w:ascii="仿宋" w:hAnsi="仿宋" w:eastAsia="仿宋" w:cs="仿宋"/>
          <w:sz w:val="24"/>
          <w:szCs w:val="24"/>
          <w:highlight w:val="none"/>
        </w:rPr>
        <w:t>.操作系统：全中文操作界面</w:t>
      </w:r>
    </w:p>
    <w:p w14:paraId="6C4CE462">
      <w:pPr>
        <w:pStyle w:val="35"/>
        <w:spacing w:line="360" w:lineRule="auto"/>
        <w:ind w:left="284" w:firstLine="0" w:firstLineChars="0"/>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设备9.电解质分析仪 </w:t>
      </w:r>
    </w:p>
    <w:p w14:paraId="16465BB7">
      <w:pPr>
        <w:pStyle w:val="35"/>
        <w:spacing w:line="360" w:lineRule="auto"/>
        <w:ind w:firstLine="0" w:firstLineChars="0"/>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6C1BF8CF">
      <w:pPr>
        <w:numPr>
          <w:ilvl w:val="0"/>
          <w:numId w:val="15"/>
        </w:numPr>
        <w:spacing w:line="360" w:lineRule="auto"/>
        <w:rPr>
          <w:rFonts w:hint="eastAsia" w:ascii="宋体" w:hAnsi="宋体" w:cs="宋体"/>
          <w:sz w:val="24"/>
          <w:highlight w:val="none"/>
        </w:rPr>
      </w:pPr>
      <w:r>
        <w:rPr>
          <w:rFonts w:hint="eastAsia" w:ascii="宋体" w:hAnsi="宋体" w:cs="宋体"/>
          <w:sz w:val="24"/>
          <w:highlight w:val="none"/>
        </w:rPr>
        <w:t>高清触摸屏，操作功能</w:t>
      </w:r>
    </w:p>
    <w:p w14:paraId="502E0C06">
      <w:pPr>
        <w:spacing w:line="360" w:lineRule="auto"/>
        <w:rPr>
          <w:rFonts w:hint="eastAsia" w:ascii="宋体" w:hAnsi="宋体" w:cs="宋体"/>
          <w:sz w:val="24"/>
          <w:highlight w:val="none"/>
        </w:rPr>
      </w:pPr>
      <w:r>
        <w:rPr>
          <w:rFonts w:hint="eastAsia" w:ascii="宋体" w:hAnsi="宋体" w:cs="宋体"/>
          <w:sz w:val="24"/>
          <w:highlight w:val="none"/>
        </w:rPr>
        <w:t>2、功能部件自动检测，传感部件自动判断、自动适应和自动校正</w:t>
      </w:r>
    </w:p>
    <w:p w14:paraId="1F1F37BC">
      <w:pPr>
        <w:spacing w:line="360" w:lineRule="auto"/>
        <w:rPr>
          <w:rFonts w:hint="eastAsia" w:ascii="宋体" w:hAnsi="宋体" w:cs="宋体"/>
          <w:sz w:val="24"/>
          <w:highlight w:val="none"/>
          <w:vertAlign w:val="subscript"/>
        </w:rPr>
      </w:pPr>
      <w:r>
        <w:rPr>
          <w:rFonts w:hint="eastAsia" w:ascii="宋体" w:hAnsi="宋体" w:cs="宋体"/>
          <w:sz w:val="24"/>
          <w:highlight w:val="none"/>
        </w:rPr>
        <w:t>3、 检测和计算项目: K</w:t>
      </w:r>
      <w:r>
        <w:rPr>
          <w:rFonts w:hint="eastAsia" w:ascii="宋体" w:hAnsi="宋体" w:cs="宋体"/>
          <w:sz w:val="24"/>
          <w:highlight w:val="none"/>
          <w:vertAlign w:val="superscript"/>
        </w:rPr>
        <w:t>+</w:t>
      </w:r>
      <w:r>
        <w:rPr>
          <w:rFonts w:hint="eastAsia" w:ascii="宋体" w:hAnsi="宋体" w:cs="宋体"/>
          <w:sz w:val="24"/>
          <w:highlight w:val="none"/>
        </w:rPr>
        <w:t>、Na</w:t>
      </w:r>
      <w:r>
        <w:rPr>
          <w:rFonts w:hint="eastAsia" w:ascii="宋体" w:hAnsi="宋体" w:cs="宋体"/>
          <w:sz w:val="24"/>
          <w:highlight w:val="none"/>
          <w:vertAlign w:val="superscript"/>
        </w:rPr>
        <w:t>+</w:t>
      </w:r>
      <w:r>
        <w:rPr>
          <w:rFonts w:hint="eastAsia" w:ascii="宋体" w:hAnsi="宋体" w:cs="宋体"/>
          <w:sz w:val="24"/>
          <w:highlight w:val="none"/>
        </w:rPr>
        <w:t>、Cl</w:t>
      </w:r>
      <w:r>
        <w:rPr>
          <w:rFonts w:hint="eastAsia" w:ascii="宋体" w:hAnsi="宋体" w:cs="宋体"/>
          <w:sz w:val="24"/>
          <w:highlight w:val="none"/>
          <w:vertAlign w:val="superscript"/>
        </w:rPr>
        <w:t>—</w:t>
      </w:r>
      <w:r>
        <w:rPr>
          <w:rFonts w:hint="eastAsia" w:ascii="宋体" w:hAnsi="宋体" w:cs="宋体"/>
          <w:sz w:val="24"/>
          <w:highlight w:val="none"/>
        </w:rPr>
        <w:t>、Ca</w:t>
      </w:r>
      <w:r>
        <w:rPr>
          <w:rFonts w:hint="eastAsia" w:ascii="宋体" w:hAnsi="宋体" w:cs="宋体"/>
          <w:sz w:val="24"/>
          <w:highlight w:val="none"/>
          <w:vertAlign w:val="superscript"/>
        </w:rPr>
        <w:t>2+</w:t>
      </w:r>
      <w:r>
        <w:rPr>
          <w:rFonts w:hint="eastAsia" w:ascii="宋体" w:hAnsi="宋体" w:cs="宋体"/>
          <w:sz w:val="24"/>
          <w:highlight w:val="none"/>
        </w:rPr>
        <w:t>、pH、nCa、TCa等多种参数组合</w:t>
      </w:r>
    </w:p>
    <w:p w14:paraId="5F88453F">
      <w:pPr>
        <w:spacing w:line="360" w:lineRule="auto"/>
        <w:rPr>
          <w:rFonts w:hint="eastAsia" w:ascii="宋体" w:hAnsi="宋体" w:cs="宋体"/>
          <w:sz w:val="24"/>
          <w:highlight w:val="none"/>
        </w:rPr>
      </w:pPr>
      <w:r>
        <w:rPr>
          <w:rFonts w:hint="eastAsia" w:ascii="宋体" w:hAnsi="宋体" w:cs="宋体"/>
          <w:sz w:val="24"/>
          <w:highlight w:val="none"/>
        </w:rPr>
        <w:t>4、电解质项目从吸样到显示结果≤50秒</w:t>
      </w:r>
    </w:p>
    <w:p w14:paraId="16026FA1">
      <w:pPr>
        <w:spacing w:line="360" w:lineRule="auto"/>
        <w:rPr>
          <w:rFonts w:hint="eastAsia" w:ascii="宋体" w:hAnsi="宋体" w:cs="宋体"/>
          <w:sz w:val="24"/>
          <w:highlight w:val="none"/>
        </w:rPr>
      </w:pPr>
      <w:r>
        <w:rPr>
          <w:rFonts w:hint="eastAsia" w:ascii="宋体" w:hAnsi="宋体" w:cs="宋体"/>
          <w:sz w:val="24"/>
          <w:highlight w:val="none"/>
        </w:rPr>
        <w:t>5、 断电后仍可储存质控和样品数据，实现数据储存再现,并支持无限扩展</w:t>
      </w:r>
    </w:p>
    <w:p w14:paraId="5DAAE65A">
      <w:pPr>
        <w:spacing w:line="360" w:lineRule="auto"/>
        <w:ind w:left="600" w:hanging="600" w:hangingChars="250"/>
        <w:rPr>
          <w:rFonts w:hint="eastAsia" w:ascii="宋体" w:hAnsi="宋体" w:cs="宋体"/>
          <w:sz w:val="24"/>
          <w:highlight w:val="none"/>
        </w:rPr>
      </w:pPr>
      <w:r>
        <w:rPr>
          <w:rFonts w:hint="eastAsia" w:ascii="宋体" w:hAnsi="宋体" w:cs="宋体"/>
          <w:sz w:val="24"/>
          <w:highlight w:val="none"/>
        </w:rPr>
        <w:t>6、 标配网络接口支持LIS联网，支持外接打印机、鼠标和键盘，支持U盘数据导出。</w:t>
      </w:r>
    </w:p>
    <w:p w14:paraId="7864D2E2">
      <w:pPr>
        <w:spacing w:line="360" w:lineRule="auto"/>
        <w:rPr>
          <w:rFonts w:hint="eastAsia" w:ascii="宋体" w:hAnsi="宋体" w:cs="宋体"/>
          <w:b/>
          <w:bCs/>
          <w:sz w:val="32"/>
          <w:szCs w:val="32"/>
          <w:highlight w:val="none"/>
        </w:rPr>
      </w:pPr>
      <w:r>
        <w:rPr>
          <w:rFonts w:hint="eastAsia" w:ascii="宋体" w:hAnsi="宋体" w:cs="宋体"/>
          <w:sz w:val="24"/>
          <w:highlight w:val="none"/>
        </w:rPr>
        <w:t>7、样品种类：血清</w:t>
      </w:r>
    </w:p>
    <w:p w14:paraId="305C31C9">
      <w:pPr>
        <w:pStyle w:val="2"/>
        <w:numPr>
          <w:ilvl w:val="0"/>
          <w:numId w:val="0"/>
        </w:numPr>
        <w:jc w:val="center"/>
        <w:rPr>
          <w:rFonts w:hint="eastAsia" w:ascii="宋体" w:hAnsi="宋体" w:cs="宋体"/>
          <w:b/>
          <w:sz w:val="32"/>
          <w:szCs w:val="32"/>
          <w:highlight w:val="none"/>
        </w:rPr>
      </w:pPr>
      <w:r>
        <w:rPr>
          <w:rFonts w:hint="eastAsia" w:ascii="宋体" w:hAnsi="宋体" w:cs="宋体"/>
          <w:b/>
          <w:bCs/>
          <w:sz w:val="32"/>
          <w:szCs w:val="32"/>
          <w:highlight w:val="none"/>
        </w:rPr>
        <w:t>设备</w:t>
      </w:r>
      <w:r>
        <w:rPr>
          <w:rFonts w:hint="eastAsia" w:ascii="宋体" w:hAnsi="宋体" w:cs="宋体"/>
          <w:b/>
          <w:sz w:val="32"/>
          <w:szCs w:val="32"/>
          <w:highlight w:val="none"/>
        </w:rPr>
        <w:t>10.血气分析仪</w:t>
      </w:r>
    </w:p>
    <w:p w14:paraId="61A2110F">
      <w:pPr>
        <w:pStyle w:val="35"/>
        <w:spacing w:line="360" w:lineRule="auto"/>
        <w:ind w:firstLine="0" w:firstLineChars="0"/>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数量：1台</w:t>
      </w:r>
    </w:p>
    <w:p w14:paraId="537D0576">
      <w:pPr>
        <w:spacing w:line="360" w:lineRule="auto"/>
        <w:rPr>
          <w:rFonts w:hint="eastAsia" w:ascii="仿宋" w:hAnsi="仿宋" w:eastAsia="仿宋" w:cs="仿宋"/>
          <w:sz w:val="24"/>
          <w:highlight w:val="none"/>
        </w:rPr>
      </w:pPr>
      <w:r>
        <w:rPr>
          <w:rFonts w:hint="eastAsia" w:ascii="仿宋" w:hAnsi="仿宋" w:eastAsia="仿宋" w:cs="仿宋"/>
          <w:sz w:val="24"/>
          <w:highlight w:val="none"/>
        </w:rPr>
        <w:t>1.检测项目：PH、PCO2、PO2、Na＋、K＋、Cl—、Ca＋＋、Glu、Lac、Hct、tHb、O2Hb、COHb、MetHb、HHb、tBili、SO2。</w:t>
      </w:r>
    </w:p>
    <w:p w14:paraId="42A212EA">
      <w:pPr>
        <w:spacing w:line="360" w:lineRule="auto"/>
        <w:rPr>
          <w:rFonts w:hint="eastAsia" w:ascii="仿宋" w:hAnsi="仿宋" w:eastAsia="仿宋" w:cs="仿宋"/>
          <w:sz w:val="24"/>
          <w:highlight w:val="none"/>
        </w:rPr>
      </w:pPr>
      <w:r>
        <w:rPr>
          <w:rFonts w:hint="eastAsia" w:ascii="仿宋" w:hAnsi="仿宋" w:eastAsia="仿宋" w:cs="仿宋"/>
          <w:sz w:val="24"/>
          <w:highlight w:val="none"/>
        </w:rPr>
        <w:t>2.全项目样本体积≤300μL，最小样本体积≤100μL。</w:t>
      </w:r>
    </w:p>
    <w:p w14:paraId="4A5A6773">
      <w:pPr>
        <w:spacing w:line="360" w:lineRule="auto"/>
        <w:rPr>
          <w:rFonts w:hint="eastAsia" w:ascii="仿宋" w:hAnsi="仿宋" w:eastAsia="仿宋" w:cs="仿宋"/>
          <w:sz w:val="24"/>
          <w:highlight w:val="none"/>
        </w:rPr>
      </w:pPr>
      <w:r>
        <w:rPr>
          <w:rFonts w:hint="eastAsia" w:ascii="仿宋" w:hAnsi="仿宋" w:eastAsia="仿宋" w:cs="仿宋"/>
          <w:sz w:val="24"/>
          <w:highlight w:val="none"/>
        </w:rPr>
        <w:t>3.测试速度：≤100s。</w:t>
      </w:r>
    </w:p>
    <w:p w14:paraId="2837448C">
      <w:pPr>
        <w:spacing w:line="360" w:lineRule="auto"/>
        <w:rPr>
          <w:rFonts w:hint="eastAsia" w:ascii="仿宋" w:hAnsi="仿宋" w:eastAsia="仿宋" w:cs="仿宋"/>
          <w:sz w:val="24"/>
          <w:highlight w:val="none"/>
        </w:rPr>
      </w:pPr>
      <w:r>
        <w:rPr>
          <w:rFonts w:hint="eastAsia" w:ascii="仿宋" w:hAnsi="仿宋" w:eastAsia="仿宋" w:cs="仿宋"/>
          <w:sz w:val="24"/>
          <w:highlight w:val="none"/>
        </w:rPr>
        <w:t>4.电极及管路系统免维护。</w:t>
      </w:r>
    </w:p>
    <w:p w14:paraId="3AE7D357">
      <w:pPr>
        <w:spacing w:line="360" w:lineRule="auto"/>
        <w:rPr>
          <w:rFonts w:hint="eastAsia" w:ascii="仿宋" w:hAnsi="仿宋" w:eastAsia="仿宋" w:cs="仿宋"/>
          <w:sz w:val="24"/>
          <w:highlight w:val="none"/>
        </w:rPr>
      </w:pPr>
      <w:r>
        <w:rPr>
          <w:rFonts w:hint="eastAsia" w:ascii="仿宋" w:hAnsi="仿宋" w:eastAsia="仿宋" w:cs="仿宋"/>
          <w:sz w:val="24"/>
          <w:highlight w:val="none"/>
        </w:rPr>
        <w:t>5.生物安全性：仪器本身无血样及试剂流通通道，从而尽可能保障操作人员的生物安全性。</w:t>
      </w:r>
    </w:p>
    <w:p w14:paraId="5FEBDE5C">
      <w:pPr>
        <w:spacing w:line="360" w:lineRule="auto"/>
        <w:rPr>
          <w:rFonts w:hint="eastAsia" w:ascii="仿宋" w:hAnsi="仿宋" w:eastAsia="仿宋" w:cs="仿宋"/>
          <w:sz w:val="24"/>
          <w:highlight w:val="none"/>
        </w:rPr>
      </w:pPr>
      <w:r>
        <w:rPr>
          <w:rFonts w:hint="eastAsia" w:ascii="仿宋" w:hAnsi="仿宋" w:eastAsia="仿宋" w:cs="仿宋"/>
          <w:sz w:val="24"/>
          <w:highlight w:val="none"/>
        </w:rPr>
        <w:t>6.分析包、电极等所有消耗品室温保存，无需冷藏。</w:t>
      </w:r>
    </w:p>
    <w:p w14:paraId="255C7EC3">
      <w:pPr>
        <w:spacing w:line="360" w:lineRule="auto"/>
        <w:rPr>
          <w:rFonts w:hint="eastAsia" w:ascii="仿宋" w:hAnsi="仿宋" w:eastAsia="仿宋" w:cs="仿宋"/>
          <w:sz w:val="24"/>
          <w:highlight w:val="none"/>
        </w:rPr>
      </w:pPr>
      <w:r>
        <w:rPr>
          <w:rFonts w:hint="eastAsia" w:ascii="仿宋" w:hAnsi="仿宋" w:eastAsia="仿宋" w:cs="仿宋"/>
          <w:sz w:val="24"/>
          <w:highlight w:val="none"/>
        </w:rPr>
        <w:t>7.分析包、电极等所有消耗品出厂有效期均≥1000天。</w:t>
      </w:r>
    </w:p>
    <w:p w14:paraId="45F2EE59">
      <w:pPr>
        <w:spacing w:line="360" w:lineRule="auto"/>
        <w:rPr>
          <w:rFonts w:hint="eastAsia" w:ascii="仿宋" w:hAnsi="仿宋" w:eastAsia="仿宋" w:cs="仿宋"/>
          <w:sz w:val="24"/>
          <w:highlight w:val="none"/>
        </w:rPr>
      </w:pPr>
      <w:r>
        <w:rPr>
          <w:rFonts w:hint="eastAsia" w:ascii="仿宋" w:hAnsi="仿宋" w:eastAsia="仿宋" w:cs="仿宋"/>
          <w:sz w:val="24"/>
          <w:highlight w:val="none"/>
        </w:rPr>
        <w:t>8.分析包、电极等所有消耗品上机效期均≥10天。</w:t>
      </w:r>
    </w:p>
    <w:p w14:paraId="170F709C">
      <w:pPr>
        <w:spacing w:line="360" w:lineRule="auto"/>
        <w:rPr>
          <w:rFonts w:hint="eastAsia" w:ascii="仿宋" w:hAnsi="仿宋" w:eastAsia="仿宋" w:cs="仿宋"/>
          <w:sz w:val="24"/>
          <w:highlight w:val="none"/>
        </w:rPr>
      </w:pPr>
      <w:r>
        <w:rPr>
          <w:rFonts w:hint="eastAsia" w:ascii="仿宋" w:hAnsi="仿宋" w:eastAsia="仿宋" w:cs="仿宋"/>
          <w:sz w:val="24"/>
          <w:highlight w:val="none"/>
        </w:rPr>
        <w:t>9.系统对每个标本分析前、中、后实现全程质量管理，从而保证每一个检测结果的准确性。</w:t>
      </w:r>
    </w:p>
    <w:p w14:paraId="6AA5D3CE">
      <w:pPr>
        <w:spacing w:line="360" w:lineRule="auto"/>
        <w:rPr>
          <w:rFonts w:hint="eastAsia" w:ascii="仿宋" w:hAnsi="仿宋" w:eastAsia="仿宋" w:cs="仿宋"/>
          <w:sz w:val="24"/>
          <w:highlight w:val="none"/>
        </w:rPr>
      </w:pPr>
      <w:r>
        <w:rPr>
          <w:rFonts w:hint="eastAsia" w:ascii="仿宋" w:hAnsi="仿宋" w:eastAsia="仿宋" w:cs="仿宋"/>
          <w:sz w:val="24"/>
          <w:highlight w:val="none"/>
        </w:rPr>
        <w:t>10.若标本受到干扰物质影响，仪器能够检测到干扰物质并将受影响的结果标记出来。</w:t>
      </w:r>
    </w:p>
    <w:p w14:paraId="34A2BD57">
      <w:pPr>
        <w:spacing w:line="360" w:lineRule="auto"/>
        <w:rPr>
          <w:rFonts w:hint="eastAsia" w:ascii="仿宋" w:hAnsi="仿宋" w:eastAsia="仿宋" w:cs="仿宋"/>
          <w:sz w:val="24"/>
          <w:highlight w:val="none"/>
        </w:rPr>
      </w:pPr>
      <w:r>
        <w:rPr>
          <w:rFonts w:hint="eastAsia" w:ascii="仿宋" w:hAnsi="仿宋" w:eastAsia="仿宋" w:cs="仿宋"/>
          <w:sz w:val="24"/>
          <w:highlight w:val="none"/>
        </w:rPr>
        <w:t>11.内置打印机，高清显示屏，提供RS232接口和有线及无线网络接口。</w:t>
      </w:r>
    </w:p>
    <w:p w14:paraId="68B048CD">
      <w:pPr>
        <w:spacing w:line="360" w:lineRule="auto"/>
        <w:rPr>
          <w:rFonts w:hint="eastAsia" w:ascii="仿宋" w:hAnsi="仿宋" w:eastAsia="仿宋" w:cs="仿宋"/>
          <w:highlight w:val="none"/>
        </w:rPr>
      </w:pPr>
      <w:r>
        <w:rPr>
          <w:rFonts w:hint="eastAsia" w:ascii="仿宋" w:hAnsi="仿宋" w:eastAsia="仿宋" w:cs="仿宋"/>
          <w:sz w:val="24"/>
          <w:highlight w:val="none"/>
        </w:rPr>
        <w:t>12.可通过信息管理系统将全院各临床科室血气分析仪全部联网，并可通过电脑端、移动端、</w:t>
      </w:r>
    </w:p>
    <w:p w14:paraId="6D03AFE9">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13.用户可自定义测量单位，数据打印形式，参考及报警范围。</w:t>
      </w:r>
    </w:p>
    <w:p w14:paraId="4045BFD7">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设备11.全自动凝血分析仪 </w:t>
      </w:r>
    </w:p>
    <w:p w14:paraId="539C0485">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5F3540D1">
      <w:pPr>
        <w:spacing w:line="360" w:lineRule="auto"/>
        <w:rPr>
          <w:rFonts w:hint="eastAsia" w:ascii="宋体" w:hAnsi="宋体" w:cs="宋体"/>
          <w:sz w:val="24"/>
          <w:highlight w:val="none"/>
        </w:rPr>
      </w:pPr>
      <w:r>
        <w:rPr>
          <w:rFonts w:hint="eastAsia" w:ascii="宋体" w:hAnsi="宋体" w:cs="宋体"/>
          <w:sz w:val="24"/>
          <w:highlight w:val="none"/>
        </w:rPr>
        <w:t>1.检测原理：采用双磁路磁珠法、免疫比浊法、发色底物法进行检测</w:t>
      </w:r>
    </w:p>
    <w:p w14:paraId="6F22E782">
      <w:pPr>
        <w:spacing w:line="360" w:lineRule="auto"/>
        <w:rPr>
          <w:rFonts w:hint="eastAsia" w:ascii="宋体" w:hAnsi="宋体" w:cs="宋体"/>
          <w:sz w:val="24"/>
          <w:highlight w:val="none"/>
        </w:rPr>
      </w:pPr>
      <w:r>
        <w:rPr>
          <w:rFonts w:hint="eastAsia" w:ascii="宋体" w:hAnsi="宋体" w:cs="宋体"/>
          <w:sz w:val="24"/>
          <w:highlight w:val="none"/>
        </w:rPr>
        <w:t>2.测试项目：PT、APTT、TT、Fib、FDP、D-Dimer、AT-III、凝血因子等</w:t>
      </w:r>
    </w:p>
    <w:p w14:paraId="3B6F23CD">
      <w:pPr>
        <w:spacing w:line="360" w:lineRule="auto"/>
        <w:rPr>
          <w:rFonts w:hint="eastAsia" w:ascii="宋体" w:hAnsi="宋体" w:cs="宋体"/>
          <w:sz w:val="24"/>
          <w:highlight w:val="none"/>
        </w:rPr>
      </w:pPr>
      <w:r>
        <w:rPr>
          <w:rFonts w:hint="eastAsia" w:ascii="宋体" w:hAnsi="宋体" w:cs="宋体"/>
          <w:sz w:val="24"/>
          <w:highlight w:val="none"/>
        </w:rPr>
        <w:t>3.最大速度：双磁路磁珠法≥ 300 T/h；免疫比浊法≥ 80 T/h</w:t>
      </w:r>
    </w:p>
    <w:p w14:paraId="713FF96A">
      <w:pPr>
        <w:spacing w:line="360" w:lineRule="auto"/>
        <w:rPr>
          <w:rFonts w:hint="eastAsia" w:ascii="宋体" w:hAnsi="宋体" w:cs="宋体"/>
          <w:sz w:val="24"/>
          <w:highlight w:val="none"/>
        </w:rPr>
      </w:pPr>
      <w:r>
        <w:rPr>
          <w:rFonts w:hint="eastAsia" w:ascii="宋体" w:hAnsi="宋体" w:cs="宋体"/>
          <w:sz w:val="24"/>
          <w:highlight w:val="none"/>
        </w:rPr>
        <w:t>4.综合测速：综合五项（PT/APTT/TT/Fib/D-Dimer）≥40样本/小时</w:t>
      </w:r>
    </w:p>
    <w:p w14:paraId="6397B890">
      <w:pPr>
        <w:spacing w:line="360" w:lineRule="auto"/>
        <w:rPr>
          <w:rFonts w:hint="eastAsia" w:ascii="宋体" w:hAnsi="宋体" w:cs="宋体"/>
          <w:sz w:val="24"/>
          <w:highlight w:val="none"/>
        </w:rPr>
      </w:pPr>
      <w:r>
        <w:rPr>
          <w:rFonts w:hint="eastAsia" w:ascii="宋体" w:hAnsi="宋体" w:cs="宋体"/>
          <w:sz w:val="24"/>
          <w:highlight w:val="none"/>
        </w:rPr>
        <w:t>5.检测通道：双磁路磁珠法≥4个；免疫比浊法≥5个；发色底物法≥1个；各种方法学检测通道互相独立，可各自同时进行测试</w:t>
      </w:r>
    </w:p>
    <w:p w14:paraId="0556DD01">
      <w:pPr>
        <w:spacing w:line="360" w:lineRule="auto"/>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.样本位：≥80个样本位，采Rack用抽拉式进样;具有进样到位提示功能</w:t>
      </w:r>
    </w:p>
    <w:p w14:paraId="79D39D49">
      <w:pPr>
        <w:spacing w:line="360" w:lineRule="auto"/>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.样本扫描：具有内置条码扫描装置，进样时即时扫描标本信息</w:t>
      </w:r>
    </w:p>
    <w:p w14:paraId="4FC6F772">
      <w:pPr>
        <w:spacing w:line="360" w:lineRule="auto"/>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.预温位：≥16个预温位，开机升温快速、并能保持温度稳定</w:t>
      </w:r>
    </w:p>
    <w:p w14:paraId="38E76F55">
      <w:pPr>
        <w:spacing w:line="360" w:lineRule="auto"/>
        <w:rPr>
          <w:rFonts w:hint="eastAsia"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.试剂位：≥28个试剂位，具有试剂搅拌和试剂冷藏功能</w:t>
      </w:r>
    </w:p>
    <w:p w14:paraId="4D8E6A4B">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r>
        <w:rPr>
          <w:rFonts w:hint="eastAsia" w:ascii="宋体" w:hAnsi="宋体" w:cs="宋体"/>
          <w:sz w:val="24"/>
          <w:highlight w:val="none"/>
        </w:rPr>
        <w:t>.加样针：双针加样，样本针和试剂针独立运行；样本针及试剂针具有防撞和液面感应检测功能；试剂针具有加热功能，能实现自动补偿温度</w:t>
      </w:r>
    </w:p>
    <w:p w14:paraId="3BE8937A">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.急诊检测：具有两种急诊检测方式：具有3个专用急诊位，并且任意已放入标本可设成急诊</w:t>
      </w:r>
    </w:p>
    <w:p w14:paraId="5C4E6AC9">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.样本杯：1000个样本杯自动导入，每次独立导入单个样本杯</w:t>
      </w:r>
    </w:p>
    <w:p w14:paraId="6DA1B70B">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.软件功能：配有中文操作系统，图形显示，操作方便</w:t>
      </w:r>
    </w:p>
    <w:p w14:paraId="0ECADC9A">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4</w:t>
      </w:r>
      <w:r>
        <w:rPr>
          <w:rFonts w:hint="eastAsia" w:ascii="宋体" w:hAnsi="宋体" w:cs="宋体"/>
          <w:sz w:val="24"/>
          <w:highlight w:val="none"/>
        </w:rPr>
        <w:t>.数据传输：支持LIS/HIS双向通讯</w:t>
      </w:r>
    </w:p>
    <w:p w14:paraId="1A344571">
      <w:pPr>
        <w:spacing w:line="360" w:lineRule="auto"/>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5</w:t>
      </w:r>
      <w:r>
        <w:rPr>
          <w:rFonts w:hint="eastAsia" w:ascii="宋体" w:hAnsi="宋体" w:cs="宋体"/>
          <w:sz w:val="24"/>
          <w:highlight w:val="none"/>
        </w:rPr>
        <w:t>.质控体系：具有质控功能，并可无限存储质控结果</w:t>
      </w:r>
    </w:p>
    <w:p w14:paraId="6200E442">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设备12.全自动超纯水机 </w:t>
      </w:r>
    </w:p>
    <w:p w14:paraId="7AA990D1">
      <w:pPr>
        <w:spacing w:line="360" w:lineRule="auto"/>
        <w:jc w:val="left"/>
        <w:rPr>
          <w:rFonts w:ascii="宋体" w:hAnsi="宋体" w:cs="宋体"/>
          <w:sz w:val="24"/>
          <w:highlight w:val="none"/>
        </w:rPr>
      </w:pPr>
      <w:r>
        <w:rPr>
          <w:rFonts w:hint="eastAsia" w:ascii="宋体" w:hAnsi="宋体" w:cs="宋体"/>
          <w:b/>
          <w:bCs/>
          <w:sz w:val="32"/>
          <w:szCs w:val="32"/>
          <w:highlight w:val="none"/>
        </w:rPr>
        <w:t>数量：1台</w:t>
      </w:r>
    </w:p>
    <w:p w14:paraId="68740B4C">
      <w:pPr>
        <w:spacing w:line="360" w:lineRule="auto"/>
        <w:rPr>
          <w:rFonts w:hint="eastAsia" w:ascii="宋体" w:hAnsi="宋体" w:cs="宋体"/>
          <w:sz w:val="24"/>
          <w:highlight w:val="none"/>
        </w:rPr>
      </w:pPr>
      <w:r>
        <w:rPr>
          <w:rFonts w:hint="eastAsia" w:ascii="宋体" w:hAnsi="宋体" w:cs="宋体"/>
          <w:sz w:val="24"/>
          <w:highlight w:val="none"/>
        </w:rPr>
        <w:t>1.工作方式：能够全自动运行控制，自动开停机</w:t>
      </w:r>
    </w:p>
    <w:p w14:paraId="447F2472">
      <w:pPr>
        <w:spacing w:line="360" w:lineRule="auto"/>
        <w:rPr>
          <w:rFonts w:hint="eastAsia" w:ascii="宋体" w:hAnsi="宋体" w:cs="宋体"/>
          <w:sz w:val="24"/>
          <w:highlight w:val="none"/>
        </w:rPr>
      </w:pPr>
      <w:r>
        <w:rPr>
          <w:rFonts w:hint="eastAsia" w:ascii="宋体" w:hAnsi="宋体" w:cs="宋体"/>
          <w:sz w:val="24"/>
          <w:highlight w:val="none"/>
        </w:rPr>
        <w:t>2.保护方式:具备无水保护、压力保护等安全措施</w:t>
      </w:r>
    </w:p>
    <w:p w14:paraId="1DB81578">
      <w:pPr>
        <w:spacing w:line="360" w:lineRule="auto"/>
        <w:rPr>
          <w:rFonts w:hint="eastAsia" w:ascii="宋体" w:hAnsi="宋体" w:cs="宋体"/>
          <w:sz w:val="24"/>
          <w:highlight w:val="none"/>
        </w:rPr>
      </w:pPr>
      <w:r>
        <w:rPr>
          <w:rFonts w:hint="eastAsia" w:ascii="宋体" w:hAnsi="宋体" w:cs="宋体"/>
          <w:sz w:val="24"/>
          <w:highlight w:val="none"/>
        </w:rPr>
        <w:t>3.供水方式:连续供水，保证检验设备用水不间断</w:t>
      </w:r>
    </w:p>
    <w:p w14:paraId="074B99F4">
      <w:pPr>
        <w:spacing w:line="360" w:lineRule="auto"/>
        <w:rPr>
          <w:rFonts w:hint="eastAsia" w:ascii="宋体" w:hAnsi="宋体" w:cs="宋体"/>
          <w:sz w:val="24"/>
          <w:highlight w:val="none"/>
        </w:rPr>
      </w:pPr>
      <w:r>
        <w:rPr>
          <w:rFonts w:hint="eastAsia" w:ascii="宋体" w:hAnsi="宋体" w:cs="宋体"/>
          <w:sz w:val="24"/>
          <w:highlight w:val="none"/>
        </w:rPr>
        <w:t>4.应用范围:主要用于生化、免疫等检验设备用水</w:t>
      </w:r>
    </w:p>
    <w:p w14:paraId="59BE1725">
      <w:pPr>
        <w:spacing w:line="360" w:lineRule="auto"/>
        <w:rPr>
          <w:rFonts w:hint="eastAsia" w:ascii="宋体" w:hAnsi="宋体" w:cs="宋体"/>
          <w:sz w:val="24"/>
          <w:highlight w:val="none"/>
        </w:rPr>
      </w:pPr>
      <w:r>
        <w:rPr>
          <w:rFonts w:hint="eastAsia" w:ascii="宋体" w:hAnsi="宋体" w:cs="宋体"/>
          <w:sz w:val="24"/>
          <w:highlight w:val="none"/>
        </w:rPr>
        <w:t>5.纯水水量:≥80L/H</w:t>
      </w:r>
    </w:p>
    <w:p w14:paraId="1A1F3720">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设备13.</w:t>
      </w:r>
      <w:r>
        <w:rPr>
          <w:rFonts w:hint="eastAsia" w:ascii="宋体" w:hAnsi="宋体" w:cs="宋体"/>
          <w:b/>
          <w:bCs/>
          <w:color w:val="auto"/>
          <w:sz w:val="32"/>
          <w:szCs w:val="32"/>
          <w:highlight w:val="none"/>
          <w:lang w:val="en-US" w:eastAsia="zh-CN"/>
        </w:rPr>
        <w:t>医用诊断X射线机</w:t>
      </w:r>
      <w:r>
        <w:rPr>
          <w:rFonts w:hint="eastAsia" w:ascii="宋体" w:hAnsi="宋体" w:cs="宋体"/>
          <w:b/>
          <w:bCs/>
          <w:color w:val="auto"/>
          <w:sz w:val="32"/>
          <w:szCs w:val="32"/>
          <w:highlight w:val="none"/>
        </w:rPr>
        <w:t xml:space="preserve"> </w:t>
      </w:r>
    </w:p>
    <w:p w14:paraId="38F03582">
      <w:pPr>
        <w:spacing w:line="360" w:lineRule="auto"/>
        <w:jc w:val="left"/>
        <w:rPr>
          <w:rFonts w:hint="eastAsia" w:ascii="宋体" w:hAnsi="宋体" w:cs="宋体"/>
          <w:b/>
          <w:bCs/>
          <w:sz w:val="32"/>
          <w:szCs w:val="32"/>
          <w:highlight w:val="none"/>
        </w:rPr>
      </w:pPr>
      <w:r>
        <w:rPr>
          <w:rFonts w:hint="eastAsia" w:ascii="宋体" w:hAnsi="宋体" w:cs="宋体"/>
          <w:b/>
          <w:bCs/>
          <w:sz w:val="32"/>
          <w:szCs w:val="32"/>
          <w:highlight w:val="none"/>
        </w:rPr>
        <w:t>数量：1台</w:t>
      </w:r>
    </w:p>
    <w:p w14:paraId="1307C752">
      <w:pPr>
        <w:spacing w:line="360" w:lineRule="auto"/>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ab/>
      </w:r>
      <w:r>
        <w:rPr>
          <w:rFonts w:hint="eastAsia" w:ascii="仿宋" w:hAnsi="仿宋" w:eastAsia="仿宋" w:cs="仿宋"/>
          <w:sz w:val="24"/>
          <w:highlight w:val="none"/>
        </w:rPr>
        <w:t>设备用途</w:t>
      </w:r>
      <w:r>
        <w:rPr>
          <w:rFonts w:hint="eastAsia" w:ascii="仿宋" w:hAnsi="仿宋" w:eastAsia="仿宋" w:cs="仿宋"/>
          <w:sz w:val="24"/>
          <w:highlight w:val="none"/>
        </w:rPr>
        <w:tab/>
      </w:r>
      <w:r>
        <w:rPr>
          <w:rFonts w:hint="eastAsia" w:ascii="仿宋" w:hAnsi="仿宋" w:eastAsia="仿宋" w:cs="仿宋"/>
          <w:sz w:val="24"/>
          <w:highlight w:val="none"/>
        </w:rPr>
        <w:t>能够满足医院大批量拍片需求，如头部、胸部、腹部、腰椎、四肢等部位进行卧位、正位、侧位的数字摄影。</w:t>
      </w:r>
    </w:p>
    <w:p w14:paraId="7A65CF9B">
      <w:pPr>
        <w:spacing w:line="360" w:lineRule="auto"/>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ab/>
      </w:r>
      <w:r>
        <w:rPr>
          <w:rFonts w:hint="eastAsia" w:ascii="仿宋" w:hAnsi="仿宋" w:eastAsia="仿宋" w:cs="仿宋"/>
          <w:sz w:val="24"/>
          <w:highlight w:val="none"/>
        </w:rPr>
        <w:t>设备结构</w:t>
      </w:r>
      <w:r>
        <w:rPr>
          <w:rFonts w:hint="eastAsia" w:ascii="仿宋" w:hAnsi="仿宋" w:eastAsia="仿宋" w:cs="仿宋"/>
          <w:sz w:val="24"/>
          <w:highlight w:val="none"/>
        </w:rPr>
        <w:tab/>
      </w:r>
      <w:r>
        <w:rPr>
          <w:rFonts w:hint="eastAsia" w:ascii="仿宋" w:hAnsi="仿宋" w:eastAsia="仿宋" w:cs="仿宋"/>
          <w:sz w:val="24"/>
          <w:highlight w:val="none"/>
        </w:rPr>
        <w:t xml:space="preserve">结合临床实际需求投标产品机械结构须为双立柱结构（不接受U臂单立柱、悬吊式等结构） </w:t>
      </w:r>
    </w:p>
    <w:p w14:paraId="4E2FA355">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rPr>
        <w:tab/>
      </w:r>
      <w:r>
        <w:rPr>
          <w:rFonts w:hint="eastAsia" w:ascii="仿宋" w:hAnsi="仿宋" w:eastAsia="仿宋" w:cs="仿宋"/>
          <w:sz w:val="24"/>
          <w:highlight w:val="none"/>
        </w:rPr>
        <w:t>主要技术要求</w:t>
      </w:r>
      <w:r>
        <w:rPr>
          <w:rFonts w:hint="eastAsia" w:ascii="仿宋" w:hAnsi="仿宋" w:eastAsia="仿宋" w:cs="仿宋"/>
          <w:sz w:val="24"/>
          <w:highlight w:val="none"/>
        </w:rPr>
        <w:tab/>
      </w:r>
    </w:p>
    <w:p w14:paraId="7FD3EA42">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rPr>
        <w:tab/>
      </w:r>
      <w:r>
        <w:rPr>
          <w:rFonts w:hint="eastAsia" w:ascii="仿宋" w:hAnsi="仿宋" w:eastAsia="仿宋" w:cs="仿宋"/>
          <w:sz w:val="24"/>
          <w:highlight w:val="none"/>
        </w:rPr>
        <w:t>设备整机要求</w:t>
      </w:r>
      <w:r>
        <w:rPr>
          <w:rFonts w:hint="eastAsia" w:ascii="仿宋" w:hAnsi="仿宋" w:eastAsia="仿宋" w:cs="仿宋"/>
          <w:sz w:val="24"/>
          <w:highlight w:val="none"/>
        </w:rPr>
        <w:tab/>
      </w:r>
      <w:r>
        <w:rPr>
          <w:rFonts w:hint="eastAsia" w:ascii="仿宋" w:hAnsi="仿宋" w:eastAsia="仿宋" w:cs="仿宋"/>
          <w:sz w:val="24"/>
          <w:highlight w:val="none"/>
        </w:rPr>
        <w:t>为保证设备整机的兼容性，整机核心部件：高压发生器、平板探测器、图像采集工作站等部件品牌与整机厂家品牌一致。</w:t>
      </w:r>
    </w:p>
    <w:p w14:paraId="6EE1CCF3">
      <w:pPr>
        <w:spacing w:line="360" w:lineRule="auto"/>
        <w:rPr>
          <w:rFonts w:hint="eastAsia" w:ascii="仿宋" w:hAnsi="仿宋" w:eastAsia="仿宋" w:cs="仿宋"/>
          <w:sz w:val="24"/>
          <w:highlight w:val="none"/>
        </w:rPr>
      </w:pPr>
      <w:r>
        <w:rPr>
          <w:rFonts w:hint="eastAsia" w:ascii="仿宋" w:hAnsi="仿宋" w:eastAsia="仿宋" w:cs="仿宋"/>
          <w:sz w:val="24"/>
          <w:highlight w:val="none"/>
        </w:rPr>
        <w:t>2.2</w:t>
      </w:r>
      <w:r>
        <w:rPr>
          <w:rFonts w:hint="eastAsia" w:ascii="仿宋" w:hAnsi="仿宋" w:eastAsia="仿宋" w:cs="仿宋"/>
          <w:sz w:val="24"/>
          <w:highlight w:val="none"/>
        </w:rPr>
        <w:tab/>
      </w:r>
      <w:r>
        <w:rPr>
          <w:rFonts w:hint="eastAsia" w:ascii="仿宋" w:hAnsi="仿宋" w:eastAsia="仿宋" w:cs="仿宋"/>
          <w:sz w:val="24"/>
          <w:highlight w:val="none"/>
        </w:rPr>
        <w:t>电源条件</w:t>
      </w:r>
      <w:r>
        <w:rPr>
          <w:rFonts w:hint="eastAsia" w:ascii="仿宋" w:hAnsi="仿宋" w:eastAsia="仿宋" w:cs="仿宋"/>
          <w:sz w:val="24"/>
          <w:highlight w:val="none"/>
        </w:rPr>
        <w:tab/>
      </w:r>
    </w:p>
    <w:p w14:paraId="059D0A00">
      <w:pPr>
        <w:spacing w:line="360" w:lineRule="auto"/>
        <w:rPr>
          <w:rFonts w:hint="eastAsia" w:ascii="仿宋" w:hAnsi="仿宋" w:eastAsia="仿宋" w:cs="仿宋"/>
          <w:sz w:val="24"/>
          <w:highlight w:val="none"/>
        </w:rPr>
      </w:pPr>
      <w:r>
        <w:rPr>
          <w:rFonts w:hint="eastAsia" w:ascii="仿宋" w:hAnsi="仿宋" w:eastAsia="仿宋" w:cs="仿宋"/>
          <w:sz w:val="24"/>
          <w:highlight w:val="none"/>
        </w:rPr>
        <w:t>2.2.1</w:t>
      </w:r>
      <w:r>
        <w:rPr>
          <w:rFonts w:hint="eastAsia" w:ascii="仿宋" w:hAnsi="仿宋" w:eastAsia="仿宋" w:cs="仿宋"/>
          <w:sz w:val="24"/>
          <w:highlight w:val="none"/>
        </w:rPr>
        <w:tab/>
      </w:r>
      <w:r>
        <w:rPr>
          <w:rFonts w:hint="eastAsia" w:ascii="仿宋" w:hAnsi="仿宋" w:eastAsia="仿宋" w:cs="仿宋"/>
          <w:sz w:val="24"/>
          <w:highlight w:val="none"/>
        </w:rPr>
        <w:t xml:space="preserve">电压 </w:t>
      </w:r>
      <w:r>
        <w:rPr>
          <w:rFonts w:hint="eastAsia" w:ascii="仿宋" w:hAnsi="仿宋" w:eastAsia="仿宋" w:cs="仿宋"/>
          <w:sz w:val="24"/>
          <w:highlight w:val="none"/>
        </w:rPr>
        <w:tab/>
      </w:r>
      <w:r>
        <w:rPr>
          <w:rFonts w:hint="eastAsia" w:ascii="仿宋" w:hAnsi="仿宋" w:eastAsia="仿宋" w:cs="仿宋"/>
          <w:sz w:val="24"/>
          <w:highlight w:val="none"/>
        </w:rPr>
        <w:t>380V±38V</w:t>
      </w:r>
    </w:p>
    <w:p w14:paraId="79A3DD28">
      <w:pPr>
        <w:spacing w:line="360" w:lineRule="auto"/>
        <w:rPr>
          <w:rFonts w:hint="eastAsia" w:ascii="仿宋" w:hAnsi="仿宋" w:eastAsia="仿宋" w:cs="仿宋"/>
          <w:sz w:val="24"/>
          <w:highlight w:val="none"/>
        </w:rPr>
      </w:pPr>
      <w:r>
        <w:rPr>
          <w:rFonts w:hint="eastAsia" w:ascii="仿宋" w:hAnsi="仿宋" w:eastAsia="仿宋" w:cs="仿宋"/>
          <w:sz w:val="24"/>
          <w:highlight w:val="none"/>
        </w:rPr>
        <w:t>2.2.2</w:t>
      </w:r>
      <w:r>
        <w:rPr>
          <w:rFonts w:hint="eastAsia" w:ascii="仿宋" w:hAnsi="仿宋" w:eastAsia="仿宋" w:cs="仿宋"/>
          <w:sz w:val="24"/>
          <w:highlight w:val="none"/>
        </w:rPr>
        <w:tab/>
      </w:r>
      <w:r>
        <w:rPr>
          <w:rFonts w:hint="eastAsia" w:ascii="仿宋" w:hAnsi="仿宋" w:eastAsia="仿宋" w:cs="仿宋"/>
          <w:sz w:val="24"/>
          <w:highlight w:val="none"/>
        </w:rPr>
        <w:t>频率</w:t>
      </w:r>
      <w:r>
        <w:rPr>
          <w:rFonts w:hint="eastAsia" w:ascii="仿宋" w:hAnsi="仿宋" w:eastAsia="仿宋" w:cs="仿宋"/>
          <w:sz w:val="24"/>
          <w:highlight w:val="none"/>
        </w:rPr>
        <w:tab/>
      </w:r>
      <w:r>
        <w:rPr>
          <w:rFonts w:hint="eastAsia" w:ascii="仿宋" w:hAnsi="仿宋" w:eastAsia="仿宋" w:cs="仿宋"/>
          <w:sz w:val="24"/>
          <w:highlight w:val="none"/>
        </w:rPr>
        <w:t>50Hz±1Hz</w:t>
      </w:r>
    </w:p>
    <w:p w14:paraId="7B45077E">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w:t>
      </w:r>
      <w:r>
        <w:rPr>
          <w:rFonts w:hint="eastAsia" w:ascii="仿宋" w:hAnsi="仿宋" w:eastAsia="仿宋" w:cs="仿宋"/>
          <w:sz w:val="24"/>
          <w:highlight w:val="none"/>
        </w:rPr>
        <w:tab/>
      </w:r>
      <w:r>
        <w:rPr>
          <w:rFonts w:hint="eastAsia" w:ascii="仿宋" w:hAnsi="仿宋" w:eastAsia="仿宋" w:cs="仿宋"/>
          <w:sz w:val="24"/>
          <w:highlight w:val="none"/>
        </w:rPr>
        <w:t>高频高压发生器</w:t>
      </w:r>
      <w:r>
        <w:rPr>
          <w:rFonts w:hint="eastAsia" w:ascii="仿宋" w:hAnsi="仿宋" w:eastAsia="仿宋" w:cs="仿宋"/>
          <w:sz w:val="24"/>
          <w:highlight w:val="none"/>
        </w:rPr>
        <w:tab/>
      </w:r>
    </w:p>
    <w:p w14:paraId="5C0FEED3">
      <w:pPr>
        <w:spacing w:line="360" w:lineRule="auto"/>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rPr>
        <w:t>2.3.1</w:t>
      </w:r>
      <w:r>
        <w:rPr>
          <w:rFonts w:hint="eastAsia" w:ascii="仿宋" w:hAnsi="仿宋" w:eastAsia="仿宋" w:cs="仿宋"/>
          <w:sz w:val="24"/>
          <w:highlight w:val="none"/>
        </w:rPr>
        <w:tab/>
      </w:r>
      <w:r>
        <w:rPr>
          <w:rFonts w:hint="eastAsia" w:ascii="仿宋" w:hAnsi="仿宋" w:eastAsia="仿宋" w:cs="仿宋"/>
          <w:sz w:val="24"/>
          <w:highlight w:val="none"/>
        </w:rPr>
        <w:t>最大输出功率</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＞65kW </w:t>
      </w:r>
    </w:p>
    <w:p w14:paraId="544C2AF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2.3.2</w:t>
      </w:r>
      <w:r>
        <w:rPr>
          <w:rFonts w:hint="eastAsia" w:ascii="仿宋" w:hAnsi="仿宋" w:eastAsia="仿宋" w:cs="仿宋"/>
          <w:sz w:val="24"/>
          <w:highlight w:val="none"/>
        </w:rPr>
        <w:tab/>
      </w:r>
      <w:r>
        <w:rPr>
          <w:rFonts w:hint="eastAsia" w:ascii="仿宋" w:hAnsi="仿宋" w:eastAsia="仿宋" w:cs="仿宋"/>
          <w:sz w:val="24"/>
          <w:highlight w:val="none"/>
        </w:rPr>
        <w:t>主逆变频率</w:t>
      </w:r>
      <w:r>
        <w:rPr>
          <w:rFonts w:hint="eastAsia" w:ascii="仿宋" w:hAnsi="仿宋" w:eastAsia="仿宋" w:cs="仿宋"/>
          <w:sz w:val="24"/>
          <w:highlight w:val="none"/>
        </w:rPr>
        <w:tab/>
      </w:r>
      <w:r>
        <w:rPr>
          <w:rFonts w:hint="eastAsia" w:ascii="仿宋" w:hAnsi="仿宋" w:eastAsia="仿宋" w:cs="仿宋"/>
          <w:sz w:val="24"/>
          <w:highlight w:val="none"/>
        </w:rPr>
        <w:t>≥500kHz</w:t>
      </w:r>
    </w:p>
    <w:p w14:paraId="1B42F008">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2.3.3</w:t>
      </w:r>
      <w:r>
        <w:rPr>
          <w:rFonts w:hint="eastAsia" w:ascii="仿宋" w:hAnsi="仿宋" w:eastAsia="仿宋" w:cs="仿宋"/>
          <w:sz w:val="24"/>
          <w:highlight w:val="none"/>
        </w:rPr>
        <w:tab/>
      </w:r>
      <w:r>
        <w:rPr>
          <w:rFonts w:hint="eastAsia" w:ascii="仿宋" w:hAnsi="仿宋" w:eastAsia="仿宋" w:cs="仿宋"/>
          <w:sz w:val="24"/>
          <w:highlight w:val="none"/>
        </w:rPr>
        <w:t>管电压</w:t>
      </w:r>
      <w:r>
        <w:rPr>
          <w:rFonts w:hint="eastAsia" w:ascii="仿宋" w:hAnsi="仿宋" w:eastAsia="仿宋" w:cs="仿宋"/>
          <w:sz w:val="24"/>
          <w:highlight w:val="none"/>
        </w:rPr>
        <w:tab/>
      </w:r>
      <w:r>
        <w:rPr>
          <w:rFonts w:hint="eastAsia" w:ascii="仿宋" w:hAnsi="仿宋" w:eastAsia="仿宋" w:cs="仿宋"/>
          <w:sz w:val="24"/>
          <w:highlight w:val="none"/>
        </w:rPr>
        <w:t>40kV～150kV 分档调节</w:t>
      </w:r>
    </w:p>
    <w:p w14:paraId="4880AE5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2.3.4</w:t>
      </w:r>
      <w:r>
        <w:rPr>
          <w:rFonts w:hint="eastAsia" w:ascii="仿宋" w:hAnsi="仿宋" w:eastAsia="仿宋" w:cs="仿宋"/>
          <w:sz w:val="24"/>
          <w:highlight w:val="none"/>
        </w:rPr>
        <w:tab/>
      </w:r>
      <w:r>
        <w:rPr>
          <w:rFonts w:hint="eastAsia" w:ascii="仿宋" w:hAnsi="仿宋" w:eastAsia="仿宋" w:cs="仿宋"/>
          <w:sz w:val="24"/>
          <w:highlight w:val="none"/>
        </w:rPr>
        <w:t>摄影最小管电流</w:t>
      </w:r>
      <w:r>
        <w:rPr>
          <w:rFonts w:hint="eastAsia" w:ascii="仿宋" w:hAnsi="仿宋" w:eastAsia="仿宋" w:cs="仿宋"/>
          <w:sz w:val="24"/>
          <w:highlight w:val="none"/>
        </w:rPr>
        <w:tab/>
      </w:r>
      <w:r>
        <w:rPr>
          <w:rFonts w:hint="eastAsia" w:ascii="仿宋" w:hAnsi="仿宋" w:eastAsia="仿宋" w:cs="仿宋"/>
          <w:sz w:val="24"/>
          <w:highlight w:val="none"/>
        </w:rPr>
        <w:t>≤10mA</w:t>
      </w:r>
    </w:p>
    <w:p w14:paraId="31C9AD97">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2.3.5</w:t>
      </w:r>
      <w:r>
        <w:rPr>
          <w:rFonts w:hint="eastAsia" w:ascii="仿宋" w:hAnsi="仿宋" w:eastAsia="仿宋" w:cs="仿宋"/>
          <w:sz w:val="24"/>
          <w:highlight w:val="none"/>
        </w:rPr>
        <w:tab/>
      </w:r>
      <w:r>
        <w:rPr>
          <w:rFonts w:hint="eastAsia" w:ascii="仿宋" w:hAnsi="仿宋" w:eastAsia="仿宋" w:cs="仿宋"/>
          <w:sz w:val="24"/>
          <w:highlight w:val="none"/>
        </w:rPr>
        <w:t>最大管电流</w:t>
      </w:r>
      <w:r>
        <w:rPr>
          <w:rFonts w:hint="eastAsia" w:ascii="仿宋" w:hAnsi="仿宋" w:eastAsia="仿宋" w:cs="仿宋"/>
          <w:sz w:val="24"/>
          <w:highlight w:val="none"/>
        </w:rPr>
        <w:tab/>
      </w:r>
      <w:r>
        <w:rPr>
          <w:rFonts w:hint="eastAsia" w:ascii="仿宋" w:hAnsi="仿宋" w:eastAsia="仿宋" w:cs="仿宋"/>
          <w:sz w:val="24"/>
          <w:highlight w:val="none"/>
        </w:rPr>
        <w:t xml:space="preserve">≥800mA分档调节 </w:t>
      </w:r>
    </w:p>
    <w:p w14:paraId="0B4F35E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2.3.6</w:t>
      </w:r>
      <w:r>
        <w:rPr>
          <w:rFonts w:hint="eastAsia" w:ascii="仿宋" w:hAnsi="仿宋" w:eastAsia="仿宋" w:cs="仿宋"/>
          <w:sz w:val="24"/>
          <w:highlight w:val="none"/>
        </w:rPr>
        <w:tab/>
      </w:r>
      <w:r>
        <w:rPr>
          <w:rFonts w:hint="eastAsia" w:ascii="仿宋" w:hAnsi="仿宋" w:eastAsia="仿宋" w:cs="仿宋"/>
          <w:sz w:val="24"/>
          <w:highlight w:val="none"/>
        </w:rPr>
        <w:t>曝光时间</w:t>
      </w:r>
      <w:r>
        <w:rPr>
          <w:rFonts w:hint="eastAsia" w:ascii="仿宋" w:hAnsi="仿宋" w:eastAsia="仿宋" w:cs="仿宋"/>
          <w:sz w:val="24"/>
          <w:highlight w:val="none"/>
        </w:rPr>
        <w:tab/>
      </w:r>
      <w:r>
        <w:rPr>
          <w:rFonts w:hint="eastAsia" w:ascii="仿宋" w:hAnsi="仿宋" w:eastAsia="仿宋" w:cs="仿宋"/>
          <w:sz w:val="24"/>
          <w:highlight w:val="none"/>
        </w:rPr>
        <w:t>1.0ms～1000ms 分档调节</w:t>
      </w:r>
    </w:p>
    <w:p w14:paraId="50C3507C">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2.3.7</w:t>
      </w:r>
      <w:r>
        <w:rPr>
          <w:rFonts w:hint="eastAsia" w:ascii="仿宋" w:hAnsi="仿宋" w:eastAsia="仿宋" w:cs="仿宋"/>
          <w:sz w:val="24"/>
          <w:highlight w:val="none"/>
        </w:rPr>
        <w:tab/>
      </w:r>
      <w:r>
        <w:rPr>
          <w:rFonts w:hint="eastAsia" w:ascii="仿宋" w:hAnsi="仿宋" w:eastAsia="仿宋" w:cs="仿宋"/>
          <w:sz w:val="24"/>
          <w:highlight w:val="none"/>
        </w:rPr>
        <w:t>防过载</w:t>
      </w:r>
      <w:r>
        <w:rPr>
          <w:rFonts w:hint="eastAsia" w:ascii="仿宋" w:hAnsi="仿宋" w:eastAsia="仿宋" w:cs="仿宋"/>
          <w:sz w:val="24"/>
          <w:highlight w:val="none"/>
        </w:rPr>
        <w:tab/>
      </w:r>
      <w:r>
        <w:rPr>
          <w:rFonts w:hint="eastAsia" w:ascii="仿宋" w:hAnsi="仿宋" w:eastAsia="仿宋" w:cs="仿宋"/>
          <w:sz w:val="24"/>
          <w:highlight w:val="none"/>
        </w:rPr>
        <w:t>数字化X射线摄影系统应有防过载措施，保证加载因素的选择不会超过X射线管的额定容量。(提供检测报告证明)</w:t>
      </w:r>
    </w:p>
    <w:p w14:paraId="072B45EC">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2.3.8</w:t>
      </w:r>
      <w:r>
        <w:rPr>
          <w:rFonts w:hint="eastAsia" w:ascii="仿宋" w:hAnsi="仿宋" w:eastAsia="仿宋" w:cs="仿宋"/>
          <w:sz w:val="24"/>
          <w:highlight w:val="none"/>
        </w:rPr>
        <w:tab/>
      </w:r>
      <w:r>
        <w:rPr>
          <w:rFonts w:hint="eastAsia" w:ascii="仿宋" w:hAnsi="仿宋" w:eastAsia="仿宋" w:cs="仿宋"/>
          <w:sz w:val="24"/>
          <w:highlight w:val="none"/>
        </w:rPr>
        <w:t>外壳漏电保护</w:t>
      </w:r>
      <w:r>
        <w:rPr>
          <w:rFonts w:hint="eastAsia" w:ascii="仿宋" w:hAnsi="仿宋" w:eastAsia="仿宋" w:cs="仿宋"/>
          <w:sz w:val="24"/>
          <w:highlight w:val="none"/>
        </w:rPr>
        <w:tab/>
      </w:r>
      <w:r>
        <w:rPr>
          <w:rFonts w:hint="eastAsia" w:ascii="仿宋" w:hAnsi="仿宋" w:eastAsia="仿宋" w:cs="仿宋"/>
          <w:sz w:val="24"/>
          <w:highlight w:val="none"/>
        </w:rPr>
        <w:t>在正常状态下，在患者环境中来自系统部分或系统部件间的外壳漏电流不应超过0.1mA(提供检测报告证明)</w:t>
      </w:r>
    </w:p>
    <w:p w14:paraId="1E55D1DA">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2.3.9</w:t>
      </w:r>
      <w:r>
        <w:rPr>
          <w:rFonts w:hint="eastAsia" w:ascii="仿宋" w:hAnsi="仿宋" w:eastAsia="仿宋" w:cs="仿宋"/>
          <w:sz w:val="24"/>
          <w:highlight w:val="none"/>
        </w:rPr>
        <w:tab/>
      </w:r>
      <w:r>
        <w:rPr>
          <w:rFonts w:hint="eastAsia" w:ascii="仿宋" w:hAnsi="仿宋" w:eastAsia="仿宋" w:cs="仿宋"/>
          <w:sz w:val="24"/>
          <w:highlight w:val="none"/>
          <w:lang w:val="en-US" w:eastAsia="zh-CN"/>
        </w:rPr>
        <w:t>可</w:t>
      </w:r>
      <w:r>
        <w:rPr>
          <w:rFonts w:hint="eastAsia" w:ascii="仿宋" w:hAnsi="仿宋" w:eastAsia="仿宋" w:cs="仿宋"/>
          <w:sz w:val="24"/>
          <w:highlight w:val="none"/>
        </w:rPr>
        <w:t>移动式高压</w:t>
      </w:r>
      <w:r>
        <w:rPr>
          <w:rFonts w:hint="eastAsia" w:ascii="仿宋" w:hAnsi="仿宋" w:eastAsia="仿宋" w:cs="仿宋"/>
          <w:sz w:val="24"/>
          <w:highlight w:val="none"/>
        </w:rPr>
        <w:tab/>
      </w:r>
      <w:r>
        <w:rPr>
          <w:rFonts w:hint="eastAsia" w:ascii="仿宋" w:hAnsi="仿宋" w:eastAsia="仿宋" w:cs="仿宋"/>
          <w:sz w:val="24"/>
          <w:highlight w:val="none"/>
        </w:rPr>
        <w:t>为保证高压稳定和方便，需使用移动式高压，非内置</w:t>
      </w:r>
    </w:p>
    <w:p w14:paraId="41673F9B">
      <w:pPr>
        <w:spacing w:line="360" w:lineRule="auto"/>
        <w:rPr>
          <w:rFonts w:hint="eastAsia" w:ascii="仿宋" w:hAnsi="仿宋" w:eastAsia="仿宋" w:cs="仿宋"/>
          <w:sz w:val="24"/>
          <w:highlight w:val="none"/>
        </w:rPr>
      </w:pPr>
      <w:r>
        <w:rPr>
          <w:rFonts w:hint="eastAsia" w:ascii="仿宋" w:hAnsi="仿宋" w:eastAsia="仿宋" w:cs="仿宋"/>
          <w:sz w:val="24"/>
          <w:highlight w:val="none"/>
        </w:rPr>
        <w:t>2.4</w:t>
      </w:r>
      <w:r>
        <w:rPr>
          <w:rFonts w:hint="eastAsia" w:ascii="仿宋" w:hAnsi="仿宋" w:eastAsia="仿宋" w:cs="仿宋"/>
          <w:sz w:val="24"/>
          <w:highlight w:val="none"/>
        </w:rPr>
        <w:tab/>
      </w:r>
      <w:r>
        <w:rPr>
          <w:rFonts w:hint="eastAsia" w:ascii="仿宋" w:hAnsi="仿宋" w:eastAsia="仿宋" w:cs="仿宋"/>
          <w:sz w:val="24"/>
          <w:highlight w:val="none"/>
        </w:rPr>
        <w:t>X线球管</w:t>
      </w:r>
      <w:r>
        <w:rPr>
          <w:rFonts w:hint="eastAsia" w:ascii="仿宋" w:hAnsi="仿宋" w:eastAsia="仿宋" w:cs="仿宋"/>
          <w:sz w:val="24"/>
          <w:highlight w:val="none"/>
        </w:rPr>
        <w:tab/>
      </w:r>
    </w:p>
    <w:p w14:paraId="7452B282">
      <w:pPr>
        <w:spacing w:line="360" w:lineRule="auto"/>
        <w:rPr>
          <w:rFonts w:hint="eastAsia" w:ascii="仿宋" w:hAnsi="仿宋" w:eastAsia="仿宋" w:cs="仿宋"/>
          <w:sz w:val="24"/>
          <w:highlight w:val="none"/>
        </w:rPr>
      </w:pPr>
      <w:r>
        <w:rPr>
          <w:rFonts w:hint="eastAsia" w:ascii="仿宋" w:hAnsi="仿宋" w:eastAsia="仿宋" w:cs="仿宋"/>
          <w:sz w:val="24"/>
          <w:highlight w:val="none"/>
        </w:rPr>
        <w:t>2.4.1</w:t>
      </w:r>
      <w:r>
        <w:rPr>
          <w:rFonts w:hint="eastAsia" w:ascii="仿宋" w:hAnsi="仿宋" w:eastAsia="仿宋" w:cs="仿宋"/>
          <w:sz w:val="24"/>
          <w:highlight w:val="none"/>
        </w:rPr>
        <w:tab/>
      </w:r>
      <w:r>
        <w:rPr>
          <w:rFonts w:hint="eastAsia" w:ascii="仿宋" w:hAnsi="仿宋" w:eastAsia="仿宋" w:cs="仿宋"/>
          <w:sz w:val="24"/>
          <w:highlight w:val="none"/>
        </w:rPr>
        <w:t>球管焦点</w:t>
      </w:r>
      <w:r>
        <w:rPr>
          <w:rFonts w:hint="eastAsia" w:ascii="仿宋" w:hAnsi="仿宋" w:eastAsia="仿宋" w:cs="仿宋"/>
          <w:sz w:val="24"/>
          <w:highlight w:val="none"/>
        </w:rPr>
        <w:tab/>
      </w:r>
      <w:r>
        <w:rPr>
          <w:rFonts w:hint="eastAsia" w:ascii="仿宋" w:hAnsi="仿宋" w:eastAsia="仿宋" w:cs="仿宋"/>
          <w:sz w:val="24"/>
          <w:highlight w:val="none"/>
        </w:rPr>
        <w:t>大焦≤1.2mm小焦≤0.6mm</w:t>
      </w:r>
    </w:p>
    <w:p w14:paraId="29B826CE">
      <w:pPr>
        <w:spacing w:line="360" w:lineRule="auto"/>
        <w:rPr>
          <w:rFonts w:hint="eastAsia" w:ascii="仿宋" w:hAnsi="仿宋" w:eastAsia="仿宋" w:cs="仿宋"/>
          <w:sz w:val="24"/>
          <w:highlight w:val="none"/>
        </w:rPr>
      </w:pPr>
      <w:r>
        <w:rPr>
          <w:rFonts w:hint="eastAsia" w:ascii="仿宋" w:hAnsi="仿宋" w:eastAsia="仿宋" w:cs="仿宋"/>
          <w:sz w:val="24"/>
          <w:highlight w:val="none"/>
        </w:rPr>
        <w:t>2.4.2</w:t>
      </w:r>
      <w:r>
        <w:rPr>
          <w:rFonts w:hint="eastAsia" w:ascii="仿宋" w:hAnsi="仿宋" w:eastAsia="仿宋" w:cs="仿宋"/>
          <w:sz w:val="24"/>
          <w:highlight w:val="none"/>
        </w:rPr>
        <w:tab/>
      </w:r>
      <w:r>
        <w:rPr>
          <w:rFonts w:hint="eastAsia" w:ascii="仿宋" w:hAnsi="仿宋" w:eastAsia="仿宋" w:cs="仿宋"/>
          <w:sz w:val="24"/>
          <w:highlight w:val="none"/>
        </w:rPr>
        <w:t>输出功率</w:t>
      </w:r>
      <w:r>
        <w:rPr>
          <w:rFonts w:hint="eastAsia" w:ascii="仿宋" w:hAnsi="仿宋" w:eastAsia="仿宋" w:cs="仿宋"/>
          <w:sz w:val="24"/>
          <w:highlight w:val="none"/>
        </w:rPr>
        <w:tab/>
      </w:r>
      <w:r>
        <w:rPr>
          <w:rFonts w:hint="eastAsia" w:ascii="仿宋" w:hAnsi="仿宋" w:eastAsia="仿宋" w:cs="仿宋"/>
          <w:sz w:val="24"/>
          <w:highlight w:val="none"/>
        </w:rPr>
        <w:t>大焦点≥75kW   小焦点 ≥27kW</w:t>
      </w:r>
    </w:p>
    <w:p w14:paraId="049C01D2">
      <w:pPr>
        <w:spacing w:line="360" w:lineRule="auto"/>
        <w:rPr>
          <w:rFonts w:hint="eastAsia" w:ascii="仿宋" w:hAnsi="仿宋" w:eastAsia="仿宋" w:cs="仿宋"/>
          <w:sz w:val="24"/>
          <w:highlight w:val="none"/>
        </w:rPr>
      </w:pPr>
      <w:r>
        <w:rPr>
          <w:rFonts w:hint="eastAsia" w:ascii="仿宋" w:hAnsi="仿宋" w:eastAsia="仿宋" w:cs="仿宋"/>
          <w:sz w:val="24"/>
          <w:highlight w:val="none"/>
        </w:rPr>
        <w:t>2.4.3</w:t>
      </w:r>
      <w:r>
        <w:rPr>
          <w:rFonts w:hint="eastAsia" w:ascii="仿宋" w:hAnsi="仿宋" w:eastAsia="仿宋" w:cs="仿宋"/>
          <w:sz w:val="24"/>
          <w:highlight w:val="none"/>
        </w:rPr>
        <w:tab/>
      </w:r>
      <w:r>
        <w:rPr>
          <w:rFonts w:hint="eastAsia" w:ascii="仿宋" w:hAnsi="仿宋" w:eastAsia="仿宋" w:cs="仿宋"/>
          <w:sz w:val="24"/>
          <w:highlight w:val="none"/>
        </w:rPr>
        <w:t>阳极热容量</w:t>
      </w:r>
      <w:r>
        <w:rPr>
          <w:rFonts w:hint="eastAsia" w:ascii="仿宋" w:hAnsi="仿宋" w:eastAsia="仿宋" w:cs="仿宋"/>
          <w:sz w:val="24"/>
          <w:highlight w:val="none"/>
        </w:rPr>
        <w:tab/>
      </w:r>
      <w:r>
        <w:rPr>
          <w:rFonts w:hint="eastAsia" w:ascii="仿宋" w:hAnsi="仿宋" w:eastAsia="仿宋" w:cs="仿宋"/>
          <w:sz w:val="24"/>
          <w:highlight w:val="none"/>
        </w:rPr>
        <w:t>≥300kHU</w:t>
      </w:r>
    </w:p>
    <w:p w14:paraId="4437055F">
      <w:pPr>
        <w:spacing w:line="360" w:lineRule="auto"/>
        <w:rPr>
          <w:rFonts w:hint="eastAsia" w:ascii="仿宋" w:hAnsi="仿宋" w:eastAsia="仿宋" w:cs="仿宋"/>
          <w:sz w:val="24"/>
          <w:highlight w:val="none"/>
        </w:rPr>
      </w:pPr>
      <w:r>
        <w:rPr>
          <w:rFonts w:hint="eastAsia" w:ascii="仿宋" w:hAnsi="仿宋" w:eastAsia="仿宋" w:cs="仿宋"/>
          <w:sz w:val="24"/>
          <w:highlight w:val="none"/>
        </w:rPr>
        <w:t>2.4.4</w:t>
      </w:r>
      <w:r>
        <w:rPr>
          <w:rFonts w:hint="eastAsia" w:ascii="仿宋" w:hAnsi="仿宋" w:eastAsia="仿宋" w:cs="仿宋"/>
          <w:sz w:val="24"/>
          <w:highlight w:val="none"/>
        </w:rPr>
        <w:tab/>
      </w:r>
      <w:r>
        <w:rPr>
          <w:rFonts w:hint="eastAsia" w:ascii="仿宋" w:hAnsi="仿宋" w:eastAsia="仿宋" w:cs="仿宋"/>
          <w:sz w:val="24"/>
          <w:highlight w:val="none"/>
        </w:rPr>
        <w:t>球管旋转阳极速度</w:t>
      </w:r>
      <w:r>
        <w:rPr>
          <w:rFonts w:hint="eastAsia" w:ascii="仿宋" w:hAnsi="仿宋" w:eastAsia="仿宋" w:cs="仿宋"/>
          <w:sz w:val="24"/>
          <w:highlight w:val="none"/>
        </w:rPr>
        <w:tab/>
      </w:r>
      <w:r>
        <w:rPr>
          <w:rFonts w:hint="eastAsia" w:ascii="仿宋" w:hAnsi="仿宋" w:eastAsia="仿宋" w:cs="仿宋"/>
          <w:sz w:val="24"/>
          <w:highlight w:val="none"/>
        </w:rPr>
        <w:t>≥9600r/min</w:t>
      </w:r>
    </w:p>
    <w:p w14:paraId="2F4DEEB7">
      <w:pPr>
        <w:spacing w:line="360" w:lineRule="auto"/>
        <w:rPr>
          <w:rFonts w:hint="eastAsia" w:ascii="仿宋" w:hAnsi="仿宋" w:eastAsia="仿宋" w:cs="仿宋"/>
          <w:sz w:val="24"/>
          <w:highlight w:val="none"/>
        </w:rPr>
      </w:pPr>
      <w:r>
        <w:rPr>
          <w:rFonts w:hint="eastAsia" w:ascii="仿宋" w:hAnsi="仿宋" w:eastAsia="仿宋" w:cs="仿宋"/>
          <w:sz w:val="24"/>
          <w:highlight w:val="none"/>
        </w:rPr>
        <w:t>2.4.5</w:t>
      </w:r>
      <w:r>
        <w:rPr>
          <w:rFonts w:hint="eastAsia" w:ascii="仿宋" w:hAnsi="仿宋" w:eastAsia="仿宋" w:cs="仿宋"/>
          <w:sz w:val="24"/>
          <w:highlight w:val="none"/>
        </w:rPr>
        <w:tab/>
      </w:r>
      <w:r>
        <w:rPr>
          <w:rFonts w:hint="eastAsia" w:ascii="仿宋" w:hAnsi="仿宋" w:eastAsia="仿宋" w:cs="仿宋"/>
          <w:sz w:val="24"/>
          <w:highlight w:val="none"/>
        </w:rPr>
        <w:t>自动曝光</w:t>
      </w:r>
      <w:r>
        <w:rPr>
          <w:rFonts w:hint="eastAsia" w:ascii="仿宋" w:hAnsi="仿宋" w:eastAsia="仿宋" w:cs="仿宋"/>
          <w:sz w:val="24"/>
          <w:highlight w:val="none"/>
        </w:rPr>
        <w:tab/>
      </w:r>
      <w:r>
        <w:rPr>
          <w:rFonts w:hint="eastAsia" w:ascii="仿宋" w:hAnsi="仿宋" w:eastAsia="仿宋" w:cs="仿宋"/>
          <w:sz w:val="24"/>
          <w:highlight w:val="none"/>
        </w:rPr>
        <w:t>具备AEC自动曝光功能，且在AEC方式下辐射输出的重复性应满足空气比释动能测量值的变异系数应不大于0.05(提供检测报告证明)</w:t>
      </w:r>
    </w:p>
    <w:p w14:paraId="3035EA26">
      <w:pPr>
        <w:spacing w:line="360" w:lineRule="auto"/>
        <w:rPr>
          <w:rFonts w:hint="eastAsia" w:ascii="仿宋" w:hAnsi="仿宋" w:eastAsia="仿宋" w:cs="仿宋"/>
          <w:sz w:val="24"/>
          <w:highlight w:val="none"/>
        </w:rPr>
      </w:pPr>
      <w:r>
        <w:rPr>
          <w:rFonts w:hint="eastAsia" w:ascii="仿宋" w:hAnsi="仿宋" w:eastAsia="仿宋" w:cs="仿宋"/>
          <w:sz w:val="24"/>
          <w:highlight w:val="none"/>
        </w:rPr>
        <w:t>2.4.6</w:t>
      </w:r>
      <w:r>
        <w:rPr>
          <w:rFonts w:hint="eastAsia" w:ascii="仿宋" w:hAnsi="仿宋" w:eastAsia="仿宋" w:cs="仿宋"/>
          <w:sz w:val="24"/>
          <w:highlight w:val="none"/>
        </w:rPr>
        <w:tab/>
      </w:r>
      <w:r>
        <w:rPr>
          <w:rFonts w:hint="eastAsia" w:ascii="仿宋" w:hAnsi="仿宋" w:eastAsia="仿宋" w:cs="仿宋"/>
          <w:sz w:val="24"/>
          <w:highlight w:val="none"/>
        </w:rPr>
        <w:t>具备AEC功能</w:t>
      </w:r>
    </w:p>
    <w:p w14:paraId="32BE7BAB">
      <w:pPr>
        <w:spacing w:line="360" w:lineRule="auto"/>
        <w:rPr>
          <w:rFonts w:hint="eastAsia" w:ascii="仿宋" w:hAnsi="仿宋" w:eastAsia="仿宋" w:cs="仿宋"/>
          <w:sz w:val="24"/>
          <w:highlight w:val="none"/>
        </w:rPr>
      </w:pPr>
      <w:r>
        <w:rPr>
          <w:rFonts w:hint="eastAsia" w:ascii="仿宋" w:hAnsi="仿宋" w:eastAsia="仿宋" w:cs="仿宋"/>
          <w:sz w:val="24"/>
          <w:highlight w:val="none"/>
        </w:rPr>
        <w:t>2.4.7</w:t>
      </w:r>
      <w:r>
        <w:rPr>
          <w:rFonts w:hint="eastAsia" w:ascii="仿宋" w:hAnsi="仿宋" w:eastAsia="仿宋" w:cs="仿宋"/>
          <w:sz w:val="24"/>
          <w:highlight w:val="none"/>
        </w:rPr>
        <w:tab/>
      </w:r>
      <w:r>
        <w:rPr>
          <w:rFonts w:hint="eastAsia" w:ascii="仿宋" w:hAnsi="仿宋" w:eastAsia="仿宋" w:cs="仿宋"/>
          <w:sz w:val="24"/>
          <w:highlight w:val="none"/>
        </w:rPr>
        <w:t>DAP功能</w:t>
      </w:r>
      <w:r>
        <w:rPr>
          <w:rFonts w:hint="eastAsia" w:ascii="仿宋" w:hAnsi="仿宋" w:eastAsia="仿宋" w:cs="仿宋"/>
          <w:sz w:val="24"/>
          <w:highlight w:val="none"/>
        </w:rPr>
        <w:tab/>
      </w:r>
      <w:r>
        <w:rPr>
          <w:rFonts w:hint="eastAsia" w:ascii="仿宋" w:hAnsi="仿宋" w:eastAsia="仿宋" w:cs="仿宋"/>
          <w:sz w:val="24"/>
          <w:highlight w:val="none"/>
        </w:rPr>
        <w:t>具备</w:t>
      </w:r>
    </w:p>
    <w:p w14:paraId="1055C918">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r>
        <w:rPr>
          <w:rFonts w:hint="eastAsia" w:ascii="仿宋" w:hAnsi="仿宋" w:eastAsia="仿宋" w:cs="仿宋"/>
          <w:sz w:val="24"/>
          <w:highlight w:val="none"/>
        </w:rPr>
        <w:tab/>
      </w:r>
      <w:r>
        <w:rPr>
          <w:rFonts w:hint="eastAsia" w:ascii="仿宋" w:hAnsi="仿宋" w:eastAsia="仿宋" w:cs="仿宋"/>
          <w:sz w:val="24"/>
          <w:highlight w:val="none"/>
        </w:rPr>
        <w:t>平板探测器</w:t>
      </w:r>
      <w:r>
        <w:rPr>
          <w:rFonts w:hint="eastAsia" w:ascii="仿宋" w:hAnsi="仿宋" w:eastAsia="仿宋" w:cs="仿宋"/>
          <w:sz w:val="24"/>
          <w:highlight w:val="none"/>
        </w:rPr>
        <w:tab/>
      </w:r>
    </w:p>
    <w:p w14:paraId="00144FAA">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2.5.1</w:t>
      </w:r>
      <w:r>
        <w:rPr>
          <w:rFonts w:hint="eastAsia" w:ascii="仿宋" w:hAnsi="仿宋" w:eastAsia="仿宋" w:cs="仿宋"/>
          <w:sz w:val="24"/>
          <w:highlight w:val="none"/>
        </w:rPr>
        <w:tab/>
      </w:r>
      <w:r>
        <w:rPr>
          <w:rFonts w:hint="eastAsia" w:ascii="仿宋" w:hAnsi="仿宋" w:eastAsia="仿宋" w:cs="仿宋"/>
          <w:sz w:val="24"/>
          <w:highlight w:val="none"/>
        </w:rPr>
        <w:t>成像材料</w:t>
      </w:r>
      <w:r>
        <w:rPr>
          <w:rFonts w:hint="eastAsia" w:ascii="仿宋" w:hAnsi="仿宋" w:eastAsia="仿宋" w:cs="仿宋"/>
          <w:sz w:val="24"/>
          <w:highlight w:val="none"/>
        </w:rPr>
        <w:tab/>
      </w:r>
      <w:r>
        <w:rPr>
          <w:rFonts w:hint="eastAsia" w:ascii="仿宋" w:hAnsi="仿宋" w:eastAsia="仿宋" w:cs="仿宋"/>
          <w:sz w:val="24"/>
          <w:highlight w:val="none"/>
        </w:rPr>
        <w:t>非晶硅</w:t>
      </w:r>
    </w:p>
    <w:p w14:paraId="651AD7D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2.5.2</w:t>
      </w:r>
      <w:r>
        <w:rPr>
          <w:rFonts w:hint="eastAsia" w:ascii="仿宋" w:hAnsi="仿宋" w:eastAsia="仿宋" w:cs="仿宋"/>
          <w:sz w:val="24"/>
          <w:highlight w:val="none"/>
        </w:rPr>
        <w:tab/>
      </w:r>
      <w:r>
        <w:rPr>
          <w:rFonts w:hint="eastAsia" w:ascii="仿宋" w:hAnsi="仿宋" w:eastAsia="仿宋" w:cs="仿宋"/>
          <w:sz w:val="24"/>
          <w:highlight w:val="none"/>
        </w:rPr>
        <w:t>像素尺寸</w:t>
      </w:r>
      <w:r>
        <w:rPr>
          <w:rFonts w:hint="eastAsia" w:ascii="仿宋" w:hAnsi="仿宋" w:eastAsia="仿宋" w:cs="仿宋"/>
          <w:sz w:val="24"/>
          <w:highlight w:val="none"/>
        </w:rPr>
        <w:tab/>
      </w:r>
      <w:r>
        <w:rPr>
          <w:rFonts w:hint="eastAsia" w:ascii="仿宋" w:hAnsi="仿宋" w:eastAsia="仿宋" w:cs="仿宋"/>
          <w:sz w:val="24"/>
          <w:highlight w:val="none"/>
        </w:rPr>
        <w:t>≤139μm</w:t>
      </w:r>
    </w:p>
    <w:p w14:paraId="1C5348BC">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2.5.3</w:t>
      </w:r>
      <w:r>
        <w:rPr>
          <w:rFonts w:hint="eastAsia" w:ascii="仿宋" w:hAnsi="仿宋" w:eastAsia="仿宋" w:cs="仿宋"/>
          <w:sz w:val="24"/>
          <w:highlight w:val="none"/>
        </w:rPr>
        <w:tab/>
      </w:r>
      <w:r>
        <w:rPr>
          <w:rFonts w:hint="eastAsia" w:ascii="仿宋" w:hAnsi="仿宋" w:eastAsia="仿宋" w:cs="仿宋"/>
          <w:sz w:val="24"/>
          <w:highlight w:val="none"/>
        </w:rPr>
        <w:t xml:space="preserve">有效区域 </w:t>
      </w:r>
      <w:r>
        <w:rPr>
          <w:rFonts w:hint="eastAsia" w:ascii="仿宋" w:hAnsi="仿宋" w:eastAsia="仿宋" w:cs="仿宋"/>
          <w:sz w:val="24"/>
          <w:highlight w:val="none"/>
        </w:rPr>
        <w:tab/>
      </w:r>
      <w:r>
        <w:rPr>
          <w:rFonts w:hint="eastAsia" w:ascii="仿宋" w:hAnsi="仿宋" w:eastAsia="仿宋" w:cs="仿宋"/>
          <w:sz w:val="24"/>
          <w:highlight w:val="none"/>
        </w:rPr>
        <w:t>17英寸*17英寸</w:t>
      </w:r>
    </w:p>
    <w:p w14:paraId="5A1258CC">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2.5.4</w:t>
      </w:r>
      <w:r>
        <w:rPr>
          <w:rFonts w:hint="eastAsia" w:ascii="仿宋" w:hAnsi="仿宋" w:eastAsia="仿宋" w:cs="仿宋"/>
          <w:sz w:val="24"/>
          <w:highlight w:val="none"/>
        </w:rPr>
        <w:tab/>
      </w:r>
      <w:r>
        <w:rPr>
          <w:rFonts w:hint="eastAsia" w:ascii="仿宋" w:hAnsi="仿宋" w:eastAsia="仿宋" w:cs="仿宋"/>
          <w:sz w:val="24"/>
          <w:highlight w:val="none"/>
        </w:rPr>
        <w:t>滤线栅</w:t>
      </w:r>
      <w:r>
        <w:rPr>
          <w:rFonts w:hint="eastAsia" w:ascii="仿宋" w:hAnsi="仿宋" w:eastAsia="仿宋" w:cs="仿宋"/>
          <w:sz w:val="24"/>
          <w:highlight w:val="none"/>
        </w:rPr>
        <w:tab/>
      </w:r>
      <w:r>
        <w:rPr>
          <w:rFonts w:hint="eastAsia" w:ascii="仿宋" w:hAnsi="仿宋" w:eastAsia="仿宋" w:cs="仿宋"/>
          <w:sz w:val="24"/>
          <w:highlight w:val="none"/>
        </w:rPr>
        <w:t>具备2块滤线栅专距专用 ，1米和1.8米 各一块，</w:t>
      </w:r>
    </w:p>
    <w:p w14:paraId="5FAC8263">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2.5.5</w:t>
      </w:r>
      <w:r>
        <w:rPr>
          <w:rFonts w:hint="eastAsia" w:ascii="仿宋" w:hAnsi="仿宋" w:eastAsia="仿宋" w:cs="仿宋"/>
          <w:sz w:val="24"/>
          <w:highlight w:val="none"/>
        </w:rPr>
        <w:tab/>
      </w:r>
      <w:r>
        <w:rPr>
          <w:rFonts w:hint="eastAsia" w:ascii="仿宋" w:hAnsi="仿宋" w:eastAsia="仿宋" w:cs="仿宋"/>
          <w:sz w:val="24"/>
          <w:highlight w:val="none"/>
        </w:rPr>
        <w:t>滤线栅密度</w:t>
      </w:r>
      <w:r>
        <w:rPr>
          <w:rFonts w:hint="eastAsia" w:ascii="仿宋" w:hAnsi="仿宋" w:eastAsia="仿宋" w:cs="仿宋"/>
          <w:sz w:val="24"/>
          <w:highlight w:val="none"/>
        </w:rPr>
        <w:tab/>
      </w:r>
      <w:r>
        <w:rPr>
          <w:rFonts w:hint="eastAsia" w:ascii="仿宋" w:hAnsi="仿宋" w:eastAsia="仿宋" w:cs="仿宋"/>
          <w:sz w:val="24"/>
          <w:highlight w:val="none"/>
        </w:rPr>
        <w:t>103L/INCN</w:t>
      </w:r>
    </w:p>
    <w:p w14:paraId="5545B3DC">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2.5.6</w:t>
      </w:r>
      <w:r>
        <w:rPr>
          <w:rFonts w:hint="eastAsia" w:ascii="仿宋" w:hAnsi="仿宋" w:eastAsia="仿宋" w:cs="仿宋"/>
          <w:sz w:val="24"/>
          <w:highlight w:val="none"/>
        </w:rPr>
        <w:tab/>
      </w:r>
      <w:r>
        <w:rPr>
          <w:rFonts w:hint="eastAsia" w:ascii="仿宋" w:hAnsi="仿宋" w:eastAsia="仿宋" w:cs="仿宋"/>
          <w:sz w:val="24"/>
          <w:highlight w:val="none"/>
        </w:rPr>
        <w:t>滤线栅插拔</w:t>
      </w:r>
      <w:r>
        <w:rPr>
          <w:rFonts w:hint="eastAsia" w:ascii="仿宋" w:hAnsi="仿宋" w:eastAsia="仿宋" w:cs="仿宋"/>
          <w:sz w:val="24"/>
          <w:highlight w:val="none"/>
        </w:rPr>
        <w:tab/>
      </w:r>
      <w:r>
        <w:rPr>
          <w:rFonts w:hint="eastAsia" w:ascii="仿宋" w:hAnsi="仿宋" w:eastAsia="仿宋" w:cs="仿宋"/>
          <w:sz w:val="24"/>
          <w:highlight w:val="none"/>
        </w:rPr>
        <w:t>实体滤线栅应不用工具即可移除，插入和拔出状态应能清晰可见或明确指示。</w:t>
      </w:r>
    </w:p>
    <w:p w14:paraId="6DC82856">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2.5.7</w:t>
      </w:r>
      <w:r>
        <w:rPr>
          <w:rFonts w:hint="eastAsia" w:ascii="仿宋" w:hAnsi="仿宋" w:eastAsia="仿宋" w:cs="仿宋"/>
          <w:sz w:val="24"/>
          <w:highlight w:val="none"/>
        </w:rPr>
        <w:tab/>
      </w:r>
      <w:r>
        <w:rPr>
          <w:rFonts w:hint="eastAsia" w:ascii="仿宋" w:hAnsi="仿宋" w:eastAsia="仿宋" w:cs="仿宋"/>
          <w:sz w:val="24"/>
          <w:highlight w:val="none"/>
        </w:rPr>
        <w:t>A/D转换</w:t>
      </w:r>
      <w:r>
        <w:rPr>
          <w:rFonts w:hint="eastAsia" w:ascii="仿宋" w:hAnsi="仿宋" w:eastAsia="仿宋" w:cs="仿宋"/>
          <w:sz w:val="24"/>
          <w:highlight w:val="none"/>
        </w:rPr>
        <w:tab/>
      </w:r>
      <w:r>
        <w:rPr>
          <w:rFonts w:hint="eastAsia" w:ascii="仿宋" w:hAnsi="仿宋" w:eastAsia="仿宋" w:cs="仿宋"/>
          <w:sz w:val="24"/>
          <w:highlight w:val="none"/>
        </w:rPr>
        <w:t>≥16bit</w:t>
      </w:r>
    </w:p>
    <w:p w14:paraId="34A36E21">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2.5.8</w:t>
      </w:r>
      <w:r>
        <w:rPr>
          <w:rFonts w:hint="eastAsia" w:ascii="仿宋" w:hAnsi="仿宋" w:eastAsia="仿宋" w:cs="仿宋"/>
          <w:sz w:val="24"/>
          <w:highlight w:val="none"/>
        </w:rPr>
        <w:tab/>
      </w:r>
      <w:r>
        <w:rPr>
          <w:rFonts w:hint="eastAsia" w:ascii="仿宋" w:hAnsi="仿宋" w:eastAsia="仿宋" w:cs="仿宋"/>
          <w:sz w:val="24"/>
          <w:highlight w:val="none"/>
        </w:rPr>
        <w:t>最大空间分辨率</w:t>
      </w:r>
      <w:r>
        <w:rPr>
          <w:rFonts w:hint="eastAsia" w:ascii="仿宋" w:hAnsi="仿宋" w:eastAsia="仿宋" w:cs="仿宋"/>
          <w:sz w:val="24"/>
          <w:highlight w:val="none"/>
        </w:rPr>
        <w:tab/>
      </w:r>
      <w:r>
        <w:rPr>
          <w:rFonts w:hint="eastAsia" w:ascii="仿宋" w:hAnsi="仿宋" w:eastAsia="仿宋" w:cs="仿宋"/>
          <w:sz w:val="24"/>
          <w:highlight w:val="none"/>
        </w:rPr>
        <w:t>≥3.7 Lp/mm</w:t>
      </w:r>
    </w:p>
    <w:p w14:paraId="1582163D">
      <w:pPr>
        <w:spacing w:line="360" w:lineRule="auto"/>
        <w:rPr>
          <w:rFonts w:hint="eastAsia" w:ascii="仿宋" w:hAnsi="仿宋" w:eastAsia="仿宋" w:cs="仿宋"/>
          <w:sz w:val="24"/>
          <w:highlight w:val="none"/>
        </w:rPr>
      </w:pPr>
      <w:r>
        <w:rPr>
          <w:rFonts w:hint="eastAsia" w:ascii="仿宋" w:hAnsi="仿宋" w:eastAsia="仿宋" w:cs="仿宋"/>
          <w:sz w:val="24"/>
          <w:highlight w:val="none"/>
        </w:rPr>
        <w:t>2.6</w:t>
      </w:r>
      <w:r>
        <w:rPr>
          <w:rFonts w:hint="eastAsia" w:ascii="仿宋" w:hAnsi="仿宋" w:eastAsia="仿宋" w:cs="仿宋"/>
          <w:sz w:val="24"/>
          <w:highlight w:val="none"/>
        </w:rPr>
        <w:tab/>
      </w:r>
      <w:r>
        <w:rPr>
          <w:rFonts w:hint="eastAsia" w:ascii="仿宋" w:hAnsi="仿宋" w:eastAsia="仿宋" w:cs="仿宋"/>
          <w:sz w:val="24"/>
          <w:highlight w:val="none"/>
        </w:rPr>
        <w:t>机械运动</w:t>
      </w:r>
      <w:r>
        <w:rPr>
          <w:rFonts w:hint="eastAsia" w:ascii="仿宋" w:hAnsi="仿宋" w:eastAsia="仿宋" w:cs="仿宋"/>
          <w:sz w:val="24"/>
          <w:highlight w:val="none"/>
        </w:rPr>
        <w:tab/>
      </w:r>
    </w:p>
    <w:p w14:paraId="4D64AD5C">
      <w:pPr>
        <w:spacing w:line="360" w:lineRule="auto"/>
        <w:rPr>
          <w:rFonts w:hint="eastAsia" w:ascii="仿宋" w:hAnsi="仿宋" w:eastAsia="仿宋" w:cs="仿宋"/>
          <w:sz w:val="24"/>
          <w:highlight w:val="none"/>
        </w:rPr>
      </w:pPr>
      <w:r>
        <w:rPr>
          <w:rFonts w:hint="eastAsia" w:ascii="仿宋" w:hAnsi="仿宋" w:eastAsia="仿宋" w:cs="仿宋"/>
          <w:sz w:val="24"/>
          <w:highlight w:val="none"/>
        </w:rPr>
        <w:t>2.6.1</w:t>
      </w:r>
      <w:r>
        <w:rPr>
          <w:rFonts w:hint="eastAsia" w:ascii="仿宋" w:hAnsi="仿宋" w:eastAsia="仿宋" w:cs="仿宋"/>
          <w:sz w:val="24"/>
          <w:highlight w:val="none"/>
        </w:rPr>
        <w:tab/>
      </w:r>
      <w:r>
        <w:rPr>
          <w:rFonts w:hint="eastAsia" w:ascii="仿宋" w:hAnsi="仿宋" w:eastAsia="仿宋" w:cs="仿宋"/>
          <w:sz w:val="24"/>
          <w:highlight w:val="none"/>
        </w:rPr>
        <w:t>自动跟踪</w:t>
      </w:r>
      <w:r>
        <w:rPr>
          <w:rFonts w:hint="eastAsia" w:ascii="仿宋" w:hAnsi="仿宋" w:eastAsia="仿宋" w:cs="仿宋"/>
          <w:sz w:val="24"/>
          <w:highlight w:val="none"/>
        </w:rPr>
        <w:tab/>
      </w:r>
      <w:r>
        <w:rPr>
          <w:rFonts w:hint="eastAsia" w:ascii="仿宋" w:hAnsi="仿宋" w:eastAsia="仿宋" w:cs="仿宋"/>
          <w:sz w:val="24"/>
          <w:highlight w:val="none"/>
        </w:rPr>
        <w:t>具备球管与胸片架自动跟踪功能</w:t>
      </w:r>
    </w:p>
    <w:p w14:paraId="7B772969">
      <w:pPr>
        <w:spacing w:line="360" w:lineRule="auto"/>
        <w:rPr>
          <w:rFonts w:hint="eastAsia" w:ascii="仿宋" w:hAnsi="仿宋" w:eastAsia="仿宋" w:cs="仿宋"/>
          <w:sz w:val="24"/>
          <w:highlight w:val="none"/>
        </w:rPr>
      </w:pPr>
      <w:r>
        <w:rPr>
          <w:rFonts w:hint="eastAsia" w:ascii="仿宋" w:hAnsi="仿宋" w:eastAsia="仿宋" w:cs="仿宋"/>
          <w:sz w:val="24"/>
          <w:highlight w:val="none"/>
        </w:rPr>
        <w:t>2.6.2</w:t>
      </w:r>
      <w:r>
        <w:rPr>
          <w:rFonts w:hint="eastAsia" w:ascii="仿宋" w:hAnsi="仿宋" w:eastAsia="仿宋" w:cs="仿宋"/>
          <w:sz w:val="24"/>
          <w:highlight w:val="none"/>
        </w:rPr>
        <w:tab/>
      </w:r>
      <w:r>
        <w:rPr>
          <w:rFonts w:hint="eastAsia" w:ascii="仿宋" w:hAnsi="仿宋" w:eastAsia="仿宋" w:cs="仿宋"/>
          <w:sz w:val="24"/>
          <w:highlight w:val="none"/>
        </w:rPr>
        <w:t>球管立柱纵向位移距离</w:t>
      </w:r>
      <w:r>
        <w:rPr>
          <w:rFonts w:hint="eastAsia" w:ascii="仿宋" w:hAnsi="仿宋" w:eastAsia="仿宋" w:cs="仿宋"/>
          <w:sz w:val="24"/>
          <w:highlight w:val="none"/>
        </w:rPr>
        <w:tab/>
      </w:r>
      <w:r>
        <w:rPr>
          <w:rFonts w:hint="eastAsia" w:ascii="仿宋" w:hAnsi="仿宋" w:eastAsia="仿宋" w:cs="仿宋"/>
          <w:sz w:val="24"/>
          <w:highlight w:val="none"/>
        </w:rPr>
        <w:t>≥1500mm</w:t>
      </w:r>
    </w:p>
    <w:p w14:paraId="3EA1BECE">
      <w:pPr>
        <w:spacing w:line="360" w:lineRule="auto"/>
        <w:rPr>
          <w:rFonts w:hint="eastAsia" w:ascii="仿宋" w:hAnsi="仿宋" w:eastAsia="仿宋" w:cs="仿宋"/>
          <w:sz w:val="24"/>
          <w:highlight w:val="none"/>
        </w:rPr>
      </w:pPr>
      <w:r>
        <w:rPr>
          <w:rFonts w:hint="eastAsia" w:ascii="仿宋" w:hAnsi="仿宋" w:eastAsia="仿宋" w:cs="仿宋"/>
          <w:sz w:val="24"/>
          <w:highlight w:val="none"/>
        </w:rPr>
        <w:t>2.6.3</w:t>
      </w:r>
      <w:r>
        <w:rPr>
          <w:rFonts w:hint="eastAsia" w:ascii="仿宋" w:hAnsi="仿宋" w:eastAsia="仿宋" w:cs="仿宋"/>
          <w:sz w:val="24"/>
          <w:highlight w:val="none"/>
        </w:rPr>
        <w:tab/>
      </w:r>
      <w:r>
        <w:rPr>
          <w:rFonts w:hint="eastAsia" w:ascii="仿宋" w:hAnsi="仿宋" w:eastAsia="仿宋" w:cs="仿宋"/>
          <w:sz w:val="24"/>
          <w:highlight w:val="none"/>
        </w:rPr>
        <w:t>胸片架上下位移距离</w:t>
      </w:r>
      <w:r>
        <w:rPr>
          <w:rFonts w:hint="eastAsia" w:ascii="仿宋" w:hAnsi="仿宋" w:eastAsia="仿宋" w:cs="仿宋"/>
          <w:sz w:val="24"/>
          <w:highlight w:val="none"/>
        </w:rPr>
        <w:tab/>
      </w:r>
      <w:r>
        <w:rPr>
          <w:rFonts w:hint="eastAsia" w:ascii="仿宋" w:hAnsi="仿宋" w:eastAsia="仿宋" w:cs="仿宋"/>
          <w:sz w:val="24"/>
          <w:highlight w:val="none"/>
        </w:rPr>
        <w:t>≥1500mm</w:t>
      </w:r>
    </w:p>
    <w:p w14:paraId="2C5C08EF">
      <w:pPr>
        <w:spacing w:line="360" w:lineRule="auto"/>
        <w:rPr>
          <w:rFonts w:hint="eastAsia" w:ascii="仿宋" w:hAnsi="仿宋" w:eastAsia="仿宋" w:cs="仿宋"/>
          <w:sz w:val="24"/>
          <w:highlight w:val="none"/>
        </w:rPr>
      </w:pPr>
      <w:r>
        <w:rPr>
          <w:rFonts w:hint="eastAsia" w:ascii="仿宋" w:hAnsi="仿宋" w:eastAsia="仿宋" w:cs="仿宋"/>
          <w:sz w:val="24"/>
          <w:highlight w:val="none"/>
        </w:rPr>
        <w:t>2.7</w:t>
      </w:r>
      <w:r>
        <w:rPr>
          <w:rFonts w:hint="eastAsia" w:ascii="仿宋" w:hAnsi="仿宋" w:eastAsia="仿宋" w:cs="仿宋"/>
          <w:sz w:val="24"/>
          <w:highlight w:val="none"/>
        </w:rPr>
        <w:tab/>
      </w:r>
      <w:r>
        <w:rPr>
          <w:rFonts w:hint="eastAsia" w:ascii="仿宋" w:hAnsi="仿宋" w:eastAsia="仿宋" w:cs="仿宋"/>
          <w:sz w:val="24"/>
          <w:highlight w:val="none"/>
        </w:rPr>
        <w:t>摄影床</w:t>
      </w:r>
      <w:r>
        <w:rPr>
          <w:rFonts w:hint="eastAsia" w:ascii="仿宋" w:hAnsi="仿宋" w:eastAsia="仿宋" w:cs="仿宋"/>
          <w:sz w:val="24"/>
          <w:highlight w:val="none"/>
        </w:rPr>
        <w:tab/>
      </w:r>
    </w:p>
    <w:p w14:paraId="55FFD4A9">
      <w:pPr>
        <w:spacing w:line="360" w:lineRule="auto"/>
        <w:rPr>
          <w:rFonts w:hint="eastAsia" w:ascii="仿宋" w:hAnsi="仿宋" w:eastAsia="仿宋" w:cs="仿宋"/>
          <w:sz w:val="24"/>
          <w:highlight w:val="none"/>
        </w:rPr>
      </w:pPr>
      <w:r>
        <w:rPr>
          <w:rFonts w:hint="eastAsia" w:ascii="仿宋" w:hAnsi="仿宋" w:eastAsia="仿宋" w:cs="仿宋"/>
          <w:sz w:val="24"/>
          <w:highlight w:val="none"/>
        </w:rPr>
        <w:t>2.7.1</w:t>
      </w:r>
      <w:r>
        <w:rPr>
          <w:rFonts w:hint="eastAsia" w:ascii="仿宋" w:hAnsi="仿宋" w:eastAsia="仿宋" w:cs="仿宋"/>
          <w:sz w:val="24"/>
          <w:highlight w:val="none"/>
        </w:rPr>
        <w:tab/>
      </w:r>
      <w:r>
        <w:rPr>
          <w:rFonts w:hint="eastAsia" w:ascii="仿宋" w:hAnsi="仿宋" w:eastAsia="仿宋" w:cs="仿宋"/>
          <w:sz w:val="24"/>
          <w:highlight w:val="none"/>
        </w:rPr>
        <w:t>床面移动纵向行程</w:t>
      </w:r>
      <w:r>
        <w:rPr>
          <w:rFonts w:hint="eastAsia" w:ascii="仿宋" w:hAnsi="仿宋" w:eastAsia="仿宋" w:cs="仿宋"/>
          <w:sz w:val="24"/>
          <w:highlight w:val="none"/>
        </w:rPr>
        <w:tab/>
      </w:r>
      <w:r>
        <w:rPr>
          <w:rFonts w:hint="eastAsia" w:ascii="仿宋" w:hAnsi="仿宋" w:eastAsia="仿宋" w:cs="仿宋"/>
          <w:sz w:val="24"/>
          <w:highlight w:val="none"/>
        </w:rPr>
        <w:t>≥1000mm</w:t>
      </w:r>
    </w:p>
    <w:p w14:paraId="5AF1B6E2">
      <w:pPr>
        <w:spacing w:line="360" w:lineRule="auto"/>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rPr>
        <w:t>2.7.2</w:t>
      </w:r>
      <w:r>
        <w:rPr>
          <w:rFonts w:hint="eastAsia" w:ascii="仿宋" w:hAnsi="仿宋" w:eastAsia="仿宋" w:cs="仿宋"/>
          <w:sz w:val="24"/>
          <w:highlight w:val="none"/>
        </w:rPr>
        <w:tab/>
      </w:r>
      <w:r>
        <w:rPr>
          <w:rFonts w:hint="eastAsia" w:ascii="仿宋" w:hAnsi="仿宋" w:eastAsia="仿宋" w:cs="仿宋"/>
          <w:sz w:val="24"/>
          <w:highlight w:val="none"/>
        </w:rPr>
        <w:t>床面移动横向行程</w:t>
      </w:r>
      <w:r>
        <w:rPr>
          <w:rFonts w:hint="eastAsia" w:ascii="仿宋" w:hAnsi="仿宋" w:eastAsia="仿宋" w:cs="仿宋"/>
          <w:sz w:val="24"/>
          <w:highlight w:val="none"/>
        </w:rPr>
        <w:tab/>
      </w:r>
      <w:r>
        <w:rPr>
          <w:rFonts w:hint="eastAsia" w:ascii="仿宋" w:hAnsi="仿宋" w:eastAsia="仿宋" w:cs="仿宋"/>
          <w:sz w:val="24"/>
          <w:highlight w:val="none"/>
        </w:rPr>
        <w:t>≥258mm</w:t>
      </w:r>
    </w:p>
    <w:p w14:paraId="3B29E2D0">
      <w:pPr>
        <w:spacing w:line="360" w:lineRule="auto"/>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rPr>
        <w:t>2.7.4</w:t>
      </w:r>
      <w:r>
        <w:rPr>
          <w:rFonts w:hint="eastAsia" w:ascii="仿宋" w:hAnsi="仿宋" w:eastAsia="仿宋" w:cs="仿宋"/>
          <w:sz w:val="24"/>
          <w:highlight w:val="none"/>
        </w:rPr>
        <w:tab/>
      </w:r>
      <w:r>
        <w:rPr>
          <w:rFonts w:hint="eastAsia" w:ascii="仿宋" w:hAnsi="仿宋" w:eastAsia="仿宋" w:cs="仿宋"/>
          <w:sz w:val="24"/>
          <w:highlight w:val="none"/>
        </w:rPr>
        <w:t>床面最低高度</w:t>
      </w:r>
      <w:r>
        <w:rPr>
          <w:rFonts w:hint="eastAsia" w:ascii="仿宋" w:hAnsi="仿宋" w:eastAsia="仿宋" w:cs="仿宋"/>
          <w:sz w:val="24"/>
          <w:highlight w:val="none"/>
        </w:rPr>
        <w:tab/>
      </w:r>
      <w:r>
        <w:rPr>
          <w:rFonts w:hint="eastAsia" w:ascii="仿宋" w:hAnsi="仿宋" w:eastAsia="仿宋" w:cs="仿宋"/>
          <w:sz w:val="24"/>
          <w:highlight w:val="none"/>
        </w:rPr>
        <w:t>≤558mm</w:t>
      </w:r>
    </w:p>
    <w:p w14:paraId="669ECCD2">
      <w:pPr>
        <w:spacing w:line="360" w:lineRule="auto"/>
        <w:rPr>
          <w:rFonts w:hint="eastAsia" w:ascii="仿宋" w:hAnsi="仿宋" w:eastAsia="仿宋" w:cs="仿宋"/>
          <w:sz w:val="24"/>
          <w:highlight w:val="none"/>
        </w:rPr>
      </w:pPr>
      <w:r>
        <w:rPr>
          <w:rFonts w:hint="eastAsia" w:ascii="仿宋" w:hAnsi="仿宋" w:eastAsia="仿宋" w:cs="仿宋"/>
          <w:sz w:val="24"/>
          <w:highlight w:val="none"/>
        </w:rPr>
        <w:t>2.7.5</w:t>
      </w:r>
      <w:r>
        <w:rPr>
          <w:rFonts w:hint="eastAsia" w:ascii="仿宋" w:hAnsi="仿宋" w:eastAsia="仿宋" w:cs="仿宋"/>
          <w:sz w:val="24"/>
          <w:highlight w:val="none"/>
        </w:rPr>
        <w:tab/>
      </w:r>
      <w:r>
        <w:rPr>
          <w:rFonts w:hint="eastAsia" w:ascii="仿宋" w:hAnsi="仿宋" w:eastAsia="仿宋" w:cs="仿宋"/>
          <w:sz w:val="24"/>
          <w:highlight w:val="none"/>
        </w:rPr>
        <w:t>床面板承重</w:t>
      </w:r>
      <w:r>
        <w:rPr>
          <w:rFonts w:hint="eastAsia" w:ascii="仿宋" w:hAnsi="仿宋" w:eastAsia="仿宋" w:cs="仿宋"/>
          <w:sz w:val="24"/>
          <w:highlight w:val="none"/>
        </w:rPr>
        <w:tab/>
      </w:r>
      <w:r>
        <w:rPr>
          <w:rFonts w:hint="eastAsia" w:ascii="仿宋" w:hAnsi="仿宋" w:eastAsia="仿宋" w:cs="仿宋"/>
          <w:sz w:val="24"/>
          <w:highlight w:val="none"/>
        </w:rPr>
        <w:t>≥200Kg</w:t>
      </w:r>
    </w:p>
    <w:p w14:paraId="36E6D8FA">
      <w:pPr>
        <w:spacing w:line="360" w:lineRule="auto"/>
        <w:rPr>
          <w:rFonts w:hint="eastAsia" w:ascii="仿宋" w:hAnsi="仿宋" w:eastAsia="仿宋" w:cs="仿宋"/>
          <w:sz w:val="24"/>
          <w:highlight w:val="none"/>
        </w:rPr>
      </w:pPr>
      <w:r>
        <w:rPr>
          <w:rFonts w:hint="eastAsia" w:ascii="仿宋" w:hAnsi="仿宋" w:eastAsia="仿宋" w:cs="仿宋"/>
          <w:sz w:val="24"/>
          <w:highlight w:val="none"/>
        </w:rPr>
        <w:t>2.7.6</w:t>
      </w:r>
      <w:r>
        <w:rPr>
          <w:rFonts w:hint="eastAsia" w:ascii="仿宋" w:hAnsi="仿宋" w:eastAsia="仿宋" w:cs="仿宋"/>
          <w:sz w:val="24"/>
          <w:highlight w:val="none"/>
        </w:rPr>
        <w:tab/>
      </w:r>
      <w:r>
        <w:rPr>
          <w:rFonts w:hint="eastAsia" w:ascii="仿宋" w:hAnsi="仿宋" w:eastAsia="仿宋" w:cs="仿宋"/>
          <w:sz w:val="24"/>
          <w:highlight w:val="none"/>
        </w:rPr>
        <w:t>床面板</w:t>
      </w:r>
      <w:r>
        <w:rPr>
          <w:rFonts w:hint="eastAsia" w:ascii="仿宋" w:hAnsi="仿宋" w:eastAsia="仿宋" w:cs="仿宋"/>
          <w:sz w:val="24"/>
          <w:highlight w:val="none"/>
        </w:rPr>
        <w:tab/>
      </w:r>
      <w:r>
        <w:rPr>
          <w:rFonts w:hint="eastAsia" w:ascii="仿宋" w:hAnsi="仿宋" w:eastAsia="仿宋" w:cs="仿宋"/>
          <w:sz w:val="24"/>
          <w:highlight w:val="none"/>
        </w:rPr>
        <w:t>床面板应无妨碍X射线诊断的阴影(提供检测报告证明)</w:t>
      </w:r>
    </w:p>
    <w:p w14:paraId="437A3339">
      <w:pPr>
        <w:spacing w:line="360" w:lineRule="auto"/>
        <w:rPr>
          <w:rFonts w:hint="eastAsia" w:ascii="仿宋" w:hAnsi="仿宋" w:eastAsia="仿宋" w:cs="仿宋"/>
          <w:sz w:val="24"/>
          <w:highlight w:val="none"/>
        </w:rPr>
      </w:pPr>
      <w:r>
        <w:rPr>
          <w:rFonts w:hint="eastAsia" w:ascii="仿宋" w:hAnsi="仿宋" w:eastAsia="仿宋" w:cs="仿宋"/>
          <w:sz w:val="24"/>
          <w:highlight w:val="none"/>
        </w:rPr>
        <w:t>2.8</w:t>
      </w:r>
      <w:r>
        <w:rPr>
          <w:rFonts w:hint="eastAsia" w:ascii="仿宋" w:hAnsi="仿宋" w:eastAsia="仿宋" w:cs="仿宋"/>
          <w:sz w:val="24"/>
          <w:highlight w:val="none"/>
        </w:rPr>
        <w:tab/>
      </w:r>
      <w:r>
        <w:rPr>
          <w:rFonts w:hint="eastAsia" w:ascii="仿宋" w:hAnsi="仿宋" w:eastAsia="仿宋" w:cs="仿宋"/>
          <w:sz w:val="24"/>
          <w:highlight w:val="none"/>
        </w:rPr>
        <w:t>图像工作站</w:t>
      </w:r>
      <w:r>
        <w:rPr>
          <w:rFonts w:hint="eastAsia" w:ascii="仿宋" w:hAnsi="仿宋" w:eastAsia="仿宋" w:cs="仿宋"/>
          <w:sz w:val="24"/>
          <w:highlight w:val="none"/>
        </w:rPr>
        <w:tab/>
      </w:r>
    </w:p>
    <w:p w14:paraId="76F970B9">
      <w:pPr>
        <w:spacing w:line="360" w:lineRule="auto"/>
        <w:rPr>
          <w:rFonts w:hint="eastAsia" w:ascii="仿宋" w:hAnsi="仿宋" w:eastAsia="仿宋" w:cs="仿宋"/>
          <w:sz w:val="24"/>
          <w:highlight w:val="none"/>
        </w:rPr>
      </w:pPr>
      <w:r>
        <w:rPr>
          <w:rFonts w:hint="eastAsia" w:ascii="仿宋" w:hAnsi="仿宋" w:eastAsia="仿宋" w:cs="仿宋"/>
          <w:sz w:val="24"/>
          <w:highlight w:val="none"/>
        </w:rPr>
        <w:t>2.8.1</w:t>
      </w:r>
      <w:r>
        <w:rPr>
          <w:rFonts w:hint="eastAsia" w:ascii="仿宋" w:hAnsi="仿宋" w:eastAsia="仿宋" w:cs="仿宋"/>
          <w:sz w:val="24"/>
          <w:highlight w:val="none"/>
        </w:rPr>
        <w:tab/>
      </w:r>
      <w:r>
        <w:rPr>
          <w:rFonts w:hint="eastAsia" w:ascii="仿宋" w:hAnsi="仿宋" w:eastAsia="仿宋" w:cs="仿宋"/>
          <w:sz w:val="24"/>
          <w:highlight w:val="none"/>
        </w:rPr>
        <w:t>登记</w:t>
      </w:r>
      <w:r>
        <w:rPr>
          <w:rFonts w:hint="eastAsia" w:ascii="仿宋" w:hAnsi="仿宋" w:eastAsia="仿宋" w:cs="仿宋"/>
          <w:sz w:val="24"/>
          <w:highlight w:val="none"/>
        </w:rPr>
        <w:tab/>
      </w:r>
      <w:r>
        <w:rPr>
          <w:rFonts w:hint="eastAsia" w:ascii="仿宋" w:hAnsi="仿宋" w:eastAsia="仿宋" w:cs="仿宋"/>
          <w:sz w:val="24"/>
          <w:highlight w:val="none"/>
        </w:rPr>
        <w:t>本地常规登记、本地急诊登记、RIS登记、急诊患者注册、删除患者注册。</w:t>
      </w:r>
    </w:p>
    <w:p w14:paraId="4DCEC074">
      <w:pPr>
        <w:spacing w:line="360" w:lineRule="auto"/>
        <w:rPr>
          <w:rFonts w:hint="eastAsia" w:ascii="仿宋" w:hAnsi="仿宋" w:eastAsia="仿宋" w:cs="仿宋"/>
          <w:sz w:val="24"/>
          <w:highlight w:val="none"/>
        </w:rPr>
      </w:pPr>
      <w:r>
        <w:rPr>
          <w:rFonts w:hint="eastAsia" w:ascii="仿宋" w:hAnsi="仿宋" w:eastAsia="仿宋" w:cs="仿宋"/>
          <w:sz w:val="24"/>
          <w:highlight w:val="none"/>
        </w:rPr>
        <w:t>2.8.2</w:t>
      </w:r>
      <w:r>
        <w:rPr>
          <w:rFonts w:hint="eastAsia" w:ascii="仿宋" w:hAnsi="仿宋" w:eastAsia="仿宋" w:cs="仿宋"/>
          <w:sz w:val="24"/>
          <w:highlight w:val="none"/>
        </w:rPr>
        <w:tab/>
      </w:r>
      <w:r>
        <w:rPr>
          <w:rFonts w:hint="eastAsia" w:ascii="仿宋" w:hAnsi="仿宋" w:eastAsia="仿宋" w:cs="仿宋"/>
          <w:sz w:val="24"/>
          <w:highlight w:val="none"/>
        </w:rPr>
        <w:t>工作列表</w:t>
      </w:r>
      <w:r>
        <w:rPr>
          <w:rFonts w:hint="eastAsia" w:ascii="仿宋" w:hAnsi="仿宋" w:eastAsia="仿宋" w:cs="仿宋"/>
          <w:sz w:val="24"/>
          <w:highlight w:val="none"/>
        </w:rPr>
        <w:tab/>
      </w:r>
      <w:r>
        <w:rPr>
          <w:rFonts w:hint="eastAsia" w:ascii="仿宋" w:hAnsi="仿宋" w:eastAsia="仿宋" w:cs="仿宋"/>
          <w:sz w:val="24"/>
          <w:highlight w:val="none"/>
        </w:rPr>
        <w:t>待检查病人列表信息、待检查病人搜索、待检查病人刷新、新增患者信息、删除待检查、修改显示信息。</w:t>
      </w:r>
    </w:p>
    <w:p w14:paraId="65BF0737">
      <w:pPr>
        <w:spacing w:line="360" w:lineRule="auto"/>
        <w:rPr>
          <w:rFonts w:hint="eastAsia" w:ascii="仿宋" w:hAnsi="仿宋" w:eastAsia="仿宋" w:cs="仿宋"/>
          <w:sz w:val="24"/>
          <w:highlight w:val="none"/>
        </w:rPr>
      </w:pPr>
      <w:r>
        <w:rPr>
          <w:rFonts w:hint="eastAsia" w:ascii="仿宋" w:hAnsi="仿宋" w:eastAsia="仿宋" w:cs="仿宋"/>
          <w:sz w:val="24"/>
          <w:highlight w:val="none"/>
        </w:rPr>
        <w:t>2.8.3</w:t>
      </w:r>
      <w:r>
        <w:rPr>
          <w:rFonts w:hint="eastAsia" w:ascii="仿宋" w:hAnsi="仿宋" w:eastAsia="仿宋" w:cs="仿宋"/>
          <w:sz w:val="24"/>
          <w:highlight w:val="none"/>
        </w:rPr>
        <w:tab/>
      </w:r>
      <w:r>
        <w:rPr>
          <w:rFonts w:hint="eastAsia" w:ascii="仿宋" w:hAnsi="仿宋" w:eastAsia="仿宋" w:cs="仿宋"/>
          <w:sz w:val="24"/>
          <w:highlight w:val="none"/>
        </w:rPr>
        <w:t>检查列表</w:t>
      </w:r>
      <w:r>
        <w:rPr>
          <w:rFonts w:hint="eastAsia" w:ascii="仿宋" w:hAnsi="仿宋" w:eastAsia="仿宋" w:cs="仿宋"/>
          <w:sz w:val="24"/>
          <w:highlight w:val="none"/>
        </w:rPr>
        <w:tab/>
      </w:r>
      <w:r>
        <w:rPr>
          <w:rFonts w:hint="eastAsia" w:ascii="仿宋" w:hAnsi="仿宋" w:eastAsia="仿宋" w:cs="仿宋"/>
          <w:sz w:val="24"/>
          <w:highlight w:val="none"/>
        </w:rPr>
        <w:t>已检查病人列表、已检查病人显示与搜索、删除已检查、浏览图像、重新检查、图像归档和刻录、图像打印、患者信息锁定、上传队列、打印队列。</w:t>
      </w:r>
    </w:p>
    <w:p w14:paraId="66810FA8">
      <w:pPr>
        <w:spacing w:line="360" w:lineRule="auto"/>
        <w:rPr>
          <w:rFonts w:hint="eastAsia" w:ascii="仿宋" w:hAnsi="仿宋" w:eastAsia="仿宋" w:cs="仿宋"/>
          <w:sz w:val="24"/>
          <w:highlight w:val="none"/>
        </w:rPr>
      </w:pPr>
      <w:r>
        <w:rPr>
          <w:rFonts w:hint="eastAsia" w:ascii="仿宋" w:hAnsi="仿宋" w:eastAsia="仿宋" w:cs="仿宋"/>
          <w:sz w:val="24"/>
          <w:highlight w:val="none"/>
        </w:rPr>
        <w:t>2.8.4</w:t>
      </w:r>
      <w:r>
        <w:rPr>
          <w:rFonts w:hint="eastAsia" w:ascii="仿宋" w:hAnsi="仿宋" w:eastAsia="仿宋" w:cs="仿宋"/>
          <w:sz w:val="24"/>
          <w:highlight w:val="none"/>
        </w:rPr>
        <w:tab/>
      </w:r>
      <w:r>
        <w:rPr>
          <w:rFonts w:hint="eastAsia" w:ascii="仿宋" w:hAnsi="仿宋" w:eastAsia="仿宋" w:cs="仿宋"/>
          <w:sz w:val="24"/>
          <w:highlight w:val="none"/>
        </w:rPr>
        <w:t>影像采集</w:t>
      </w:r>
      <w:r>
        <w:rPr>
          <w:rFonts w:hint="eastAsia" w:ascii="仿宋" w:hAnsi="仿宋" w:eastAsia="仿宋" w:cs="仿宋"/>
          <w:sz w:val="24"/>
          <w:highlight w:val="none"/>
        </w:rPr>
        <w:tab/>
      </w:r>
      <w:r>
        <w:rPr>
          <w:rFonts w:hint="eastAsia" w:ascii="仿宋" w:hAnsi="仿宋" w:eastAsia="仿宋" w:cs="仿宋"/>
          <w:sz w:val="24"/>
          <w:highlight w:val="none"/>
        </w:rPr>
        <w:t>检查项目示意图、曝光设置、曝光指示及报错复位、高压参数设置、患者体型、床位、焦点、曝光模式选择。</w:t>
      </w:r>
    </w:p>
    <w:p w14:paraId="2951B70B">
      <w:pPr>
        <w:spacing w:line="360" w:lineRule="auto"/>
        <w:rPr>
          <w:rFonts w:hint="eastAsia" w:ascii="仿宋" w:hAnsi="仿宋" w:eastAsia="仿宋" w:cs="仿宋"/>
          <w:sz w:val="24"/>
          <w:highlight w:val="none"/>
        </w:rPr>
      </w:pPr>
      <w:r>
        <w:rPr>
          <w:rFonts w:hint="eastAsia" w:ascii="仿宋" w:hAnsi="仿宋" w:eastAsia="仿宋" w:cs="仿宋"/>
          <w:sz w:val="24"/>
          <w:highlight w:val="none"/>
        </w:rPr>
        <w:t>2.8.5</w:t>
      </w:r>
      <w:r>
        <w:rPr>
          <w:rFonts w:hint="eastAsia" w:ascii="仿宋" w:hAnsi="仿宋" w:eastAsia="仿宋" w:cs="仿宋"/>
          <w:sz w:val="24"/>
          <w:highlight w:val="none"/>
        </w:rPr>
        <w:tab/>
      </w:r>
      <w:r>
        <w:rPr>
          <w:rFonts w:hint="eastAsia" w:ascii="仿宋" w:hAnsi="仿宋" w:eastAsia="仿宋" w:cs="仿宋"/>
          <w:sz w:val="24"/>
          <w:highlight w:val="none"/>
        </w:rPr>
        <w:t>影像浏览</w:t>
      </w:r>
      <w:r>
        <w:rPr>
          <w:rFonts w:hint="eastAsia" w:ascii="仿宋" w:hAnsi="仿宋" w:eastAsia="仿宋" w:cs="仿宋"/>
          <w:sz w:val="24"/>
          <w:highlight w:val="none"/>
        </w:rPr>
        <w:tab/>
      </w:r>
      <w:r>
        <w:rPr>
          <w:rFonts w:hint="eastAsia" w:ascii="仿宋" w:hAnsi="仿宋" w:eastAsia="仿宋" w:cs="仿宋"/>
          <w:sz w:val="24"/>
          <w:highlight w:val="none"/>
        </w:rPr>
        <w:t>修改检查信息、增加协议、增加检查项目、向上翻页、向下翻页、全屏显示、图像布局、图像保存、图像打印、暂停检查、保存图像、上下反转、左右反转、逆时针旋转90°、顺时针选择90°、图像任意角度旋转、默认图像窗宽窗位、ROI调窗、图像反色。</w:t>
      </w:r>
    </w:p>
    <w:p w14:paraId="0C786EEC">
      <w:pPr>
        <w:spacing w:line="360" w:lineRule="auto"/>
        <w:rPr>
          <w:rFonts w:hint="eastAsia" w:ascii="仿宋" w:hAnsi="仿宋" w:eastAsia="仿宋" w:cs="仿宋"/>
          <w:sz w:val="24"/>
          <w:highlight w:val="none"/>
        </w:rPr>
      </w:pPr>
      <w:r>
        <w:rPr>
          <w:rFonts w:hint="eastAsia" w:ascii="仿宋" w:hAnsi="仿宋" w:eastAsia="仿宋" w:cs="仿宋"/>
          <w:sz w:val="24"/>
          <w:highlight w:val="none"/>
        </w:rPr>
        <w:t>2.8.6</w:t>
      </w:r>
      <w:r>
        <w:rPr>
          <w:rFonts w:hint="eastAsia" w:ascii="仿宋" w:hAnsi="仿宋" w:eastAsia="仿宋" w:cs="仿宋"/>
          <w:sz w:val="24"/>
          <w:highlight w:val="none"/>
        </w:rPr>
        <w:tab/>
      </w:r>
      <w:r>
        <w:rPr>
          <w:rFonts w:hint="eastAsia" w:ascii="仿宋" w:hAnsi="仿宋" w:eastAsia="仿宋" w:cs="仿宋"/>
          <w:sz w:val="24"/>
          <w:highlight w:val="none"/>
        </w:rPr>
        <w:t>图像拼接</w:t>
      </w:r>
      <w:r>
        <w:rPr>
          <w:rFonts w:hint="eastAsia" w:ascii="仿宋" w:hAnsi="仿宋" w:eastAsia="仿宋" w:cs="仿宋"/>
          <w:sz w:val="24"/>
          <w:highlight w:val="none"/>
        </w:rPr>
        <w:tab/>
      </w:r>
      <w:r>
        <w:rPr>
          <w:rFonts w:hint="eastAsia" w:ascii="仿宋" w:hAnsi="仿宋" w:eastAsia="仿宋" w:cs="仿宋"/>
          <w:sz w:val="24"/>
          <w:highlight w:val="none"/>
        </w:rPr>
        <w:t>角度测量、距离测量、心胸比工具、脊柱测量、显示校正工具、另存为工具、全屏对比工具、反色对比工具。</w:t>
      </w:r>
    </w:p>
    <w:p w14:paraId="46EBDD01">
      <w:pPr>
        <w:spacing w:line="360" w:lineRule="auto"/>
        <w:rPr>
          <w:rFonts w:hint="eastAsia" w:ascii="仿宋" w:hAnsi="仿宋" w:eastAsia="仿宋" w:cs="仿宋"/>
          <w:sz w:val="24"/>
          <w:highlight w:val="none"/>
        </w:rPr>
      </w:pPr>
      <w:r>
        <w:rPr>
          <w:rFonts w:hint="eastAsia" w:ascii="仿宋" w:hAnsi="仿宋" w:eastAsia="仿宋" w:cs="仿宋"/>
          <w:sz w:val="24"/>
          <w:highlight w:val="none"/>
        </w:rPr>
        <w:t>2.8.7</w:t>
      </w:r>
      <w:r>
        <w:rPr>
          <w:rFonts w:hint="eastAsia" w:ascii="仿宋" w:hAnsi="仿宋" w:eastAsia="仿宋" w:cs="仿宋"/>
          <w:sz w:val="24"/>
          <w:highlight w:val="none"/>
        </w:rPr>
        <w:tab/>
      </w:r>
      <w:r>
        <w:rPr>
          <w:rFonts w:hint="eastAsia" w:ascii="仿宋" w:hAnsi="仿宋" w:eastAsia="仿宋" w:cs="仿宋"/>
          <w:sz w:val="24"/>
          <w:highlight w:val="none"/>
        </w:rPr>
        <w:t>图文报告</w:t>
      </w:r>
      <w:r>
        <w:rPr>
          <w:rFonts w:hint="eastAsia" w:ascii="仿宋" w:hAnsi="仿宋" w:eastAsia="仿宋" w:cs="仿宋"/>
          <w:sz w:val="24"/>
          <w:highlight w:val="none"/>
        </w:rPr>
        <w:tab/>
      </w:r>
      <w:r>
        <w:rPr>
          <w:rFonts w:hint="eastAsia" w:ascii="仿宋" w:hAnsi="仿宋" w:eastAsia="仿宋" w:cs="仿宋"/>
          <w:sz w:val="24"/>
          <w:highlight w:val="none"/>
        </w:rPr>
        <w:t>患者信息显示和编辑、报告及结论内容编辑、报告内容模板选择、报告打印模板选择。</w:t>
      </w:r>
    </w:p>
    <w:p w14:paraId="102C51B6">
      <w:pPr>
        <w:spacing w:line="360" w:lineRule="auto"/>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ab/>
      </w:r>
    </w:p>
    <w:p w14:paraId="6AC8EA02">
      <w:pPr>
        <w:spacing w:line="360" w:lineRule="auto"/>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rPr>
        <w:tab/>
      </w:r>
      <w:r>
        <w:rPr>
          <w:rFonts w:hint="eastAsia" w:ascii="仿宋" w:hAnsi="仿宋" w:eastAsia="仿宋" w:cs="仿宋"/>
          <w:sz w:val="24"/>
          <w:highlight w:val="none"/>
        </w:rPr>
        <w:t>近台触控系统</w:t>
      </w:r>
      <w:r>
        <w:rPr>
          <w:rFonts w:hint="eastAsia" w:ascii="仿宋" w:hAnsi="仿宋" w:eastAsia="仿宋" w:cs="仿宋"/>
          <w:sz w:val="24"/>
          <w:highlight w:val="none"/>
        </w:rPr>
        <w:tab/>
      </w:r>
    </w:p>
    <w:p w14:paraId="5400BD75">
      <w:pPr>
        <w:spacing w:line="360" w:lineRule="auto"/>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rPr>
        <w:t>3.1</w:t>
      </w:r>
      <w:r>
        <w:rPr>
          <w:rFonts w:hint="eastAsia" w:ascii="仿宋" w:hAnsi="仿宋" w:eastAsia="仿宋" w:cs="仿宋"/>
          <w:sz w:val="24"/>
          <w:highlight w:val="none"/>
        </w:rPr>
        <w:tab/>
      </w:r>
      <w:r>
        <w:rPr>
          <w:rFonts w:hint="eastAsia" w:ascii="仿宋" w:hAnsi="仿宋" w:eastAsia="仿宋" w:cs="仿宋"/>
          <w:sz w:val="24"/>
          <w:highlight w:val="none"/>
        </w:rPr>
        <w:t xml:space="preserve">触控屏尺寸 </w:t>
      </w:r>
      <w:r>
        <w:rPr>
          <w:rFonts w:hint="eastAsia" w:ascii="仿宋" w:hAnsi="仿宋" w:eastAsia="仿宋" w:cs="仿宋"/>
          <w:sz w:val="24"/>
          <w:highlight w:val="none"/>
        </w:rPr>
        <w:tab/>
      </w:r>
      <w:r>
        <w:rPr>
          <w:rFonts w:hint="eastAsia" w:ascii="仿宋" w:hAnsi="仿宋" w:eastAsia="仿宋" w:cs="仿宋"/>
          <w:sz w:val="24"/>
          <w:highlight w:val="none"/>
        </w:rPr>
        <w:t>≥10.3英寸</w:t>
      </w:r>
    </w:p>
    <w:p w14:paraId="08374861">
      <w:pPr>
        <w:spacing w:line="360" w:lineRule="auto"/>
        <w:rPr>
          <w:rFonts w:hint="eastAsia" w:ascii="仿宋" w:hAnsi="仿宋" w:eastAsia="仿宋" w:cs="仿宋"/>
          <w:sz w:val="24"/>
          <w:highlight w:val="none"/>
        </w:rPr>
      </w:pPr>
      <w:r>
        <w:rPr>
          <w:rFonts w:hint="eastAsia" w:ascii="仿宋" w:hAnsi="仿宋" w:eastAsia="仿宋" w:cs="仿宋"/>
          <w:sz w:val="24"/>
          <w:highlight w:val="none"/>
        </w:rPr>
        <w:t>3.2</w:t>
      </w:r>
      <w:r>
        <w:rPr>
          <w:rFonts w:hint="eastAsia" w:ascii="仿宋" w:hAnsi="仿宋" w:eastAsia="仿宋" w:cs="仿宋"/>
          <w:sz w:val="24"/>
          <w:highlight w:val="none"/>
        </w:rPr>
        <w:tab/>
      </w:r>
      <w:r>
        <w:rPr>
          <w:rFonts w:hint="eastAsia" w:ascii="仿宋" w:hAnsi="仿宋" w:eastAsia="仿宋" w:cs="仿宋"/>
          <w:sz w:val="24"/>
          <w:highlight w:val="none"/>
        </w:rPr>
        <w:t>具备与工作站信息双向传输功能</w:t>
      </w:r>
      <w:r>
        <w:rPr>
          <w:rFonts w:hint="eastAsia" w:ascii="仿宋" w:hAnsi="仿宋" w:eastAsia="仿宋" w:cs="仿宋"/>
          <w:sz w:val="24"/>
          <w:highlight w:val="none"/>
        </w:rPr>
        <w:tab/>
      </w:r>
      <w:r>
        <w:rPr>
          <w:rFonts w:hint="eastAsia" w:ascii="仿宋" w:hAnsi="仿宋" w:eastAsia="仿宋" w:cs="仿宋"/>
          <w:sz w:val="24"/>
          <w:highlight w:val="none"/>
        </w:rPr>
        <w:t>具备与工作站信息双向传输功能</w:t>
      </w:r>
    </w:p>
    <w:p w14:paraId="6BE1FDC1">
      <w:pPr>
        <w:spacing w:line="360" w:lineRule="auto"/>
        <w:rPr>
          <w:rFonts w:hint="eastAsia" w:ascii="仿宋" w:hAnsi="仿宋" w:eastAsia="仿宋" w:cs="仿宋"/>
          <w:sz w:val="24"/>
          <w:highlight w:val="none"/>
        </w:rPr>
      </w:pPr>
      <w:r>
        <w:rPr>
          <w:rFonts w:hint="eastAsia" w:ascii="仿宋" w:hAnsi="仿宋" w:eastAsia="仿宋" w:cs="仿宋"/>
          <w:sz w:val="24"/>
          <w:highlight w:val="none"/>
        </w:rPr>
        <w:t>3.3</w:t>
      </w:r>
      <w:r>
        <w:rPr>
          <w:rFonts w:hint="eastAsia" w:ascii="仿宋" w:hAnsi="仿宋" w:eastAsia="仿宋" w:cs="仿宋"/>
          <w:sz w:val="24"/>
          <w:highlight w:val="none"/>
        </w:rPr>
        <w:tab/>
      </w:r>
      <w:r>
        <w:rPr>
          <w:rFonts w:hint="eastAsia" w:ascii="仿宋" w:hAnsi="仿宋" w:eastAsia="仿宋" w:cs="仿宋"/>
          <w:sz w:val="24"/>
          <w:highlight w:val="none"/>
        </w:rPr>
        <w:t>具触控屏自适应功能</w:t>
      </w:r>
      <w:r>
        <w:rPr>
          <w:rFonts w:hint="eastAsia" w:ascii="仿宋" w:hAnsi="仿宋" w:eastAsia="仿宋" w:cs="仿宋"/>
          <w:sz w:val="24"/>
          <w:highlight w:val="none"/>
        </w:rPr>
        <w:tab/>
      </w:r>
      <w:r>
        <w:rPr>
          <w:rFonts w:hint="eastAsia" w:ascii="仿宋" w:hAnsi="仿宋" w:eastAsia="仿宋" w:cs="仿宋"/>
          <w:sz w:val="24"/>
          <w:highlight w:val="none"/>
        </w:rPr>
        <w:t>具备画面自适应功能</w:t>
      </w:r>
    </w:p>
    <w:p w14:paraId="1123C58D">
      <w:pPr>
        <w:spacing w:line="360" w:lineRule="auto"/>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sz w:val="24"/>
          <w:highlight w:val="none"/>
        </w:rPr>
        <w:tab/>
      </w:r>
      <w:r>
        <w:rPr>
          <w:rFonts w:hint="eastAsia" w:ascii="仿宋" w:hAnsi="仿宋" w:eastAsia="仿宋" w:cs="仿宋"/>
          <w:sz w:val="24"/>
          <w:highlight w:val="none"/>
        </w:rPr>
        <w:t>触控屏参数设置功能</w:t>
      </w:r>
      <w:r>
        <w:rPr>
          <w:rFonts w:hint="eastAsia" w:ascii="仿宋" w:hAnsi="仿宋" w:eastAsia="仿宋" w:cs="仿宋"/>
          <w:sz w:val="24"/>
          <w:highlight w:val="none"/>
        </w:rPr>
        <w:tab/>
      </w:r>
      <w:r>
        <w:rPr>
          <w:rFonts w:hint="eastAsia" w:ascii="仿宋" w:hAnsi="仿宋" w:eastAsia="仿宋" w:cs="仿宋"/>
          <w:sz w:val="24"/>
          <w:highlight w:val="none"/>
        </w:rPr>
        <w:t>具备曝光参数设置功能</w:t>
      </w:r>
    </w:p>
    <w:p w14:paraId="09333CB9">
      <w:pPr>
        <w:spacing w:line="360" w:lineRule="auto"/>
        <w:rPr>
          <w:rFonts w:hint="eastAsia" w:ascii="仿宋" w:hAnsi="仿宋" w:eastAsia="仿宋" w:cs="仿宋"/>
          <w:sz w:val="24"/>
          <w:highlight w:val="none"/>
        </w:rPr>
      </w:pPr>
      <w:r>
        <w:rPr>
          <w:rFonts w:hint="eastAsia" w:ascii="仿宋" w:hAnsi="仿宋" w:eastAsia="仿宋" w:cs="仿宋"/>
          <w:sz w:val="24"/>
          <w:highlight w:val="none"/>
        </w:rPr>
        <w:t>3.5触控屏预览功能</w:t>
      </w:r>
      <w:r>
        <w:rPr>
          <w:rFonts w:hint="eastAsia" w:ascii="仿宋" w:hAnsi="仿宋" w:eastAsia="仿宋" w:cs="仿宋"/>
          <w:sz w:val="24"/>
          <w:highlight w:val="none"/>
        </w:rPr>
        <w:tab/>
      </w:r>
      <w:r>
        <w:rPr>
          <w:rFonts w:hint="eastAsia" w:ascii="仿宋" w:hAnsi="仿宋" w:eastAsia="仿宋" w:cs="仿宋"/>
          <w:sz w:val="24"/>
          <w:highlight w:val="none"/>
        </w:rPr>
        <w:t>具备曝光图像预览功能</w:t>
      </w:r>
    </w:p>
    <w:p w14:paraId="53D689FB">
      <w:pPr>
        <w:spacing w:line="360" w:lineRule="auto"/>
        <w:rPr>
          <w:rFonts w:hint="eastAsia" w:ascii="仿宋" w:hAnsi="仿宋" w:eastAsia="仿宋" w:cs="仿宋"/>
          <w:sz w:val="24"/>
          <w:highlight w:val="none"/>
        </w:rPr>
      </w:pPr>
      <w:r>
        <w:rPr>
          <w:rFonts w:hint="eastAsia" w:ascii="仿宋" w:hAnsi="仿宋" w:eastAsia="仿宋" w:cs="仿宋"/>
          <w:sz w:val="24"/>
          <w:highlight w:val="none"/>
        </w:rPr>
        <w:t>3.6</w:t>
      </w:r>
      <w:r>
        <w:rPr>
          <w:rFonts w:hint="eastAsia" w:ascii="仿宋" w:hAnsi="仿宋" w:eastAsia="仿宋" w:cs="仿宋"/>
          <w:sz w:val="24"/>
          <w:highlight w:val="none"/>
        </w:rPr>
        <w:tab/>
      </w:r>
      <w:r>
        <w:rPr>
          <w:rFonts w:hint="eastAsia" w:ascii="仿宋" w:hAnsi="仿宋" w:eastAsia="仿宋" w:cs="仿宋"/>
          <w:sz w:val="24"/>
          <w:highlight w:val="none"/>
        </w:rPr>
        <w:t>触控屏运动参数显示功能</w:t>
      </w:r>
      <w:r>
        <w:rPr>
          <w:rFonts w:hint="eastAsia" w:ascii="仿宋" w:hAnsi="仿宋" w:eastAsia="仿宋" w:cs="仿宋"/>
          <w:sz w:val="24"/>
          <w:highlight w:val="none"/>
        </w:rPr>
        <w:tab/>
      </w:r>
      <w:r>
        <w:rPr>
          <w:rFonts w:hint="eastAsia" w:ascii="仿宋" w:hAnsi="仿宋" w:eastAsia="仿宋" w:cs="仿宋"/>
          <w:sz w:val="24"/>
          <w:highlight w:val="none"/>
        </w:rPr>
        <w:t>具备设备运动参数显示功能</w:t>
      </w:r>
    </w:p>
    <w:p w14:paraId="28530FC6">
      <w:pPr>
        <w:spacing w:line="360" w:lineRule="auto"/>
        <w:rPr>
          <w:rFonts w:hint="eastAsia" w:ascii="仿宋" w:hAnsi="仿宋" w:eastAsia="仿宋" w:cs="仿宋"/>
          <w:bCs/>
          <w:color w:val="FF0000"/>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ab/>
      </w:r>
    </w:p>
    <w:p w14:paraId="1F933FE3">
      <w:pPr>
        <w:rPr>
          <w:color w:val="FF0000"/>
          <w:highlight w:val="none"/>
        </w:rPr>
      </w:pPr>
    </w:p>
    <w:p w14:paraId="55B664EC">
      <w:pPr>
        <w:rPr>
          <w:rFonts w:hint="eastAsia" w:ascii="宋体" w:hAnsi="宋体" w:cs="宋体"/>
          <w:b/>
          <w:bCs/>
          <w:sz w:val="32"/>
          <w:szCs w:val="32"/>
          <w:highlight w:val="none"/>
        </w:rPr>
      </w:pPr>
      <w:r>
        <w:rPr>
          <w:rFonts w:hint="eastAsia" w:ascii="宋体" w:hAnsi="宋体" w:cs="宋体"/>
          <w:b/>
          <w:bCs/>
          <w:sz w:val="32"/>
          <w:szCs w:val="32"/>
          <w:highlight w:val="none"/>
        </w:rPr>
        <w:br w:type="page"/>
      </w:r>
    </w:p>
    <w:p w14:paraId="55E79C00">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设备14.牙科X射线机 </w:t>
      </w:r>
    </w:p>
    <w:p w14:paraId="08C7B7D0">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5C81A7CB">
      <w:pPr>
        <w:numPr>
          <w:ilvl w:val="0"/>
          <w:numId w:val="1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有显示屏。</w:t>
      </w:r>
    </w:p>
    <w:p w14:paraId="23A78502">
      <w:pPr>
        <w:numPr>
          <w:ilvl w:val="0"/>
          <w:numId w:val="1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拍摄人群选择模式：可选择成人和儿童2种模式。</w:t>
      </w:r>
    </w:p>
    <w:p w14:paraId="5B01F202">
      <w:pPr>
        <w:numPr>
          <w:ilvl w:val="0"/>
          <w:numId w:val="1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内置角度传感器，拍摄角度实时显示；具备角度校准功能，可实现一键角度校准。</w:t>
      </w:r>
    </w:p>
    <w:p w14:paraId="09DA5A33">
      <w:pPr>
        <w:numPr>
          <w:ilvl w:val="0"/>
          <w:numId w:val="1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配备大容量动力锂电池，满电状态下可拍片≥100张。</w:t>
      </w:r>
    </w:p>
    <w:p w14:paraId="0864D94D">
      <w:pPr>
        <w:numPr>
          <w:ilvl w:val="0"/>
          <w:numId w:val="1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具备角度校准功能，可实现角度校准。</w:t>
      </w:r>
    </w:p>
    <w:p w14:paraId="13479EBE">
      <w:pPr>
        <w:numPr>
          <w:ilvl w:val="0"/>
          <w:numId w:val="1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支持手持模式拍摄和有线模式拍摄（可适配有线曝光手闸）。</w:t>
      </w:r>
    </w:p>
    <w:p w14:paraId="1E27CD3F">
      <w:pPr>
        <w:numPr>
          <w:ilvl w:val="0"/>
          <w:numId w:val="1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可配三角支架固定拍摄。</w:t>
      </w:r>
    </w:p>
    <w:p w14:paraId="20BA834B">
      <w:pPr>
        <w:numPr>
          <w:ilvl w:val="0"/>
          <w:numId w:val="1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具备安全保护模式，开机需输入密码，避免误操作。</w:t>
      </w:r>
    </w:p>
    <w:p w14:paraId="0E7DCFB7">
      <w:pPr>
        <w:numPr>
          <w:ilvl w:val="0"/>
          <w:numId w:val="1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具备双语选择模式，中文、英文自如切换。</w:t>
      </w:r>
    </w:p>
    <w:p w14:paraId="58925F81">
      <w:pPr>
        <w:pStyle w:val="13"/>
        <w:rPr>
          <w:rFonts w:hint="eastAsia" w:ascii="宋体" w:hAnsi="宋体" w:cs="宋体"/>
          <w:highlight w:val="none"/>
        </w:rPr>
      </w:pPr>
    </w:p>
    <w:p w14:paraId="24D43BA5">
      <w:pPr>
        <w:adjustRightInd w:val="0"/>
        <w:snapToGrid w:val="0"/>
        <w:spacing w:line="360" w:lineRule="auto"/>
        <w:jc w:val="center"/>
        <w:rPr>
          <w:rFonts w:hint="eastAsia" w:ascii="宋体" w:hAnsi="宋体" w:cs="宋体"/>
          <w:b/>
          <w:bCs/>
          <w:sz w:val="32"/>
          <w:szCs w:val="32"/>
          <w:highlight w:val="none"/>
        </w:rPr>
      </w:pPr>
      <w:bookmarkStart w:id="77" w:name="_Toc479251845"/>
      <w:bookmarkStart w:id="78" w:name="_Toc480465882"/>
      <w:r>
        <w:rPr>
          <w:rFonts w:hint="eastAsia" w:ascii="宋体" w:hAnsi="宋体" w:cs="宋体"/>
          <w:b/>
          <w:bCs/>
          <w:sz w:val="32"/>
          <w:szCs w:val="32"/>
          <w:highlight w:val="none"/>
        </w:rPr>
        <w:t>设备15.超声波洁牙机</w:t>
      </w:r>
    </w:p>
    <w:p w14:paraId="34B0F069">
      <w:pPr>
        <w:adjustRightInd w:val="0"/>
        <w:snapToGrid w:val="0"/>
        <w:spacing w:line="360" w:lineRule="auto"/>
        <w:jc w:val="left"/>
        <w:rPr>
          <w:rFonts w:hint="eastAsia"/>
          <w:highlight w:val="none"/>
        </w:rPr>
      </w:pPr>
      <w:r>
        <w:rPr>
          <w:rFonts w:hint="eastAsia" w:ascii="宋体" w:hAnsi="宋体" w:cs="宋体"/>
          <w:b/>
          <w:bCs/>
          <w:sz w:val="32"/>
          <w:szCs w:val="32"/>
          <w:highlight w:val="none"/>
        </w:rPr>
        <w:t>数量：2台</w:t>
      </w:r>
    </w:p>
    <w:p w14:paraId="688DBE15">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1.自动供水模式下可以使用双氧水，次氯酸钠，洗必泰等专用药液，提高临床治疗效果。</w:t>
      </w:r>
    </w:p>
    <w:p w14:paraId="1763CA94">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2.采用全自动频率跟踪系统，自动搜索最佳工作状态，机器性能更稳定。</w:t>
      </w:r>
    </w:p>
    <w:p w14:paraId="634D6E0B">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3.工作过程采用微电脑全自动控制，操作方便简洁，效率高。</w:t>
      </w:r>
    </w:p>
    <w:p w14:paraId="59821549">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4.接插式手柄，带LED灯，操作视野清晰。</w:t>
      </w:r>
    </w:p>
    <w:p w14:paraId="680DDD84">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5.手柄能耐134℃高温和0.22MPa高压消毒。</w:t>
      </w:r>
    </w:p>
    <w:p w14:paraId="2CD31993">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6.正弦波驱动，用户体验更柔和、舒适。</w:t>
      </w:r>
    </w:p>
    <w:p w14:paraId="4C620260">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7.双水路自由选择（水箱/外接水），可满足不同使用场景。</w:t>
      </w:r>
    </w:p>
    <w:p w14:paraId="72DCFAC8">
      <w:pPr>
        <w:widowControl/>
        <w:spacing w:line="360" w:lineRule="auto"/>
        <w:rPr>
          <w:rFonts w:hint="eastAsia" w:ascii="宋体" w:hAnsi="宋体" w:cs="宋体"/>
          <w:color w:val="000000"/>
          <w:sz w:val="24"/>
          <w:highlight w:val="none"/>
        </w:rPr>
      </w:pPr>
      <w:r>
        <w:rPr>
          <w:rFonts w:hint="eastAsia" w:ascii="宋体" w:hAnsi="宋体" w:cs="宋体"/>
          <w:color w:val="000000"/>
          <w:sz w:val="24"/>
          <w:highlight w:val="none"/>
        </w:rPr>
        <w:t>8.输出的尖端主振动偏移（最大值）：90μm</w:t>
      </w:r>
    </w:p>
    <w:p w14:paraId="01376C55">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9.输出的尖端振动频率：28kHz±3kHz</w:t>
      </w:r>
    </w:p>
    <w:p w14:paraId="7A2D8400">
      <w:pPr>
        <w:widowControl/>
        <w:spacing w:line="360" w:lineRule="auto"/>
        <w:rPr>
          <w:rFonts w:hint="eastAsia" w:ascii="宋体" w:hAnsi="宋体" w:cs="宋体"/>
          <w:color w:val="000000"/>
          <w:sz w:val="24"/>
          <w:highlight w:val="none"/>
        </w:rPr>
      </w:pPr>
      <w:r>
        <w:rPr>
          <w:rFonts w:hint="eastAsia" w:ascii="宋体" w:hAnsi="宋体" w:cs="宋体"/>
          <w:color w:val="000000"/>
          <w:sz w:val="24"/>
          <w:highlight w:val="none"/>
        </w:rPr>
        <w:t>10.输出的半偏移力（最大值）：2N</w:t>
      </w:r>
    </w:p>
    <w:p w14:paraId="4C7DFFA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11.主机保险：T0.5AL250V</w:t>
      </w:r>
    </w:p>
    <w:p w14:paraId="3F73E46E">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12.进水压力:0.1bar~5bar(0.01MPa~0.5MPa)</w:t>
      </w:r>
    </w:p>
    <w:p w14:paraId="12EFEBBF">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13.运行模式：连续运行</w:t>
      </w:r>
    </w:p>
    <w:p w14:paraId="2401B4A5">
      <w:pPr>
        <w:pStyle w:val="13"/>
        <w:rPr>
          <w:rFonts w:hint="eastAsia"/>
          <w:highlight w:val="none"/>
        </w:rPr>
      </w:pPr>
    </w:p>
    <w:bookmarkEnd w:id="77"/>
    <w:bookmarkEnd w:id="78"/>
    <w:p w14:paraId="087EF6E1">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设备16.立式压力蒸汽灭菌器 </w:t>
      </w:r>
    </w:p>
    <w:p w14:paraId="23B05982">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4F1F0B9C">
      <w:pPr>
        <w:widowControl/>
        <w:wordWrap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1. 容量≥50L, 立式结构,底部带脚轮</w:t>
      </w:r>
    </w:p>
    <w:p w14:paraId="7BB02D69">
      <w:pPr>
        <w:widowControl/>
        <w:wordWrap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2. 灭菌腔材料:设计使用年限≥10年</w:t>
      </w:r>
    </w:p>
    <w:p w14:paraId="6CA607D2">
      <w:pPr>
        <w:widowControl/>
        <w:wordWrap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 xml:space="preserve">3.灭菌温度范围:灭菌温度:105-135℃, </w:t>
      </w:r>
    </w:p>
    <w:p w14:paraId="0F3E839D">
      <w:pPr>
        <w:widowControl/>
        <w:wordWrap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4.时间范围:灭菌时间:1-300分钟，干燥时间：1-300分钟，</w:t>
      </w:r>
    </w:p>
    <w:p w14:paraId="3F9E92BB">
      <w:pPr>
        <w:widowControl/>
        <w:wordWrap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5．可选烘干功能，配备烘干模块，灭菌后对器具进行烘干，</w:t>
      </w:r>
    </w:p>
    <w:p w14:paraId="4A3E6E91">
      <w:pPr>
        <w:spacing w:line="360" w:lineRule="auto"/>
        <w:rPr>
          <w:rFonts w:hint="eastAsia" w:ascii="宋体" w:hAnsi="宋体" w:cs="宋体"/>
          <w:kern w:val="0"/>
          <w:sz w:val="24"/>
          <w:highlight w:val="none"/>
        </w:rPr>
      </w:pPr>
      <w:r>
        <w:rPr>
          <w:rFonts w:hint="eastAsia" w:ascii="宋体" w:hAnsi="宋体" w:cs="宋体"/>
          <w:kern w:val="0"/>
          <w:sz w:val="24"/>
          <w:highlight w:val="none"/>
        </w:rPr>
        <w:t>6．采用新型的智能控制系统</w:t>
      </w:r>
    </w:p>
    <w:p w14:paraId="23C52081">
      <w:pPr>
        <w:spacing w:line="360" w:lineRule="auto"/>
        <w:rPr>
          <w:rFonts w:hint="eastAsia" w:ascii="宋体" w:hAnsi="宋体" w:cs="宋体"/>
          <w:kern w:val="0"/>
          <w:sz w:val="24"/>
          <w:highlight w:val="none"/>
        </w:rPr>
      </w:pPr>
      <w:r>
        <w:rPr>
          <w:rFonts w:hint="eastAsia" w:ascii="宋体" w:hAnsi="宋体" w:cs="宋体"/>
          <w:kern w:val="0"/>
          <w:sz w:val="24"/>
          <w:highlight w:val="none"/>
        </w:rPr>
        <w:t>7．可按选定的灭菌模式，全自动完成灭菌工作</w:t>
      </w:r>
    </w:p>
    <w:p w14:paraId="5452B5C4">
      <w:pPr>
        <w:spacing w:line="360" w:lineRule="auto"/>
        <w:rPr>
          <w:rFonts w:hint="eastAsia" w:ascii="宋体" w:hAnsi="宋体" w:cs="宋体"/>
          <w:kern w:val="0"/>
          <w:sz w:val="24"/>
          <w:highlight w:val="none"/>
        </w:rPr>
      </w:pPr>
      <w:r>
        <w:rPr>
          <w:rFonts w:hint="eastAsia" w:ascii="宋体" w:hAnsi="宋体" w:cs="宋体"/>
          <w:kern w:val="0"/>
          <w:sz w:val="24"/>
          <w:highlight w:val="none"/>
        </w:rPr>
        <w:t>8. 可针对固体、液体模式灭菌工作</w:t>
      </w:r>
    </w:p>
    <w:p w14:paraId="5E0D02BC">
      <w:pPr>
        <w:spacing w:line="360" w:lineRule="auto"/>
        <w:ind w:left="240" w:hanging="240" w:hangingChars="100"/>
        <w:rPr>
          <w:rFonts w:hint="eastAsia" w:ascii="宋体" w:hAnsi="宋体" w:cs="宋体"/>
          <w:kern w:val="0"/>
          <w:sz w:val="24"/>
          <w:highlight w:val="none"/>
        </w:rPr>
      </w:pPr>
      <w:r>
        <w:rPr>
          <w:rFonts w:hint="eastAsia" w:ascii="宋体" w:hAnsi="宋体" w:cs="宋体"/>
          <w:kern w:val="0"/>
          <w:sz w:val="24"/>
          <w:highlight w:val="none"/>
        </w:rPr>
        <w:t>9.灭菌温度、灭菌时间、干燥时间分别专屏显示，使操作面板简捷易懂；温度、时间分别由专用键设置，使操作更加简便</w:t>
      </w:r>
    </w:p>
    <w:p w14:paraId="3ED2BC54">
      <w:pPr>
        <w:spacing w:line="360" w:lineRule="auto"/>
        <w:rPr>
          <w:rFonts w:hint="eastAsia" w:ascii="宋体" w:hAnsi="宋体" w:cs="宋体"/>
          <w:kern w:val="0"/>
          <w:sz w:val="24"/>
          <w:highlight w:val="none"/>
        </w:rPr>
      </w:pPr>
      <w:r>
        <w:rPr>
          <w:rFonts w:hint="eastAsia" w:ascii="宋体" w:hAnsi="宋体" w:cs="宋体"/>
          <w:kern w:val="0"/>
          <w:sz w:val="24"/>
          <w:highlight w:val="none"/>
        </w:rPr>
        <w:t>10.系统自动监测冷空气的排放情况，确保纯蒸汽的灭菌环境，保证灭菌效果</w:t>
      </w:r>
    </w:p>
    <w:p w14:paraId="05BA0D59">
      <w:pPr>
        <w:spacing w:line="360" w:lineRule="auto"/>
        <w:rPr>
          <w:rFonts w:hint="eastAsia" w:ascii="宋体" w:hAnsi="宋体" w:cs="宋体"/>
          <w:kern w:val="0"/>
          <w:sz w:val="24"/>
          <w:highlight w:val="none"/>
        </w:rPr>
      </w:pPr>
      <w:r>
        <w:rPr>
          <w:rFonts w:hint="eastAsia" w:ascii="宋体" w:hAnsi="宋体" w:cs="宋体"/>
          <w:kern w:val="0"/>
          <w:sz w:val="24"/>
          <w:highlight w:val="none"/>
        </w:rPr>
        <w:t>11. 保温隔热门罩：既美观又防止操作者烫伤</w:t>
      </w:r>
    </w:p>
    <w:p w14:paraId="00FD4361">
      <w:pPr>
        <w:spacing w:line="360" w:lineRule="auto"/>
        <w:rPr>
          <w:rFonts w:hint="eastAsia" w:ascii="宋体" w:hAnsi="宋体" w:cs="宋体"/>
          <w:kern w:val="0"/>
          <w:sz w:val="24"/>
          <w:highlight w:val="none"/>
        </w:rPr>
      </w:pPr>
      <w:r>
        <w:rPr>
          <w:rFonts w:hint="eastAsia" w:ascii="宋体" w:hAnsi="宋体" w:cs="宋体"/>
          <w:kern w:val="0"/>
          <w:sz w:val="24"/>
          <w:highlight w:val="none"/>
        </w:rPr>
        <w:t>12.灭菌过程状态LED动态显示，进程一目了然</w:t>
      </w:r>
    </w:p>
    <w:p w14:paraId="2AC143B7">
      <w:pPr>
        <w:widowControl/>
        <w:wordWrap w:val="0"/>
        <w:spacing w:line="360" w:lineRule="auto"/>
        <w:jc w:val="center"/>
        <w:rPr>
          <w:rFonts w:hint="eastAsia" w:ascii="宋体" w:hAnsi="宋体" w:cs="宋体"/>
          <w:b/>
          <w:bCs/>
          <w:sz w:val="32"/>
          <w:szCs w:val="32"/>
          <w:highlight w:val="none"/>
        </w:rPr>
      </w:pPr>
      <w:r>
        <w:rPr>
          <w:rFonts w:hint="eastAsia" w:ascii="宋体" w:hAnsi="宋体" w:cs="宋体"/>
          <w:kern w:val="0"/>
          <w:sz w:val="24"/>
          <w:highlight w:val="none"/>
        </w:rPr>
        <w:br w:type="page"/>
      </w:r>
      <w:r>
        <w:rPr>
          <w:rFonts w:hint="eastAsia" w:ascii="宋体" w:hAnsi="宋体" w:cs="宋体"/>
          <w:b/>
          <w:bCs/>
          <w:sz w:val="32"/>
          <w:szCs w:val="32"/>
          <w:highlight w:val="none"/>
        </w:rPr>
        <w:t>设备</w:t>
      </w:r>
      <w:r>
        <w:rPr>
          <w:rFonts w:hint="eastAsia" w:ascii="宋体" w:hAnsi="宋体" w:cs="宋体"/>
          <w:b/>
          <w:bCs/>
          <w:kern w:val="0"/>
          <w:sz w:val="32"/>
          <w:szCs w:val="32"/>
          <w:highlight w:val="none"/>
        </w:rPr>
        <w:t>17.</w:t>
      </w:r>
      <w:r>
        <w:rPr>
          <w:rFonts w:hint="eastAsia" w:ascii="宋体" w:hAnsi="宋体" w:cs="宋体"/>
          <w:b/>
          <w:bCs/>
          <w:sz w:val="32"/>
          <w:szCs w:val="32"/>
          <w:highlight w:val="none"/>
        </w:rPr>
        <w:t xml:space="preserve">牙科综合治疗机 </w:t>
      </w:r>
    </w:p>
    <w:p w14:paraId="5AF7693C">
      <w:pPr>
        <w:widowControl/>
        <w:wordWrap w:val="0"/>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数量：2台</w:t>
      </w:r>
    </w:p>
    <w:p w14:paraId="4AEB20DD">
      <w:pPr>
        <w:numPr>
          <w:ilvl w:val="0"/>
          <w:numId w:val="17"/>
        </w:numPr>
        <w:tabs>
          <w:tab w:val="left" w:pos="-3468"/>
          <w:tab w:val="left" w:pos="-2418"/>
          <w:tab w:val="left" w:pos="417"/>
          <w:tab w:val="clear" w:pos="465"/>
        </w:tabs>
        <w:spacing w:after="156" w:afterLines="50" w:line="0" w:lineRule="atLeast"/>
        <w:ind w:left="417" w:hanging="417"/>
        <w:rPr>
          <w:rFonts w:hint="eastAsia" w:ascii="宋体" w:hAnsi="宋体" w:cs="宋体"/>
          <w:sz w:val="24"/>
          <w:highlight w:val="none"/>
        </w:rPr>
      </w:pPr>
      <w:r>
        <w:rPr>
          <w:rFonts w:hint="eastAsia" w:ascii="宋体" w:hAnsi="宋体" w:cs="宋体"/>
          <w:sz w:val="24"/>
          <w:highlight w:val="none"/>
        </w:rPr>
        <w:t>环境: 温度5℃～40℃。</w:t>
      </w:r>
    </w:p>
    <w:p w14:paraId="34FCAA09">
      <w:pPr>
        <w:numPr>
          <w:ilvl w:val="0"/>
          <w:numId w:val="17"/>
        </w:numPr>
        <w:tabs>
          <w:tab w:val="left" w:pos="365"/>
          <w:tab w:val="clear" w:pos="465"/>
        </w:tabs>
        <w:spacing w:after="156" w:afterLines="50" w:line="0" w:lineRule="atLeast"/>
        <w:ind w:left="365" w:hanging="365"/>
        <w:rPr>
          <w:rFonts w:hint="eastAsia" w:ascii="宋体" w:hAnsi="宋体" w:cs="宋体"/>
          <w:sz w:val="24"/>
          <w:highlight w:val="none"/>
        </w:rPr>
      </w:pPr>
      <w:r>
        <w:rPr>
          <w:rFonts w:hint="eastAsia" w:ascii="宋体" w:hAnsi="宋体" w:cs="宋体"/>
          <w:sz w:val="24"/>
          <w:highlight w:val="none"/>
        </w:rPr>
        <w:t>相对湿度：</w:t>
      </w:r>
      <w:r>
        <w:rPr>
          <w:rFonts w:hint="eastAsia" w:ascii="宋体" w:hAnsi="宋体" w:cs="宋体"/>
          <w:bCs/>
          <w:sz w:val="24"/>
          <w:highlight w:val="none"/>
        </w:rPr>
        <w:t>≤ 80％</w:t>
      </w:r>
      <w:r>
        <w:rPr>
          <w:rFonts w:hint="eastAsia" w:ascii="宋体" w:hAnsi="宋体" w:cs="宋体"/>
          <w:sz w:val="24"/>
          <w:highlight w:val="none"/>
        </w:rPr>
        <w:t>。</w:t>
      </w:r>
    </w:p>
    <w:p w14:paraId="01DD766B">
      <w:pPr>
        <w:numPr>
          <w:ilvl w:val="0"/>
          <w:numId w:val="17"/>
        </w:numPr>
        <w:tabs>
          <w:tab w:val="left" w:pos="365"/>
          <w:tab w:val="clear" w:pos="465"/>
        </w:tabs>
        <w:spacing w:after="156" w:afterLines="50" w:line="0" w:lineRule="atLeast"/>
        <w:ind w:left="363" w:hanging="363"/>
        <w:rPr>
          <w:rFonts w:hint="eastAsia" w:ascii="宋体" w:hAnsi="宋体" w:cs="宋体"/>
          <w:sz w:val="24"/>
          <w:highlight w:val="none"/>
        </w:rPr>
      </w:pPr>
      <w:r>
        <w:rPr>
          <w:rFonts w:hint="eastAsia" w:ascii="宋体" w:hAnsi="宋体" w:cs="宋体"/>
          <w:sz w:val="24"/>
          <w:highlight w:val="none"/>
        </w:rPr>
        <w:t>水源：水压0.20 MPa～0.40 Mpa，流量＞10 L/min。水过滤孔径：90 µm</w:t>
      </w:r>
    </w:p>
    <w:p w14:paraId="66F55D3F">
      <w:pPr>
        <w:spacing w:after="156" w:afterLines="50" w:line="0" w:lineRule="atLeast"/>
        <w:ind w:left="363"/>
        <w:rPr>
          <w:rFonts w:hint="eastAsia" w:ascii="宋体" w:hAnsi="宋体" w:cs="宋体"/>
          <w:sz w:val="24"/>
          <w:highlight w:val="none"/>
        </w:rPr>
      </w:pPr>
      <w:r>
        <w:rPr>
          <w:rFonts w:hint="eastAsia" w:ascii="宋体" w:hAnsi="宋体" w:cs="宋体"/>
          <w:sz w:val="24"/>
          <w:highlight w:val="none"/>
        </w:rPr>
        <w:t>水硬度:低于 2.14 mmoL/L(&lt;12 ºdH)  pH:6.5至8.5  最大粒径:&lt;100μm</w:t>
      </w:r>
    </w:p>
    <w:p w14:paraId="1AB516FC">
      <w:pPr>
        <w:numPr>
          <w:ilvl w:val="0"/>
          <w:numId w:val="17"/>
        </w:numPr>
        <w:tabs>
          <w:tab w:val="left" w:pos="365"/>
          <w:tab w:val="clear" w:pos="465"/>
        </w:tabs>
        <w:spacing w:after="156" w:afterLines="50" w:line="0" w:lineRule="atLeast"/>
        <w:ind w:left="363" w:hanging="363"/>
        <w:rPr>
          <w:rFonts w:hint="eastAsia" w:ascii="宋体" w:hAnsi="宋体" w:cs="宋体"/>
          <w:sz w:val="24"/>
          <w:highlight w:val="none"/>
        </w:rPr>
      </w:pPr>
      <w:r>
        <w:rPr>
          <w:rFonts w:hint="eastAsia" w:ascii="宋体" w:hAnsi="宋体" w:cs="宋体"/>
          <w:sz w:val="24"/>
          <w:highlight w:val="none"/>
        </w:rPr>
        <w:t>气源：气压0.5 MPa～0.80 Mpa，流量＞80 NL/min，无油。气过滤孔径：25 µm</w:t>
      </w:r>
    </w:p>
    <w:p w14:paraId="19C34C5F">
      <w:pPr>
        <w:spacing w:after="156" w:afterLines="50" w:line="0" w:lineRule="atLeast"/>
        <w:rPr>
          <w:rFonts w:hint="eastAsia" w:ascii="宋体" w:hAnsi="宋体" w:cs="宋体"/>
          <w:sz w:val="24"/>
          <w:highlight w:val="none"/>
        </w:rPr>
      </w:pPr>
      <w:r>
        <w:rPr>
          <w:rFonts w:hint="eastAsia" w:ascii="宋体" w:hAnsi="宋体" w:cs="宋体"/>
          <w:sz w:val="24"/>
          <w:highlight w:val="none"/>
        </w:rPr>
        <w:t xml:space="preserve">7、湿度：1000L 空气／10ml（大气压下露点不高于-20ºC） </w:t>
      </w:r>
    </w:p>
    <w:p w14:paraId="0A2E98F3">
      <w:pPr>
        <w:spacing w:after="156" w:afterLines="50" w:line="0" w:lineRule="atLeast"/>
        <w:rPr>
          <w:rFonts w:hint="eastAsia" w:ascii="宋体" w:hAnsi="宋体" w:cs="宋体"/>
          <w:sz w:val="24"/>
          <w:highlight w:val="none"/>
        </w:rPr>
      </w:pPr>
      <w:r>
        <w:rPr>
          <w:rFonts w:hint="eastAsia" w:ascii="宋体" w:hAnsi="宋体" w:cs="宋体"/>
          <w:sz w:val="24"/>
          <w:highlight w:val="none"/>
        </w:rPr>
        <w:t>8、微粒污染：1μm至5μm大小的微粒不高于100个每立方米</w:t>
      </w:r>
    </w:p>
    <w:p w14:paraId="0A940CEF">
      <w:pPr>
        <w:tabs>
          <w:tab w:val="left" w:pos="365"/>
        </w:tabs>
        <w:spacing w:after="156" w:afterLines="50" w:line="0" w:lineRule="atLeast"/>
        <w:rPr>
          <w:rFonts w:hint="eastAsia" w:ascii="宋体" w:hAnsi="宋体" w:cs="宋体"/>
          <w:sz w:val="24"/>
          <w:highlight w:val="none"/>
        </w:rPr>
      </w:pPr>
      <w:r>
        <w:rPr>
          <w:rFonts w:hint="eastAsia" w:ascii="宋体" w:hAnsi="宋体" w:cs="宋体"/>
          <w:sz w:val="24"/>
          <w:highlight w:val="none"/>
        </w:rPr>
        <w:t>9、固定牙机的地面应平整，安装后的机身偏斜角度应不大于0.5°。</w:t>
      </w:r>
    </w:p>
    <w:p w14:paraId="363E27A6">
      <w:pPr>
        <w:spacing w:after="156" w:afterLines="50" w:line="0" w:lineRule="atLeast"/>
        <w:rPr>
          <w:rFonts w:hint="eastAsia" w:ascii="宋体" w:hAnsi="宋体" w:cs="宋体"/>
          <w:sz w:val="24"/>
          <w:highlight w:val="none"/>
        </w:rPr>
      </w:pPr>
      <w:r>
        <w:rPr>
          <w:rFonts w:hint="eastAsia" w:ascii="宋体" w:hAnsi="宋体" w:cs="宋体"/>
          <w:sz w:val="24"/>
          <w:highlight w:val="none"/>
        </w:rPr>
        <w:t>10、噪音：＜70 dB（A）</w:t>
      </w:r>
    </w:p>
    <w:p w14:paraId="6D867C27">
      <w:pPr>
        <w:widowControl/>
        <w:wordWrap w:val="0"/>
        <w:spacing w:line="360" w:lineRule="auto"/>
        <w:jc w:val="center"/>
        <w:rPr>
          <w:rFonts w:hint="eastAsia" w:ascii="宋体" w:hAnsi="宋体" w:cs="宋体"/>
          <w:b/>
          <w:bCs/>
          <w:sz w:val="32"/>
          <w:szCs w:val="32"/>
          <w:highlight w:val="none"/>
        </w:rPr>
      </w:pPr>
    </w:p>
    <w:p w14:paraId="008F0A27">
      <w:pPr>
        <w:widowControl/>
        <w:wordWrap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w:t>
      </w:r>
      <w:r>
        <w:rPr>
          <w:rFonts w:hint="eastAsia" w:ascii="宋体" w:hAnsi="宋体" w:cs="宋体"/>
          <w:b/>
          <w:bCs/>
          <w:kern w:val="0"/>
          <w:sz w:val="32"/>
          <w:szCs w:val="32"/>
          <w:highlight w:val="none"/>
        </w:rPr>
        <w:t>18.</w:t>
      </w:r>
      <w:r>
        <w:rPr>
          <w:rFonts w:hint="eastAsia" w:ascii="宋体" w:hAnsi="宋体" w:cs="宋体"/>
          <w:b/>
          <w:bCs/>
          <w:sz w:val="32"/>
          <w:szCs w:val="32"/>
          <w:highlight w:val="none"/>
        </w:rPr>
        <w:t xml:space="preserve">根管治疗机扩仪 </w:t>
      </w:r>
    </w:p>
    <w:p w14:paraId="07A77B7C">
      <w:pPr>
        <w:widowControl/>
        <w:wordWrap w:val="0"/>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67C6120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1.电源输入 ：AC100--240V,50/60Hz,800mA</w:t>
      </w:r>
    </w:p>
    <w:p w14:paraId="1D1E752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2.电源输出：15.0V/1.6A</w:t>
      </w:r>
    </w:p>
    <w:p w14:paraId="4556CCCB">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3.手柄电池：3.7V/1200mAh 可充电锂电池</w:t>
      </w:r>
    </w:p>
    <w:p w14:paraId="3EA56E5D">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4.底座电池：11.1V/2600mAh 可充电锂电池</w:t>
      </w:r>
    </w:p>
    <w:p w14:paraId="6AD3E05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5.速度:100--1200rpm</w:t>
      </w:r>
    </w:p>
    <w:p w14:paraId="05F3396C">
      <w:pPr>
        <w:widowControl/>
        <w:wordWrap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6.扭矩:0.4-5.0 N.cm</w:t>
      </w:r>
    </w:p>
    <w:p w14:paraId="2458754A">
      <w:pPr>
        <w:widowControl/>
        <w:wordWrap w:val="0"/>
        <w:spacing w:line="360" w:lineRule="auto"/>
        <w:jc w:val="center"/>
        <w:rPr>
          <w:rFonts w:hint="eastAsia" w:ascii="宋体" w:hAnsi="宋体" w:cs="宋体"/>
          <w:b/>
          <w:bCs/>
          <w:sz w:val="32"/>
          <w:szCs w:val="32"/>
          <w:highlight w:val="none"/>
        </w:rPr>
      </w:pPr>
      <w:r>
        <w:rPr>
          <w:rFonts w:hint="eastAsia" w:ascii="宋体" w:hAnsi="宋体" w:cs="宋体"/>
          <w:kern w:val="0"/>
          <w:sz w:val="24"/>
          <w:highlight w:val="none"/>
        </w:rPr>
        <w:br w:type="page"/>
      </w:r>
      <w:r>
        <w:rPr>
          <w:rFonts w:hint="eastAsia" w:ascii="宋体" w:hAnsi="宋体" w:cs="宋体"/>
          <w:b/>
          <w:bCs/>
          <w:sz w:val="32"/>
          <w:szCs w:val="32"/>
          <w:highlight w:val="none"/>
        </w:rPr>
        <w:t>设备19</w:t>
      </w:r>
      <w:r>
        <w:rPr>
          <w:rFonts w:hint="eastAsia" w:ascii="宋体" w:hAnsi="宋体" w:cs="宋体"/>
          <w:b/>
          <w:bCs/>
          <w:kern w:val="0"/>
          <w:sz w:val="32"/>
          <w:szCs w:val="32"/>
          <w:highlight w:val="none"/>
        </w:rPr>
        <w:t>.</w:t>
      </w:r>
      <w:r>
        <w:rPr>
          <w:rFonts w:hint="eastAsia" w:ascii="宋体" w:hAnsi="宋体" w:cs="宋体"/>
          <w:b/>
          <w:bCs/>
          <w:sz w:val="32"/>
          <w:szCs w:val="32"/>
          <w:highlight w:val="none"/>
        </w:rPr>
        <w:t>牙科电动无油空压机</w:t>
      </w:r>
    </w:p>
    <w:p w14:paraId="0EA807E2">
      <w:pPr>
        <w:widowControl/>
        <w:wordWrap w:val="0"/>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 1台</w:t>
      </w:r>
    </w:p>
    <w:p w14:paraId="02740431">
      <w:pPr>
        <w:spacing w:line="360" w:lineRule="auto"/>
        <w:rPr>
          <w:rFonts w:hint="eastAsia" w:ascii="宋体" w:hAnsi="宋体" w:cs="宋体"/>
          <w:sz w:val="24"/>
          <w:highlight w:val="none"/>
        </w:rPr>
      </w:pPr>
      <w:r>
        <w:rPr>
          <w:rFonts w:hint="eastAsia" w:ascii="宋体" w:hAnsi="宋体" w:cs="宋体"/>
          <w:sz w:val="24"/>
          <w:highlight w:val="none"/>
        </w:rPr>
        <w:t>一．基本要求</w:t>
      </w:r>
    </w:p>
    <w:p w14:paraId="0F13A48A">
      <w:pPr>
        <w:spacing w:line="360" w:lineRule="auto"/>
        <w:rPr>
          <w:rFonts w:hint="eastAsia" w:ascii="宋体" w:hAnsi="宋体" w:cs="宋体"/>
          <w:sz w:val="24"/>
          <w:highlight w:val="none"/>
        </w:rPr>
      </w:pPr>
      <w:r>
        <w:rPr>
          <w:rFonts w:hint="eastAsia" w:ascii="宋体" w:hAnsi="宋体" w:cs="宋体"/>
          <w:sz w:val="24"/>
          <w:highlight w:val="none"/>
        </w:rPr>
        <w:t>1.为牙科综合治疗台提供洁净、稳定动力气源。</w:t>
      </w:r>
    </w:p>
    <w:p w14:paraId="02AAF314">
      <w:pPr>
        <w:spacing w:line="360" w:lineRule="auto"/>
        <w:rPr>
          <w:rFonts w:hint="eastAsia" w:ascii="宋体" w:hAnsi="宋体" w:cs="宋体"/>
          <w:sz w:val="24"/>
          <w:highlight w:val="none"/>
        </w:rPr>
      </w:pPr>
      <w:r>
        <w:rPr>
          <w:rFonts w:hint="eastAsia" w:ascii="宋体" w:hAnsi="宋体" w:cs="宋体"/>
          <w:sz w:val="24"/>
          <w:highlight w:val="none"/>
        </w:rPr>
        <w:t>二．技术参数</w:t>
      </w:r>
    </w:p>
    <w:p w14:paraId="31FD4D7F">
      <w:pPr>
        <w:spacing w:line="360" w:lineRule="auto"/>
        <w:rPr>
          <w:rFonts w:hint="eastAsia" w:ascii="宋体" w:hAnsi="宋体" w:cs="宋体"/>
          <w:sz w:val="24"/>
          <w:highlight w:val="none"/>
        </w:rPr>
      </w:pPr>
      <w:r>
        <w:rPr>
          <w:rFonts w:hint="eastAsia" w:ascii="宋体" w:hAnsi="宋体" w:cs="宋体"/>
          <w:sz w:val="24"/>
          <w:highlight w:val="none"/>
        </w:rPr>
        <w:t>1.工作环境：</w:t>
      </w:r>
      <w:r>
        <w:rPr>
          <w:rFonts w:hint="eastAsia" w:ascii="宋体" w:hAnsi="宋体" w:cs="宋体"/>
          <w:kern w:val="0"/>
          <w:sz w:val="24"/>
          <w:highlight w:val="none"/>
        </w:rPr>
        <w:t>环境温度：5 ℃ ～ 40 ℃。相对湿度：≤ 95 %，通风流量 ≥0.22 m3/s</w:t>
      </w:r>
    </w:p>
    <w:p w14:paraId="247B1AB0">
      <w:pPr>
        <w:spacing w:line="360" w:lineRule="auto"/>
        <w:rPr>
          <w:rFonts w:hint="eastAsia" w:ascii="宋体" w:hAnsi="宋体" w:cs="宋体"/>
          <w:sz w:val="24"/>
          <w:highlight w:val="none"/>
        </w:rPr>
      </w:pPr>
      <w:r>
        <w:rPr>
          <w:rFonts w:hint="eastAsia" w:ascii="宋体" w:hAnsi="宋体" w:cs="宋体"/>
          <w:sz w:val="24"/>
          <w:highlight w:val="none"/>
        </w:rPr>
        <w:t>2.噪音：≤58DB（A）</w:t>
      </w:r>
    </w:p>
    <w:p w14:paraId="79AEDE65">
      <w:pPr>
        <w:spacing w:line="360" w:lineRule="auto"/>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caps/>
          <w:position w:val="6"/>
          <w:sz w:val="24"/>
          <w:highlight w:val="none"/>
        </w:rPr>
        <w:t>油含量：0（卫生级空气）</w:t>
      </w:r>
    </w:p>
    <w:p w14:paraId="33673BF3">
      <w:pPr>
        <w:spacing w:line="360" w:lineRule="auto"/>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bCs/>
          <w:caps/>
          <w:position w:val="6"/>
          <w:sz w:val="24"/>
          <w:highlight w:val="none"/>
        </w:rPr>
        <w:t xml:space="preserve">储气罐容积: </w:t>
      </w:r>
      <w:r>
        <w:rPr>
          <w:rFonts w:hint="eastAsia" w:ascii="宋体" w:hAnsi="宋体" w:cs="宋体"/>
          <w:kern w:val="0"/>
          <w:sz w:val="24"/>
          <w:highlight w:val="none"/>
        </w:rPr>
        <w:t>≥</w:t>
      </w:r>
      <w:r>
        <w:rPr>
          <w:rFonts w:hint="eastAsia" w:ascii="宋体" w:hAnsi="宋体" w:cs="宋体"/>
          <w:bCs/>
          <w:caps/>
          <w:position w:val="6"/>
          <w:sz w:val="24"/>
          <w:highlight w:val="none"/>
        </w:rPr>
        <w:t>50L</w:t>
      </w:r>
    </w:p>
    <w:p w14:paraId="5CE47B8F">
      <w:pPr>
        <w:spacing w:line="360" w:lineRule="auto"/>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bCs/>
          <w:caps/>
          <w:position w:val="6"/>
          <w:sz w:val="24"/>
          <w:highlight w:val="none"/>
        </w:rPr>
        <w:t>压力范围：5~8B</w:t>
      </w:r>
      <w:r>
        <w:rPr>
          <w:rFonts w:hint="eastAsia" w:ascii="宋体" w:hAnsi="宋体" w:cs="宋体"/>
          <w:bCs/>
          <w:position w:val="6"/>
          <w:sz w:val="24"/>
          <w:highlight w:val="none"/>
        </w:rPr>
        <w:t>ar</w:t>
      </w:r>
    </w:p>
    <w:p w14:paraId="5E127C30">
      <w:pPr>
        <w:spacing w:line="360" w:lineRule="auto"/>
        <w:rPr>
          <w:rFonts w:hint="eastAsia" w:ascii="宋体" w:hAnsi="宋体" w:cs="宋体"/>
          <w:sz w:val="24"/>
          <w:highlight w:val="none"/>
        </w:rPr>
      </w:pPr>
      <w:r>
        <w:rPr>
          <w:rFonts w:hint="eastAsia" w:ascii="宋体" w:hAnsi="宋体" w:cs="宋体"/>
          <w:sz w:val="24"/>
          <w:highlight w:val="none"/>
        </w:rPr>
        <w:t>6.</w:t>
      </w:r>
      <w:r>
        <w:rPr>
          <w:rFonts w:hint="eastAsia" w:ascii="宋体" w:hAnsi="宋体" w:cs="宋体"/>
          <w:bCs/>
          <w:caps/>
          <w:position w:val="6"/>
          <w:sz w:val="24"/>
          <w:highlight w:val="none"/>
        </w:rPr>
        <w:t xml:space="preserve">最大排气量: </w:t>
      </w:r>
      <w:r>
        <w:rPr>
          <w:rFonts w:hint="eastAsia" w:ascii="宋体" w:hAnsi="宋体" w:cs="宋体"/>
          <w:kern w:val="0"/>
          <w:sz w:val="24"/>
          <w:highlight w:val="none"/>
        </w:rPr>
        <w:t>≥</w:t>
      </w:r>
      <w:r>
        <w:rPr>
          <w:rFonts w:hint="eastAsia" w:ascii="宋体" w:hAnsi="宋体" w:cs="宋体"/>
          <w:bCs/>
          <w:caps/>
          <w:position w:val="6"/>
          <w:sz w:val="24"/>
          <w:highlight w:val="none"/>
        </w:rPr>
        <w:t>230 L/</w:t>
      </w:r>
      <w:r>
        <w:rPr>
          <w:rFonts w:hint="eastAsia" w:ascii="宋体" w:hAnsi="宋体" w:cs="宋体"/>
          <w:bCs/>
          <w:position w:val="6"/>
          <w:sz w:val="24"/>
          <w:highlight w:val="none"/>
        </w:rPr>
        <w:t>min</w:t>
      </w:r>
      <w:r>
        <w:rPr>
          <w:rFonts w:hint="eastAsia" w:ascii="宋体" w:hAnsi="宋体" w:cs="宋体"/>
          <w:bCs/>
          <w:caps/>
          <w:position w:val="6"/>
          <w:sz w:val="24"/>
          <w:highlight w:val="none"/>
        </w:rPr>
        <w:t xml:space="preserve"> （0公斤）</w:t>
      </w:r>
    </w:p>
    <w:p w14:paraId="7570B3D1">
      <w:pPr>
        <w:spacing w:line="360" w:lineRule="auto"/>
        <w:rPr>
          <w:rFonts w:hint="eastAsia" w:ascii="宋体" w:hAnsi="宋体" w:cs="宋体"/>
          <w:sz w:val="24"/>
          <w:highlight w:val="none"/>
        </w:rPr>
      </w:pPr>
      <w:r>
        <w:rPr>
          <w:rFonts w:hint="eastAsia" w:ascii="宋体" w:hAnsi="宋体" w:cs="宋体"/>
          <w:sz w:val="24"/>
          <w:highlight w:val="none"/>
        </w:rPr>
        <w:t>7.额定流量：</w:t>
      </w:r>
      <w:r>
        <w:rPr>
          <w:rFonts w:hint="eastAsia" w:ascii="宋体" w:hAnsi="宋体" w:cs="宋体"/>
          <w:kern w:val="0"/>
          <w:sz w:val="24"/>
          <w:highlight w:val="none"/>
        </w:rPr>
        <w:t>≥</w:t>
      </w:r>
      <w:r>
        <w:rPr>
          <w:rFonts w:hint="eastAsia" w:ascii="宋体" w:hAnsi="宋体" w:cs="宋体"/>
          <w:sz w:val="24"/>
          <w:highlight w:val="none"/>
        </w:rPr>
        <w:t>120L/min</w:t>
      </w:r>
    </w:p>
    <w:p w14:paraId="34B3EC44">
      <w:pPr>
        <w:pStyle w:val="13"/>
        <w:rPr>
          <w:rFonts w:hint="eastAsia" w:ascii="宋体" w:hAnsi="宋体" w:cs="宋体"/>
          <w:highlight w:val="none"/>
        </w:rPr>
      </w:pPr>
    </w:p>
    <w:p w14:paraId="7BE32D21">
      <w:pPr>
        <w:widowControl/>
        <w:wordWrap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w:t>
      </w:r>
      <w:r>
        <w:rPr>
          <w:rFonts w:hint="eastAsia" w:ascii="宋体" w:hAnsi="宋体" w:cs="宋体"/>
          <w:b/>
          <w:bCs/>
          <w:kern w:val="0"/>
          <w:sz w:val="32"/>
          <w:szCs w:val="32"/>
          <w:highlight w:val="none"/>
        </w:rPr>
        <w:t>20.</w:t>
      </w:r>
      <w:r>
        <w:rPr>
          <w:rFonts w:hint="eastAsia" w:ascii="宋体" w:hAnsi="宋体" w:cs="宋体"/>
          <w:b/>
          <w:bCs/>
          <w:sz w:val="32"/>
          <w:szCs w:val="32"/>
          <w:highlight w:val="none"/>
        </w:rPr>
        <w:t xml:space="preserve">台式压力灭菌器 </w:t>
      </w:r>
    </w:p>
    <w:p w14:paraId="5C983759">
      <w:pPr>
        <w:widowControl/>
        <w:wordWrap w:val="0"/>
        <w:spacing w:line="360" w:lineRule="auto"/>
        <w:jc w:val="left"/>
        <w:rPr>
          <w:rFonts w:ascii="宋体" w:hAnsi="宋体" w:cs="宋体"/>
          <w:b/>
          <w:bCs/>
          <w:sz w:val="24"/>
          <w:highlight w:val="none"/>
        </w:rPr>
      </w:pPr>
      <w:r>
        <w:rPr>
          <w:rFonts w:hint="eastAsia" w:ascii="宋体" w:hAnsi="宋体" w:cs="宋体"/>
          <w:b/>
          <w:bCs/>
          <w:sz w:val="32"/>
          <w:szCs w:val="32"/>
          <w:highlight w:val="none"/>
        </w:rPr>
        <w:t>数量：1台</w:t>
      </w:r>
    </w:p>
    <w:p w14:paraId="1EA3FB29">
      <w:pPr>
        <w:numPr>
          <w:ilvl w:val="0"/>
          <w:numId w:val="18"/>
        </w:numPr>
        <w:spacing w:line="360" w:lineRule="auto"/>
        <w:rPr>
          <w:rFonts w:hint="eastAsia" w:ascii="宋体" w:hAnsi="宋体" w:cs="宋体"/>
          <w:sz w:val="24"/>
          <w:highlight w:val="none"/>
        </w:rPr>
      </w:pPr>
      <w:r>
        <w:rPr>
          <w:rFonts w:hint="eastAsia" w:ascii="宋体" w:hAnsi="宋体" w:cs="宋体"/>
          <w:sz w:val="24"/>
          <w:highlight w:val="none"/>
        </w:rPr>
        <w:t>容积 ：≥10L</w:t>
      </w:r>
    </w:p>
    <w:p w14:paraId="741ED0F8">
      <w:pPr>
        <w:numPr>
          <w:ilvl w:val="0"/>
          <w:numId w:val="18"/>
        </w:numPr>
        <w:spacing w:line="360" w:lineRule="auto"/>
        <w:rPr>
          <w:rFonts w:hint="eastAsia" w:ascii="宋体" w:hAnsi="宋体" w:cs="宋体"/>
          <w:sz w:val="24"/>
          <w:highlight w:val="none"/>
        </w:rPr>
      </w:pPr>
      <w:r>
        <w:rPr>
          <w:rFonts w:hint="eastAsia" w:ascii="宋体" w:hAnsi="宋体" w:cs="宋体"/>
          <w:sz w:val="24"/>
          <w:highlight w:val="none"/>
        </w:rPr>
        <w:t>储水箱容积：≥2L</w:t>
      </w:r>
    </w:p>
    <w:p w14:paraId="37D841D5">
      <w:pPr>
        <w:numPr>
          <w:ilvl w:val="0"/>
          <w:numId w:val="18"/>
        </w:numPr>
        <w:spacing w:line="360" w:lineRule="auto"/>
        <w:rPr>
          <w:rFonts w:hint="eastAsia" w:ascii="宋体" w:hAnsi="宋体" w:cs="宋体"/>
          <w:sz w:val="24"/>
          <w:highlight w:val="none"/>
        </w:rPr>
      </w:pPr>
      <w:r>
        <w:rPr>
          <w:rFonts w:hint="eastAsia" w:ascii="宋体" w:hAnsi="宋体" w:cs="宋体"/>
          <w:sz w:val="24"/>
          <w:highlight w:val="none"/>
        </w:rPr>
        <w:t>最低水量（L）：≥1L</w:t>
      </w:r>
    </w:p>
    <w:p w14:paraId="05B6ECC4">
      <w:pPr>
        <w:numPr>
          <w:ilvl w:val="0"/>
          <w:numId w:val="18"/>
        </w:numPr>
        <w:spacing w:line="360" w:lineRule="auto"/>
        <w:rPr>
          <w:rFonts w:hint="eastAsia" w:ascii="宋体" w:hAnsi="宋体" w:cs="宋体"/>
          <w:sz w:val="24"/>
          <w:highlight w:val="none"/>
        </w:rPr>
      </w:pPr>
      <w:r>
        <w:rPr>
          <w:rFonts w:hint="eastAsia" w:ascii="宋体" w:hAnsi="宋体" w:cs="宋体"/>
          <w:sz w:val="24"/>
          <w:highlight w:val="none"/>
        </w:rPr>
        <w:t>设计温度（℃）：≤140℃</w:t>
      </w:r>
    </w:p>
    <w:p w14:paraId="23ABE225">
      <w:pPr>
        <w:numPr>
          <w:ilvl w:val="0"/>
          <w:numId w:val="18"/>
        </w:numPr>
        <w:spacing w:line="360" w:lineRule="auto"/>
        <w:rPr>
          <w:rFonts w:hint="eastAsia" w:ascii="宋体" w:hAnsi="宋体" w:cs="宋体"/>
          <w:sz w:val="24"/>
          <w:highlight w:val="none"/>
        </w:rPr>
      </w:pPr>
      <w:r>
        <w:rPr>
          <w:rFonts w:hint="eastAsia" w:ascii="宋体" w:hAnsi="宋体" w:cs="宋体"/>
          <w:sz w:val="24"/>
          <w:highlight w:val="none"/>
        </w:rPr>
        <w:t>压力显示精度（KPa）：≤1KPa</w:t>
      </w:r>
    </w:p>
    <w:p w14:paraId="16F76860">
      <w:pPr>
        <w:numPr>
          <w:ilvl w:val="0"/>
          <w:numId w:val="18"/>
        </w:numPr>
        <w:spacing w:line="360" w:lineRule="auto"/>
        <w:rPr>
          <w:rFonts w:hint="eastAsia" w:ascii="宋体" w:hAnsi="宋体" w:cs="宋体"/>
          <w:sz w:val="24"/>
          <w:highlight w:val="none"/>
        </w:rPr>
      </w:pPr>
      <w:r>
        <w:rPr>
          <w:rFonts w:hint="eastAsia" w:ascii="宋体" w:hAnsi="宋体" w:cs="宋体"/>
          <w:sz w:val="24"/>
          <w:highlight w:val="none"/>
        </w:rPr>
        <w:t>温度显示精度（℃）：≤0.1℃</w:t>
      </w:r>
    </w:p>
    <w:p w14:paraId="5E2F2469">
      <w:pPr>
        <w:numPr>
          <w:ilvl w:val="0"/>
          <w:numId w:val="18"/>
        </w:numPr>
        <w:spacing w:line="360" w:lineRule="auto"/>
        <w:rPr>
          <w:rFonts w:hint="eastAsia" w:ascii="宋体" w:hAnsi="宋体" w:cs="宋体"/>
          <w:sz w:val="24"/>
          <w:highlight w:val="none"/>
        </w:rPr>
      </w:pPr>
      <w:r>
        <w:rPr>
          <w:rFonts w:hint="eastAsia" w:ascii="宋体" w:hAnsi="宋体" w:cs="宋体"/>
          <w:sz w:val="24"/>
          <w:highlight w:val="none"/>
        </w:rPr>
        <w:t>环境温度（℃）：+5℃-40℃</w:t>
      </w:r>
    </w:p>
    <w:p w14:paraId="0BF95F83">
      <w:pPr>
        <w:spacing w:line="360" w:lineRule="auto"/>
        <w:jc w:val="center"/>
        <w:rPr>
          <w:rFonts w:hint="eastAsia"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 xml:space="preserve">设备21.超声洁牙机 </w:t>
      </w:r>
    </w:p>
    <w:p w14:paraId="4726198C">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164F582A">
      <w:pPr>
        <w:widowControl/>
        <w:spacing w:line="360" w:lineRule="auto"/>
        <w:rPr>
          <w:rFonts w:hint="eastAsia" w:ascii="宋体" w:hAnsi="宋体" w:cs="宋体"/>
          <w:color w:val="000000"/>
          <w:sz w:val="24"/>
          <w:highlight w:val="none"/>
        </w:rPr>
      </w:pPr>
      <w:r>
        <w:rPr>
          <w:rFonts w:hint="eastAsia" w:ascii="宋体" w:hAnsi="宋体" w:cs="宋体"/>
          <w:color w:val="000000"/>
          <w:sz w:val="24"/>
          <w:highlight w:val="none"/>
        </w:rPr>
        <w:t>1.输出的尖端主振动偏移（最大值）：90μm</w:t>
      </w:r>
    </w:p>
    <w:p w14:paraId="035F0AA9">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2.输出的尖端振动频率：28kHz±3kHz</w:t>
      </w:r>
    </w:p>
    <w:p w14:paraId="02572AFD">
      <w:pPr>
        <w:widowControl/>
        <w:spacing w:line="360" w:lineRule="auto"/>
        <w:rPr>
          <w:rFonts w:hint="eastAsia" w:ascii="宋体" w:hAnsi="宋体" w:cs="宋体"/>
          <w:color w:val="000000"/>
          <w:sz w:val="24"/>
          <w:highlight w:val="none"/>
        </w:rPr>
      </w:pPr>
      <w:r>
        <w:rPr>
          <w:rFonts w:hint="eastAsia" w:ascii="宋体" w:hAnsi="宋体" w:cs="宋体"/>
          <w:color w:val="000000"/>
          <w:sz w:val="24"/>
          <w:highlight w:val="none"/>
        </w:rPr>
        <w:t>3.输出的半偏移力（最大值）：2N</w:t>
      </w:r>
    </w:p>
    <w:p w14:paraId="6DF04589">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4.尖端输出功率：3W～20W</w:t>
      </w:r>
    </w:p>
    <w:p w14:paraId="22319FC2">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5.主机保险：T0.5AL250V</w:t>
      </w:r>
    </w:p>
    <w:p w14:paraId="47387B7E">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6.进水压力:0.1bar~5bar(0.01MPa~0.5MPa)</w:t>
      </w:r>
    </w:p>
    <w:p w14:paraId="509B9870">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7.运行模式：连续运行</w:t>
      </w:r>
    </w:p>
    <w:p w14:paraId="024CB24A">
      <w:pPr>
        <w:pStyle w:val="13"/>
        <w:rPr>
          <w:rFonts w:hint="eastAsia" w:ascii="宋体" w:hAnsi="宋体" w:cs="宋体"/>
          <w:highlight w:val="none"/>
        </w:rPr>
      </w:pPr>
    </w:p>
    <w:p w14:paraId="41BA8419">
      <w:pPr>
        <w:widowControl/>
        <w:wordWrap w:val="0"/>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w:t>
      </w:r>
      <w:r>
        <w:rPr>
          <w:rFonts w:hint="eastAsia" w:ascii="宋体" w:hAnsi="宋体" w:cs="宋体"/>
          <w:b/>
          <w:bCs/>
          <w:kern w:val="0"/>
          <w:sz w:val="32"/>
          <w:szCs w:val="32"/>
          <w:highlight w:val="none"/>
        </w:rPr>
        <w:t>22.</w:t>
      </w:r>
      <w:r>
        <w:rPr>
          <w:rFonts w:hint="eastAsia" w:ascii="宋体" w:hAnsi="宋体" w:cs="宋体"/>
          <w:b/>
          <w:bCs/>
          <w:sz w:val="32"/>
          <w:szCs w:val="32"/>
          <w:highlight w:val="none"/>
        </w:rPr>
        <w:t>超声喷砂牙周治疗仪</w:t>
      </w:r>
    </w:p>
    <w:p w14:paraId="7D12181E">
      <w:pPr>
        <w:widowControl/>
        <w:wordWrap w:val="0"/>
        <w:spacing w:line="360" w:lineRule="auto"/>
        <w:jc w:val="left"/>
        <w:rPr>
          <w:rFonts w:hint="eastAsia" w:ascii="宋体" w:hAnsi="宋体" w:cs="宋体"/>
          <w:sz w:val="24"/>
          <w:highlight w:val="none"/>
        </w:rPr>
      </w:pPr>
      <w:r>
        <w:rPr>
          <w:rFonts w:hint="eastAsia" w:ascii="宋体" w:hAnsi="宋体" w:cs="宋体"/>
          <w:b/>
          <w:bCs/>
          <w:sz w:val="32"/>
          <w:szCs w:val="32"/>
          <w:highlight w:val="none"/>
        </w:rPr>
        <w:t>数量：1台</w:t>
      </w:r>
    </w:p>
    <w:p w14:paraId="6781123E">
      <w:pPr>
        <w:spacing w:line="360" w:lineRule="auto"/>
        <w:rPr>
          <w:rFonts w:hint="eastAsia" w:ascii="宋体" w:hAnsi="宋体" w:cs="宋体"/>
          <w:sz w:val="24"/>
          <w:highlight w:val="none"/>
        </w:rPr>
      </w:pPr>
      <w:r>
        <w:rPr>
          <w:rFonts w:hint="eastAsia" w:ascii="宋体" w:hAnsi="宋体" w:cs="宋体"/>
          <w:sz w:val="24"/>
          <w:highlight w:val="none"/>
        </w:rPr>
        <w:t>1.输出的尖端主振动偏移(最大值):90 m，偏差:50%</w:t>
      </w:r>
    </w:p>
    <w:p w14:paraId="15108DE0">
      <w:pPr>
        <w:spacing w:line="360" w:lineRule="auto"/>
        <w:rPr>
          <w:rFonts w:hint="eastAsia" w:ascii="宋体" w:hAnsi="宋体" w:cs="宋体"/>
          <w:sz w:val="24"/>
          <w:highlight w:val="none"/>
        </w:rPr>
      </w:pPr>
      <w:r>
        <w:rPr>
          <w:rFonts w:hint="eastAsia" w:ascii="宋体" w:hAnsi="宋体" w:cs="宋体"/>
          <w:sz w:val="24"/>
          <w:highlight w:val="none"/>
        </w:rPr>
        <w:t>2，输出的尖端振动频率:30士5kHz</w:t>
      </w:r>
    </w:p>
    <w:p w14:paraId="30059B04">
      <w:pPr>
        <w:spacing w:line="360" w:lineRule="auto"/>
        <w:rPr>
          <w:rFonts w:hint="eastAsia" w:ascii="宋体" w:hAnsi="宋体" w:cs="宋体"/>
          <w:sz w:val="24"/>
          <w:highlight w:val="none"/>
        </w:rPr>
      </w:pPr>
      <w:r>
        <w:rPr>
          <w:rFonts w:hint="eastAsia" w:ascii="宋体" w:hAnsi="宋体" w:cs="宋体"/>
          <w:sz w:val="24"/>
          <w:highlight w:val="none"/>
        </w:rPr>
        <w:t>3.输出的半偏移力(最大值):10N 偏差:50%</w:t>
      </w:r>
    </w:p>
    <w:p w14:paraId="7D2799AB">
      <w:pPr>
        <w:spacing w:line="360" w:lineRule="auto"/>
        <w:rPr>
          <w:rFonts w:hint="eastAsia" w:ascii="宋体" w:hAnsi="宋体" w:cs="宋体"/>
          <w:sz w:val="24"/>
          <w:highlight w:val="none"/>
        </w:rPr>
      </w:pPr>
      <w:r>
        <w:rPr>
          <w:rFonts w:hint="eastAsia" w:ascii="宋体" w:hAnsi="宋体" w:cs="宋体"/>
          <w:sz w:val="24"/>
          <w:highlight w:val="none"/>
        </w:rPr>
        <w:t>4.尖端输出功率:3W~20W</w:t>
      </w:r>
    </w:p>
    <w:p w14:paraId="7862F96F">
      <w:pPr>
        <w:spacing w:line="360" w:lineRule="auto"/>
        <w:rPr>
          <w:rFonts w:hint="eastAsia" w:ascii="宋体" w:hAnsi="宋体" w:cs="宋体"/>
          <w:sz w:val="24"/>
          <w:highlight w:val="none"/>
        </w:rPr>
      </w:pPr>
      <w:r>
        <w:rPr>
          <w:rFonts w:hint="eastAsia" w:ascii="宋体" w:hAnsi="宋体" w:cs="宋体"/>
          <w:sz w:val="24"/>
          <w:highlight w:val="none"/>
        </w:rPr>
        <w:t>5.主机保险:T3.15AH 250V</w:t>
      </w:r>
    </w:p>
    <w:p w14:paraId="62AFC3EC">
      <w:pPr>
        <w:spacing w:line="360" w:lineRule="auto"/>
        <w:rPr>
          <w:rFonts w:hint="eastAsia" w:ascii="宋体" w:hAnsi="宋体" w:cs="宋体"/>
          <w:sz w:val="24"/>
          <w:highlight w:val="none"/>
        </w:rPr>
      </w:pPr>
      <w:r>
        <w:rPr>
          <w:rFonts w:hint="eastAsia" w:ascii="宋体" w:hAnsi="宋体" w:cs="宋体"/>
          <w:sz w:val="24"/>
          <w:highlight w:val="none"/>
        </w:rPr>
        <w:t>6.进水压力:1bar~5bar (0.1MPa~0.5MPa)</w:t>
      </w:r>
    </w:p>
    <w:p w14:paraId="3596A84C">
      <w:pPr>
        <w:spacing w:line="360" w:lineRule="auto"/>
        <w:rPr>
          <w:rFonts w:hint="eastAsia" w:ascii="宋体" w:hAnsi="宋体" w:cs="宋体"/>
          <w:sz w:val="24"/>
          <w:highlight w:val="none"/>
        </w:rPr>
      </w:pPr>
      <w:r>
        <w:rPr>
          <w:rFonts w:hint="eastAsia" w:ascii="宋体" w:hAnsi="宋体" w:cs="宋体"/>
          <w:sz w:val="24"/>
          <w:highlight w:val="none"/>
        </w:rPr>
        <w:t>7.进气压力:5.5bar~7.5bar (0.55MPa~0.75MPa)</w:t>
      </w:r>
    </w:p>
    <w:p w14:paraId="3FB89860">
      <w:pPr>
        <w:spacing w:line="360" w:lineRule="auto"/>
        <w:rPr>
          <w:rFonts w:hint="eastAsia" w:ascii="宋体" w:hAnsi="宋体" w:cs="宋体"/>
          <w:sz w:val="24"/>
          <w:highlight w:val="none"/>
        </w:rPr>
      </w:pPr>
      <w:r>
        <w:rPr>
          <w:rFonts w:hint="eastAsia" w:ascii="宋体" w:hAnsi="宋体" w:cs="宋体"/>
          <w:sz w:val="24"/>
          <w:highlight w:val="none"/>
        </w:rPr>
        <w:t>8.集龈上、龈下喷砂洁治，舒适洁牙，牙周治疗，根管治疗功能于一体。</w:t>
      </w:r>
    </w:p>
    <w:p w14:paraId="000C580A">
      <w:pPr>
        <w:spacing w:line="360" w:lineRule="auto"/>
        <w:rPr>
          <w:rFonts w:hint="eastAsia" w:ascii="宋体" w:hAnsi="宋体" w:cs="宋体"/>
          <w:sz w:val="24"/>
          <w:highlight w:val="none"/>
        </w:rPr>
      </w:pPr>
      <w:r>
        <w:rPr>
          <w:rFonts w:hint="eastAsia" w:ascii="宋体" w:hAnsi="宋体" w:cs="宋体"/>
          <w:sz w:val="24"/>
          <w:highlight w:val="none"/>
        </w:rPr>
        <w:t>9.根据所选用工作手柄自动切换工作模式</w:t>
      </w:r>
    </w:p>
    <w:p w14:paraId="7D1EC031">
      <w:pPr>
        <w:spacing w:line="360" w:lineRule="auto"/>
        <w:rPr>
          <w:rFonts w:hint="eastAsia" w:ascii="宋体" w:hAnsi="宋体" w:cs="宋体"/>
          <w:sz w:val="24"/>
          <w:highlight w:val="none"/>
        </w:rPr>
      </w:pPr>
      <w:r>
        <w:rPr>
          <w:rFonts w:hint="eastAsia" w:ascii="宋体" w:hAnsi="宋体" w:cs="宋体"/>
          <w:sz w:val="24"/>
          <w:highlight w:val="none"/>
        </w:rPr>
        <w:t>10.前面板采用触控液晶屏，功能选择、工作状态指示简洁清晰。</w:t>
      </w:r>
    </w:p>
    <w:p w14:paraId="29B761F7">
      <w:pPr>
        <w:spacing w:line="360" w:lineRule="auto"/>
        <w:rPr>
          <w:rFonts w:hint="eastAsia" w:ascii="宋体" w:hAnsi="宋体" w:cs="宋体"/>
          <w:sz w:val="24"/>
          <w:highlight w:val="none"/>
        </w:rPr>
      </w:pPr>
      <w:r>
        <w:rPr>
          <w:rFonts w:hint="eastAsia" w:ascii="宋体" w:hAnsi="宋体" w:cs="宋体"/>
          <w:sz w:val="24"/>
          <w:highlight w:val="none"/>
        </w:rPr>
        <w:t>11.工作尖圆形振动轨迹，治疗、抛光一起完成，工作尖振幅小，实现无痛治疗。</w:t>
      </w:r>
    </w:p>
    <w:p w14:paraId="121911D4">
      <w:pPr>
        <w:spacing w:line="360" w:lineRule="auto"/>
        <w:rPr>
          <w:rFonts w:hint="eastAsia" w:ascii="宋体" w:hAnsi="宋体" w:cs="宋体"/>
          <w:sz w:val="24"/>
          <w:highlight w:val="none"/>
        </w:rPr>
      </w:pPr>
      <w:r>
        <w:rPr>
          <w:rFonts w:hint="eastAsia" w:ascii="宋体" w:hAnsi="宋体" w:cs="宋体"/>
          <w:sz w:val="24"/>
          <w:highlight w:val="none"/>
        </w:rPr>
        <w:t>12.双水路切换，可实现自动供水，也可使用外接水路供水。</w:t>
      </w:r>
    </w:p>
    <w:p w14:paraId="75191C8A">
      <w:pPr>
        <w:spacing w:line="360" w:lineRule="auto"/>
        <w:rPr>
          <w:rFonts w:hint="eastAsia" w:ascii="宋体" w:hAnsi="宋体" w:cs="宋体"/>
          <w:sz w:val="24"/>
          <w:highlight w:val="none"/>
        </w:rPr>
      </w:pPr>
      <w:r>
        <w:rPr>
          <w:rFonts w:hint="eastAsia" w:ascii="宋体" w:hAnsi="宋体" w:cs="宋体"/>
          <w:sz w:val="24"/>
          <w:highlight w:val="none"/>
        </w:rPr>
        <w:t>13.供水提示灯设计，更直观观察供水方式，采用自动供水，蓝色提示灯亮起。</w:t>
      </w:r>
    </w:p>
    <w:p w14:paraId="554B6A44">
      <w:pPr>
        <w:spacing w:line="360" w:lineRule="auto"/>
        <w:rPr>
          <w:rFonts w:hint="eastAsia" w:ascii="宋体" w:hAnsi="宋体" w:cs="宋体"/>
          <w:sz w:val="24"/>
          <w:highlight w:val="none"/>
        </w:rPr>
      </w:pPr>
      <w:r>
        <w:rPr>
          <w:rFonts w:hint="eastAsia" w:ascii="宋体" w:hAnsi="宋体" w:cs="宋体"/>
          <w:sz w:val="24"/>
          <w:highlight w:val="none"/>
        </w:rPr>
        <w:t>14.采用合金工作尖，不伤牙骨质、牙釉质。</w:t>
      </w:r>
    </w:p>
    <w:p w14:paraId="1D8E0320">
      <w:pPr>
        <w:spacing w:line="360" w:lineRule="auto"/>
        <w:rPr>
          <w:rFonts w:hint="eastAsia" w:ascii="宋体" w:hAnsi="宋体" w:cs="宋体"/>
          <w:sz w:val="24"/>
          <w:highlight w:val="none"/>
        </w:rPr>
      </w:pPr>
      <w:r>
        <w:rPr>
          <w:rFonts w:hint="eastAsia" w:ascii="宋体" w:hAnsi="宋体" w:cs="宋体"/>
          <w:sz w:val="24"/>
          <w:highlight w:val="none"/>
        </w:rPr>
        <w:t>15.自动供水模式下可以使用双氧水、次氯酸钠、洗必泰等专用药液提高临床治疗效果。</w:t>
      </w:r>
    </w:p>
    <w:p w14:paraId="26306C39">
      <w:pPr>
        <w:spacing w:line="360" w:lineRule="auto"/>
        <w:rPr>
          <w:rFonts w:hint="eastAsia" w:ascii="宋体" w:hAnsi="宋体" w:cs="宋体"/>
          <w:sz w:val="24"/>
          <w:highlight w:val="none"/>
        </w:rPr>
      </w:pPr>
      <w:r>
        <w:rPr>
          <w:rFonts w:hint="eastAsia" w:ascii="宋体" w:hAnsi="宋体" w:cs="宋体"/>
          <w:sz w:val="24"/>
          <w:highlight w:val="none"/>
        </w:rPr>
        <w:t>16.水路加热功能，加热，可实现喷砂洁治模式下，加热水路，提高洁治舒适度。</w:t>
      </w:r>
    </w:p>
    <w:p w14:paraId="1D434192">
      <w:pPr>
        <w:spacing w:line="360" w:lineRule="auto"/>
        <w:rPr>
          <w:rFonts w:hint="eastAsia" w:ascii="宋体" w:hAnsi="宋体" w:cs="宋体"/>
          <w:sz w:val="24"/>
          <w:highlight w:val="none"/>
        </w:rPr>
      </w:pPr>
      <w:r>
        <w:rPr>
          <w:rFonts w:hint="eastAsia" w:ascii="宋体" w:hAnsi="宋体" w:cs="宋体"/>
          <w:sz w:val="24"/>
          <w:highlight w:val="none"/>
        </w:rPr>
        <w:t>17.四档温度调节，按需控制洁治水温。</w:t>
      </w:r>
    </w:p>
    <w:p w14:paraId="61DD65C0">
      <w:pPr>
        <w:spacing w:line="360" w:lineRule="auto"/>
        <w:rPr>
          <w:rFonts w:hint="eastAsia" w:ascii="宋体" w:hAnsi="宋体" w:cs="宋体"/>
          <w:sz w:val="24"/>
          <w:highlight w:val="none"/>
        </w:rPr>
      </w:pPr>
      <w:r>
        <w:rPr>
          <w:rFonts w:hint="eastAsia" w:ascii="宋体" w:hAnsi="宋体" w:cs="宋体"/>
          <w:sz w:val="24"/>
          <w:highlight w:val="none"/>
        </w:rPr>
        <w:t>18.采用全自动频率跟踪系统，自动搜索最佳工作状态，机器性能更稳定。</w:t>
      </w:r>
    </w:p>
    <w:p w14:paraId="119AD56E">
      <w:pPr>
        <w:spacing w:line="360" w:lineRule="auto"/>
        <w:rPr>
          <w:rFonts w:hint="eastAsia" w:ascii="宋体" w:hAnsi="宋体" w:cs="宋体"/>
          <w:sz w:val="24"/>
          <w:highlight w:val="none"/>
        </w:rPr>
      </w:pPr>
      <w:r>
        <w:rPr>
          <w:rFonts w:hint="eastAsia" w:ascii="宋体" w:hAnsi="宋体" w:cs="宋体"/>
          <w:sz w:val="24"/>
          <w:highlight w:val="none"/>
        </w:rPr>
        <w:t>19.喷砂手柄采用三段式设计，装卸简单，便于清洁和维护。</w:t>
      </w:r>
    </w:p>
    <w:p w14:paraId="438924D8">
      <w:pPr>
        <w:spacing w:line="360" w:lineRule="auto"/>
        <w:rPr>
          <w:rFonts w:hint="eastAsia" w:ascii="宋体" w:hAnsi="宋体" w:cs="宋体"/>
          <w:sz w:val="24"/>
          <w:highlight w:val="none"/>
        </w:rPr>
      </w:pPr>
      <w:r>
        <w:rPr>
          <w:rFonts w:hint="eastAsia" w:ascii="宋体" w:hAnsi="宋体" w:cs="宋体"/>
          <w:sz w:val="24"/>
          <w:highlight w:val="none"/>
        </w:rPr>
        <w:t>20..喷砂手柄尾线可拆卸，便于清洁疏通和维护。</w:t>
      </w:r>
    </w:p>
    <w:p w14:paraId="2DF89058">
      <w:pPr>
        <w:spacing w:line="360" w:lineRule="auto"/>
        <w:rPr>
          <w:rFonts w:hint="eastAsia" w:ascii="宋体" w:hAnsi="宋体" w:cs="宋体"/>
          <w:sz w:val="24"/>
          <w:highlight w:val="none"/>
        </w:rPr>
      </w:pPr>
      <w:r>
        <w:rPr>
          <w:rFonts w:hint="eastAsia" w:ascii="宋体" w:hAnsi="宋体" w:cs="宋体"/>
          <w:sz w:val="24"/>
          <w:highlight w:val="none"/>
        </w:rPr>
        <w:t>21.超声手柄尾线接口和喷砂手柄尾线接口带有防滑纹，便于操作</w:t>
      </w:r>
    </w:p>
    <w:p w14:paraId="22A4D16F">
      <w:pPr>
        <w:spacing w:line="360" w:lineRule="auto"/>
        <w:rPr>
          <w:rFonts w:hint="eastAsia" w:ascii="宋体" w:hAnsi="宋体" w:cs="宋体"/>
          <w:sz w:val="24"/>
          <w:highlight w:val="none"/>
        </w:rPr>
      </w:pPr>
      <w:r>
        <w:rPr>
          <w:rFonts w:hint="eastAsia" w:ascii="宋体" w:hAnsi="宋体" w:cs="宋体"/>
          <w:sz w:val="24"/>
          <w:highlight w:val="none"/>
        </w:rPr>
        <w:t>22.全透明漏斗形粉罐，粉罐可 360°旋转，能够实时观察砂粉流动情况。</w:t>
      </w:r>
    </w:p>
    <w:p w14:paraId="60CB33FF">
      <w:pPr>
        <w:spacing w:line="360" w:lineRule="auto"/>
        <w:rPr>
          <w:rFonts w:hint="eastAsia" w:ascii="宋体" w:hAnsi="宋体" w:cs="宋体"/>
          <w:sz w:val="24"/>
          <w:highlight w:val="none"/>
        </w:rPr>
      </w:pPr>
      <w:r>
        <w:rPr>
          <w:rFonts w:hint="eastAsia" w:ascii="宋体" w:hAnsi="宋体" w:cs="宋体"/>
          <w:sz w:val="24"/>
          <w:highlight w:val="none"/>
        </w:rPr>
        <w:t>23.龈上、龈下独立喷砂粉罐，清晰显示砂粉刻度。</w:t>
      </w:r>
    </w:p>
    <w:p w14:paraId="592152FC">
      <w:pPr>
        <w:spacing w:line="360" w:lineRule="auto"/>
        <w:rPr>
          <w:rFonts w:hint="eastAsia" w:ascii="宋体" w:hAnsi="宋体" w:cs="宋体"/>
          <w:sz w:val="24"/>
          <w:highlight w:val="none"/>
        </w:rPr>
      </w:pPr>
      <w:r>
        <w:rPr>
          <w:rFonts w:hint="eastAsia" w:ascii="宋体" w:hAnsi="宋体" w:cs="宋体"/>
          <w:sz w:val="24"/>
          <w:highlight w:val="none"/>
        </w:rPr>
        <w:t>24.龈下喷嘴四孔设计，三孔出砂一孔出水，可实现 360°旋转。</w:t>
      </w:r>
    </w:p>
    <w:p w14:paraId="4D1F5B60">
      <w:pPr>
        <w:spacing w:line="360" w:lineRule="auto"/>
        <w:rPr>
          <w:rFonts w:hint="eastAsia" w:ascii="宋体" w:hAnsi="宋体" w:cs="宋体"/>
          <w:sz w:val="24"/>
          <w:highlight w:val="none"/>
        </w:rPr>
      </w:pPr>
      <w:r>
        <w:rPr>
          <w:rFonts w:hint="eastAsia" w:ascii="宋体" w:hAnsi="宋体" w:cs="宋体"/>
          <w:sz w:val="24"/>
          <w:highlight w:val="none"/>
        </w:rPr>
        <w:t>25.工作过程采用微电脑全自动控制，操作方便简介，效率高。</w:t>
      </w:r>
    </w:p>
    <w:p w14:paraId="0D64CC36">
      <w:pPr>
        <w:spacing w:line="360" w:lineRule="auto"/>
        <w:rPr>
          <w:rFonts w:hint="eastAsia" w:ascii="宋体" w:hAnsi="宋体" w:cs="宋体"/>
          <w:sz w:val="24"/>
          <w:highlight w:val="none"/>
        </w:rPr>
      </w:pPr>
      <w:r>
        <w:rPr>
          <w:rFonts w:hint="eastAsia" w:ascii="宋体" w:hAnsi="宋体" w:cs="宋体"/>
          <w:sz w:val="24"/>
          <w:highlight w:val="none"/>
        </w:rPr>
        <w:t>26.内置变压器，内部水电分离，更加安全。</w:t>
      </w:r>
    </w:p>
    <w:p w14:paraId="484109CC">
      <w:pPr>
        <w:spacing w:line="360" w:lineRule="auto"/>
        <w:rPr>
          <w:rFonts w:hint="eastAsia" w:ascii="宋体" w:hAnsi="宋体" w:cs="宋体"/>
          <w:sz w:val="24"/>
          <w:highlight w:val="none"/>
        </w:rPr>
      </w:pPr>
      <w:r>
        <w:rPr>
          <w:rFonts w:hint="eastAsia" w:ascii="宋体" w:hAnsi="宋体" w:cs="宋体"/>
          <w:sz w:val="24"/>
          <w:highlight w:val="none"/>
        </w:rPr>
        <w:t>27.拥有清洁模式。</w:t>
      </w:r>
    </w:p>
    <w:p w14:paraId="26B2081C">
      <w:pPr>
        <w:spacing w:line="360" w:lineRule="auto"/>
        <w:rPr>
          <w:rFonts w:hint="eastAsia" w:ascii="宋体" w:hAnsi="宋体" w:cs="宋体"/>
          <w:sz w:val="24"/>
          <w:highlight w:val="none"/>
        </w:rPr>
      </w:pPr>
      <w:r>
        <w:rPr>
          <w:rFonts w:hint="eastAsia" w:ascii="宋体" w:hAnsi="宋体" w:cs="宋体"/>
          <w:sz w:val="24"/>
          <w:highlight w:val="none"/>
        </w:rPr>
        <w:t>28.单功能有线脚踏和多功能无线脚踏双脚踏配置。</w:t>
      </w:r>
    </w:p>
    <w:p w14:paraId="3949E8AC">
      <w:pPr>
        <w:spacing w:line="360" w:lineRule="auto"/>
        <w:rPr>
          <w:rFonts w:hint="eastAsia" w:ascii="宋体" w:hAnsi="宋体" w:cs="宋体"/>
          <w:sz w:val="24"/>
          <w:highlight w:val="none"/>
        </w:rPr>
      </w:pPr>
      <w:r>
        <w:rPr>
          <w:rFonts w:hint="eastAsia" w:ascii="宋体" w:hAnsi="宋体" w:cs="宋体"/>
          <w:sz w:val="24"/>
          <w:highlight w:val="none"/>
        </w:rPr>
        <w:t>29.蓝牙 5.0 无线多功能脚踏，标准模型、无水模式、清洗模式、增强模式四种脚踏功能模式。</w:t>
      </w:r>
    </w:p>
    <w:p w14:paraId="3A9A5B11">
      <w:pPr>
        <w:spacing w:line="360" w:lineRule="auto"/>
        <w:jc w:val="center"/>
        <w:rPr>
          <w:rFonts w:hint="eastAsia" w:ascii="宋体" w:hAnsi="宋体" w:cs="宋体"/>
          <w:b/>
          <w:bCs/>
          <w:sz w:val="32"/>
          <w:szCs w:val="32"/>
          <w:highlight w:val="none"/>
        </w:rPr>
      </w:pPr>
    </w:p>
    <w:p w14:paraId="6A6ECBD1">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设备23.高速无刷电子打磨雕刻机 </w:t>
      </w:r>
    </w:p>
    <w:p w14:paraId="466BB8CC">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数量：2台</w:t>
      </w:r>
    </w:p>
    <w:p w14:paraId="7F21A4D5">
      <w:pPr>
        <w:spacing w:line="360" w:lineRule="auto"/>
        <w:rPr>
          <w:rFonts w:hint="eastAsia" w:ascii="宋体" w:hAnsi="宋体" w:cs="宋体"/>
          <w:sz w:val="24"/>
          <w:szCs w:val="32"/>
          <w:highlight w:val="none"/>
        </w:rPr>
      </w:pPr>
      <w:r>
        <w:rPr>
          <w:rFonts w:hint="eastAsia" w:ascii="宋体" w:hAnsi="宋体" w:cs="宋体"/>
          <w:sz w:val="24"/>
          <w:szCs w:val="32"/>
          <w:highlight w:val="none"/>
        </w:rPr>
        <w:t>1.电源电压110-220V</w:t>
      </w:r>
    </w:p>
    <w:p w14:paraId="0CFF45E3">
      <w:pPr>
        <w:spacing w:line="360" w:lineRule="auto"/>
        <w:rPr>
          <w:rFonts w:hint="eastAsia" w:ascii="宋体" w:hAnsi="宋体" w:cs="宋体"/>
          <w:sz w:val="24"/>
          <w:szCs w:val="32"/>
          <w:highlight w:val="none"/>
        </w:rPr>
      </w:pPr>
      <w:r>
        <w:rPr>
          <w:rFonts w:hint="eastAsia" w:ascii="宋体" w:hAnsi="宋体" w:cs="宋体"/>
          <w:sz w:val="24"/>
          <w:szCs w:val="32"/>
          <w:highlight w:val="none"/>
        </w:rPr>
        <w:t>2.电源类型交流电源</w:t>
      </w:r>
    </w:p>
    <w:p w14:paraId="295E880E">
      <w:pPr>
        <w:spacing w:line="360" w:lineRule="auto"/>
        <w:rPr>
          <w:rFonts w:hint="eastAsia" w:ascii="宋体" w:hAnsi="宋体" w:cs="宋体"/>
          <w:sz w:val="24"/>
          <w:szCs w:val="32"/>
          <w:highlight w:val="none"/>
        </w:rPr>
      </w:pPr>
      <w:r>
        <w:rPr>
          <w:rFonts w:hint="eastAsia" w:ascii="宋体" w:hAnsi="宋体" w:cs="宋体"/>
          <w:sz w:val="24"/>
          <w:szCs w:val="32"/>
          <w:highlight w:val="none"/>
        </w:rPr>
        <w:t>3.空载转速（最大）：≥40000（ r/min ）</w:t>
      </w:r>
    </w:p>
    <w:p w14:paraId="2076D68E">
      <w:pPr>
        <w:spacing w:line="360" w:lineRule="auto"/>
        <w:rPr>
          <w:rFonts w:hint="eastAsia" w:ascii="宋体" w:hAnsi="宋体" w:cs="宋体"/>
          <w:sz w:val="24"/>
          <w:szCs w:val="32"/>
          <w:highlight w:val="none"/>
        </w:rPr>
      </w:pPr>
      <w:r>
        <w:rPr>
          <w:rFonts w:hint="eastAsia" w:ascii="宋体" w:hAnsi="宋体" w:cs="宋体"/>
          <w:sz w:val="24"/>
          <w:szCs w:val="32"/>
          <w:highlight w:val="none"/>
        </w:rPr>
        <w:t>4.产品功率：≥65W</w:t>
      </w:r>
    </w:p>
    <w:p w14:paraId="23C8729E">
      <w:pPr>
        <w:spacing w:line="360" w:lineRule="auto"/>
        <w:jc w:val="center"/>
        <w:rPr>
          <w:rFonts w:hint="eastAsia" w:ascii="宋体" w:hAnsi="宋体" w:cs="宋体"/>
          <w:sz w:val="24"/>
          <w:szCs w:val="32"/>
          <w:highlight w:val="none"/>
        </w:rPr>
      </w:pPr>
    </w:p>
    <w:p w14:paraId="34CB8420">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设备24.高速涡轮牙科手机</w:t>
      </w:r>
    </w:p>
    <w:p w14:paraId="3D0B308F">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 10台</w:t>
      </w:r>
    </w:p>
    <w:p w14:paraId="5F4E10F7">
      <w:pPr>
        <w:numPr>
          <w:ilvl w:val="0"/>
          <w:numId w:val="19"/>
        </w:numPr>
        <w:spacing w:line="360" w:lineRule="auto"/>
        <w:rPr>
          <w:rFonts w:hint="eastAsia" w:ascii="宋体" w:hAnsi="宋体" w:cs="宋体"/>
          <w:sz w:val="24"/>
          <w:szCs w:val="32"/>
          <w:highlight w:val="none"/>
        </w:rPr>
      </w:pPr>
      <w:r>
        <w:rPr>
          <w:rFonts w:hint="eastAsia" w:ascii="宋体" w:hAnsi="宋体" w:cs="宋体"/>
          <w:sz w:val="24"/>
          <w:szCs w:val="32"/>
          <w:highlight w:val="none"/>
        </w:rPr>
        <w:t>工作气压：0.25~0.27MPa</w:t>
      </w:r>
    </w:p>
    <w:p w14:paraId="22162FEB">
      <w:pPr>
        <w:numPr>
          <w:ilvl w:val="0"/>
          <w:numId w:val="19"/>
        </w:numPr>
        <w:spacing w:line="360" w:lineRule="auto"/>
        <w:rPr>
          <w:rFonts w:hint="eastAsia" w:ascii="宋体" w:hAnsi="宋体" w:cs="宋体"/>
          <w:sz w:val="24"/>
          <w:szCs w:val="32"/>
          <w:highlight w:val="none"/>
        </w:rPr>
      </w:pPr>
      <w:r>
        <w:rPr>
          <w:rFonts w:hint="eastAsia" w:ascii="宋体" w:hAnsi="宋体" w:cs="宋体"/>
          <w:sz w:val="24"/>
          <w:szCs w:val="32"/>
          <w:highlight w:val="none"/>
        </w:rPr>
        <w:t>工作水压：0.05~0.2MPa</w:t>
      </w:r>
    </w:p>
    <w:p w14:paraId="63853BB7">
      <w:pPr>
        <w:numPr>
          <w:ilvl w:val="0"/>
          <w:numId w:val="19"/>
        </w:numPr>
        <w:spacing w:line="360" w:lineRule="auto"/>
        <w:rPr>
          <w:rFonts w:hint="eastAsia" w:ascii="宋体" w:hAnsi="宋体" w:cs="宋体"/>
          <w:sz w:val="24"/>
          <w:szCs w:val="32"/>
          <w:highlight w:val="none"/>
        </w:rPr>
      </w:pPr>
      <w:r>
        <w:rPr>
          <w:rFonts w:hint="eastAsia" w:ascii="宋体" w:hAnsi="宋体" w:cs="宋体"/>
          <w:sz w:val="24"/>
          <w:szCs w:val="32"/>
          <w:highlight w:val="none"/>
        </w:rPr>
        <w:t>更高稳定，更少磨损，换来长久寿命</w:t>
      </w:r>
    </w:p>
    <w:p w14:paraId="4BBA05B7">
      <w:pPr>
        <w:numPr>
          <w:ilvl w:val="0"/>
          <w:numId w:val="19"/>
        </w:numPr>
        <w:spacing w:line="360" w:lineRule="auto"/>
        <w:rPr>
          <w:rFonts w:hint="eastAsia" w:ascii="宋体" w:hAnsi="宋体" w:cs="宋体"/>
          <w:sz w:val="24"/>
          <w:szCs w:val="32"/>
          <w:highlight w:val="none"/>
        </w:rPr>
      </w:pPr>
      <w:r>
        <w:rPr>
          <w:rFonts w:hint="eastAsia" w:ascii="宋体" w:hAnsi="宋体" w:cs="宋体"/>
          <w:sz w:val="24"/>
          <w:szCs w:val="32"/>
          <w:highlight w:val="none"/>
        </w:rPr>
        <w:t>有效隔绝污染，保护机芯</w:t>
      </w:r>
    </w:p>
    <w:p w14:paraId="5452BCF3">
      <w:pPr>
        <w:numPr>
          <w:ilvl w:val="0"/>
          <w:numId w:val="19"/>
        </w:numPr>
        <w:spacing w:line="360" w:lineRule="auto"/>
        <w:rPr>
          <w:rFonts w:hint="eastAsia" w:ascii="宋体" w:hAnsi="宋体" w:cs="宋体"/>
          <w:sz w:val="24"/>
          <w:szCs w:val="32"/>
          <w:highlight w:val="none"/>
        </w:rPr>
      </w:pPr>
      <w:r>
        <w:rPr>
          <w:rFonts w:hint="eastAsia" w:ascii="宋体" w:hAnsi="宋体" w:cs="宋体"/>
          <w:sz w:val="24"/>
          <w:szCs w:val="32"/>
          <w:highlight w:val="none"/>
        </w:rPr>
        <w:t>水路气路双重放回吸，有效防止交叉感染</w:t>
      </w:r>
    </w:p>
    <w:p w14:paraId="271454EF">
      <w:pPr>
        <w:numPr>
          <w:ilvl w:val="0"/>
          <w:numId w:val="19"/>
        </w:numPr>
        <w:spacing w:line="360" w:lineRule="auto"/>
        <w:rPr>
          <w:rFonts w:hint="eastAsia" w:ascii="宋体" w:hAnsi="宋体" w:cs="宋体"/>
          <w:sz w:val="24"/>
          <w:szCs w:val="32"/>
          <w:highlight w:val="none"/>
        </w:rPr>
      </w:pPr>
      <w:r>
        <w:rPr>
          <w:rFonts w:hint="eastAsia" w:ascii="宋体" w:hAnsi="宋体" w:cs="宋体"/>
          <w:sz w:val="24"/>
          <w:szCs w:val="32"/>
          <w:highlight w:val="none"/>
        </w:rPr>
        <w:t>一体机头设计，精度更高，性能更稳定</w:t>
      </w:r>
    </w:p>
    <w:p w14:paraId="48BA82CF">
      <w:pPr>
        <w:numPr>
          <w:ilvl w:val="0"/>
          <w:numId w:val="19"/>
        </w:numPr>
        <w:spacing w:line="360" w:lineRule="auto"/>
        <w:rPr>
          <w:rFonts w:hint="eastAsia" w:ascii="宋体" w:hAnsi="宋体" w:cs="宋体"/>
          <w:sz w:val="24"/>
          <w:szCs w:val="32"/>
          <w:highlight w:val="none"/>
        </w:rPr>
      </w:pPr>
      <w:r>
        <w:rPr>
          <w:rFonts w:hint="eastAsia" w:ascii="宋体" w:hAnsi="宋体" w:cs="宋体"/>
          <w:sz w:val="24"/>
          <w:szCs w:val="32"/>
          <w:highlight w:val="none"/>
        </w:rPr>
        <w:t>提高表面强度，更耐刮花</w:t>
      </w:r>
    </w:p>
    <w:p w14:paraId="7A6F9157">
      <w:pPr>
        <w:spacing w:line="360" w:lineRule="auto"/>
        <w:jc w:val="center"/>
        <w:rPr>
          <w:rFonts w:hint="eastAsia" w:ascii="宋体" w:hAnsi="宋体" w:cs="宋体"/>
          <w:b/>
          <w:bCs/>
          <w:sz w:val="32"/>
          <w:szCs w:val="32"/>
          <w:highlight w:val="none"/>
        </w:rPr>
      </w:pPr>
    </w:p>
    <w:p w14:paraId="1F9898F2">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设备25.牙科气动马达手机 </w:t>
      </w:r>
    </w:p>
    <w:p w14:paraId="2DE1A732">
      <w:pPr>
        <w:spacing w:line="360" w:lineRule="auto"/>
        <w:jc w:val="left"/>
        <w:rPr>
          <w:rFonts w:ascii="宋体" w:hAnsi="宋体" w:cs="宋体"/>
          <w:sz w:val="24"/>
          <w:highlight w:val="none"/>
        </w:rPr>
      </w:pPr>
      <w:r>
        <w:rPr>
          <w:rFonts w:hint="eastAsia" w:ascii="宋体" w:hAnsi="宋体" w:cs="宋体"/>
          <w:b/>
          <w:bCs/>
          <w:sz w:val="32"/>
          <w:szCs w:val="32"/>
          <w:highlight w:val="none"/>
        </w:rPr>
        <w:t>数量：2台</w:t>
      </w:r>
    </w:p>
    <w:p w14:paraId="7C86DEB6">
      <w:pPr>
        <w:spacing w:line="360" w:lineRule="auto"/>
        <w:rPr>
          <w:rFonts w:hint="eastAsia" w:ascii="宋体" w:hAnsi="宋体" w:cs="宋体"/>
          <w:sz w:val="24"/>
          <w:highlight w:val="none"/>
        </w:rPr>
      </w:pPr>
      <w:r>
        <w:rPr>
          <w:rFonts w:hint="eastAsia" w:ascii="宋体" w:hAnsi="宋体" w:cs="宋体"/>
          <w:sz w:val="24"/>
          <w:highlight w:val="none"/>
        </w:rPr>
        <w:t>1.外水道低速气动马达手机</w:t>
      </w:r>
    </w:p>
    <w:p w14:paraId="62D75E43">
      <w:pPr>
        <w:spacing w:line="360" w:lineRule="auto"/>
        <w:rPr>
          <w:rFonts w:hint="eastAsia" w:ascii="宋体" w:hAnsi="宋体" w:cs="宋体"/>
          <w:sz w:val="24"/>
          <w:highlight w:val="none"/>
        </w:rPr>
      </w:pPr>
      <w:r>
        <w:rPr>
          <w:rFonts w:hint="eastAsia" w:ascii="宋体" w:hAnsi="宋体" w:cs="宋体"/>
          <w:sz w:val="24"/>
          <w:highlight w:val="none"/>
        </w:rPr>
        <w:t>2先进技术，精心设计，采用高精密设备加工而成，工作性能稳定</w:t>
      </w:r>
    </w:p>
    <w:p w14:paraId="7ED0C380">
      <w:pPr>
        <w:spacing w:line="360" w:lineRule="auto"/>
        <w:rPr>
          <w:rFonts w:hint="eastAsia" w:ascii="宋体" w:hAnsi="宋体" w:cs="宋体"/>
          <w:sz w:val="24"/>
          <w:highlight w:val="none"/>
        </w:rPr>
      </w:pPr>
      <w:r>
        <w:rPr>
          <w:rFonts w:hint="eastAsia" w:ascii="宋体" w:hAnsi="宋体" w:cs="宋体"/>
          <w:sz w:val="24"/>
          <w:highlight w:val="none"/>
        </w:rPr>
        <w:t>3气动马达偏心定子、弯机/直机传动轴采用高强度合金钢制成</w:t>
      </w:r>
    </w:p>
    <w:p w14:paraId="1FB83BFE">
      <w:pPr>
        <w:spacing w:line="360" w:lineRule="auto"/>
        <w:rPr>
          <w:rFonts w:hint="eastAsia" w:ascii="宋体" w:hAnsi="宋体" w:cs="宋体"/>
          <w:sz w:val="24"/>
          <w:highlight w:val="none"/>
        </w:rPr>
      </w:pPr>
      <w:r>
        <w:rPr>
          <w:rFonts w:hint="eastAsia" w:ascii="宋体" w:hAnsi="宋体" w:cs="宋体"/>
          <w:sz w:val="24"/>
          <w:highlight w:val="none"/>
        </w:rPr>
        <w:t>4.外水道，气压消耗水≦65L/min；水、气冷却，冷却水流量&gt;50mL/mini（200kpa）雾气源≥1.5mL/mini；转速比 1:1、空载转速 12000-25000r/mini、短时运行</w:t>
      </w:r>
    </w:p>
    <w:p w14:paraId="74E10508">
      <w:pPr>
        <w:spacing w:line="360" w:lineRule="auto"/>
        <w:rPr>
          <w:rFonts w:hint="eastAsia" w:ascii="宋体" w:hAnsi="宋体" w:cs="宋体"/>
          <w:sz w:val="24"/>
          <w:highlight w:val="none"/>
        </w:rPr>
      </w:pPr>
      <w:r>
        <w:rPr>
          <w:rFonts w:hint="eastAsia" w:ascii="宋体" w:hAnsi="宋体" w:cs="宋体"/>
          <w:sz w:val="24"/>
          <w:highlight w:val="none"/>
        </w:rPr>
        <w:t>5.弯机/直机 1：1、135°高温高压消毒；</w:t>
      </w:r>
    </w:p>
    <w:p w14:paraId="0C3D00B3">
      <w:pPr>
        <w:spacing w:line="360" w:lineRule="auto"/>
        <w:rPr>
          <w:rFonts w:hint="eastAsia" w:ascii="宋体" w:hAnsi="宋体" w:cs="宋体"/>
          <w:sz w:val="24"/>
          <w:highlight w:val="none"/>
        </w:rPr>
      </w:pPr>
      <w:r>
        <w:rPr>
          <w:rFonts w:hint="eastAsia" w:ascii="宋体" w:hAnsi="宋体" w:cs="宋体"/>
          <w:sz w:val="24"/>
          <w:highlight w:val="none"/>
        </w:rPr>
        <w:t>6.适用车针：∅2.35mm；</w:t>
      </w:r>
    </w:p>
    <w:p w14:paraId="0D8D96C6">
      <w:pPr>
        <w:spacing w:line="360" w:lineRule="auto"/>
        <w:rPr>
          <w:rFonts w:hint="eastAsia" w:ascii="宋体" w:hAnsi="宋体" w:cs="宋体"/>
          <w:sz w:val="24"/>
          <w:highlight w:val="none"/>
        </w:rPr>
      </w:pPr>
      <w:r>
        <w:rPr>
          <w:rFonts w:hint="eastAsia" w:ascii="宋体" w:hAnsi="宋体" w:cs="宋体"/>
          <w:sz w:val="24"/>
          <w:highlight w:val="none"/>
        </w:rPr>
        <w:t>7.工作气压：0.3mpa、转速：20000rpm；</w:t>
      </w:r>
    </w:p>
    <w:p w14:paraId="05649778">
      <w:pPr>
        <w:spacing w:line="360" w:lineRule="auto"/>
        <w:rPr>
          <w:rFonts w:hint="eastAsia" w:ascii="宋体" w:hAnsi="宋体" w:cs="宋体"/>
          <w:sz w:val="24"/>
          <w:highlight w:val="none"/>
        </w:rPr>
      </w:pPr>
      <w:r>
        <w:rPr>
          <w:rFonts w:hint="eastAsia" w:ascii="宋体" w:hAnsi="宋体" w:cs="宋体"/>
          <w:sz w:val="24"/>
          <w:highlight w:val="none"/>
        </w:rPr>
        <w:t>8.扭力：1.5N 左右、噪音：≤68db； 三）弯机外水道、转速比 1:1、135º 高温高压消毒；</w:t>
      </w:r>
    </w:p>
    <w:p w14:paraId="175A7EC9">
      <w:pPr>
        <w:spacing w:line="360" w:lineRule="auto"/>
        <w:jc w:val="center"/>
        <w:rPr>
          <w:rFonts w:hint="eastAsia" w:ascii="宋体" w:hAnsi="宋体" w:cs="宋体"/>
          <w:b/>
          <w:bCs/>
          <w:sz w:val="32"/>
          <w:szCs w:val="32"/>
          <w:highlight w:val="none"/>
        </w:rPr>
      </w:pPr>
    </w:p>
    <w:p w14:paraId="471FAE10">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设备26.口腔观察仪 </w:t>
      </w:r>
    </w:p>
    <w:p w14:paraId="531F8B1B">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1DD4ABA5">
      <w:pPr>
        <w:numPr>
          <w:ilvl w:val="0"/>
          <w:numId w:val="20"/>
        </w:numPr>
        <w:spacing w:line="360" w:lineRule="auto"/>
        <w:rPr>
          <w:rFonts w:hint="eastAsia" w:ascii="宋体" w:hAnsi="宋体" w:cs="宋体"/>
          <w:sz w:val="24"/>
          <w:highlight w:val="none"/>
        </w:rPr>
      </w:pPr>
      <w:r>
        <w:rPr>
          <w:rFonts w:hint="eastAsia" w:ascii="宋体" w:hAnsi="宋体" w:cs="宋体"/>
          <w:sz w:val="24"/>
          <w:highlight w:val="none"/>
        </w:rPr>
        <w:t>屏幕大小：</w:t>
      </w:r>
      <w:r>
        <w:rPr>
          <w:rFonts w:hint="eastAsia" w:ascii="宋体" w:hAnsi="宋体" w:cs="宋体"/>
          <w:color w:val="000000"/>
          <w:sz w:val="24"/>
          <w:highlight w:val="none"/>
          <w:shd w:val="clear" w:color="auto" w:fill="FFFFFF"/>
        </w:rPr>
        <w:t>≥1</w:t>
      </w:r>
      <w:r>
        <w:rPr>
          <w:rFonts w:hint="eastAsia" w:ascii="宋体" w:hAnsi="宋体" w:cs="宋体"/>
          <w:sz w:val="24"/>
          <w:highlight w:val="none"/>
        </w:rPr>
        <w:t>寸</w:t>
      </w:r>
      <w:r>
        <w:rPr>
          <w:rFonts w:hint="eastAsia" w:ascii="宋体" w:hAnsi="宋体" w:cs="宋体"/>
          <w:sz w:val="24"/>
          <w:highlight w:val="none"/>
        </w:rPr>
        <w:tab/>
      </w:r>
    </w:p>
    <w:p w14:paraId="5C0ED1D9">
      <w:pPr>
        <w:numPr>
          <w:ilvl w:val="0"/>
          <w:numId w:val="20"/>
        </w:numPr>
        <w:spacing w:line="360" w:lineRule="auto"/>
        <w:rPr>
          <w:rFonts w:hint="eastAsia" w:ascii="宋体" w:hAnsi="宋体" w:cs="宋体"/>
          <w:sz w:val="24"/>
          <w:highlight w:val="none"/>
        </w:rPr>
      </w:pPr>
      <w:r>
        <w:rPr>
          <w:rFonts w:hint="eastAsia" w:ascii="宋体" w:hAnsi="宋体" w:cs="宋体"/>
          <w:sz w:val="24"/>
          <w:highlight w:val="none"/>
        </w:rPr>
        <w:t>解析度</w:t>
      </w:r>
      <w:r>
        <w:rPr>
          <w:rFonts w:hint="eastAsia" w:ascii="宋体" w:hAnsi="宋体" w:cs="宋体"/>
          <w:sz w:val="24"/>
          <w:highlight w:val="none"/>
        </w:rPr>
        <w:tab/>
      </w:r>
      <w:r>
        <w:rPr>
          <w:rFonts w:hint="eastAsia" w:ascii="宋体" w:hAnsi="宋体" w:cs="宋体"/>
          <w:color w:val="000000"/>
          <w:sz w:val="24"/>
          <w:highlight w:val="none"/>
          <w:shd w:val="clear" w:color="auto" w:fill="FFFFFF"/>
        </w:rPr>
        <w:t>≥</w:t>
      </w:r>
      <w:r>
        <w:rPr>
          <w:rFonts w:hint="eastAsia" w:ascii="宋体" w:hAnsi="宋体" w:cs="宋体"/>
          <w:sz w:val="24"/>
          <w:highlight w:val="none"/>
        </w:rPr>
        <w:t>50万像素</w:t>
      </w:r>
    </w:p>
    <w:p w14:paraId="7AA8EC44">
      <w:pPr>
        <w:spacing w:line="360" w:lineRule="auto"/>
        <w:jc w:val="center"/>
        <w:rPr>
          <w:rFonts w:hint="eastAsia" w:ascii="宋体" w:hAnsi="宋体" w:cs="宋体"/>
          <w:b/>
          <w:bCs/>
          <w:sz w:val="32"/>
          <w:szCs w:val="32"/>
          <w:highlight w:val="none"/>
        </w:rPr>
      </w:pPr>
    </w:p>
    <w:p w14:paraId="0A620E3A">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w:t>
      </w:r>
      <w:r>
        <w:rPr>
          <w:rFonts w:hint="eastAsia" w:ascii="宋体" w:hAnsi="宋体" w:cs="宋体"/>
          <w:b/>
          <w:bCs/>
          <w:kern w:val="0"/>
          <w:sz w:val="32"/>
          <w:szCs w:val="32"/>
          <w:highlight w:val="none"/>
        </w:rPr>
        <w:t>27.</w:t>
      </w:r>
      <w:r>
        <w:rPr>
          <w:rFonts w:hint="eastAsia" w:ascii="宋体" w:hAnsi="宋体" w:cs="宋体"/>
          <w:b/>
          <w:bCs/>
          <w:sz w:val="32"/>
          <w:szCs w:val="32"/>
          <w:highlight w:val="none"/>
        </w:rPr>
        <w:t xml:space="preserve">真空压膜机 </w:t>
      </w:r>
    </w:p>
    <w:p w14:paraId="0CEA79E4">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1C92219C">
      <w:pPr>
        <w:spacing w:line="360" w:lineRule="auto"/>
        <w:rPr>
          <w:rFonts w:hint="eastAsia" w:ascii="宋体" w:hAnsi="宋体" w:cs="宋体"/>
          <w:sz w:val="24"/>
          <w:highlight w:val="none"/>
        </w:rPr>
      </w:pPr>
      <w:r>
        <w:rPr>
          <w:rFonts w:hint="eastAsia" w:ascii="宋体" w:hAnsi="宋体" w:cs="宋体"/>
          <w:sz w:val="24"/>
          <w:highlight w:val="none"/>
        </w:rPr>
        <w:t>1.耗费功率：≥925W</w:t>
      </w:r>
    </w:p>
    <w:p w14:paraId="05172E04">
      <w:pPr>
        <w:spacing w:line="360" w:lineRule="auto"/>
        <w:rPr>
          <w:rFonts w:hint="eastAsia" w:ascii="宋体" w:hAnsi="宋体" w:cs="宋体"/>
          <w:sz w:val="24"/>
          <w:highlight w:val="none"/>
        </w:rPr>
      </w:pPr>
      <w:r>
        <w:rPr>
          <w:rFonts w:hint="eastAsia" w:ascii="宋体" w:hAnsi="宋体" w:cs="宋体"/>
          <w:sz w:val="24"/>
          <w:highlight w:val="none"/>
        </w:rPr>
        <w:t>2.加热功率:≥450W</w:t>
      </w:r>
    </w:p>
    <w:p w14:paraId="01D8E3CE">
      <w:pPr>
        <w:spacing w:line="360" w:lineRule="auto"/>
        <w:rPr>
          <w:rFonts w:hint="eastAsia" w:ascii="宋体" w:hAnsi="宋体" w:cs="宋体"/>
          <w:sz w:val="24"/>
          <w:highlight w:val="none"/>
        </w:rPr>
      </w:pPr>
      <w:r>
        <w:rPr>
          <w:rFonts w:hint="eastAsia" w:ascii="宋体" w:hAnsi="宋体" w:cs="宋体"/>
          <w:sz w:val="24"/>
          <w:highlight w:val="none"/>
        </w:rPr>
        <w:t>3.防护等级:IPX1(防飞溅)</w:t>
      </w:r>
    </w:p>
    <w:p w14:paraId="1B11A085">
      <w:pPr>
        <w:spacing w:line="360" w:lineRule="auto"/>
        <w:rPr>
          <w:rFonts w:hint="eastAsia" w:ascii="宋体" w:hAnsi="宋体" w:cs="宋体"/>
          <w:sz w:val="24"/>
          <w:highlight w:val="none"/>
        </w:rPr>
      </w:pPr>
      <w:r>
        <w:rPr>
          <w:rFonts w:hint="eastAsia" w:ascii="宋体" w:hAnsi="宋体" w:cs="宋体"/>
          <w:sz w:val="24"/>
          <w:highlight w:val="none"/>
        </w:rPr>
        <w:t>4.噪声级: 电机~90dB~0.5M</w:t>
      </w:r>
    </w:p>
    <w:p w14:paraId="1C0A2334">
      <w:pPr>
        <w:spacing w:line="360" w:lineRule="auto"/>
        <w:jc w:val="center"/>
        <w:rPr>
          <w:rFonts w:hint="eastAsia" w:ascii="宋体" w:hAnsi="宋体" w:cs="宋体"/>
          <w:b/>
          <w:bCs/>
          <w:sz w:val="32"/>
          <w:szCs w:val="32"/>
          <w:highlight w:val="none"/>
        </w:rPr>
      </w:pPr>
    </w:p>
    <w:p w14:paraId="274587A4">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设备28.紫外线消毒柜 </w:t>
      </w:r>
    </w:p>
    <w:p w14:paraId="683BB490">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619C248E">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1.杀菌率：99.99%</w:t>
      </w:r>
    </w:p>
    <w:p w14:paraId="25FA9D34">
      <w:pPr>
        <w:widowControl/>
        <w:wordWrap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2.箱体门数：单面单开门/双面双开门</w:t>
      </w:r>
    </w:p>
    <w:p w14:paraId="139A6EB9">
      <w:pPr>
        <w:widowControl/>
        <w:wordWrap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3.机器材质：整机可以承重 30~100 公斤</w:t>
      </w:r>
    </w:p>
    <w:p w14:paraId="5AF061A6">
      <w:pPr>
        <w:widowControl/>
        <w:wordWrap w:val="0"/>
        <w:spacing w:line="360" w:lineRule="auto"/>
        <w:rPr>
          <w:rFonts w:hint="eastAsia" w:ascii="宋体" w:hAnsi="宋体" w:cs="宋体"/>
          <w:sz w:val="24"/>
          <w:highlight w:val="none"/>
        </w:rPr>
      </w:pPr>
      <w:r>
        <w:rPr>
          <w:rFonts w:hint="eastAsia" w:ascii="宋体" w:hAnsi="宋体" w:cs="宋体"/>
          <w:sz w:val="24"/>
          <w:highlight w:val="none"/>
        </w:rPr>
        <w:t>4.采用耐高温，豪华外形，时尚美观，清洁卫生，箱体结构紧凑</w:t>
      </w:r>
    </w:p>
    <w:p w14:paraId="57B388C9">
      <w:pPr>
        <w:widowControl/>
        <w:wordWrap w:val="0"/>
        <w:spacing w:line="360" w:lineRule="auto"/>
        <w:rPr>
          <w:rFonts w:hint="eastAsia" w:ascii="宋体" w:hAnsi="宋体" w:cs="宋体"/>
          <w:spacing w:val="-11"/>
          <w:sz w:val="24"/>
          <w:highlight w:val="none"/>
        </w:rPr>
      </w:pPr>
      <w:r>
        <w:rPr>
          <w:rFonts w:hint="eastAsia" w:ascii="宋体" w:hAnsi="宋体" w:cs="宋体"/>
          <w:sz w:val="24"/>
          <w:highlight w:val="none"/>
        </w:rPr>
        <w:t>5.</w:t>
      </w:r>
      <w:r>
        <w:rPr>
          <w:rFonts w:hint="eastAsia" w:ascii="宋体" w:hAnsi="宋体" w:cs="宋体"/>
          <w:spacing w:val="-11"/>
          <w:sz w:val="24"/>
          <w:highlight w:val="none"/>
        </w:rPr>
        <w:t>全自动控制，操作简单化，消毒时间可调，使用简单灵活，消毒完毕自行关机</w:t>
      </w:r>
    </w:p>
    <w:p w14:paraId="0E1EF3C5">
      <w:pPr>
        <w:widowControl/>
        <w:wordWrap w:val="0"/>
        <w:spacing w:line="360" w:lineRule="auto"/>
        <w:rPr>
          <w:rFonts w:hint="eastAsia" w:ascii="宋体" w:hAnsi="宋体" w:cs="宋体"/>
          <w:sz w:val="24"/>
          <w:highlight w:val="none"/>
        </w:rPr>
      </w:pPr>
      <w:r>
        <w:rPr>
          <w:rFonts w:hint="eastAsia" w:ascii="宋体" w:hAnsi="宋体" w:cs="宋体"/>
          <w:spacing w:val="-11"/>
          <w:sz w:val="24"/>
          <w:highlight w:val="none"/>
        </w:rPr>
        <w:t>6.</w:t>
      </w:r>
      <w:r>
        <w:rPr>
          <w:rFonts w:hint="eastAsia" w:ascii="宋体" w:hAnsi="宋体" w:cs="宋体"/>
          <w:sz w:val="24"/>
          <w:highlight w:val="none"/>
        </w:rPr>
        <w:t>人性化设计，选用优质材料密封，无泄露，使用活动隔板，可以执照要求做几层，使用便利</w:t>
      </w:r>
    </w:p>
    <w:p w14:paraId="129F4AEE">
      <w:pPr>
        <w:widowControl/>
        <w:wordWrap w:val="0"/>
        <w:spacing w:line="360" w:lineRule="auto"/>
        <w:rPr>
          <w:rFonts w:hint="eastAsia" w:ascii="宋体" w:hAnsi="宋体" w:cs="宋体"/>
          <w:sz w:val="24"/>
          <w:highlight w:val="none"/>
        </w:rPr>
      </w:pPr>
      <w:r>
        <w:rPr>
          <w:rFonts w:hint="eastAsia" w:ascii="宋体" w:hAnsi="宋体" w:cs="宋体"/>
          <w:sz w:val="24"/>
          <w:highlight w:val="none"/>
        </w:rPr>
        <w:t>7.采用自主研发放电管及专用自制电源，匹配最佳。质量稳定，紫外线浓度高， 杀菌迅速</w:t>
      </w:r>
    </w:p>
    <w:p w14:paraId="72D0344B">
      <w:pPr>
        <w:widowControl/>
        <w:wordWrap w:val="0"/>
        <w:spacing w:line="360" w:lineRule="auto"/>
        <w:rPr>
          <w:rFonts w:hint="eastAsia" w:ascii="宋体" w:hAnsi="宋体" w:cs="宋体"/>
          <w:sz w:val="24"/>
          <w:highlight w:val="none"/>
        </w:rPr>
      </w:pPr>
      <w:r>
        <w:rPr>
          <w:rFonts w:hint="eastAsia" w:ascii="宋体" w:hAnsi="宋体" w:cs="宋体"/>
          <w:sz w:val="24"/>
          <w:highlight w:val="none"/>
        </w:rPr>
        <w:t>8.噪音小，运转平稳，操作方便，使用安全可靠,使用寿命长，坚固耐用</w:t>
      </w:r>
    </w:p>
    <w:p w14:paraId="49AD388E">
      <w:pPr>
        <w:pStyle w:val="45"/>
        <w:spacing w:before="2"/>
        <w:ind w:left="0"/>
        <w:rPr>
          <w:rFonts w:hint="eastAsia" w:cs="宋体"/>
          <w:sz w:val="24"/>
          <w:highlight w:val="none"/>
        </w:rPr>
      </w:pPr>
      <w:r>
        <w:rPr>
          <w:rFonts w:hint="eastAsia" w:cs="宋体"/>
          <w:sz w:val="24"/>
          <w:highlight w:val="none"/>
          <w:lang w:val="en-US" w:eastAsia="zh-CN"/>
        </w:rPr>
        <w:t>9.</w:t>
      </w:r>
      <w:r>
        <w:rPr>
          <w:rFonts w:hint="eastAsia" w:cs="宋体"/>
          <w:sz w:val="24"/>
          <w:highlight w:val="none"/>
        </w:rPr>
        <w:t>高效率杀菌:紫外线对细菌、病毒的杀菌使用一般在一至二秒即可达到</w:t>
      </w:r>
    </w:p>
    <w:p w14:paraId="3F65B2A9">
      <w:pPr>
        <w:widowControl/>
        <w:wordWrap w:val="0"/>
        <w:spacing w:line="360" w:lineRule="auto"/>
        <w:rPr>
          <w:rFonts w:hint="eastAsia" w:ascii="宋体" w:hAnsi="宋体" w:cs="宋体"/>
          <w:sz w:val="24"/>
          <w:highlight w:val="none"/>
        </w:rPr>
      </w:pPr>
      <w:r>
        <w:rPr>
          <w:rFonts w:hint="eastAsia" w:ascii="宋体" w:hAnsi="宋体" w:cs="宋体"/>
          <w:sz w:val="24"/>
          <w:highlight w:val="none"/>
        </w:rPr>
        <w:t>99%-99.9%的杀菌率</w:t>
      </w:r>
    </w:p>
    <w:p w14:paraId="67A121F8">
      <w:pPr>
        <w:widowControl/>
        <w:wordWrap w:val="0"/>
        <w:spacing w:line="360" w:lineRule="auto"/>
        <w:rPr>
          <w:rFonts w:hint="eastAsia" w:ascii="宋体" w:hAnsi="宋体" w:cs="宋体"/>
          <w:sz w:val="24"/>
          <w:highlight w:val="none"/>
        </w:rPr>
      </w:pPr>
      <w:r>
        <w:rPr>
          <w:rFonts w:hint="eastAsia" w:ascii="宋体" w:hAnsi="宋体" w:cs="宋体"/>
          <w:sz w:val="24"/>
          <w:highlight w:val="none"/>
        </w:rPr>
        <w:t>10.杀菌广谱性:紫外线杀菌的广谱性是最高的，几乎所有的病毒，细菌在足量的紫外线剂量下都会被杀死，尤其是对氯消毒有耐受性的隐孢子虫和贾第虫。</w:t>
      </w:r>
    </w:p>
    <w:p w14:paraId="5E2937F0">
      <w:pPr>
        <w:widowControl/>
        <w:wordWrap w:val="0"/>
        <w:spacing w:line="360" w:lineRule="auto"/>
        <w:rPr>
          <w:rFonts w:hint="eastAsia" w:ascii="宋体" w:hAnsi="宋体" w:cs="宋体"/>
          <w:sz w:val="24"/>
          <w:highlight w:val="none"/>
        </w:rPr>
      </w:pPr>
      <w:r>
        <w:rPr>
          <w:rFonts w:hint="eastAsia" w:ascii="宋体" w:hAnsi="宋体" w:cs="宋体"/>
          <w:spacing w:val="-15"/>
          <w:sz w:val="24"/>
          <w:highlight w:val="none"/>
        </w:rPr>
        <w:t>11.无二次污染</w:t>
      </w:r>
      <w:r>
        <w:rPr>
          <w:rFonts w:hint="eastAsia" w:ascii="宋体" w:hAnsi="宋体" w:cs="宋体"/>
          <w:sz w:val="24"/>
          <w:highlight w:val="none"/>
        </w:rPr>
        <w:t>:</w:t>
      </w:r>
      <w:r>
        <w:rPr>
          <w:rFonts w:hint="eastAsia" w:ascii="宋体" w:hAnsi="宋体" w:cs="宋体"/>
          <w:spacing w:val="-6"/>
          <w:sz w:val="24"/>
          <w:highlight w:val="none"/>
        </w:rPr>
        <w:t>在紫外线消毒过程中不需要添加其他物质，对环境不产生有害物质。</w:t>
      </w:r>
    </w:p>
    <w:p w14:paraId="02C49E2E">
      <w:pPr>
        <w:widowControl/>
        <w:wordWrap w:val="0"/>
        <w:spacing w:line="360" w:lineRule="auto"/>
        <w:rPr>
          <w:rFonts w:hint="eastAsia" w:ascii="宋体" w:hAnsi="宋体" w:cs="宋体"/>
          <w:sz w:val="24"/>
          <w:highlight w:val="none"/>
        </w:rPr>
      </w:pPr>
      <w:r>
        <w:rPr>
          <w:rFonts w:hint="eastAsia" w:ascii="宋体" w:hAnsi="宋体" w:cs="宋体"/>
          <w:sz w:val="24"/>
          <w:highlight w:val="none"/>
        </w:rPr>
        <w:t>12.运行安全，简单可靠:与其他消毒方法相比，结构简单，不具有剧毒，腐蚀、易燃和爆炸等特点。</w:t>
      </w:r>
    </w:p>
    <w:p w14:paraId="009C645B">
      <w:pPr>
        <w:widowControl/>
        <w:wordWrap w:val="0"/>
        <w:spacing w:line="360" w:lineRule="auto"/>
        <w:jc w:val="center"/>
        <w:rPr>
          <w:rFonts w:hint="eastAsia"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 xml:space="preserve">设备29.干燥柜 </w:t>
      </w:r>
    </w:p>
    <w:p w14:paraId="661B1679">
      <w:pPr>
        <w:widowControl/>
        <w:wordWrap w:val="0"/>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6426FB24">
      <w:pPr>
        <w:widowControl/>
        <w:numPr>
          <w:ilvl w:val="0"/>
          <w:numId w:val="21"/>
        </w:numPr>
        <w:wordWrap w:val="0"/>
        <w:spacing w:line="360" w:lineRule="auto"/>
        <w:rPr>
          <w:rFonts w:hint="eastAsia" w:ascii="宋体" w:hAnsi="宋体" w:cs="宋体"/>
          <w:sz w:val="24"/>
          <w:szCs w:val="32"/>
          <w:highlight w:val="none"/>
        </w:rPr>
      </w:pPr>
      <w:r>
        <w:rPr>
          <w:rFonts w:hint="eastAsia" w:ascii="宋体" w:hAnsi="宋体" w:cs="宋体"/>
          <w:sz w:val="24"/>
          <w:szCs w:val="32"/>
          <w:highlight w:val="none"/>
        </w:rPr>
        <w:t>温度控制原理：热风循环</w:t>
      </w:r>
    </w:p>
    <w:p w14:paraId="20469EE6">
      <w:pPr>
        <w:widowControl/>
        <w:numPr>
          <w:ilvl w:val="0"/>
          <w:numId w:val="21"/>
        </w:numPr>
        <w:wordWrap w:val="0"/>
        <w:spacing w:line="360" w:lineRule="auto"/>
        <w:rPr>
          <w:rFonts w:hint="eastAsia" w:ascii="宋体" w:hAnsi="宋体" w:cs="宋体"/>
          <w:sz w:val="24"/>
          <w:szCs w:val="32"/>
          <w:highlight w:val="none"/>
        </w:rPr>
      </w:pPr>
      <w:r>
        <w:rPr>
          <w:rFonts w:hint="eastAsia" w:ascii="宋体" w:hAnsi="宋体" w:cs="宋体"/>
          <w:sz w:val="24"/>
          <w:szCs w:val="32"/>
          <w:highlight w:val="none"/>
        </w:rPr>
        <w:t>工作环境温度：5℃~40℃</w:t>
      </w:r>
    </w:p>
    <w:p w14:paraId="3714B3FA">
      <w:pPr>
        <w:widowControl/>
        <w:numPr>
          <w:ilvl w:val="0"/>
          <w:numId w:val="21"/>
        </w:numPr>
        <w:wordWrap w:val="0"/>
        <w:spacing w:line="360" w:lineRule="auto"/>
        <w:rPr>
          <w:rFonts w:hint="eastAsia" w:ascii="宋体" w:hAnsi="宋体" w:cs="宋体"/>
          <w:sz w:val="24"/>
          <w:szCs w:val="32"/>
          <w:highlight w:val="none"/>
        </w:rPr>
      </w:pPr>
      <w:r>
        <w:rPr>
          <w:rFonts w:hint="eastAsia" w:ascii="宋体" w:hAnsi="宋体" w:cs="宋体"/>
          <w:sz w:val="24"/>
          <w:szCs w:val="32"/>
          <w:highlight w:val="none"/>
        </w:rPr>
        <w:t>相对湿度：20℃不大于90%</w:t>
      </w:r>
    </w:p>
    <w:p w14:paraId="74413447">
      <w:pPr>
        <w:widowControl/>
        <w:numPr>
          <w:ilvl w:val="0"/>
          <w:numId w:val="21"/>
        </w:numPr>
        <w:wordWrap w:val="0"/>
        <w:spacing w:line="360" w:lineRule="auto"/>
        <w:rPr>
          <w:rFonts w:hint="eastAsia" w:ascii="宋体" w:hAnsi="宋体" w:cs="宋体"/>
          <w:sz w:val="24"/>
          <w:szCs w:val="32"/>
          <w:highlight w:val="none"/>
        </w:rPr>
      </w:pPr>
      <w:r>
        <w:rPr>
          <w:rFonts w:hint="eastAsia" w:ascii="宋体" w:hAnsi="宋体" w:cs="宋体"/>
          <w:sz w:val="24"/>
          <w:szCs w:val="32"/>
          <w:highlight w:val="none"/>
        </w:rPr>
        <w:t>温度波动度：±2.0℃</w:t>
      </w:r>
    </w:p>
    <w:p w14:paraId="518155F5">
      <w:pPr>
        <w:widowControl/>
        <w:numPr>
          <w:ilvl w:val="0"/>
          <w:numId w:val="21"/>
        </w:numPr>
        <w:wordWrap w:val="0"/>
        <w:spacing w:line="360" w:lineRule="auto"/>
        <w:rPr>
          <w:rFonts w:hint="eastAsia" w:ascii="宋体" w:hAnsi="宋体" w:cs="宋体"/>
          <w:sz w:val="24"/>
          <w:szCs w:val="32"/>
          <w:highlight w:val="none"/>
        </w:rPr>
      </w:pPr>
      <w:r>
        <w:rPr>
          <w:rFonts w:hint="eastAsia" w:ascii="宋体" w:hAnsi="宋体" w:cs="宋体"/>
          <w:sz w:val="24"/>
          <w:szCs w:val="32"/>
          <w:highlight w:val="none"/>
        </w:rPr>
        <w:t>温度偏差：±2.0℃</w:t>
      </w:r>
    </w:p>
    <w:p w14:paraId="6C6E27DC">
      <w:pPr>
        <w:widowControl/>
        <w:numPr>
          <w:ilvl w:val="0"/>
          <w:numId w:val="21"/>
        </w:numPr>
        <w:wordWrap w:val="0"/>
        <w:spacing w:line="360" w:lineRule="auto"/>
        <w:rPr>
          <w:rFonts w:hint="eastAsia" w:ascii="宋体" w:hAnsi="宋体" w:cs="宋体"/>
          <w:sz w:val="24"/>
          <w:szCs w:val="32"/>
          <w:highlight w:val="none"/>
        </w:rPr>
      </w:pPr>
      <w:r>
        <w:rPr>
          <w:rFonts w:hint="eastAsia" w:ascii="宋体" w:hAnsi="宋体" w:cs="宋体"/>
          <w:sz w:val="24"/>
          <w:szCs w:val="32"/>
          <w:highlight w:val="none"/>
        </w:rPr>
        <w:t>升温时间（空载）：≤20min</w:t>
      </w:r>
    </w:p>
    <w:p w14:paraId="111E53E7">
      <w:pPr>
        <w:widowControl/>
        <w:numPr>
          <w:ilvl w:val="0"/>
          <w:numId w:val="21"/>
        </w:numPr>
        <w:wordWrap w:val="0"/>
        <w:spacing w:line="360" w:lineRule="auto"/>
        <w:rPr>
          <w:rFonts w:hint="eastAsia" w:ascii="宋体" w:hAnsi="宋体" w:cs="宋体"/>
          <w:sz w:val="24"/>
          <w:szCs w:val="32"/>
          <w:highlight w:val="none"/>
        </w:rPr>
      </w:pPr>
      <w:r>
        <w:rPr>
          <w:rFonts w:hint="eastAsia" w:ascii="宋体" w:hAnsi="宋体" w:cs="宋体"/>
          <w:sz w:val="24"/>
          <w:szCs w:val="32"/>
          <w:highlight w:val="none"/>
        </w:rPr>
        <w:t>搁架层数：≥1层</w:t>
      </w:r>
    </w:p>
    <w:p w14:paraId="17C67C49">
      <w:pPr>
        <w:spacing w:line="360" w:lineRule="auto"/>
        <w:jc w:val="center"/>
        <w:rPr>
          <w:rFonts w:hint="eastAsia" w:ascii="宋体" w:hAnsi="宋体" w:cs="宋体"/>
          <w:b/>
          <w:bCs/>
          <w:sz w:val="32"/>
          <w:szCs w:val="32"/>
          <w:highlight w:val="none"/>
        </w:rPr>
      </w:pPr>
    </w:p>
    <w:p w14:paraId="49909018">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设备30.治疗车 </w:t>
      </w:r>
    </w:p>
    <w:p w14:paraId="4369004C">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数量：2台</w:t>
      </w:r>
    </w:p>
    <w:p w14:paraId="3E062EB3">
      <w:pPr>
        <w:spacing w:line="360" w:lineRule="auto"/>
        <w:rPr>
          <w:rFonts w:hint="eastAsia" w:ascii="宋体" w:hAnsi="宋体" w:cs="宋体"/>
          <w:sz w:val="24"/>
          <w:highlight w:val="none"/>
        </w:rPr>
      </w:pPr>
      <w:r>
        <w:rPr>
          <w:rFonts w:hint="eastAsia" w:ascii="宋体" w:hAnsi="宋体" w:cs="宋体"/>
          <w:sz w:val="24"/>
          <w:highlight w:val="none"/>
        </w:rPr>
        <w:t>1.材质：主体框架采用优质不锈钢管焊接成型，</w:t>
      </w:r>
    </w:p>
    <w:p w14:paraId="4F58498A">
      <w:pPr>
        <w:spacing w:line="360" w:lineRule="auto"/>
        <w:rPr>
          <w:rFonts w:hint="eastAsia" w:ascii="宋体" w:hAnsi="宋体" w:cs="宋体"/>
          <w:sz w:val="24"/>
          <w:highlight w:val="none"/>
        </w:rPr>
      </w:pPr>
      <w:r>
        <w:rPr>
          <w:rFonts w:hint="eastAsia" w:ascii="宋体" w:hAnsi="宋体" w:cs="宋体"/>
          <w:sz w:val="24"/>
          <w:highlight w:val="none"/>
        </w:rPr>
        <w:t>2.二层设计，台面采用优质不锈钢板，</w:t>
      </w:r>
    </w:p>
    <w:p w14:paraId="487DC76D">
      <w:pPr>
        <w:spacing w:line="360" w:lineRule="auto"/>
        <w:rPr>
          <w:rFonts w:hint="eastAsia" w:ascii="宋体" w:hAnsi="宋体" w:cs="宋体"/>
          <w:sz w:val="24"/>
          <w:highlight w:val="none"/>
        </w:rPr>
      </w:pPr>
      <w:r>
        <w:rPr>
          <w:rFonts w:hint="eastAsia" w:ascii="宋体" w:hAnsi="宋体" w:cs="宋体"/>
          <w:sz w:val="24"/>
          <w:highlight w:val="none"/>
        </w:rPr>
        <w:t>3.焊接而成，焊缝均匀，结合牢固，经过加细抛光处理，表面光滑，平整、无毛刺，易清洁消毒</w:t>
      </w:r>
    </w:p>
    <w:p w14:paraId="4562C8E0">
      <w:pPr>
        <w:pStyle w:val="13"/>
        <w:rPr>
          <w:rFonts w:hint="eastAsia"/>
          <w:highlight w:val="none"/>
        </w:rPr>
      </w:pPr>
    </w:p>
    <w:p w14:paraId="3754FCC9">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设备31.护士操作椅 </w:t>
      </w:r>
    </w:p>
    <w:p w14:paraId="47D52A30">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数量：2台</w:t>
      </w:r>
    </w:p>
    <w:p w14:paraId="32C9CE21">
      <w:pPr>
        <w:numPr>
          <w:ilvl w:val="0"/>
          <w:numId w:val="22"/>
        </w:numPr>
        <w:spacing w:line="360" w:lineRule="auto"/>
        <w:rPr>
          <w:rFonts w:hint="eastAsia" w:ascii="宋体" w:hAnsi="宋体" w:cs="宋体"/>
          <w:sz w:val="24"/>
          <w:szCs w:val="32"/>
          <w:highlight w:val="none"/>
        </w:rPr>
      </w:pPr>
      <w:r>
        <w:rPr>
          <w:rFonts w:hint="eastAsia" w:ascii="宋体" w:hAnsi="宋体" w:cs="宋体"/>
          <w:sz w:val="24"/>
          <w:szCs w:val="32"/>
          <w:highlight w:val="none"/>
        </w:rPr>
        <w:t>颜色：随意</w:t>
      </w:r>
    </w:p>
    <w:p w14:paraId="3F5930F6">
      <w:pPr>
        <w:numPr>
          <w:ilvl w:val="0"/>
          <w:numId w:val="22"/>
        </w:numPr>
        <w:spacing w:line="360" w:lineRule="auto"/>
        <w:rPr>
          <w:rFonts w:hint="eastAsia" w:ascii="宋体" w:hAnsi="宋体" w:cs="宋体"/>
          <w:sz w:val="24"/>
          <w:szCs w:val="32"/>
          <w:highlight w:val="none"/>
        </w:rPr>
      </w:pPr>
      <w:r>
        <w:rPr>
          <w:rFonts w:hint="eastAsia" w:ascii="宋体" w:hAnsi="宋体" w:cs="宋体"/>
          <w:sz w:val="24"/>
          <w:szCs w:val="32"/>
          <w:highlight w:val="none"/>
        </w:rPr>
        <w:t>框架：金属骨架</w:t>
      </w:r>
    </w:p>
    <w:p w14:paraId="3046AFF7">
      <w:pPr>
        <w:numPr>
          <w:ilvl w:val="0"/>
          <w:numId w:val="22"/>
        </w:numPr>
        <w:spacing w:line="360" w:lineRule="auto"/>
        <w:rPr>
          <w:rFonts w:hint="eastAsia" w:ascii="宋体" w:hAnsi="宋体" w:cs="宋体"/>
          <w:sz w:val="24"/>
          <w:szCs w:val="32"/>
          <w:highlight w:val="none"/>
        </w:rPr>
      </w:pPr>
      <w:r>
        <w:rPr>
          <w:rFonts w:hint="eastAsia" w:ascii="宋体" w:hAnsi="宋体" w:cs="宋体"/>
          <w:sz w:val="24"/>
          <w:szCs w:val="32"/>
          <w:highlight w:val="none"/>
        </w:rPr>
        <w:t>可否旋转：可以</w:t>
      </w:r>
    </w:p>
    <w:p w14:paraId="34CAA007">
      <w:pPr>
        <w:numPr>
          <w:ilvl w:val="0"/>
          <w:numId w:val="22"/>
        </w:numPr>
        <w:spacing w:line="360" w:lineRule="auto"/>
        <w:rPr>
          <w:rFonts w:hint="eastAsia" w:ascii="宋体" w:hAnsi="宋体" w:cs="宋体"/>
          <w:sz w:val="24"/>
          <w:szCs w:val="32"/>
          <w:highlight w:val="none"/>
        </w:rPr>
      </w:pPr>
      <w:r>
        <w:rPr>
          <w:rFonts w:hint="eastAsia" w:ascii="宋体" w:hAnsi="宋体" w:cs="宋体"/>
          <w:sz w:val="24"/>
          <w:szCs w:val="32"/>
          <w:highlight w:val="none"/>
        </w:rPr>
        <w:t>功能：升降</w:t>
      </w:r>
    </w:p>
    <w:p w14:paraId="2BE1C856">
      <w:pPr>
        <w:pStyle w:val="13"/>
        <w:rPr>
          <w:rFonts w:hint="eastAsia"/>
          <w:highlight w:val="none"/>
        </w:rPr>
      </w:pPr>
    </w:p>
    <w:p w14:paraId="637983B1">
      <w:pPr>
        <w:rPr>
          <w:rFonts w:hint="eastAsia" w:ascii="宋体" w:hAnsi="宋体" w:cs="宋体"/>
          <w:b/>
          <w:bCs/>
          <w:sz w:val="32"/>
          <w:szCs w:val="32"/>
          <w:highlight w:val="none"/>
        </w:rPr>
      </w:pPr>
      <w:r>
        <w:rPr>
          <w:rFonts w:hint="eastAsia" w:ascii="宋体" w:hAnsi="宋体" w:cs="宋体"/>
          <w:b/>
          <w:bCs/>
          <w:sz w:val="32"/>
          <w:szCs w:val="32"/>
          <w:highlight w:val="none"/>
        </w:rPr>
        <w:br w:type="page"/>
      </w:r>
    </w:p>
    <w:p w14:paraId="37494543">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设备32.诊室内医用垃圾桶 </w:t>
      </w:r>
    </w:p>
    <w:p w14:paraId="568A12C4">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数量：20个</w:t>
      </w:r>
    </w:p>
    <w:p w14:paraId="1F540AFA">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1.</w:t>
      </w:r>
      <w:r>
        <w:rPr>
          <w:rFonts w:hint="eastAsia" w:ascii="宋体" w:hAnsi="宋体" w:cs="宋体"/>
          <w:sz w:val="24"/>
          <w:szCs w:val="32"/>
          <w:highlight w:val="none"/>
        </w:rPr>
        <w:t>容积：≥10L</w:t>
      </w:r>
    </w:p>
    <w:p w14:paraId="31624BEA">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2.</w:t>
      </w:r>
      <w:r>
        <w:rPr>
          <w:rFonts w:hint="eastAsia" w:ascii="宋体" w:hAnsi="宋体" w:cs="宋体"/>
          <w:sz w:val="24"/>
          <w:szCs w:val="32"/>
          <w:highlight w:val="none"/>
        </w:rPr>
        <w:t>材质：塑料</w:t>
      </w:r>
    </w:p>
    <w:p w14:paraId="514981D0">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设备33.诊室内家用垃圾桶</w:t>
      </w:r>
    </w:p>
    <w:p w14:paraId="339A477F">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数量：20个</w:t>
      </w:r>
    </w:p>
    <w:p w14:paraId="6ED6871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1.</w:t>
      </w:r>
      <w:r>
        <w:rPr>
          <w:rFonts w:hint="eastAsia" w:ascii="宋体" w:hAnsi="宋体" w:cs="宋体"/>
          <w:sz w:val="24"/>
          <w:szCs w:val="32"/>
          <w:highlight w:val="none"/>
        </w:rPr>
        <w:t>容积：≥10L</w:t>
      </w:r>
    </w:p>
    <w:p w14:paraId="233F8D60">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2.</w:t>
      </w:r>
      <w:r>
        <w:rPr>
          <w:rFonts w:hint="eastAsia" w:ascii="宋体" w:hAnsi="宋体" w:cs="宋体"/>
          <w:sz w:val="24"/>
          <w:szCs w:val="32"/>
          <w:highlight w:val="none"/>
        </w:rPr>
        <w:t>材质：塑料</w:t>
      </w:r>
    </w:p>
    <w:p w14:paraId="520021D2">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设备34.诊室内医疗垃圾袋</w:t>
      </w:r>
    </w:p>
    <w:p w14:paraId="63109F28">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数量：2捆</w:t>
      </w:r>
    </w:p>
    <w:p w14:paraId="1E996F96">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1.</w:t>
      </w:r>
      <w:r>
        <w:rPr>
          <w:rFonts w:hint="eastAsia" w:ascii="宋体" w:hAnsi="宋体" w:cs="宋体"/>
          <w:sz w:val="24"/>
          <w:szCs w:val="32"/>
          <w:highlight w:val="none"/>
        </w:rPr>
        <w:t>样式：平口式</w:t>
      </w:r>
    </w:p>
    <w:p w14:paraId="7544B93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2.</w:t>
      </w:r>
      <w:r>
        <w:rPr>
          <w:rFonts w:hint="eastAsia" w:ascii="宋体" w:hAnsi="宋体" w:cs="宋体"/>
          <w:sz w:val="24"/>
          <w:szCs w:val="32"/>
          <w:highlight w:val="none"/>
        </w:rPr>
        <w:t>材质：PE</w:t>
      </w:r>
    </w:p>
    <w:p w14:paraId="7AB486F2">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设备35.医疗利器盒 </w:t>
      </w:r>
    </w:p>
    <w:p w14:paraId="0C7544FB">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数量：10个</w:t>
      </w:r>
    </w:p>
    <w:p w14:paraId="72E931AB">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1.</w:t>
      </w:r>
      <w:r>
        <w:rPr>
          <w:rFonts w:hint="eastAsia" w:ascii="宋体" w:hAnsi="宋体" w:cs="宋体"/>
          <w:sz w:val="24"/>
          <w:szCs w:val="32"/>
          <w:highlight w:val="none"/>
        </w:rPr>
        <w:t>容积：≥5L</w:t>
      </w:r>
    </w:p>
    <w:p w14:paraId="7B3894F4">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2.</w:t>
      </w:r>
      <w:r>
        <w:rPr>
          <w:rFonts w:hint="eastAsia" w:ascii="宋体" w:hAnsi="宋体" w:cs="宋体"/>
          <w:sz w:val="24"/>
          <w:szCs w:val="32"/>
          <w:highlight w:val="none"/>
        </w:rPr>
        <w:t>材质：塑料</w:t>
      </w:r>
    </w:p>
    <w:p w14:paraId="22AAA2A4">
      <w:pPr>
        <w:spacing w:line="360" w:lineRule="auto"/>
        <w:jc w:val="center"/>
        <w:rPr>
          <w:rFonts w:hint="eastAsia" w:ascii="宋体" w:hAnsi="宋体" w:cs="宋体"/>
          <w:b/>
          <w:bCs/>
          <w:sz w:val="32"/>
          <w:szCs w:val="32"/>
          <w:highlight w:val="none"/>
        </w:rPr>
      </w:pPr>
    </w:p>
    <w:p w14:paraId="6C979762">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设备36.彩色多普勒超声诊断系统 </w:t>
      </w:r>
    </w:p>
    <w:p w14:paraId="054A43B7">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40B1CCC2">
      <w:pPr>
        <w:pStyle w:val="35"/>
        <w:numPr>
          <w:ilvl w:val="0"/>
          <w:numId w:val="0"/>
        </w:numPr>
        <w:tabs>
          <w:tab w:val="left" w:pos="567"/>
        </w:tabs>
        <w:spacing w:line="360" w:lineRule="auto"/>
        <w:ind w:left="420" w:leftChars="0" w:hanging="420" w:firstLineChars="0"/>
        <w:rPr>
          <w:rFonts w:ascii="宋体" w:hAnsi="宋体" w:cs="Arial"/>
          <w:sz w:val="24"/>
          <w:highlight w:val="none"/>
        </w:rPr>
      </w:pPr>
      <w:r>
        <w:rPr>
          <w:rFonts w:ascii="宋体" w:hAnsi="宋体" w:eastAsia="宋体" w:cs="Arial"/>
          <w:kern w:val="2"/>
          <w:sz w:val="24"/>
          <w:szCs w:val="24"/>
          <w:highlight w:val="none"/>
          <w:lang w:val="en-US" w:eastAsia="zh-CN" w:bidi="ar-SA"/>
        </w:rPr>
        <w:t>一、</w:t>
      </w:r>
      <w:r>
        <w:rPr>
          <w:rFonts w:hint="eastAsia" w:ascii="宋体" w:hAnsi="宋体" w:cs="Arial"/>
          <w:sz w:val="24"/>
          <w:highlight w:val="none"/>
        </w:rPr>
        <w:t>货物名称：全数字彩色多普勒超声诊断仪</w:t>
      </w:r>
    </w:p>
    <w:p w14:paraId="10CB9319">
      <w:pPr>
        <w:pStyle w:val="35"/>
        <w:numPr>
          <w:ilvl w:val="0"/>
          <w:numId w:val="0"/>
        </w:numPr>
        <w:tabs>
          <w:tab w:val="left" w:pos="567"/>
        </w:tabs>
        <w:spacing w:line="360" w:lineRule="auto"/>
        <w:ind w:left="420" w:leftChars="0" w:hanging="420" w:firstLineChars="0"/>
        <w:rPr>
          <w:rFonts w:ascii="宋体" w:hAnsi="宋体" w:cs="Arial"/>
          <w:sz w:val="24"/>
          <w:highlight w:val="none"/>
        </w:rPr>
      </w:pPr>
      <w:r>
        <w:rPr>
          <w:rFonts w:ascii="宋体" w:hAnsi="宋体" w:eastAsia="宋体" w:cs="Arial"/>
          <w:kern w:val="2"/>
          <w:sz w:val="24"/>
          <w:szCs w:val="24"/>
          <w:highlight w:val="none"/>
          <w:lang w:val="en-US" w:eastAsia="zh-CN" w:bidi="ar-SA"/>
        </w:rPr>
        <w:t>二、</w:t>
      </w:r>
      <w:r>
        <w:rPr>
          <w:rFonts w:hint="eastAsia" w:ascii="宋体" w:hAnsi="宋体" w:cs="Arial"/>
          <w:sz w:val="24"/>
          <w:highlight w:val="none"/>
        </w:rPr>
        <w:t>用途说明：腹部、产科、妇科、心脏、小器官、泌尿、血管、儿科、急诊、麻醉、介入、神经、肌骨、颅脑、盆底及其它</w:t>
      </w:r>
    </w:p>
    <w:p w14:paraId="6F8EEA94">
      <w:pPr>
        <w:pStyle w:val="35"/>
        <w:numPr>
          <w:ilvl w:val="0"/>
          <w:numId w:val="0"/>
        </w:numPr>
        <w:tabs>
          <w:tab w:val="left" w:pos="567"/>
        </w:tabs>
        <w:spacing w:line="360" w:lineRule="auto"/>
        <w:ind w:left="420" w:leftChars="0" w:hanging="420" w:firstLineChars="0"/>
        <w:rPr>
          <w:rFonts w:ascii="宋体" w:hAnsi="宋体" w:cs="Arial"/>
          <w:sz w:val="24"/>
          <w:highlight w:val="none"/>
        </w:rPr>
      </w:pPr>
      <w:r>
        <w:rPr>
          <w:rFonts w:ascii="宋体" w:hAnsi="宋体" w:eastAsia="宋体" w:cs="Arial"/>
          <w:kern w:val="2"/>
          <w:sz w:val="24"/>
          <w:szCs w:val="24"/>
          <w:highlight w:val="none"/>
          <w:lang w:val="en-US" w:eastAsia="zh-CN" w:bidi="ar-SA"/>
        </w:rPr>
        <w:t>三、</w:t>
      </w:r>
      <w:r>
        <w:rPr>
          <w:rFonts w:hint="eastAsia" w:ascii="宋体" w:hAnsi="宋体" w:cs="Arial"/>
          <w:sz w:val="24"/>
          <w:highlight w:val="none"/>
        </w:rPr>
        <w:t>主要技术规格及系统概述：</w:t>
      </w:r>
    </w:p>
    <w:p w14:paraId="7B3FDB1B">
      <w:pPr>
        <w:pStyle w:val="35"/>
        <w:numPr>
          <w:ilvl w:val="1"/>
          <w:numId w:val="23"/>
        </w:numPr>
        <w:spacing w:line="360" w:lineRule="auto"/>
        <w:ind w:left="426" w:firstLineChars="0"/>
        <w:rPr>
          <w:rFonts w:ascii="宋体" w:hAnsi="宋体" w:cs="Arial"/>
          <w:b/>
          <w:sz w:val="24"/>
          <w:highlight w:val="none"/>
        </w:rPr>
      </w:pPr>
      <w:r>
        <w:rPr>
          <w:rFonts w:hint="eastAsia" w:ascii="宋体" w:hAnsi="宋体" w:cs="Arial"/>
          <w:b/>
          <w:sz w:val="24"/>
          <w:highlight w:val="none"/>
        </w:rPr>
        <w:t>主机系统性能</w:t>
      </w:r>
    </w:p>
    <w:p w14:paraId="44AC43A0">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1.1  </w:t>
      </w:r>
      <w:r>
        <w:rPr>
          <w:rFonts w:hint="eastAsia" w:ascii="仿宋" w:hAnsi="仿宋" w:eastAsia="仿宋" w:cs="仿宋"/>
          <w:sz w:val="24"/>
          <w:highlight w:val="none"/>
        </w:rPr>
        <w:t>全数字化彩色多普勒超声诊断系统主机</w:t>
      </w:r>
    </w:p>
    <w:p w14:paraId="4F8CEDE8">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highlight w:val="none"/>
        </w:rPr>
        <w:t>▲</w:t>
      </w:r>
      <w:r>
        <w:rPr>
          <w:rFonts w:hint="eastAsia" w:ascii="仿宋" w:hAnsi="仿宋" w:eastAsia="仿宋" w:cs="仿宋"/>
          <w:color w:val="1D1B11"/>
          <w:kern w:val="2"/>
          <w:sz w:val="24"/>
          <w:szCs w:val="24"/>
          <w:highlight w:val="none"/>
          <w:lang w:val="en-US" w:eastAsia="zh-CN" w:bidi="ar-SA"/>
        </w:rPr>
        <w:t xml:space="preserve">1.2  </w:t>
      </w:r>
      <w:r>
        <w:rPr>
          <w:rFonts w:hint="eastAsia" w:ascii="仿宋" w:hAnsi="仿宋" w:eastAsia="仿宋" w:cs="仿宋"/>
          <w:sz w:val="24"/>
          <w:highlight w:val="none"/>
        </w:rPr>
        <w:t>≥21”高分辨率医用彩色液晶显示器</w:t>
      </w:r>
    </w:p>
    <w:p w14:paraId="05A3D1D4">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highlight w:val="none"/>
        </w:rPr>
        <w:t>▲</w:t>
      </w:r>
      <w:r>
        <w:rPr>
          <w:rFonts w:hint="eastAsia" w:ascii="仿宋" w:hAnsi="仿宋" w:eastAsia="仿宋" w:cs="仿宋"/>
          <w:color w:val="1D1B11"/>
          <w:kern w:val="2"/>
          <w:sz w:val="24"/>
          <w:szCs w:val="24"/>
          <w:highlight w:val="none"/>
          <w:lang w:val="en-US" w:eastAsia="zh-CN" w:bidi="ar-SA"/>
        </w:rPr>
        <w:t xml:space="preserve">1.3  </w:t>
      </w:r>
      <w:r>
        <w:rPr>
          <w:rFonts w:hint="eastAsia" w:ascii="仿宋" w:hAnsi="仿宋" w:eastAsia="仿宋" w:cs="仿宋"/>
          <w:sz w:val="24"/>
          <w:highlight w:val="none"/>
        </w:rPr>
        <w:t>≥13”彩色液晶触摸屏,触摸屏可独立调整角度</w:t>
      </w:r>
    </w:p>
    <w:p w14:paraId="300E3A01">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1.4  </w:t>
      </w:r>
      <w:r>
        <w:rPr>
          <w:rFonts w:hint="eastAsia" w:ascii="仿宋" w:hAnsi="仿宋" w:eastAsia="仿宋" w:cs="仿宋"/>
          <w:sz w:val="24"/>
          <w:highlight w:val="none"/>
        </w:rPr>
        <w:t>主机探头接口≥5个，全激活、大小一致、互通互用</w:t>
      </w:r>
    </w:p>
    <w:p w14:paraId="43114A6B">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1.5  </w:t>
      </w:r>
      <w:r>
        <w:rPr>
          <w:rFonts w:hint="eastAsia" w:ascii="仿宋" w:hAnsi="仿宋" w:eastAsia="仿宋" w:cs="仿宋"/>
          <w:sz w:val="24"/>
          <w:highlight w:val="none"/>
        </w:rPr>
        <w:t>数字化可变孔径及动态变迹技术，A/D≥14 bit</w:t>
      </w:r>
    </w:p>
    <w:p w14:paraId="4679AE2E">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1.6  </w:t>
      </w:r>
      <w:r>
        <w:rPr>
          <w:rFonts w:hint="eastAsia" w:ascii="仿宋" w:hAnsi="仿宋" w:eastAsia="仿宋" w:cs="仿宋"/>
          <w:sz w:val="24"/>
          <w:highlight w:val="none"/>
        </w:rPr>
        <w:t>解剖M型成像单元：≥3条取样线</w:t>
      </w:r>
    </w:p>
    <w:p w14:paraId="188882F2">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1.7  </w:t>
      </w:r>
      <w:r>
        <w:rPr>
          <w:rFonts w:hint="eastAsia" w:ascii="仿宋" w:hAnsi="仿宋" w:eastAsia="仿宋" w:cs="仿宋"/>
          <w:sz w:val="24"/>
          <w:highlight w:val="none"/>
        </w:rPr>
        <w:t>组织多普勒成像单元</w:t>
      </w:r>
    </w:p>
    <w:p w14:paraId="31A96303">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1.8  </w:t>
      </w:r>
      <w:r>
        <w:rPr>
          <w:rFonts w:hint="eastAsia" w:ascii="仿宋" w:hAnsi="仿宋" w:eastAsia="仿宋" w:cs="仿宋"/>
          <w:sz w:val="24"/>
          <w:highlight w:val="none"/>
        </w:rPr>
        <w:t>内置超声教学软件，提供解剖示意图、标准超声图像、扫查手法图和操作者实时检查图像，指导操作者进行标准切面的正确扫查，包含肝脏、心脏、乳腺、甲状腺、肾脏、脾脏、子宫等切面</w:t>
      </w:r>
    </w:p>
    <w:p w14:paraId="25D9982D">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1.9  </w:t>
      </w:r>
      <w:r>
        <w:rPr>
          <w:rFonts w:hint="eastAsia" w:ascii="仿宋" w:hAnsi="仿宋" w:eastAsia="仿宋" w:cs="仿宋"/>
          <w:sz w:val="24"/>
          <w:highlight w:val="none"/>
        </w:rPr>
        <w:t>二维宽景成像，具备速度提示、图像旋转功能、支持测量；彩色血流宽景成像：包含能量多普勒宽景成像、彩色多普勒宽景成像；线阵探头、凸阵探头和相控阵探头均支持宽景成像</w:t>
      </w:r>
    </w:p>
    <w:p w14:paraId="6C09C066">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1.10  </w:t>
      </w:r>
      <w:r>
        <w:rPr>
          <w:rFonts w:hint="eastAsia" w:ascii="仿宋" w:hAnsi="仿宋" w:eastAsia="仿宋" w:cs="仿宋"/>
          <w:sz w:val="24"/>
          <w:highlight w:val="none"/>
        </w:rPr>
        <w:t>弹性成像，具备压力曲线显示，组织弹性测量分析功能</w:t>
      </w:r>
    </w:p>
    <w:p w14:paraId="6F6F6E00">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1.11  </w:t>
      </w:r>
      <w:r>
        <w:rPr>
          <w:rFonts w:hint="eastAsia" w:ascii="仿宋" w:hAnsi="仿宋" w:eastAsia="仿宋" w:cs="仿宋"/>
          <w:sz w:val="24"/>
          <w:highlight w:val="none"/>
        </w:rPr>
        <w:t>支持全局放大、局部放大、一键全屏放大</w:t>
      </w:r>
    </w:p>
    <w:p w14:paraId="5C9B609D">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1.12  </w:t>
      </w:r>
      <w:r>
        <w:rPr>
          <w:rFonts w:hint="eastAsia" w:ascii="仿宋" w:hAnsi="仿宋" w:eastAsia="仿宋" w:cs="仿宋"/>
          <w:sz w:val="24"/>
          <w:highlight w:val="none"/>
        </w:rPr>
        <w:t>全局放大：≥10倍，18级以上档位调节</w:t>
      </w:r>
    </w:p>
    <w:p w14:paraId="6C99006D">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1.13  </w:t>
      </w:r>
      <w:r>
        <w:rPr>
          <w:rFonts w:hint="eastAsia" w:ascii="仿宋" w:hAnsi="仿宋" w:eastAsia="仿宋" w:cs="仿宋"/>
          <w:sz w:val="24"/>
          <w:highlight w:val="none"/>
        </w:rPr>
        <w:t>穿刺引导功能：支持单线和双线区间引导两种方式，可调节位置及角度</w:t>
      </w:r>
    </w:p>
    <w:p w14:paraId="33F465E0">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1.14  </w:t>
      </w:r>
      <w:r>
        <w:rPr>
          <w:rFonts w:hint="eastAsia" w:ascii="仿宋" w:hAnsi="仿宋" w:eastAsia="仿宋" w:cs="仿宋"/>
          <w:sz w:val="24"/>
          <w:highlight w:val="none"/>
        </w:rPr>
        <w:t>支持碎石中位线</w:t>
      </w:r>
    </w:p>
    <w:p w14:paraId="1F6F1A0F">
      <w:pPr>
        <w:pStyle w:val="35"/>
        <w:numPr>
          <w:ilvl w:val="1"/>
          <w:numId w:val="0"/>
        </w:numPr>
        <w:tabs>
          <w:tab w:val="left" w:pos="567"/>
        </w:tabs>
        <w:spacing w:line="360" w:lineRule="auto"/>
        <w:ind w:left="0" w:leftChars="0" w:firstLine="0" w:firstLineChars="0"/>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1.15  </w:t>
      </w:r>
      <w:r>
        <w:rPr>
          <w:rFonts w:hint="eastAsia" w:ascii="仿宋" w:hAnsi="仿宋" w:eastAsia="仿宋" w:cs="仿宋"/>
          <w:sz w:val="24"/>
          <w:highlight w:val="none"/>
        </w:rPr>
        <w:t>穿刺增强技术</w:t>
      </w:r>
    </w:p>
    <w:p w14:paraId="76F552FE">
      <w:pPr>
        <w:pStyle w:val="35"/>
        <w:numPr>
          <w:ilvl w:val="0"/>
          <w:numId w:val="0"/>
        </w:numPr>
        <w:spacing w:line="360" w:lineRule="auto"/>
        <w:ind w:left="0" w:leftChars="0" w:firstLine="0" w:firstLineChars="0"/>
        <w:jc w:val="left"/>
        <w:rPr>
          <w:rFonts w:ascii="宋体" w:hAnsi="宋体"/>
          <w:b/>
          <w:sz w:val="24"/>
          <w:highlight w:val="none"/>
        </w:rPr>
      </w:pPr>
      <w:r>
        <w:rPr>
          <w:rFonts w:hint="eastAsia" w:ascii="宋体" w:hAnsi="宋体" w:eastAsia="宋体" w:cs="Times New Roman"/>
          <w:b/>
          <w:kern w:val="2"/>
          <w:sz w:val="24"/>
          <w:szCs w:val="24"/>
          <w:highlight w:val="none"/>
          <w:lang w:val="en-US" w:eastAsia="zh-CN" w:bidi="ar-SA"/>
        </w:rPr>
        <w:t>2</w:t>
      </w:r>
      <w:r>
        <w:rPr>
          <w:rFonts w:hint="eastAsia" w:ascii="宋体" w:hAnsi="宋体"/>
          <w:b/>
          <w:sz w:val="24"/>
          <w:highlight w:val="none"/>
        </w:rPr>
        <w:t>测量/分析和报告</w:t>
      </w:r>
    </w:p>
    <w:p w14:paraId="73980FBE">
      <w:pPr>
        <w:pStyle w:val="35"/>
        <w:numPr>
          <w:ilvl w:val="1"/>
          <w:numId w:val="0"/>
        </w:numPr>
        <w:spacing w:line="360" w:lineRule="auto"/>
        <w:ind w:left="0" w:leftChars="0" w:firstLine="57" w:firstLineChars="0"/>
        <w:jc w:val="left"/>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2.1</w:t>
      </w:r>
      <w:r>
        <w:rPr>
          <w:rFonts w:hint="eastAsia" w:ascii="仿宋" w:hAnsi="仿宋" w:eastAsia="仿宋" w:cs="仿宋"/>
          <w:sz w:val="24"/>
          <w:highlight w:val="none"/>
        </w:rPr>
        <w:t>常规测量软件包</w:t>
      </w:r>
    </w:p>
    <w:p w14:paraId="01068464">
      <w:pPr>
        <w:pStyle w:val="35"/>
        <w:numPr>
          <w:ilvl w:val="2"/>
          <w:numId w:val="0"/>
        </w:numPr>
        <w:tabs>
          <w:tab w:val="left" w:pos="567"/>
        </w:tabs>
        <w:spacing w:line="360" w:lineRule="auto"/>
        <w:ind w:left="0" w:leftChars="0" w:firstLine="227" w:firstLineChars="0"/>
        <w:jc w:val="left"/>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2.1.1</w:t>
      </w:r>
      <w:r>
        <w:rPr>
          <w:rFonts w:hint="eastAsia" w:ascii="仿宋" w:hAnsi="仿宋" w:eastAsia="仿宋" w:cs="仿宋"/>
          <w:sz w:val="24"/>
          <w:highlight w:val="none"/>
        </w:rPr>
        <w:t>基础测量包，2B模式下支持双幅跨幅测量</w:t>
      </w:r>
    </w:p>
    <w:p w14:paraId="354501F5">
      <w:pPr>
        <w:pStyle w:val="35"/>
        <w:numPr>
          <w:ilvl w:val="2"/>
          <w:numId w:val="0"/>
        </w:numPr>
        <w:tabs>
          <w:tab w:val="left" w:pos="567"/>
        </w:tabs>
        <w:spacing w:line="360" w:lineRule="auto"/>
        <w:ind w:left="0" w:leftChars="0" w:firstLine="227" w:firstLineChars="0"/>
        <w:jc w:val="left"/>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2.1.2</w:t>
      </w:r>
      <w:r>
        <w:rPr>
          <w:rFonts w:hint="eastAsia" w:ascii="仿宋" w:hAnsi="仿宋" w:eastAsia="仿宋" w:cs="仿宋"/>
          <w:sz w:val="24"/>
          <w:highlight w:val="none"/>
        </w:rPr>
        <w:t>彩色血流剖面图，彩色多普勒模式下无需激活频谱即可测量血管截面瞬时的血流量，显示最大速度、平均速度、血流量，补偿角度可调</w:t>
      </w:r>
    </w:p>
    <w:p w14:paraId="0535C67D">
      <w:pPr>
        <w:pStyle w:val="35"/>
        <w:numPr>
          <w:ilvl w:val="2"/>
          <w:numId w:val="0"/>
        </w:numPr>
        <w:tabs>
          <w:tab w:val="left" w:pos="567"/>
        </w:tabs>
        <w:spacing w:line="360" w:lineRule="auto"/>
        <w:ind w:left="0" w:leftChars="0" w:firstLine="227" w:firstLineChars="0"/>
        <w:jc w:val="left"/>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2.1.3</w:t>
      </w:r>
      <w:r>
        <w:rPr>
          <w:rFonts w:hint="eastAsia" w:ascii="仿宋" w:hAnsi="仿宋" w:eastAsia="仿宋" w:cs="仿宋"/>
          <w:sz w:val="24"/>
          <w:highlight w:val="none"/>
        </w:rPr>
        <w:t>定点测速功能，彩色多普勒模式下可同屏测量血管腔内≥7个任意位置的血流速度</w:t>
      </w:r>
    </w:p>
    <w:p w14:paraId="46A66100">
      <w:pPr>
        <w:pStyle w:val="35"/>
        <w:numPr>
          <w:ilvl w:val="2"/>
          <w:numId w:val="0"/>
        </w:numPr>
        <w:tabs>
          <w:tab w:val="left" w:pos="567"/>
        </w:tabs>
        <w:spacing w:line="360" w:lineRule="auto"/>
        <w:ind w:left="0" w:leftChars="0" w:firstLine="227" w:firstLineChars="0"/>
        <w:jc w:val="left"/>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2.1.4</w:t>
      </w:r>
      <w:r>
        <w:rPr>
          <w:rFonts w:hint="eastAsia" w:ascii="仿宋" w:hAnsi="仿宋" w:eastAsia="仿宋" w:cs="仿宋"/>
          <w:sz w:val="24"/>
          <w:highlight w:val="none"/>
        </w:rPr>
        <w:t>频谱自动测量分析软件，用户可自由配置显示的参数</w:t>
      </w:r>
    </w:p>
    <w:p w14:paraId="67DB6E5F">
      <w:pPr>
        <w:pStyle w:val="35"/>
        <w:numPr>
          <w:ilvl w:val="1"/>
          <w:numId w:val="0"/>
        </w:numPr>
        <w:spacing w:line="360" w:lineRule="auto"/>
        <w:ind w:left="0" w:leftChars="0" w:firstLine="57" w:firstLineChars="0"/>
        <w:jc w:val="left"/>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2.2</w:t>
      </w:r>
      <w:r>
        <w:rPr>
          <w:rFonts w:hint="eastAsia" w:ascii="仿宋" w:hAnsi="仿宋" w:eastAsia="仿宋" w:cs="仿宋"/>
          <w:sz w:val="24"/>
          <w:highlight w:val="none"/>
        </w:rPr>
        <w:t>专科测量软件包，支持腹部、妇科、产科、心脏、泌尿、小器官、儿科、血管，自动生成报告</w:t>
      </w:r>
    </w:p>
    <w:p w14:paraId="60FB7745">
      <w:pPr>
        <w:pStyle w:val="35"/>
        <w:numPr>
          <w:ilvl w:val="2"/>
          <w:numId w:val="0"/>
        </w:numPr>
        <w:tabs>
          <w:tab w:val="left" w:pos="567"/>
        </w:tabs>
        <w:spacing w:line="360" w:lineRule="auto"/>
        <w:ind w:left="0" w:leftChars="0" w:firstLine="227" w:firstLineChars="0"/>
        <w:jc w:val="left"/>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2.2.1</w:t>
      </w:r>
      <w:r>
        <w:rPr>
          <w:rFonts w:hint="eastAsia" w:ascii="仿宋" w:hAnsi="仿宋" w:eastAsia="仿宋" w:cs="仿宋"/>
          <w:sz w:val="24"/>
          <w:highlight w:val="none"/>
        </w:rPr>
        <w:t>腹部测量软件包，</w:t>
      </w:r>
      <w:r>
        <w:rPr>
          <w:rFonts w:hint="eastAsia" w:ascii="仿宋" w:hAnsi="仿宋" w:eastAsia="仿宋" w:cs="仿宋"/>
          <w:sz w:val="24"/>
          <w:szCs w:val="32"/>
          <w:highlight w:val="none"/>
        </w:rPr>
        <w:t>支持膀胱自动测量</w:t>
      </w:r>
    </w:p>
    <w:p w14:paraId="5FEC069B">
      <w:pPr>
        <w:pStyle w:val="35"/>
        <w:numPr>
          <w:ilvl w:val="2"/>
          <w:numId w:val="0"/>
        </w:numPr>
        <w:tabs>
          <w:tab w:val="left" w:pos="567"/>
        </w:tabs>
        <w:spacing w:line="360" w:lineRule="auto"/>
        <w:ind w:left="0" w:leftChars="0" w:firstLine="227" w:firstLineChars="0"/>
        <w:jc w:val="left"/>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2.2.2</w:t>
      </w:r>
      <w:r>
        <w:rPr>
          <w:rFonts w:hint="eastAsia" w:ascii="仿宋" w:hAnsi="仿宋" w:eastAsia="仿宋" w:cs="仿宋"/>
          <w:bCs/>
          <w:sz w:val="24"/>
          <w:highlight w:val="none"/>
        </w:rPr>
        <w:t>盆底自动识别及测量功能</w:t>
      </w:r>
    </w:p>
    <w:p w14:paraId="383F8FAB">
      <w:pPr>
        <w:pStyle w:val="35"/>
        <w:numPr>
          <w:ilvl w:val="0"/>
          <w:numId w:val="24"/>
        </w:numPr>
        <w:spacing w:line="360" w:lineRule="auto"/>
        <w:ind w:firstLineChars="0"/>
        <w:rPr>
          <w:rFonts w:hint="eastAsia" w:ascii="仿宋" w:hAnsi="仿宋" w:eastAsia="仿宋" w:cs="仿宋"/>
          <w:sz w:val="24"/>
          <w:highlight w:val="none"/>
        </w:rPr>
      </w:pPr>
      <w:r>
        <w:rPr>
          <w:rFonts w:hint="eastAsia" w:ascii="仿宋" w:hAnsi="仿宋" w:eastAsia="仿宋" w:cs="仿宋"/>
          <w:sz w:val="24"/>
          <w:highlight w:val="none"/>
        </w:rPr>
        <w:t>2D盆底成像模式下，可一键自动测量膀胱颈距离值、膀胱后角值、膀胱距离值、尿道倾斜角值，</w:t>
      </w:r>
      <w:r>
        <w:rPr>
          <w:rFonts w:hint="eastAsia" w:ascii="仿宋" w:hAnsi="仿宋" w:eastAsia="仿宋" w:cs="仿宋"/>
          <w:sz w:val="24"/>
          <w:szCs w:val="32"/>
          <w:highlight w:val="none"/>
        </w:rPr>
        <w:t>无须手动标定参考点</w:t>
      </w:r>
    </w:p>
    <w:p w14:paraId="75492302">
      <w:pPr>
        <w:pStyle w:val="35"/>
        <w:numPr>
          <w:ilvl w:val="0"/>
          <w:numId w:val="24"/>
        </w:numPr>
        <w:spacing w:line="360" w:lineRule="auto"/>
        <w:ind w:firstLineChars="0"/>
        <w:rPr>
          <w:rFonts w:hint="eastAsia" w:ascii="仿宋" w:hAnsi="仿宋" w:eastAsia="仿宋" w:cs="仿宋"/>
          <w:sz w:val="24"/>
          <w:highlight w:val="none"/>
        </w:rPr>
      </w:pPr>
      <w:r>
        <w:rPr>
          <w:rFonts w:hint="eastAsia" w:ascii="仿宋" w:hAnsi="仿宋" w:eastAsia="仿宋" w:cs="仿宋"/>
          <w:sz w:val="24"/>
          <w:highlight w:val="none"/>
        </w:rPr>
        <w:t>3D盆底成像模式下，可一键</w:t>
      </w:r>
      <w:r>
        <w:rPr>
          <w:rFonts w:hint="eastAsia" w:ascii="仿宋" w:hAnsi="仿宋" w:eastAsia="仿宋" w:cs="仿宋"/>
          <w:sz w:val="24"/>
          <w:szCs w:val="32"/>
          <w:highlight w:val="none"/>
        </w:rPr>
        <w:t>实现切面自动识别及</w:t>
      </w:r>
      <w:r>
        <w:rPr>
          <w:rFonts w:hint="eastAsia" w:ascii="仿宋" w:hAnsi="仿宋" w:eastAsia="仿宋" w:cs="仿宋"/>
          <w:sz w:val="24"/>
          <w:highlight w:val="none"/>
        </w:rPr>
        <w:t>自动测量，自动测量项包括肛提肌裂孔面积、肛提肌裂孔前后径、肛提肌裂孔左右径、左侧肛提肌裂孔 - 尿道间隙和右侧肛提肌裂孔 - 尿道间隙，</w:t>
      </w:r>
      <w:r>
        <w:rPr>
          <w:rFonts w:hint="eastAsia" w:ascii="仿宋" w:hAnsi="仿宋" w:eastAsia="仿宋" w:cs="仿宋"/>
          <w:sz w:val="24"/>
          <w:szCs w:val="32"/>
          <w:highlight w:val="none"/>
        </w:rPr>
        <w:t>无须手动标定参考点</w:t>
      </w:r>
    </w:p>
    <w:p w14:paraId="05565521">
      <w:pPr>
        <w:pStyle w:val="35"/>
        <w:numPr>
          <w:ilvl w:val="2"/>
          <w:numId w:val="0"/>
        </w:numPr>
        <w:tabs>
          <w:tab w:val="left" w:pos="567"/>
        </w:tabs>
        <w:spacing w:line="360" w:lineRule="auto"/>
        <w:ind w:left="0" w:leftChars="0" w:firstLine="227" w:firstLineChars="0"/>
        <w:jc w:val="left"/>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2.2.3</w:t>
      </w:r>
      <w:r>
        <w:rPr>
          <w:rFonts w:hint="eastAsia" w:ascii="仿宋" w:hAnsi="仿宋" w:eastAsia="仿宋" w:cs="仿宋"/>
          <w:sz w:val="24"/>
          <w:highlight w:val="none"/>
        </w:rPr>
        <w:t>心脏测量软件包：心肌功能指数，支持心内膜自动描迹</w:t>
      </w:r>
    </w:p>
    <w:p w14:paraId="5E148A44">
      <w:pPr>
        <w:pStyle w:val="35"/>
        <w:numPr>
          <w:ilvl w:val="2"/>
          <w:numId w:val="0"/>
        </w:numPr>
        <w:tabs>
          <w:tab w:val="left" w:pos="567"/>
        </w:tabs>
        <w:spacing w:line="360" w:lineRule="auto"/>
        <w:ind w:left="0" w:leftChars="0" w:firstLine="227" w:firstLineChars="0"/>
        <w:jc w:val="left"/>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2.2.4</w:t>
      </w:r>
      <w:r>
        <w:rPr>
          <w:rFonts w:hint="eastAsia" w:ascii="仿宋" w:hAnsi="仿宋" w:eastAsia="仿宋" w:cs="仿宋"/>
          <w:sz w:val="24"/>
          <w:highlight w:val="none"/>
        </w:rPr>
        <w:t>血管测量软件包：IMT血管内中膜自动测量，具备前、后壁同屏独立测量显示</w:t>
      </w:r>
    </w:p>
    <w:p w14:paraId="4C58D70B">
      <w:pPr>
        <w:pStyle w:val="35"/>
        <w:numPr>
          <w:ilvl w:val="0"/>
          <w:numId w:val="0"/>
        </w:numPr>
        <w:spacing w:line="360" w:lineRule="auto"/>
        <w:ind w:left="0" w:leftChars="0" w:firstLine="0" w:firstLineChars="0"/>
        <w:jc w:val="left"/>
        <w:rPr>
          <w:rFonts w:ascii="宋体" w:hAnsi="宋体" w:cs="Arial"/>
          <w:b/>
          <w:sz w:val="24"/>
          <w:highlight w:val="none"/>
        </w:rPr>
      </w:pPr>
      <w:r>
        <w:rPr>
          <w:rFonts w:hint="eastAsia" w:ascii="宋体" w:hAnsi="宋体" w:eastAsia="宋体" w:cs="Arial"/>
          <w:b/>
          <w:kern w:val="2"/>
          <w:sz w:val="24"/>
          <w:szCs w:val="24"/>
          <w:highlight w:val="none"/>
          <w:lang w:val="en-US" w:eastAsia="zh-CN" w:bidi="ar-SA"/>
        </w:rPr>
        <w:t>3</w:t>
      </w:r>
      <w:r>
        <w:rPr>
          <w:rFonts w:hint="eastAsia" w:ascii="宋体" w:hAnsi="宋体" w:cs="Arial"/>
          <w:b/>
          <w:sz w:val="24"/>
          <w:highlight w:val="none"/>
        </w:rPr>
        <w:t>电影回放及原始数据处理</w:t>
      </w:r>
    </w:p>
    <w:p w14:paraId="26245C2E">
      <w:pPr>
        <w:pStyle w:val="35"/>
        <w:numPr>
          <w:ilvl w:val="1"/>
          <w:numId w:val="0"/>
        </w:numPr>
        <w:spacing w:line="360" w:lineRule="auto"/>
        <w:ind w:left="336" w:leftChars="0" w:hanging="303" w:firstLineChars="0"/>
        <w:jc w:val="left"/>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3.1</w:t>
      </w:r>
      <w:r>
        <w:rPr>
          <w:rFonts w:hint="eastAsia" w:ascii="仿宋" w:hAnsi="仿宋" w:eastAsia="仿宋" w:cs="仿宋"/>
          <w:sz w:val="24"/>
          <w:highlight w:val="none"/>
        </w:rPr>
        <w:t xml:space="preserve"> 支持手动、自动回放，支持4D 电影自动回放</w:t>
      </w:r>
    </w:p>
    <w:p w14:paraId="1D701A8E">
      <w:pPr>
        <w:pStyle w:val="35"/>
        <w:numPr>
          <w:ilvl w:val="1"/>
          <w:numId w:val="0"/>
        </w:numPr>
        <w:spacing w:line="360" w:lineRule="auto"/>
        <w:ind w:left="336" w:leftChars="0" w:hanging="303" w:firstLineChars="0"/>
        <w:jc w:val="left"/>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SA"/>
        </w:rPr>
        <w:t>3.2</w:t>
      </w:r>
      <w:r>
        <w:rPr>
          <w:rFonts w:hint="eastAsia" w:ascii="仿宋" w:hAnsi="仿宋" w:eastAsia="仿宋" w:cs="仿宋"/>
          <w:sz w:val="24"/>
          <w:highlight w:val="none"/>
        </w:rPr>
        <w:t xml:space="preserve"> 原始数据处理，可对图像进行离线参数分析，支持二维、M型、频谱模式等</w:t>
      </w:r>
    </w:p>
    <w:p w14:paraId="3D5034FE">
      <w:pPr>
        <w:pStyle w:val="35"/>
        <w:numPr>
          <w:ilvl w:val="0"/>
          <w:numId w:val="0"/>
        </w:numPr>
        <w:spacing w:line="360" w:lineRule="auto"/>
        <w:ind w:left="0" w:leftChars="0" w:firstLine="0" w:firstLineChars="0"/>
        <w:jc w:val="left"/>
        <w:rPr>
          <w:rFonts w:ascii="宋体" w:hAnsi="宋体" w:cs="Arial"/>
          <w:b/>
          <w:sz w:val="24"/>
          <w:highlight w:val="none"/>
        </w:rPr>
      </w:pPr>
      <w:r>
        <w:rPr>
          <w:rFonts w:hint="eastAsia" w:ascii="宋体" w:hAnsi="宋体" w:eastAsia="宋体" w:cs="Arial"/>
          <w:b/>
          <w:kern w:val="2"/>
          <w:sz w:val="24"/>
          <w:szCs w:val="24"/>
          <w:highlight w:val="none"/>
          <w:lang w:val="en-US" w:eastAsia="zh-CN" w:bidi="ar-SA"/>
        </w:rPr>
        <w:t>4</w:t>
      </w:r>
      <w:r>
        <w:rPr>
          <w:rFonts w:hint="eastAsia" w:ascii="宋体" w:hAnsi="宋体" w:cs="Arial"/>
          <w:b/>
          <w:sz w:val="24"/>
          <w:highlight w:val="none"/>
        </w:rPr>
        <w:t>存储及数据管理</w:t>
      </w:r>
    </w:p>
    <w:p w14:paraId="18672EC8">
      <w:pPr>
        <w:pStyle w:val="35"/>
        <w:numPr>
          <w:ilvl w:val="1"/>
          <w:numId w:val="0"/>
        </w:numPr>
        <w:spacing w:line="360" w:lineRule="auto"/>
        <w:ind w:left="0" w:leftChars="0" w:firstLine="0" w:firstLineChars="0"/>
        <w:rPr>
          <w:rFonts w:hint="eastAsia" w:ascii="仿宋" w:hAnsi="仿宋" w:eastAsia="仿宋" w:cs="仿宋"/>
          <w:sz w:val="24"/>
          <w:highlight w:val="none"/>
        </w:rPr>
      </w:pPr>
      <w:r>
        <w:rPr>
          <w:rFonts w:hint="eastAsia"/>
          <w:highlight w:val="none"/>
        </w:rPr>
        <w:t>▲</w:t>
      </w:r>
      <w:r>
        <w:rPr>
          <w:rFonts w:hint="eastAsia" w:ascii="仿宋" w:hAnsi="仿宋" w:eastAsia="仿宋" w:cs="仿宋"/>
          <w:color w:val="1D1B11"/>
          <w:kern w:val="2"/>
          <w:sz w:val="24"/>
          <w:szCs w:val="24"/>
          <w:highlight w:val="none"/>
          <w:lang w:val="en-US" w:eastAsia="zh-CN" w:bidi="ar-SA"/>
        </w:rPr>
        <w:t xml:space="preserve">4.1  </w:t>
      </w:r>
      <w:r>
        <w:rPr>
          <w:rFonts w:hint="eastAsia" w:ascii="仿宋" w:hAnsi="仿宋" w:eastAsia="仿宋" w:cs="仿宋"/>
          <w:sz w:val="24"/>
          <w:highlight w:val="none"/>
        </w:rPr>
        <w:t>硬盘≥2T，图像存储，电影回放时间≥480s</w:t>
      </w:r>
    </w:p>
    <w:p w14:paraId="3D184E99">
      <w:pPr>
        <w:pStyle w:val="35"/>
        <w:numPr>
          <w:ilvl w:val="1"/>
          <w:numId w:val="0"/>
        </w:numPr>
        <w:spacing w:line="360" w:lineRule="auto"/>
        <w:ind w:left="0" w:leftChars="0" w:firstLine="0" w:firstLineChars="0"/>
        <w:jc w:val="left"/>
        <w:rPr>
          <w:rFonts w:ascii="宋体" w:hAnsi="宋体" w:cs="Arial"/>
          <w:sz w:val="24"/>
          <w:highlight w:val="none"/>
        </w:rPr>
      </w:pPr>
      <w:r>
        <w:rPr>
          <w:rFonts w:hint="eastAsia" w:ascii="仿宋" w:hAnsi="仿宋" w:eastAsia="仿宋" w:cs="仿宋"/>
          <w:color w:val="1D1B11"/>
          <w:kern w:val="2"/>
          <w:sz w:val="24"/>
          <w:szCs w:val="24"/>
          <w:highlight w:val="none"/>
          <w:lang w:val="en-US" w:eastAsia="zh-CN" w:bidi="ar-SA"/>
        </w:rPr>
        <w:t xml:space="preserve">4.2  </w:t>
      </w:r>
      <w:r>
        <w:rPr>
          <w:rFonts w:hint="eastAsia" w:ascii="仿宋" w:hAnsi="仿宋" w:eastAsia="仿宋" w:cs="仿宋"/>
          <w:sz w:val="24"/>
          <w:highlight w:val="none"/>
        </w:rPr>
        <w:t>多种图像格式传输：支持JPEG、WMV、BMP、AVI、TIF等格式输出</w:t>
      </w:r>
    </w:p>
    <w:p w14:paraId="0C31AF5F">
      <w:pPr>
        <w:pStyle w:val="35"/>
        <w:numPr>
          <w:ilvl w:val="0"/>
          <w:numId w:val="0"/>
        </w:numPr>
        <w:spacing w:line="360" w:lineRule="auto"/>
        <w:ind w:left="0" w:leftChars="0" w:firstLine="0" w:firstLineChars="0"/>
        <w:jc w:val="left"/>
        <w:rPr>
          <w:rFonts w:ascii="宋体" w:hAnsi="宋体" w:cs="Arial"/>
          <w:b/>
          <w:sz w:val="24"/>
          <w:highlight w:val="none"/>
        </w:rPr>
      </w:pPr>
      <w:r>
        <w:rPr>
          <w:rFonts w:hint="eastAsia" w:ascii="宋体" w:hAnsi="宋体" w:eastAsia="宋体" w:cs="Arial"/>
          <w:b/>
          <w:kern w:val="2"/>
          <w:sz w:val="24"/>
          <w:szCs w:val="24"/>
          <w:highlight w:val="none"/>
          <w:lang w:val="en-US" w:eastAsia="zh-CN" w:bidi="ar-SA"/>
        </w:rPr>
        <w:t>5</w:t>
      </w:r>
      <w:r>
        <w:rPr>
          <w:rFonts w:hint="eastAsia" w:ascii="宋体" w:hAnsi="宋体" w:cs="Arial"/>
          <w:b/>
          <w:sz w:val="24"/>
          <w:highlight w:val="none"/>
        </w:rPr>
        <w:t>连通性要求</w:t>
      </w:r>
    </w:p>
    <w:p w14:paraId="2DAABFD5">
      <w:pPr>
        <w:pStyle w:val="35"/>
        <w:numPr>
          <w:ilvl w:val="1"/>
          <w:numId w:val="0"/>
        </w:numPr>
        <w:spacing w:line="360" w:lineRule="auto"/>
        <w:ind w:left="0"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5.1  </w:t>
      </w:r>
      <w:r>
        <w:rPr>
          <w:rFonts w:hint="eastAsia" w:ascii="仿宋" w:hAnsi="仿宋" w:eastAsia="仿宋" w:cs="仿宋"/>
          <w:sz w:val="24"/>
          <w:highlight w:val="none"/>
        </w:rPr>
        <w:t>具有DICOM 3.0功能</w:t>
      </w:r>
    </w:p>
    <w:p w14:paraId="65D9DF67">
      <w:pPr>
        <w:pStyle w:val="35"/>
        <w:numPr>
          <w:ilvl w:val="1"/>
          <w:numId w:val="0"/>
        </w:numPr>
        <w:spacing w:line="360" w:lineRule="auto"/>
        <w:ind w:left="0" w:leftChars="0" w:firstLine="0" w:firstLineChars="0"/>
        <w:jc w:val="left"/>
        <w:rPr>
          <w:rFonts w:hint="eastAsia" w:ascii="仿宋" w:hAnsi="仿宋" w:eastAsia="仿宋" w:cs="仿宋"/>
          <w:sz w:val="24"/>
          <w:highlight w:val="none"/>
        </w:rPr>
      </w:pPr>
      <w:r>
        <w:rPr>
          <w:rFonts w:hint="eastAsia"/>
          <w:highlight w:val="none"/>
        </w:rPr>
        <w:t>▲</w:t>
      </w:r>
      <w:r>
        <w:rPr>
          <w:rFonts w:hint="eastAsia" w:ascii="仿宋" w:hAnsi="仿宋" w:eastAsia="仿宋" w:cs="仿宋"/>
          <w:color w:val="1D1B11"/>
          <w:kern w:val="2"/>
          <w:sz w:val="24"/>
          <w:szCs w:val="24"/>
          <w:highlight w:val="none"/>
          <w:lang w:val="en-US" w:eastAsia="zh-CN" w:bidi="ar-SA"/>
        </w:rPr>
        <w:t xml:space="preserve">5.2  </w:t>
      </w:r>
      <w:r>
        <w:rPr>
          <w:rFonts w:hint="eastAsia" w:ascii="仿宋" w:hAnsi="仿宋" w:eastAsia="仿宋" w:cs="仿宋"/>
          <w:sz w:val="24"/>
          <w:highlight w:val="none"/>
        </w:rPr>
        <w:t>主机内置USB接口≥5个</w:t>
      </w:r>
    </w:p>
    <w:p w14:paraId="3444F103">
      <w:pPr>
        <w:pStyle w:val="35"/>
        <w:numPr>
          <w:ilvl w:val="1"/>
          <w:numId w:val="0"/>
        </w:numPr>
        <w:spacing w:line="360" w:lineRule="auto"/>
        <w:ind w:left="0"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5.3  </w:t>
      </w:r>
      <w:r>
        <w:rPr>
          <w:rFonts w:hint="eastAsia" w:ascii="仿宋" w:hAnsi="仿宋" w:eastAsia="仿宋" w:cs="仿宋"/>
          <w:sz w:val="24"/>
          <w:highlight w:val="none"/>
        </w:rPr>
        <w:t>具备HDMI、DVI、RGB、Video、S-Video等视频接口</w:t>
      </w:r>
    </w:p>
    <w:p w14:paraId="395CB403">
      <w:pPr>
        <w:pStyle w:val="35"/>
        <w:numPr>
          <w:ilvl w:val="0"/>
          <w:numId w:val="0"/>
        </w:numPr>
        <w:spacing w:line="360" w:lineRule="auto"/>
        <w:ind w:left="0" w:leftChars="0" w:firstLine="0" w:firstLineChars="0"/>
        <w:jc w:val="left"/>
        <w:rPr>
          <w:rFonts w:ascii="宋体" w:hAnsi="宋体" w:cs="Arial"/>
          <w:b/>
          <w:sz w:val="24"/>
          <w:highlight w:val="none"/>
        </w:rPr>
      </w:pPr>
      <w:r>
        <w:rPr>
          <w:rFonts w:hint="eastAsia" w:ascii="宋体" w:hAnsi="宋体" w:eastAsia="宋体" w:cs="Arial"/>
          <w:b/>
          <w:kern w:val="2"/>
          <w:sz w:val="24"/>
          <w:szCs w:val="24"/>
          <w:highlight w:val="none"/>
          <w:lang w:val="en-US" w:eastAsia="zh-CN" w:bidi="ar-SA"/>
        </w:rPr>
        <w:t>6</w:t>
      </w:r>
      <w:r>
        <w:rPr>
          <w:rFonts w:hint="eastAsia" w:ascii="宋体" w:hAnsi="宋体" w:cs="Arial"/>
          <w:b/>
          <w:sz w:val="24"/>
          <w:highlight w:val="none"/>
        </w:rPr>
        <w:t>系统技术参数及要求</w:t>
      </w:r>
    </w:p>
    <w:p w14:paraId="795FD8DA">
      <w:pPr>
        <w:pStyle w:val="35"/>
        <w:numPr>
          <w:ilvl w:val="1"/>
          <w:numId w:val="0"/>
        </w:numPr>
        <w:spacing w:line="360" w:lineRule="auto"/>
        <w:ind w:left="0"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6.1  </w:t>
      </w:r>
      <w:r>
        <w:rPr>
          <w:rFonts w:hint="eastAsia" w:ascii="仿宋" w:hAnsi="仿宋" w:eastAsia="仿宋" w:cs="仿宋"/>
          <w:sz w:val="24"/>
          <w:highlight w:val="none"/>
        </w:rPr>
        <w:t>二维灰阶成像单元</w:t>
      </w:r>
    </w:p>
    <w:p w14:paraId="39EF2233">
      <w:pPr>
        <w:pStyle w:val="35"/>
        <w:numPr>
          <w:ilvl w:val="2"/>
          <w:numId w:val="0"/>
        </w:numPr>
        <w:tabs>
          <w:tab w:val="left" w:pos="426"/>
        </w:tabs>
        <w:snapToGrid w:val="0"/>
        <w:spacing w:line="360" w:lineRule="auto"/>
        <w:ind w:left="284"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6.1.1</w:t>
      </w:r>
      <w:r>
        <w:rPr>
          <w:rFonts w:hint="eastAsia" w:ascii="仿宋" w:hAnsi="仿宋" w:eastAsia="仿宋" w:cs="仿宋"/>
          <w:sz w:val="24"/>
          <w:highlight w:val="none"/>
        </w:rPr>
        <w:t>基波≥5段变频、谐波≥5段变频</w:t>
      </w:r>
    </w:p>
    <w:p w14:paraId="439C7073">
      <w:pPr>
        <w:pStyle w:val="35"/>
        <w:numPr>
          <w:ilvl w:val="2"/>
          <w:numId w:val="0"/>
        </w:numPr>
        <w:tabs>
          <w:tab w:val="left" w:pos="567"/>
        </w:tabs>
        <w:snapToGrid w:val="0"/>
        <w:spacing w:line="360" w:lineRule="auto"/>
        <w:ind w:left="284" w:leftChars="0" w:firstLine="0" w:firstLineChars="0"/>
        <w:jc w:val="left"/>
        <w:rPr>
          <w:rFonts w:hint="eastAsia" w:ascii="仿宋" w:hAnsi="仿宋" w:eastAsia="仿宋" w:cs="仿宋"/>
          <w:sz w:val="24"/>
          <w:highlight w:val="none"/>
        </w:rPr>
      </w:pPr>
      <w:r>
        <w:rPr>
          <w:rFonts w:hint="eastAsia"/>
          <w:highlight w:val="none"/>
        </w:rPr>
        <w:t>▲</w:t>
      </w:r>
      <w:r>
        <w:rPr>
          <w:rFonts w:hint="eastAsia" w:ascii="仿宋" w:hAnsi="仿宋" w:eastAsia="仿宋" w:cs="仿宋"/>
          <w:color w:val="1D1B11"/>
          <w:kern w:val="2"/>
          <w:sz w:val="24"/>
          <w:szCs w:val="24"/>
          <w:highlight w:val="none"/>
          <w:lang w:val="en-US" w:eastAsia="zh-CN" w:bidi="ar-SA"/>
        </w:rPr>
        <w:t>6.1.2</w:t>
      </w:r>
      <w:r>
        <w:rPr>
          <w:rFonts w:hint="eastAsia" w:ascii="仿宋" w:hAnsi="仿宋" w:eastAsia="仿宋" w:cs="仿宋"/>
          <w:sz w:val="24"/>
          <w:highlight w:val="none"/>
        </w:rPr>
        <w:t>焦点个数：≥12个</w:t>
      </w:r>
    </w:p>
    <w:p w14:paraId="4A42786C">
      <w:pPr>
        <w:pStyle w:val="35"/>
        <w:numPr>
          <w:ilvl w:val="2"/>
          <w:numId w:val="0"/>
        </w:numPr>
        <w:tabs>
          <w:tab w:val="left" w:pos="567"/>
        </w:tabs>
        <w:snapToGrid w:val="0"/>
        <w:spacing w:line="360" w:lineRule="auto"/>
        <w:ind w:left="284"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6.1.3</w:t>
      </w:r>
      <w:r>
        <w:rPr>
          <w:rFonts w:hint="eastAsia" w:ascii="仿宋" w:hAnsi="仿宋" w:eastAsia="仿宋" w:cs="仿宋"/>
          <w:sz w:val="24"/>
          <w:highlight w:val="none"/>
        </w:rPr>
        <w:t>预设条件：针对不同的检查脏器，预置最佳化图像的检查条件，减少操作时的调节，并以脏器图形化直观显示并配有部位名称，而非单独的中文或英文显示。</w:t>
      </w:r>
    </w:p>
    <w:p w14:paraId="28D088A7">
      <w:pPr>
        <w:pStyle w:val="35"/>
        <w:numPr>
          <w:ilvl w:val="2"/>
          <w:numId w:val="0"/>
        </w:numPr>
        <w:tabs>
          <w:tab w:val="left" w:pos="567"/>
        </w:tabs>
        <w:snapToGrid w:val="0"/>
        <w:spacing w:line="360" w:lineRule="auto"/>
        <w:ind w:left="284" w:leftChars="0" w:firstLine="0" w:firstLineChars="0"/>
        <w:jc w:val="left"/>
        <w:rPr>
          <w:rFonts w:hint="eastAsia" w:ascii="仿宋" w:hAnsi="仿宋" w:eastAsia="仿宋" w:cs="仿宋"/>
          <w:sz w:val="24"/>
          <w:highlight w:val="none"/>
        </w:rPr>
      </w:pPr>
      <w:r>
        <w:rPr>
          <w:rFonts w:hint="eastAsia"/>
          <w:highlight w:val="none"/>
        </w:rPr>
        <w:t>▲</w:t>
      </w:r>
      <w:r>
        <w:rPr>
          <w:rFonts w:hint="eastAsia" w:ascii="仿宋" w:hAnsi="仿宋" w:eastAsia="仿宋" w:cs="仿宋"/>
          <w:color w:val="1D1B11"/>
          <w:kern w:val="2"/>
          <w:sz w:val="24"/>
          <w:szCs w:val="24"/>
          <w:highlight w:val="none"/>
          <w:lang w:val="en-US" w:eastAsia="zh-CN" w:bidi="ar-SA"/>
        </w:rPr>
        <w:t>6.1.4</w:t>
      </w:r>
      <w:r>
        <w:rPr>
          <w:rFonts w:hint="eastAsia" w:ascii="仿宋" w:hAnsi="仿宋" w:eastAsia="仿宋" w:cs="仿宋"/>
          <w:sz w:val="24"/>
          <w:highlight w:val="none"/>
        </w:rPr>
        <w:t>最大显示深度：≥39cm</w:t>
      </w:r>
    </w:p>
    <w:p w14:paraId="529724FD">
      <w:pPr>
        <w:pStyle w:val="35"/>
        <w:numPr>
          <w:ilvl w:val="2"/>
          <w:numId w:val="0"/>
        </w:numPr>
        <w:tabs>
          <w:tab w:val="left" w:pos="567"/>
        </w:tabs>
        <w:snapToGrid w:val="0"/>
        <w:spacing w:line="360" w:lineRule="auto"/>
        <w:ind w:left="284" w:leftChars="0" w:firstLine="0" w:firstLineChars="0"/>
        <w:jc w:val="left"/>
        <w:rPr>
          <w:rFonts w:hint="eastAsia" w:ascii="仿宋" w:hAnsi="仿宋" w:eastAsia="仿宋" w:cs="仿宋"/>
          <w:sz w:val="24"/>
          <w:highlight w:val="none"/>
        </w:rPr>
      </w:pPr>
      <w:r>
        <w:rPr>
          <w:rFonts w:hint="eastAsia"/>
          <w:highlight w:val="none"/>
        </w:rPr>
        <w:t>▲</w:t>
      </w:r>
      <w:r>
        <w:rPr>
          <w:rFonts w:hint="eastAsia" w:ascii="仿宋" w:hAnsi="仿宋" w:eastAsia="仿宋" w:cs="仿宋"/>
          <w:color w:val="1D1B11"/>
          <w:kern w:val="2"/>
          <w:sz w:val="24"/>
          <w:szCs w:val="24"/>
          <w:highlight w:val="none"/>
          <w:lang w:val="en-US" w:eastAsia="zh-CN" w:bidi="ar-SA"/>
        </w:rPr>
        <w:t>6.1.5</w:t>
      </w:r>
      <w:r>
        <w:rPr>
          <w:rFonts w:hint="eastAsia" w:ascii="仿宋" w:hAnsi="仿宋" w:eastAsia="仿宋" w:cs="仿宋"/>
          <w:sz w:val="24"/>
          <w:highlight w:val="none"/>
        </w:rPr>
        <w:t>动态范围: ≥275，可视可调</w:t>
      </w:r>
    </w:p>
    <w:p w14:paraId="533277F1">
      <w:pPr>
        <w:pStyle w:val="35"/>
        <w:numPr>
          <w:ilvl w:val="2"/>
          <w:numId w:val="0"/>
        </w:numPr>
        <w:tabs>
          <w:tab w:val="left" w:pos="567"/>
        </w:tabs>
        <w:snapToGrid w:val="0"/>
        <w:spacing w:line="360" w:lineRule="auto"/>
        <w:ind w:left="284" w:leftChars="0" w:firstLine="0" w:firstLineChars="0"/>
        <w:jc w:val="left"/>
        <w:rPr>
          <w:rFonts w:hint="eastAsia" w:ascii="仿宋" w:hAnsi="仿宋" w:eastAsia="仿宋" w:cs="仿宋"/>
          <w:sz w:val="24"/>
          <w:highlight w:val="none"/>
        </w:rPr>
      </w:pPr>
      <w:r>
        <w:rPr>
          <w:rFonts w:hint="eastAsia"/>
          <w:highlight w:val="none"/>
        </w:rPr>
        <w:t>▲</w:t>
      </w:r>
      <w:r>
        <w:rPr>
          <w:rFonts w:hint="eastAsia" w:ascii="仿宋" w:hAnsi="仿宋" w:eastAsia="仿宋" w:cs="仿宋"/>
          <w:color w:val="1D1B11"/>
          <w:kern w:val="2"/>
          <w:sz w:val="24"/>
          <w:szCs w:val="24"/>
          <w:highlight w:val="none"/>
          <w:lang w:val="en-US" w:eastAsia="zh-CN" w:bidi="ar-SA"/>
        </w:rPr>
        <w:t>6.1.6</w:t>
      </w:r>
      <w:r>
        <w:rPr>
          <w:rFonts w:hint="eastAsia" w:ascii="仿宋" w:hAnsi="仿宋" w:eastAsia="仿宋" w:cs="仿宋"/>
          <w:sz w:val="24"/>
          <w:highlight w:val="none"/>
        </w:rPr>
        <w:t>增益调节：TGC增益补偿≥8段，LGC侧向增益补偿≥6段，B/M可独立调节。</w:t>
      </w:r>
    </w:p>
    <w:p w14:paraId="3E9E55D6">
      <w:pPr>
        <w:pStyle w:val="35"/>
        <w:numPr>
          <w:ilvl w:val="1"/>
          <w:numId w:val="0"/>
        </w:numPr>
        <w:spacing w:line="360" w:lineRule="auto"/>
        <w:ind w:left="0"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6.2  </w:t>
      </w:r>
      <w:r>
        <w:rPr>
          <w:rFonts w:hint="eastAsia" w:ascii="仿宋" w:hAnsi="仿宋" w:eastAsia="仿宋" w:cs="仿宋"/>
          <w:sz w:val="24"/>
          <w:highlight w:val="none"/>
        </w:rPr>
        <w:t>彩色多普勒成像单元</w:t>
      </w:r>
    </w:p>
    <w:p w14:paraId="1BAC8757">
      <w:pPr>
        <w:pStyle w:val="35"/>
        <w:numPr>
          <w:ilvl w:val="2"/>
          <w:numId w:val="0"/>
        </w:numPr>
        <w:tabs>
          <w:tab w:val="left" w:pos="567"/>
        </w:tabs>
        <w:snapToGrid w:val="0"/>
        <w:spacing w:line="360" w:lineRule="auto"/>
        <w:ind w:left="284"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6.2.1</w:t>
      </w:r>
      <w:r>
        <w:rPr>
          <w:rFonts w:hint="eastAsia" w:ascii="仿宋" w:hAnsi="仿宋" w:eastAsia="仿宋" w:cs="仿宋"/>
          <w:sz w:val="24"/>
          <w:highlight w:val="none"/>
        </w:rPr>
        <w:t>彩色多普勒≥5段变频</w:t>
      </w:r>
    </w:p>
    <w:p w14:paraId="5D4E34F1">
      <w:pPr>
        <w:pStyle w:val="35"/>
        <w:numPr>
          <w:ilvl w:val="2"/>
          <w:numId w:val="0"/>
        </w:numPr>
        <w:tabs>
          <w:tab w:val="left" w:pos="567"/>
        </w:tabs>
        <w:snapToGrid w:val="0"/>
        <w:spacing w:line="360" w:lineRule="auto"/>
        <w:ind w:left="284"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6.2.2</w:t>
      </w:r>
      <w:r>
        <w:rPr>
          <w:rFonts w:hint="eastAsia" w:ascii="仿宋" w:hAnsi="仿宋" w:eastAsia="仿宋" w:cs="仿宋"/>
          <w:sz w:val="24"/>
          <w:highlight w:val="none"/>
        </w:rPr>
        <w:t>增益调节≥255</w:t>
      </w:r>
    </w:p>
    <w:p w14:paraId="1CDC1CAA">
      <w:pPr>
        <w:pStyle w:val="35"/>
        <w:numPr>
          <w:ilvl w:val="2"/>
          <w:numId w:val="0"/>
        </w:numPr>
        <w:tabs>
          <w:tab w:val="left" w:pos="567"/>
        </w:tabs>
        <w:snapToGrid w:val="0"/>
        <w:spacing w:line="360" w:lineRule="auto"/>
        <w:ind w:left="284" w:leftChars="0" w:firstLine="0" w:firstLineChars="0"/>
        <w:jc w:val="left"/>
        <w:rPr>
          <w:rFonts w:hint="eastAsia" w:ascii="仿宋" w:hAnsi="仿宋" w:eastAsia="仿宋" w:cs="仿宋"/>
          <w:sz w:val="24"/>
          <w:highlight w:val="none"/>
        </w:rPr>
      </w:pPr>
      <w:r>
        <w:rPr>
          <w:rFonts w:hint="eastAsia"/>
          <w:highlight w:val="none"/>
        </w:rPr>
        <w:t>▲</w:t>
      </w:r>
      <w:r>
        <w:rPr>
          <w:rFonts w:hint="eastAsia" w:ascii="仿宋" w:hAnsi="仿宋" w:eastAsia="仿宋" w:cs="仿宋"/>
          <w:color w:val="1D1B11"/>
          <w:kern w:val="2"/>
          <w:sz w:val="24"/>
          <w:szCs w:val="24"/>
          <w:highlight w:val="none"/>
          <w:lang w:val="en-US" w:eastAsia="zh-CN" w:bidi="ar-SA"/>
        </w:rPr>
        <w:t>6.2.3</w:t>
      </w:r>
      <w:r>
        <w:rPr>
          <w:rFonts w:hint="eastAsia" w:ascii="仿宋" w:hAnsi="仿宋" w:eastAsia="仿宋" w:cs="仿宋"/>
          <w:sz w:val="24"/>
          <w:highlight w:val="none"/>
        </w:rPr>
        <w:t>显示位置调整：线阵扫描感兴趣的图像范围：-18°～+18°</w:t>
      </w:r>
    </w:p>
    <w:p w14:paraId="2DA8A404">
      <w:pPr>
        <w:pStyle w:val="35"/>
        <w:numPr>
          <w:ilvl w:val="2"/>
          <w:numId w:val="0"/>
        </w:numPr>
        <w:tabs>
          <w:tab w:val="left" w:pos="567"/>
        </w:tabs>
        <w:snapToGrid w:val="0"/>
        <w:spacing w:line="360" w:lineRule="auto"/>
        <w:ind w:left="284"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6.2.4</w:t>
      </w:r>
      <w:r>
        <w:rPr>
          <w:rFonts w:hint="eastAsia" w:ascii="仿宋" w:hAnsi="仿宋" w:eastAsia="仿宋" w:cs="仿宋"/>
          <w:sz w:val="24"/>
          <w:highlight w:val="none"/>
        </w:rPr>
        <w:t>立体血流成像，通过光照模型，能够在传统二维血流成像的基础上，增加血流的立体感呈现，其显示方式更加接近人眼所视的立体效果，使血流的视觉感受更真实</w:t>
      </w:r>
    </w:p>
    <w:p w14:paraId="6F32E69A">
      <w:pPr>
        <w:pStyle w:val="35"/>
        <w:numPr>
          <w:ilvl w:val="2"/>
          <w:numId w:val="0"/>
        </w:numPr>
        <w:tabs>
          <w:tab w:val="left" w:pos="567"/>
        </w:tabs>
        <w:snapToGrid w:val="0"/>
        <w:spacing w:line="360" w:lineRule="auto"/>
        <w:ind w:left="284"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6.2.5</w:t>
      </w:r>
      <w:r>
        <w:rPr>
          <w:rFonts w:hint="eastAsia" w:ascii="仿宋" w:hAnsi="仿宋" w:eastAsia="仿宋" w:cs="仿宋"/>
          <w:sz w:val="24"/>
          <w:highlight w:val="none"/>
        </w:rPr>
        <w:t>彩色基线调节：±15级可调</w:t>
      </w:r>
    </w:p>
    <w:p w14:paraId="6931E09C">
      <w:pPr>
        <w:pStyle w:val="35"/>
        <w:numPr>
          <w:ilvl w:val="1"/>
          <w:numId w:val="0"/>
        </w:numPr>
        <w:spacing w:line="360" w:lineRule="auto"/>
        <w:ind w:left="0"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6.3  </w:t>
      </w:r>
      <w:r>
        <w:rPr>
          <w:rFonts w:hint="eastAsia" w:ascii="仿宋" w:hAnsi="仿宋" w:eastAsia="仿宋" w:cs="仿宋"/>
          <w:sz w:val="24"/>
          <w:highlight w:val="none"/>
        </w:rPr>
        <w:t xml:space="preserve">频谱多普勒成像单元 </w:t>
      </w:r>
    </w:p>
    <w:p w14:paraId="25118B1B">
      <w:pPr>
        <w:pStyle w:val="35"/>
        <w:numPr>
          <w:ilvl w:val="2"/>
          <w:numId w:val="0"/>
        </w:numPr>
        <w:tabs>
          <w:tab w:val="left" w:pos="567"/>
        </w:tabs>
        <w:snapToGrid w:val="0"/>
        <w:spacing w:line="360" w:lineRule="auto"/>
        <w:ind w:left="567" w:leftChars="0" w:hanging="283"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6.3.1</w:t>
      </w:r>
      <w:r>
        <w:rPr>
          <w:rFonts w:hint="eastAsia" w:ascii="仿宋" w:hAnsi="仿宋" w:eastAsia="仿宋" w:cs="仿宋"/>
          <w:sz w:val="24"/>
          <w:highlight w:val="none"/>
        </w:rPr>
        <w:t>PW ≥ 5段变频</w:t>
      </w:r>
    </w:p>
    <w:p w14:paraId="390760D3">
      <w:pPr>
        <w:pStyle w:val="35"/>
        <w:numPr>
          <w:ilvl w:val="2"/>
          <w:numId w:val="0"/>
        </w:numPr>
        <w:tabs>
          <w:tab w:val="left" w:pos="567"/>
        </w:tabs>
        <w:snapToGrid w:val="0"/>
        <w:spacing w:line="360" w:lineRule="auto"/>
        <w:ind w:left="567" w:leftChars="0" w:hanging="283"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6.3.2</w:t>
      </w:r>
      <w:r>
        <w:rPr>
          <w:rFonts w:hint="eastAsia" w:ascii="仿宋" w:hAnsi="仿宋" w:eastAsia="仿宋" w:cs="仿宋"/>
          <w:sz w:val="24"/>
          <w:highlight w:val="none"/>
        </w:rPr>
        <w:t>PW实时自动跟踪测速，随着取样门位置改变，PW速度可进行自动跟踪测量</w:t>
      </w:r>
    </w:p>
    <w:p w14:paraId="18EB446E">
      <w:pPr>
        <w:pStyle w:val="35"/>
        <w:numPr>
          <w:ilvl w:val="2"/>
          <w:numId w:val="0"/>
        </w:numPr>
        <w:tabs>
          <w:tab w:val="left" w:pos="567"/>
        </w:tabs>
        <w:snapToGrid w:val="0"/>
        <w:spacing w:line="360" w:lineRule="auto"/>
        <w:ind w:left="284"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6.3.3</w:t>
      </w:r>
      <w:r>
        <w:rPr>
          <w:rFonts w:hint="eastAsia" w:ascii="仿宋" w:hAnsi="仿宋" w:eastAsia="仿宋" w:cs="仿宋"/>
          <w:sz w:val="24"/>
          <w:highlight w:val="none"/>
        </w:rPr>
        <w:t>彩色滤波器具有自动和手动技术：调节脉冲重复频率时，壁滤波器自动进行相应优化调节</w:t>
      </w:r>
    </w:p>
    <w:p w14:paraId="3B7F0B57">
      <w:pPr>
        <w:pStyle w:val="35"/>
        <w:numPr>
          <w:ilvl w:val="2"/>
          <w:numId w:val="0"/>
        </w:numPr>
        <w:tabs>
          <w:tab w:val="left" w:pos="567"/>
        </w:tabs>
        <w:snapToGrid w:val="0"/>
        <w:spacing w:line="360" w:lineRule="auto"/>
        <w:ind w:left="567" w:leftChars="0" w:hanging="283" w:firstLineChars="0"/>
        <w:jc w:val="left"/>
        <w:rPr>
          <w:rFonts w:hint="eastAsia" w:ascii="仿宋" w:hAnsi="仿宋" w:eastAsia="仿宋" w:cs="仿宋"/>
          <w:sz w:val="24"/>
          <w:highlight w:val="none"/>
        </w:rPr>
      </w:pPr>
      <w:r>
        <w:rPr>
          <w:rFonts w:hint="eastAsia"/>
          <w:highlight w:val="none"/>
        </w:rPr>
        <w:t>▲</w:t>
      </w:r>
      <w:r>
        <w:rPr>
          <w:rFonts w:hint="eastAsia" w:ascii="仿宋" w:hAnsi="仿宋" w:eastAsia="仿宋" w:cs="仿宋"/>
          <w:color w:val="1D1B11"/>
          <w:kern w:val="2"/>
          <w:sz w:val="24"/>
          <w:szCs w:val="24"/>
          <w:highlight w:val="none"/>
          <w:lang w:val="en-US" w:eastAsia="zh-CN" w:bidi="ar-SA"/>
        </w:rPr>
        <w:t>6.3.4</w:t>
      </w:r>
      <w:r>
        <w:rPr>
          <w:rFonts w:hint="eastAsia" w:ascii="仿宋" w:hAnsi="仿宋" w:eastAsia="仿宋" w:cs="仿宋"/>
          <w:sz w:val="24"/>
          <w:highlight w:val="none"/>
        </w:rPr>
        <w:t>取样容积：1-20mm</w:t>
      </w:r>
    </w:p>
    <w:p w14:paraId="6A0D8F20">
      <w:pPr>
        <w:pStyle w:val="35"/>
        <w:numPr>
          <w:ilvl w:val="0"/>
          <w:numId w:val="0"/>
        </w:numPr>
        <w:spacing w:line="360" w:lineRule="auto"/>
        <w:ind w:left="0" w:leftChars="0" w:firstLine="0" w:firstLineChars="0"/>
        <w:jc w:val="left"/>
        <w:rPr>
          <w:rFonts w:ascii="宋体" w:hAnsi="宋体" w:cs="Arial"/>
          <w:b/>
          <w:sz w:val="24"/>
          <w:highlight w:val="none"/>
        </w:rPr>
      </w:pPr>
      <w:r>
        <w:rPr>
          <w:rFonts w:hint="eastAsia" w:ascii="宋体" w:hAnsi="宋体" w:eastAsia="宋体" w:cs="Arial"/>
          <w:b/>
          <w:kern w:val="2"/>
          <w:sz w:val="24"/>
          <w:szCs w:val="24"/>
          <w:highlight w:val="none"/>
          <w:lang w:val="en-US" w:eastAsia="zh-CN" w:bidi="ar-SA"/>
        </w:rPr>
        <w:t>7</w:t>
      </w:r>
      <w:r>
        <w:rPr>
          <w:rFonts w:hint="eastAsia" w:ascii="宋体" w:hAnsi="宋体" w:cs="Arial"/>
          <w:b/>
          <w:sz w:val="24"/>
          <w:highlight w:val="none"/>
        </w:rPr>
        <w:t>探头规格</w:t>
      </w:r>
    </w:p>
    <w:p w14:paraId="43A194A5">
      <w:pPr>
        <w:pStyle w:val="35"/>
        <w:numPr>
          <w:ilvl w:val="1"/>
          <w:numId w:val="0"/>
        </w:numPr>
        <w:spacing w:line="360" w:lineRule="auto"/>
        <w:ind w:left="0"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7.1  </w:t>
      </w:r>
      <w:r>
        <w:rPr>
          <w:rFonts w:hint="eastAsia" w:ascii="仿宋" w:hAnsi="仿宋" w:eastAsia="仿宋" w:cs="仿宋"/>
          <w:sz w:val="24"/>
          <w:highlight w:val="none"/>
        </w:rPr>
        <w:t>支持探头类型：凸阵、相控阵、线阵、腔内、容积、宫腔术中探头、凸凸、凸线双平面探头、术中探头等</w:t>
      </w:r>
    </w:p>
    <w:p w14:paraId="029B0C8A">
      <w:pPr>
        <w:pStyle w:val="35"/>
        <w:numPr>
          <w:ilvl w:val="1"/>
          <w:numId w:val="0"/>
        </w:numPr>
        <w:spacing w:line="360" w:lineRule="auto"/>
        <w:ind w:left="0" w:leftChars="0" w:firstLine="0" w:firstLineChars="0"/>
        <w:jc w:val="left"/>
        <w:rPr>
          <w:rFonts w:hint="eastAsia" w:ascii="仿宋" w:hAnsi="仿宋" w:eastAsia="仿宋" w:cs="仿宋"/>
          <w:sz w:val="24"/>
          <w:highlight w:val="none"/>
        </w:rPr>
      </w:pPr>
      <w:r>
        <w:rPr>
          <w:rFonts w:hint="eastAsia"/>
          <w:highlight w:val="none"/>
        </w:rPr>
        <w:t>▲</w:t>
      </w:r>
      <w:r>
        <w:rPr>
          <w:rFonts w:hint="eastAsia" w:ascii="仿宋" w:hAnsi="仿宋" w:eastAsia="仿宋" w:cs="仿宋"/>
          <w:color w:val="1D1B11"/>
          <w:kern w:val="2"/>
          <w:sz w:val="24"/>
          <w:szCs w:val="24"/>
          <w:highlight w:val="none"/>
          <w:lang w:val="en-US" w:eastAsia="zh-CN" w:bidi="ar-SA"/>
        </w:rPr>
        <w:t xml:space="preserve">7.2  </w:t>
      </w:r>
      <w:r>
        <w:rPr>
          <w:rFonts w:hint="eastAsia" w:ascii="仿宋" w:hAnsi="仿宋" w:eastAsia="仿宋" w:cs="仿宋"/>
          <w:sz w:val="24"/>
          <w:highlight w:val="none"/>
        </w:rPr>
        <w:t>单晶体凸阵探头: 1-7.5MHz</w:t>
      </w:r>
    </w:p>
    <w:p w14:paraId="6859A751">
      <w:pPr>
        <w:pStyle w:val="50"/>
        <w:numPr>
          <w:ilvl w:val="1"/>
          <w:numId w:val="0"/>
        </w:numPr>
        <w:spacing w:line="360" w:lineRule="auto"/>
        <w:ind w:left="0" w:leftChars="0" w:firstLine="0" w:firstLineChars="0"/>
        <w:jc w:val="left"/>
        <w:rPr>
          <w:rFonts w:hint="eastAsia" w:ascii="仿宋" w:hAnsi="仿宋" w:eastAsia="仿宋" w:cs="仿宋"/>
          <w:sz w:val="24"/>
          <w:highlight w:val="none"/>
        </w:rPr>
      </w:pPr>
      <w:r>
        <w:rPr>
          <w:rFonts w:hint="eastAsia"/>
          <w:highlight w:val="none"/>
        </w:rPr>
        <w:t>▲</w:t>
      </w:r>
      <w:r>
        <w:rPr>
          <w:rFonts w:hint="eastAsia" w:ascii="仿宋" w:hAnsi="仿宋" w:eastAsia="仿宋" w:cs="仿宋"/>
          <w:color w:val="1D1B11"/>
          <w:kern w:val="2"/>
          <w:sz w:val="24"/>
          <w:szCs w:val="28"/>
          <w:highlight w:val="none"/>
          <w:lang w:val="en-US" w:eastAsia="zh-CN" w:bidi="ar-SA"/>
        </w:rPr>
        <w:t xml:space="preserve">7.3  </w:t>
      </w:r>
      <w:r>
        <w:rPr>
          <w:rFonts w:hint="eastAsia" w:ascii="仿宋" w:hAnsi="仿宋" w:eastAsia="仿宋" w:cs="仿宋"/>
          <w:sz w:val="24"/>
          <w:highlight w:val="none"/>
        </w:rPr>
        <w:t>线阵探头: 3-16MHz</w:t>
      </w:r>
    </w:p>
    <w:p w14:paraId="7BD595E9">
      <w:pPr>
        <w:pStyle w:val="50"/>
        <w:numPr>
          <w:ilvl w:val="1"/>
          <w:numId w:val="0"/>
        </w:numPr>
        <w:spacing w:line="360" w:lineRule="auto"/>
        <w:ind w:left="0" w:leftChars="0" w:firstLine="0" w:firstLineChars="0"/>
        <w:jc w:val="left"/>
        <w:rPr>
          <w:rFonts w:hint="eastAsia" w:ascii="仿宋" w:hAnsi="仿宋" w:eastAsia="仿宋" w:cs="仿宋"/>
          <w:sz w:val="24"/>
          <w:highlight w:val="none"/>
        </w:rPr>
      </w:pPr>
      <w:r>
        <w:rPr>
          <w:rFonts w:hint="eastAsia"/>
          <w:highlight w:val="none"/>
        </w:rPr>
        <w:t>▲</w:t>
      </w:r>
      <w:r>
        <w:rPr>
          <w:rFonts w:hint="eastAsia" w:ascii="仿宋" w:hAnsi="仿宋" w:eastAsia="仿宋" w:cs="仿宋"/>
          <w:color w:val="1D1B11"/>
          <w:kern w:val="2"/>
          <w:sz w:val="24"/>
          <w:szCs w:val="28"/>
          <w:highlight w:val="none"/>
          <w:lang w:val="en-US" w:eastAsia="zh-CN" w:bidi="ar-SA"/>
        </w:rPr>
        <w:t xml:space="preserve">7.4  </w:t>
      </w:r>
      <w:r>
        <w:rPr>
          <w:rFonts w:hint="eastAsia" w:ascii="仿宋" w:hAnsi="仿宋" w:eastAsia="仿宋" w:cs="仿宋"/>
          <w:sz w:val="24"/>
          <w:highlight w:val="none"/>
        </w:rPr>
        <w:t>单晶体相控阵探头: 1.5-7MHz</w:t>
      </w:r>
    </w:p>
    <w:p w14:paraId="52E8FD95">
      <w:pPr>
        <w:pStyle w:val="35"/>
        <w:numPr>
          <w:ilvl w:val="1"/>
          <w:numId w:val="0"/>
        </w:numPr>
        <w:spacing w:line="360" w:lineRule="auto"/>
        <w:ind w:left="0"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7.5  </w:t>
      </w:r>
      <w:r>
        <w:rPr>
          <w:rFonts w:hint="eastAsia" w:ascii="仿宋" w:hAnsi="仿宋" w:eastAsia="仿宋" w:cs="仿宋"/>
          <w:sz w:val="24"/>
          <w:highlight w:val="none"/>
        </w:rPr>
        <w:t>探头配置：单晶腹部凸阵探头、小器官线阵探头、单晶心脏相控阵探头</w:t>
      </w:r>
    </w:p>
    <w:p w14:paraId="0295EE90">
      <w:pPr>
        <w:pStyle w:val="35"/>
        <w:numPr>
          <w:ilvl w:val="0"/>
          <w:numId w:val="0"/>
        </w:numPr>
        <w:spacing w:line="360" w:lineRule="auto"/>
        <w:ind w:left="0" w:leftChars="0" w:firstLine="0" w:firstLineChars="0"/>
        <w:jc w:val="left"/>
        <w:rPr>
          <w:rFonts w:hint="eastAsia" w:ascii="宋体" w:hAnsi="宋体" w:cs="Arial"/>
          <w:b/>
          <w:sz w:val="24"/>
          <w:highlight w:val="none"/>
        </w:rPr>
      </w:pPr>
      <w:r>
        <w:rPr>
          <w:rFonts w:hint="eastAsia" w:ascii="宋体" w:hAnsi="宋体" w:eastAsia="宋体" w:cs="Arial"/>
          <w:b/>
          <w:kern w:val="2"/>
          <w:sz w:val="24"/>
          <w:szCs w:val="24"/>
          <w:highlight w:val="none"/>
          <w:lang w:val="en-US" w:eastAsia="zh-CN" w:bidi="ar-SA"/>
        </w:rPr>
        <w:t>8</w:t>
      </w:r>
      <w:r>
        <w:rPr>
          <w:rFonts w:hint="eastAsia" w:ascii="宋体" w:hAnsi="宋体" w:cs="Arial"/>
          <w:b/>
          <w:sz w:val="24"/>
          <w:highlight w:val="none"/>
        </w:rPr>
        <w:t>技术、维修、培训及其它</w:t>
      </w:r>
    </w:p>
    <w:p w14:paraId="0219B685">
      <w:pPr>
        <w:pStyle w:val="35"/>
        <w:numPr>
          <w:ilvl w:val="1"/>
          <w:numId w:val="0"/>
        </w:numPr>
        <w:spacing w:line="360" w:lineRule="auto"/>
        <w:ind w:left="0"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8.1  </w:t>
      </w:r>
      <w:r>
        <w:rPr>
          <w:rFonts w:hint="eastAsia" w:ascii="仿宋" w:hAnsi="仿宋" w:eastAsia="仿宋" w:cs="仿宋"/>
          <w:sz w:val="24"/>
          <w:highlight w:val="none"/>
        </w:rPr>
        <w:t>驻地以上城市具有厂家备件库及售后服务工程师，支持安装、调试及维修</w:t>
      </w:r>
    </w:p>
    <w:p w14:paraId="327B9084">
      <w:pPr>
        <w:pStyle w:val="35"/>
        <w:numPr>
          <w:ilvl w:val="1"/>
          <w:numId w:val="0"/>
        </w:numPr>
        <w:spacing w:line="360" w:lineRule="auto"/>
        <w:ind w:left="0" w:leftChars="0" w:firstLine="0" w:firstLineChars="0"/>
        <w:jc w:val="left"/>
        <w:rPr>
          <w:rFonts w:hint="eastAsia" w:ascii="仿宋" w:hAnsi="仿宋" w:eastAsia="仿宋" w:cs="仿宋"/>
          <w:sz w:val="24"/>
          <w:highlight w:val="none"/>
        </w:rPr>
      </w:pPr>
      <w:r>
        <w:rPr>
          <w:rFonts w:hint="eastAsia" w:ascii="仿宋" w:hAnsi="仿宋" w:eastAsia="仿宋" w:cs="仿宋"/>
          <w:color w:val="1D1B11"/>
          <w:kern w:val="2"/>
          <w:sz w:val="24"/>
          <w:szCs w:val="24"/>
          <w:highlight w:val="none"/>
          <w:lang w:val="en-US" w:eastAsia="zh-CN" w:bidi="ar-SA"/>
        </w:rPr>
        <w:t xml:space="preserve">8.2  </w:t>
      </w:r>
      <w:r>
        <w:rPr>
          <w:rFonts w:hint="eastAsia" w:ascii="仿宋" w:hAnsi="仿宋" w:eastAsia="仿宋" w:cs="仿宋"/>
          <w:sz w:val="24"/>
          <w:highlight w:val="none"/>
        </w:rPr>
        <w:t>厂家提供专业人员现场操作和培训</w:t>
      </w:r>
    </w:p>
    <w:p w14:paraId="144D7B18">
      <w:pPr>
        <w:spacing w:line="276" w:lineRule="auto"/>
        <w:rPr>
          <w:rFonts w:ascii="宋体" w:hAnsi="宋体"/>
          <w:sz w:val="24"/>
          <w:szCs w:val="32"/>
          <w:highlight w:val="none"/>
        </w:rPr>
      </w:pPr>
    </w:p>
    <w:p w14:paraId="1C6D3BFC">
      <w:pPr>
        <w:spacing w:line="360" w:lineRule="auto"/>
        <w:jc w:val="center"/>
        <w:rPr>
          <w:rFonts w:hint="eastAsia" w:ascii="宋体" w:hAnsi="宋体" w:cs="宋体"/>
          <w:b/>
          <w:bCs/>
          <w:color w:val="auto"/>
          <w:sz w:val="32"/>
          <w:szCs w:val="32"/>
          <w:highlight w:val="none"/>
        </w:rPr>
      </w:pPr>
      <w:r>
        <w:rPr>
          <w:rFonts w:hint="eastAsia" w:ascii="宋体" w:hAnsi="宋体" w:cs="宋体"/>
          <w:highlight w:val="none"/>
        </w:rPr>
        <w:br w:type="page"/>
      </w:r>
      <w:r>
        <w:rPr>
          <w:rFonts w:hint="eastAsia" w:ascii="宋体" w:hAnsi="宋体" w:cs="宋体"/>
          <w:b/>
          <w:bCs/>
          <w:color w:val="auto"/>
          <w:sz w:val="32"/>
          <w:szCs w:val="32"/>
          <w:highlight w:val="none"/>
        </w:rPr>
        <w:t>设备37.便携式彩色多普勒超声诊断仪</w:t>
      </w:r>
    </w:p>
    <w:p w14:paraId="06F8D191">
      <w:pPr>
        <w:spacing w:line="360" w:lineRule="auto"/>
        <w:jc w:val="left"/>
        <w:rPr>
          <w:rFonts w:hint="eastAsia" w:ascii="宋体" w:hAnsi="宋体" w:cs="宋体"/>
          <w:color w:val="auto"/>
          <w:sz w:val="24"/>
          <w:highlight w:val="none"/>
        </w:rPr>
      </w:pPr>
      <w:r>
        <w:rPr>
          <w:rFonts w:hint="eastAsia" w:ascii="宋体" w:hAnsi="宋体" w:cs="宋体"/>
          <w:b/>
          <w:bCs/>
          <w:color w:val="auto"/>
          <w:sz w:val="32"/>
          <w:szCs w:val="32"/>
          <w:highlight w:val="none"/>
        </w:rPr>
        <w:t>数量：1台</w:t>
      </w:r>
    </w:p>
    <w:p w14:paraId="70F1A880">
      <w:pPr>
        <w:pStyle w:val="35"/>
        <w:tabs>
          <w:tab w:val="left" w:pos="567"/>
        </w:tabs>
        <w:spacing w:line="360" w:lineRule="auto"/>
        <w:ind w:left="240" w:hanging="240" w:hangingChars="100"/>
        <w:rPr>
          <w:rFonts w:hint="eastAsia" w:ascii="仿宋" w:hAnsi="仿宋" w:eastAsia="仿宋" w:cs="仿宋"/>
          <w:sz w:val="24"/>
          <w:highlight w:val="none"/>
        </w:rPr>
      </w:pPr>
      <w:r>
        <w:rPr>
          <w:rFonts w:hint="eastAsia" w:ascii="仿宋" w:hAnsi="仿宋" w:eastAsia="仿宋" w:cs="仿宋"/>
          <w:sz w:val="24"/>
          <w:highlight w:val="none"/>
          <w:lang w:val="en-US" w:eastAsia="zh-CN"/>
        </w:rPr>
        <w:t>一.</w:t>
      </w:r>
      <w:r>
        <w:rPr>
          <w:rFonts w:hint="eastAsia" w:ascii="仿宋" w:hAnsi="仿宋" w:eastAsia="仿宋" w:cs="仿宋"/>
          <w:sz w:val="24"/>
          <w:highlight w:val="none"/>
        </w:rPr>
        <w:t>用途说明：腹部、妇产科、疼痛科、心脏、小器官、泌尿、血管、儿科、急诊、麻醉、介入、神经、肌骨、颅脑、术中及其它</w:t>
      </w:r>
    </w:p>
    <w:p w14:paraId="189BC7F3">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主要技术规格及系统概述：</w:t>
      </w:r>
    </w:p>
    <w:p w14:paraId="501A8A42">
      <w:pPr>
        <w:pStyle w:val="35"/>
        <w:tabs>
          <w:tab w:val="left" w:pos="567"/>
        </w:tabs>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 xml:space="preserve">1. </w:t>
      </w:r>
      <w:r>
        <w:rPr>
          <w:rFonts w:hint="eastAsia" w:ascii="宋体" w:hAnsi="宋体" w:eastAsia="宋体" w:cs="宋体"/>
          <w:b/>
          <w:bCs/>
          <w:sz w:val="24"/>
          <w:highlight w:val="none"/>
        </w:rPr>
        <w:t>主机系统性能</w:t>
      </w:r>
    </w:p>
    <w:p w14:paraId="7307C80C">
      <w:pPr>
        <w:pStyle w:val="35"/>
        <w:tabs>
          <w:tab w:val="left" w:pos="567"/>
        </w:tabs>
        <w:spacing w:line="360" w:lineRule="auto"/>
        <w:ind w:firstLine="0" w:firstLineChars="0"/>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lang w:val="en-US" w:eastAsia="zh-CN"/>
        </w:rPr>
        <w:t xml:space="preserve">1.1  </w:t>
      </w:r>
      <w:r>
        <w:rPr>
          <w:rFonts w:hint="eastAsia" w:ascii="仿宋" w:hAnsi="仿宋" w:eastAsia="仿宋" w:cs="仿宋"/>
          <w:sz w:val="24"/>
          <w:highlight w:val="none"/>
        </w:rPr>
        <w:t>≥15.3”超薄宽屏高分辨率彩色液晶显示器··</w:t>
      </w:r>
    </w:p>
    <w:p w14:paraId="0C23D192">
      <w:pPr>
        <w:pStyle w:val="35"/>
        <w:tabs>
          <w:tab w:val="left" w:pos="567"/>
        </w:tabs>
        <w:spacing w:line="360" w:lineRule="auto"/>
        <w:ind w:left="0" w:leftChars="0" w:firstLine="0" w:firstLineChars="0"/>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lang w:val="en-US" w:eastAsia="zh-CN"/>
        </w:rPr>
        <w:t xml:space="preserve">1.2  </w:t>
      </w:r>
      <w:r>
        <w:rPr>
          <w:rFonts w:hint="eastAsia" w:ascii="仿宋" w:hAnsi="仿宋" w:eastAsia="仿宋" w:cs="仿宋"/>
          <w:sz w:val="24"/>
          <w:highlight w:val="none"/>
        </w:rPr>
        <w:t>主机重量≤6.2 kg（不含电池）</w:t>
      </w:r>
    </w:p>
    <w:p w14:paraId="054DD6C6">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1.3  </w:t>
      </w:r>
      <w:r>
        <w:rPr>
          <w:rFonts w:hint="eastAsia" w:ascii="仿宋" w:hAnsi="仿宋" w:eastAsia="仿宋" w:cs="仿宋"/>
          <w:sz w:val="24"/>
          <w:highlight w:val="none"/>
        </w:rPr>
        <w:t>主机可配置内置探头接口≥2个，大小一致，全激活，互通互用</w:t>
      </w:r>
    </w:p>
    <w:p w14:paraId="7F101C05">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1.4  </w:t>
      </w:r>
      <w:r>
        <w:rPr>
          <w:rFonts w:hint="eastAsia" w:ascii="仿宋" w:hAnsi="仿宋" w:eastAsia="仿宋" w:cs="仿宋"/>
          <w:sz w:val="24"/>
          <w:highlight w:val="none"/>
        </w:rPr>
        <w:t>组织多普勒成像</w:t>
      </w:r>
    </w:p>
    <w:p w14:paraId="6DD3011B">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1.5  </w:t>
      </w:r>
      <w:r>
        <w:rPr>
          <w:rFonts w:hint="eastAsia" w:ascii="仿宋" w:hAnsi="仿宋" w:eastAsia="仿宋" w:cs="仿宋"/>
          <w:sz w:val="24"/>
          <w:highlight w:val="none"/>
        </w:rPr>
        <w:t>高分辨率血流成像，支持线阵和凸阵</w:t>
      </w:r>
    </w:p>
    <w:p w14:paraId="73525128">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1.6  </w:t>
      </w:r>
      <w:r>
        <w:rPr>
          <w:rFonts w:hint="eastAsia" w:ascii="仿宋" w:hAnsi="仿宋" w:eastAsia="仿宋" w:cs="仿宋"/>
          <w:sz w:val="24"/>
          <w:highlight w:val="none"/>
        </w:rPr>
        <w:t>解剖M型成像，≥3线，360°可调</w:t>
      </w:r>
    </w:p>
    <w:p w14:paraId="519275BB">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1.7  </w:t>
      </w:r>
      <w:r>
        <w:rPr>
          <w:rFonts w:hint="eastAsia" w:ascii="仿宋" w:hAnsi="仿宋" w:eastAsia="仿宋" w:cs="仿宋"/>
          <w:sz w:val="24"/>
          <w:highlight w:val="none"/>
        </w:rPr>
        <w:t>彩色M型成像</w:t>
      </w:r>
    </w:p>
    <w:p w14:paraId="35B61479">
      <w:pPr>
        <w:pStyle w:val="35"/>
        <w:tabs>
          <w:tab w:val="left" w:pos="567"/>
        </w:tabs>
        <w:spacing w:line="360" w:lineRule="auto"/>
        <w:ind w:firstLine="0" w:firstLineChars="0"/>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lang w:val="en-US" w:eastAsia="zh-CN"/>
        </w:rPr>
        <w:t xml:space="preserve">1.8  </w:t>
      </w:r>
      <w:r>
        <w:rPr>
          <w:rFonts w:hint="eastAsia" w:ascii="仿宋" w:hAnsi="仿宋" w:eastAsia="仿宋" w:cs="仿宋"/>
          <w:sz w:val="24"/>
          <w:highlight w:val="none"/>
        </w:rPr>
        <w:t>空间复合成像，≥4级可调，最高可支持9线空间复合</w:t>
      </w:r>
    </w:p>
    <w:p w14:paraId="5F92FCDA">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1.9  </w:t>
      </w:r>
      <w:r>
        <w:rPr>
          <w:rFonts w:hint="eastAsia" w:ascii="仿宋" w:hAnsi="仿宋" w:eastAsia="仿宋" w:cs="仿宋"/>
          <w:sz w:val="24"/>
          <w:highlight w:val="none"/>
        </w:rPr>
        <w:t>具有组织特异性成像，能够独立选择实质、普通、脂肪、液性成像模式</w:t>
      </w:r>
    </w:p>
    <w:p w14:paraId="782D527E">
      <w:pPr>
        <w:pStyle w:val="35"/>
        <w:tabs>
          <w:tab w:val="left" w:pos="567"/>
        </w:tabs>
        <w:spacing w:line="360" w:lineRule="auto"/>
        <w:ind w:left="480" w:hanging="480" w:hangingChars="20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1.10 </w:t>
      </w:r>
      <w:r>
        <w:rPr>
          <w:rFonts w:hint="eastAsia" w:ascii="仿宋" w:hAnsi="仿宋" w:eastAsia="仿宋" w:cs="仿宋"/>
          <w:sz w:val="24"/>
          <w:highlight w:val="none"/>
        </w:rPr>
        <w:t>一键自动优化，支持二维、M模式、彩色多普勒、能量多普勒、方向能量多普勒及频谱多普勒成像模式</w:t>
      </w:r>
    </w:p>
    <w:p w14:paraId="061A0D6B">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1.11  </w:t>
      </w:r>
      <w:r>
        <w:rPr>
          <w:rFonts w:hint="eastAsia" w:ascii="仿宋" w:hAnsi="仿宋" w:eastAsia="仿宋" w:cs="仿宋"/>
          <w:sz w:val="24"/>
          <w:highlight w:val="none"/>
        </w:rPr>
        <w:t>扩展成像，支持线阵、凸阵，支持二维、彩色多普勒模式</w:t>
      </w:r>
    </w:p>
    <w:p w14:paraId="633B0DAA">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1.12  </w:t>
      </w:r>
      <w:r>
        <w:rPr>
          <w:rFonts w:hint="eastAsia" w:ascii="仿宋" w:hAnsi="仿宋" w:eastAsia="仿宋" w:cs="仿宋"/>
          <w:sz w:val="24"/>
          <w:highlight w:val="none"/>
        </w:rPr>
        <w:t>图像放大功能，支持前端放大、后端放大</w:t>
      </w:r>
    </w:p>
    <w:p w14:paraId="7B66C8C8">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1.13  </w:t>
      </w:r>
      <w:r>
        <w:rPr>
          <w:rFonts w:hint="eastAsia" w:ascii="仿宋" w:hAnsi="仿宋" w:eastAsia="仿宋" w:cs="仿宋"/>
          <w:sz w:val="24"/>
          <w:highlight w:val="none"/>
        </w:rPr>
        <w:t>多语言操作界面：支持中文键盘输入</w:t>
      </w:r>
    </w:p>
    <w:p w14:paraId="677D0A03">
      <w:pPr>
        <w:pStyle w:val="35"/>
        <w:tabs>
          <w:tab w:val="left" w:pos="567"/>
        </w:tabs>
        <w:spacing w:line="360" w:lineRule="auto"/>
        <w:ind w:left="720" w:hanging="720" w:hangingChars="30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1.14  </w:t>
      </w:r>
      <w:r>
        <w:rPr>
          <w:rFonts w:hint="eastAsia" w:ascii="仿宋" w:hAnsi="仿宋" w:eastAsia="仿宋" w:cs="仿宋"/>
          <w:sz w:val="24"/>
          <w:highlight w:val="none"/>
        </w:rPr>
        <w:t>支持穿刺引导功能</w:t>
      </w:r>
      <w:bookmarkStart w:id="79" w:name="OLE_LINK17"/>
      <w:bookmarkStart w:id="80" w:name="OLE_LINK15"/>
      <w:bookmarkStart w:id="81" w:name="OLE_LINK16"/>
      <w:r>
        <w:rPr>
          <w:rFonts w:hint="eastAsia" w:ascii="仿宋" w:hAnsi="仿宋" w:eastAsia="仿宋" w:cs="仿宋"/>
          <w:sz w:val="24"/>
          <w:highlight w:val="none"/>
        </w:rPr>
        <w:t>，</w:t>
      </w:r>
      <w:bookmarkEnd w:id="79"/>
      <w:bookmarkEnd w:id="80"/>
      <w:bookmarkEnd w:id="81"/>
      <w:r>
        <w:rPr>
          <w:rFonts w:hint="eastAsia" w:ascii="仿宋" w:hAnsi="仿宋" w:eastAsia="仿宋" w:cs="仿宋"/>
          <w:sz w:val="24"/>
          <w:highlight w:val="none"/>
        </w:rPr>
        <w:t>具备单线引导和双线引导以及中位线引导，具备点状引导线，标识进针深度</w:t>
      </w:r>
    </w:p>
    <w:p w14:paraId="1816F864">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1.15 </w:t>
      </w:r>
      <w:r>
        <w:rPr>
          <w:rFonts w:hint="eastAsia" w:ascii="仿宋" w:hAnsi="仿宋" w:eastAsia="仿宋" w:cs="仿宋"/>
          <w:sz w:val="24"/>
          <w:highlight w:val="none"/>
        </w:rPr>
        <w:t>穿刺增强</w:t>
      </w:r>
    </w:p>
    <w:p w14:paraId="5DA2ABEE">
      <w:pPr>
        <w:pStyle w:val="35"/>
        <w:tabs>
          <w:tab w:val="left" w:pos="567"/>
        </w:tabs>
        <w:spacing w:line="360" w:lineRule="auto"/>
        <w:ind w:left="720" w:hanging="720" w:hangingChars="30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1.16  </w:t>
      </w:r>
      <w:r>
        <w:rPr>
          <w:rFonts w:hint="eastAsia" w:ascii="仿宋" w:hAnsi="仿宋" w:eastAsia="仿宋" w:cs="仿宋"/>
          <w:sz w:val="24"/>
          <w:highlight w:val="none"/>
        </w:rPr>
        <w:t>实时宽景成像，支持线阵及凸阵探头，并具备红、绿、蓝速度提示功能，支持向前擦除以及中途停止、重新采集操作，无需退出当前宽景成像</w:t>
      </w:r>
    </w:p>
    <w:p w14:paraId="4F3052B5">
      <w:pPr>
        <w:pStyle w:val="35"/>
        <w:tabs>
          <w:tab w:val="left" w:pos="567"/>
        </w:tabs>
        <w:spacing w:line="360" w:lineRule="auto"/>
        <w:ind w:left="720" w:hanging="720" w:hangingChars="300"/>
        <w:rPr>
          <w:rFonts w:hint="eastAsia" w:ascii="仿宋" w:hAnsi="仿宋" w:eastAsia="仿宋" w:cs="仿宋"/>
          <w:sz w:val="24"/>
          <w:highlight w:val="none"/>
        </w:rPr>
      </w:pPr>
      <w:r>
        <w:rPr>
          <w:rFonts w:hint="eastAsia" w:ascii="仿宋" w:hAnsi="仿宋" w:eastAsia="仿宋" w:cs="仿宋"/>
          <w:sz w:val="24"/>
          <w:highlight w:val="none"/>
          <w:lang w:val="en-US" w:eastAsia="zh-CN"/>
        </w:rPr>
        <w:t>1.17</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图形化预设置：针对不同的检查脏器，预置最佳图像检查条件，并以脏器图标直观显示</w:t>
      </w:r>
    </w:p>
    <w:p w14:paraId="00A611B8">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支持同一个自定义功能键，可切换≥7个功能的设定。</w:t>
      </w:r>
    </w:p>
    <w:p w14:paraId="08D2C1C9">
      <w:pPr>
        <w:pStyle w:val="35"/>
        <w:tabs>
          <w:tab w:val="left" w:pos="567"/>
        </w:tabs>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 xml:space="preserve">2  </w:t>
      </w:r>
      <w:r>
        <w:rPr>
          <w:rFonts w:hint="eastAsia" w:ascii="宋体" w:hAnsi="宋体" w:eastAsia="宋体" w:cs="宋体"/>
          <w:b/>
          <w:bCs/>
          <w:sz w:val="24"/>
          <w:highlight w:val="none"/>
        </w:rPr>
        <w:t>探头规格</w:t>
      </w:r>
    </w:p>
    <w:p w14:paraId="5AC08F24">
      <w:pPr>
        <w:pStyle w:val="35"/>
        <w:tabs>
          <w:tab w:val="left" w:pos="567"/>
        </w:tabs>
        <w:spacing w:line="360" w:lineRule="auto"/>
        <w:ind w:left="720" w:hanging="720" w:hangingChars="30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2.1  </w:t>
      </w:r>
      <w:r>
        <w:rPr>
          <w:rFonts w:hint="eastAsia" w:ascii="仿宋" w:hAnsi="仿宋" w:eastAsia="仿宋" w:cs="仿宋"/>
          <w:sz w:val="24"/>
          <w:highlight w:val="none"/>
        </w:rPr>
        <w:t>超宽频变频探头：基波≥5种，谐波≥5种，彩色多普勒≥3种，PW≥3种，可视可调</w:t>
      </w:r>
    </w:p>
    <w:p w14:paraId="3D1F46EF">
      <w:pPr>
        <w:pStyle w:val="35"/>
        <w:tabs>
          <w:tab w:val="left" w:pos="567"/>
        </w:tabs>
        <w:spacing w:line="360" w:lineRule="auto"/>
        <w:ind w:left="720" w:hanging="720" w:hangingChars="30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2.2  </w:t>
      </w:r>
      <w:r>
        <w:rPr>
          <w:rFonts w:hint="eastAsia" w:ascii="仿宋" w:hAnsi="仿宋" w:eastAsia="仿宋" w:cs="仿宋"/>
          <w:sz w:val="24"/>
          <w:highlight w:val="none"/>
        </w:rPr>
        <w:t>支持探头类型：支持凸阵、线阵、相控阵、微凸阵、腔内、L、T、I型术中探头、置管专用探头等探头</w:t>
      </w:r>
    </w:p>
    <w:p w14:paraId="0FA2028E">
      <w:pPr>
        <w:pStyle w:val="35"/>
        <w:tabs>
          <w:tab w:val="left" w:pos="567"/>
        </w:tabs>
        <w:spacing w:line="360" w:lineRule="auto"/>
        <w:ind w:firstLine="0" w:firstLineChars="0"/>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lang w:val="en-US" w:eastAsia="zh-CN"/>
        </w:rPr>
        <w:t xml:space="preserve">2.3  </w:t>
      </w:r>
      <w:r>
        <w:rPr>
          <w:rFonts w:hint="eastAsia" w:ascii="仿宋" w:hAnsi="仿宋" w:eastAsia="仿宋" w:cs="仿宋"/>
          <w:sz w:val="24"/>
          <w:highlight w:val="none"/>
        </w:rPr>
        <w:t>腹部凸阵探头，探头频率：1.5-6.5MHz</w:t>
      </w:r>
    </w:p>
    <w:p w14:paraId="3724CA36">
      <w:pPr>
        <w:pStyle w:val="35"/>
        <w:tabs>
          <w:tab w:val="left" w:pos="567"/>
        </w:tabs>
        <w:spacing w:line="360" w:lineRule="auto"/>
        <w:ind w:firstLine="0" w:firstLineChars="0"/>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lang w:val="en-US" w:eastAsia="zh-CN"/>
        </w:rPr>
        <w:t xml:space="preserve">2.4  </w:t>
      </w:r>
      <w:r>
        <w:rPr>
          <w:rFonts w:hint="eastAsia" w:ascii="仿宋" w:hAnsi="仿宋" w:eastAsia="仿宋" w:cs="仿宋"/>
          <w:sz w:val="24"/>
          <w:highlight w:val="none"/>
        </w:rPr>
        <w:t>浅表线阵探头，探头频率：5.0-15.0MHz</w:t>
      </w:r>
    </w:p>
    <w:p w14:paraId="13664AFA">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2.5  探头配置：腹部凸阵探头、浅表线阵探头</w:t>
      </w:r>
    </w:p>
    <w:p w14:paraId="4258E26C">
      <w:pPr>
        <w:pStyle w:val="35"/>
        <w:tabs>
          <w:tab w:val="left" w:pos="567"/>
        </w:tabs>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 xml:space="preserve">3  </w:t>
      </w:r>
      <w:r>
        <w:rPr>
          <w:rFonts w:hint="eastAsia" w:ascii="宋体" w:hAnsi="宋体" w:eastAsia="宋体" w:cs="宋体"/>
          <w:b/>
          <w:bCs/>
          <w:sz w:val="24"/>
          <w:highlight w:val="none"/>
        </w:rPr>
        <w:t>二维灰阶参数</w:t>
      </w:r>
    </w:p>
    <w:p w14:paraId="32D52F67">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3.1  </w:t>
      </w:r>
      <w:r>
        <w:rPr>
          <w:rFonts w:hint="eastAsia" w:ascii="仿宋" w:hAnsi="仿宋" w:eastAsia="仿宋" w:cs="仿宋"/>
          <w:sz w:val="24"/>
          <w:highlight w:val="none"/>
        </w:rPr>
        <w:t>最大探测深度≥30cm</w:t>
      </w:r>
    </w:p>
    <w:p w14:paraId="031799ED">
      <w:pPr>
        <w:pStyle w:val="35"/>
        <w:tabs>
          <w:tab w:val="left" w:pos="567"/>
        </w:tabs>
        <w:spacing w:line="360" w:lineRule="auto"/>
        <w:ind w:firstLine="0" w:firstLineChars="0"/>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lang w:val="en-US" w:eastAsia="zh-CN"/>
        </w:rPr>
        <w:t xml:space="preserve">3.2  </w:t>
      </w:r>
      <w:r>
        <w:rPr>
          <w:rFonts w:hint="eastAsia" w:ascii="仿宋" w:hAnsi="仿宋" w:eastAsia="仿宋" w:cs="仿宋"/>
          <w:sz w:val="24"/>
          <w:highlight w:val="none"/>
        </w:rPr>
        <w:t>二维增益调节范围≥250dB</w:t>
      </w:r>
    </w:p>
    <w:p w14:paraId="33E8D36B">
      <w:pPr>
        <w:pStyle w:val="35"/>
        <w:tabs>
          <w:tab w:val="left" w:pos="567"/>
        </w:tabs>
        <w:spacing w:line="360" w:lineRule="auto"/>
        <w:ind w:firstLine="0" w:firstLineChars="0"/>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lang w:val="en-US" w:eastAsia="zh-CN"/>
        </w:rPr>
        <w:t xml:space="preserve">3.3  </w:t>
      </w:r>
      <w:r>
        <w:rPr>
          <w:rFonts w:hint="eastAsia" w:ascii="仿宋" w:hAnsi="仿宋" w:eastAsia="仿宋" w:cs="仿宋"/>
          <w:sz w:val="24"/>
          <w:highlight w:val="none"/>
        </w:rPr>
        <w:t>动态范围≥300 dB，可视可调</w:t>
      </w:r>
    </w:p>
    <w:p w14:paraId="3C76929A">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3.4  </w:t>
      </w:r>
      <w:r>
        <w:rPr>
          <w:rFonts w:hint="eastAsia" w:ascii="仿宋" w:hAnsi="仿宋" w:eastAsia="仿宋" w:cs="仿宋"/>
          <w:sz w:val="24"/>
          <w:highlight w:val="none"/>
        </w:rPr>
        <w:t>物理滑动TGC分段调节≥8段，具有TGC曲线显示</w:t>
      </w:r>
    </w:p>
    <w:p w14:paraId="41EF5DF4">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3.5  </w:t>
      </w:r>
      <w:r>
        <w:rPr>
          <w:rFonts w:hint="eastAsia" w:ascii="仿宋" w:hAnsi="仿宋" w:eastAsia="仿宋" w:cs="仿宋"/>
          <w:sz w:val="24"/>
          <w:highlight w:val="none"/>
        </w:rPr>
        <w:t>侧向增益补偿LCG≥8段，具有LGC曲线显示</w:t>
      </w:r>
    </w:p>
    <w:p w14:paraId="50510289">
      <w:pPr>
        <w:pStyle w:val="35"/>
        <w:tabs>
          <w:tab w:val="left" w:pos="567"/>
        </w:tabs>
        <w:spacing w:line="360" w:lineRule="auto"/>
        <w:ind w:firstLine="0" w:firstLineChars="0"/>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lang w:val="en-US" w:eastAsia="zh-CN"/>
        </w:rPr>
        <w:t xml:space="preserve">3.6  </w:t>
      </w:r>
      <w:r>
        <w:rPr>
          <w:rFonts w:hint="eastAsia" w:ascii="仿宋" w:hAnsi="仿宋" w:eastAsia="仿宋" w:cs="仿宋"/>
          <w:sz w:val="24"/>
          <w:highlight w:val="none"/>
        </w:rPr>
        <w:t>伪彩≥12种</w:t>
      </w:r>
    </w:p>
    <w:p w14:paraId="022A4B21">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3.7  </w:t>
      </w:r>
      <w:r>
        <w:rPr>
          <w:rFonts w:hint="eastAsia" w:ascii="仿宋" w:hAnsi="仿宋" w:eastAsia="仿宋" w:cs="仿宋"/>
          <w:sz w:val="24"/>
          <w:highlight w:val="none"/>
        </w:rPr>
        <w:t>声功率1–100%，可视可调</w:t>
      </w:r>
    </w:p>
    <w:p w14:paraId="1CFC4B54">
      <w:pPr>
        <w:pStyle w:val="35"/>
        <w:tabs>
          <w:tab w:val="left" w:pos="567"/>
        </w:tabs>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 xml:space="preserve">4   </w:t>
      </w:r>
      <w:r>
        <w:rPr>
          <w:rFonts w:hint="eastAsia" w:ascii="宋体" w:hAnsi="宋体" w:eastAsia="宋体" w:cs="宋体"/>
          <w:b/>
          <w:bCs/>
          <w:sz w:val="24"/>
          <w:highlight w:val="none"/>
        </w:rPr>
        <w:t>彩色多普勒参数</w:t>
      </w:r>
    </w:p>
    <w:p w14:paraId="3560EC14">
      <w:pPr>
        <w:pStyle w:val="35"/>
        <w:tabs>
          <w:tab w:val="left" w:pos="567"/>
        </w:tabs>
        <w:spacing w:line="360" w:lineRule="auto"/>
        <w:ind w:firstLine="0" w:firstLineChars="0"/>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lang w:val="en-US" w:eastAsia="zh-CN"/>
        </w:rPr>
        <w:t xml:space="preserve">4.1  </w:t>
      </w:r>
      <w:r>
        <w:rPr>
          <w:rFonts w:hint="eastAsia" w:ascii="仿宋" w:hAnsi="仿宋" w:eastAsia="仿宋" w:cs="仿宋"/>
          <w:sz w:val="24"/>
          <w:highlight w:val="none"/>
        </w:rPr>
        <w:t>多普勒增益≥250dB</w:t>
      </w:r>
    </w:p>
    <w:p w14:paraId="699FB22B">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4.2  </w:t>
      </w:r>
      <w:r>
        <w:rPr>
          <w:rFonts w:hint="eastAsia" w:ascii="仿宋" w:hAnsi="仿宋" w:eastAsia="仿宋" w:cs="仿宋"/>
          <w:sz w:val="24"/>
          <w:highlight w:val="none"/>
        </w:rPr>
        <w:t>彩色多普勒定量分析软件：彩色血流剖面图、定点测速功能</w:t>
      </w:r>
    </w:p>
    <w:p w14:paraId="2DA75F09">
      <w:pPr>
        <w:pStyle w:val="35"/>
        <w:tabs>
          <w:tab w:val="left" w:pos="567"/>
        </w:tabs>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 xml:space="preserve">5  </w:t>
      </w:r>
      <w:r>
        <w:rPr>
          <w:rFonts w:hint="eastAsia" w:ascii="宋体" w:hAnsi="宋体" w:eastAsia="宋体" w:cs="宋体"/>
          <w:b/>
          <w:bCs/>
          <w:sz w:val="24"/>
          <w:highlight w:val="none"/>
        </w:rPr>
        <w:t>频谱多普勒参数</w:t>
      </w:r>
    </w:p>
    <w:p w14:paraId="09D39839">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5.1  </w:t>
      </w:r>
      <w:r>
        <w:rPr>
          <w:rFonts w:hint="eastAsia" w:ascii="仿宋" w:hAnsi="仿宋" w:eastAsia="仿宋" w:cs="仿宋"/>
          <w:sz w:val="24"/>
          <w:highlight w:val="none"/>
        </w:rPr>
        <w:t>B/D兼用：线阵：B/PW，凸阵：B/PW，扇扫：B/PW、B/CW</w:t>
      </w:r>
    </w:p>
    <w:p w14:paraId="38CB5224">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5.2  </w:t>
      </w:r>
      <w:r>
        <w:rPr>
          <w:rFonts w:hint="eastAsia" w:ascii="仿宋" w:hAnsi="仿宋" w:eastAsia="仿宋" w:cs="仿宋"/>
          <w:sz w:val="24"/>
          <w:highlight w:val="none"/>
        </w:rPr>
        <w:t>频谱实时包络功能，在实时诊断下，频谱实时包络并显示血流参数</w:t>
      </w:r>
    </w:p>
    <w:p w14:paraId="3F7B54CC">
      <w:pPr>
        <w:pStyle w:val="35"/>
        <w:tabs>
          <w:tab w:val="left" w:pos="567"/>
        </w:tabs>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 xml:space="preserve">6  </w:t>
      </w:r>
      <w:r>
        <w:rPr>
          <w:rFonts w:hint="eastAsia" w:ascii="宋体" w:hAnsi="宋体" w:eastAsia="宋体" w:cs="宋体"/>
          <w:b/>
          <w:bCs/>
          <w:sz w:val="24"/>
          <w:highlight w:val="none"/>
        </w:rPr>
        <w:t>系统通用技术规格</w:t>
      </w:r>
    </w:p>
    <w:p w14:paraId="70C29A63">
      <w:pPr>
        <w:pStyle w:val="35"/>
        <w:tabs>
          <w:tab w:val="left" w:pos="567"/>
        </w:tabs>
        <w:spacing w:line="360" w:lineRule="auto"/>
        <w:ind w:firstLine="0" w:firstLineChars="0"/>
        <w:rPr>
          <w:rFonts w:hint="eastAsia" w:ascii="仿宋" w:hAnsi="仿宋" w:eastAsia="仿宋" w:cs="仿宋"/>
          <w:sz w:val="24"/>
          <w:highlight w:val="none"/>
        </w:rPr>
      </w:pPr>
      <w:r>
        <w:rPr>
          <w:rFonts w:hint="eastAsia"/>
          <w:highlight w:val="none"/>
        </w:rPr>
        <w:t>▲</w:t>
      </w:r>
      <w:r>
        <w:rPr>
          <w:rFonts w:hint="eastAsia" w:ascii="仿宋" w:hAnsi="仿宋" w:eastAsia="仿宋" w:cs="仿宋"/>
          <w:sz w:val="24"/>
          <w:highlight w:val="none"/>
          <w:lang w:val="en-US" w:eastAsia="zh-CN"/>
        </w:rPr>
        <w:t xml:space="preserve">6.1  </w:t>
      </w:r>
      <w:r>
        <w:rPr>
          <w:rFonts w:hint="eastAsia" w:ascii="仿宋" w:hAnsi="仿宋" w:eastAsia="仿宋" w:cs="仿宋"/>
          <w:sz w:val="24"/>
          <w:highlight w:val="none"/>
        </w:rPr>
        <w:t>内置锂电池独立供电，电池独立供电工作时间&gt;1.3小时</w:t>
      </w:r>
    </w:p>
    <w:p w14:paraId="6C590476">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6.2  </w:t>
      </w:r>
      <w:r>
        <w:rPr>
          <w:rFonts w:hint="eastAsia" w:ascii="仿宋" w:hAnsi="仿宋" w:eastAsia="仿宋" w:cs="仿宋"/>
          <w:sz w:val="24"/>
          <w:highlight w:val="none"/>
        </w:rPr>
        <w:t>可选配专用台车</w:t>
      </w:r>
    </w:p>
    <w:p w14:paraId="542FF292">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6.3  </w:t>
      </w:r>
      <w:r>
        <w:rPr>
          <w:rFonts w:hint="eastAsia" w:ascii="仿宋" w:hAnsi="仿宋" w:eastAsia="仿宋" w:cs="仿宋"/>
          <w:sz w:val="24"/>
          <w:highlight w:val="none"/>
        </w:rPr>
        <w:t>可选配多功能背包(带拉杆功能)</w:t>
      </w:r>
    </w:p>
    <w:p w14:paraId="4CB12423">
      <w:pPr>
        <w:pStyle w:val="35"/>
        <w:tabs>
          <w:tab w:val="left" w:pos="567"/>
        </w:tabs>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 xml:space="preserve">7  </w:t>
      </w:r>
      <w:r>
        <w:rPr>
          <w:rFonts w:hint="eastAsia" w:ascii="宋体" w:hAnsi="宋体" w:eastAsia="宋体" w:cs="宋体"/>
          <w:b/>
          <w:bCs/>
          <w:sz w:val="24"/>
          <w:highlight w:val="none"/>
        </w:rPr>
        <w:t>测量和分析</w:t>
      </w:r>
    </w:p>
    <w:p w14:paraId="5893A7F8">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7.1  </w:t>
      </w:r>
      <w:r>
        <w:rPr>
          <w:rFonts w:hint="eastAsia" w:ascii="仿宋" w:hAnsi="仿宋" w:eastAsia="仿宋" w:cs="仿宋"/>
          <w:sz w:val="24"/>
          <w:highlight w:val="none"/>
        </w:rPr>
        <w:t>常规测量软件包：距离、面积、体积、角度、时间、斜率、心率等</w:t>
      </w:r>
    </w:p>
    <w:p w14:paraId="6E5B6BD8">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7.2 </w:t>
      </w:r>
      <w:r>
        <w:rPr>
          <w:rFonts w:hint="eastAsia" w:ascii="仿宋" w:hAnsi="仿宋" w:eastAsia="仿宋" w:cs="仿宋"/>
          <w:sz w:val="24"/>
          <w:highlight w:val="none"/>
        </w:rPr>
        <w:t>产科测量软件包：具有≥4胞胎对比测量分析，支持胎儿生长曲线显示等</w:t>
      </w:r>
    </w:p>
    <w:p w14:paraId="1BA49713">
      <w:pPr>
        <w:pStyle w:val="35"/>
        <w:tabs>
          <w:tab w:val="left" w:pos="567"/>
        </w:tabs>
        <w:spacing w:line="360" w:lineRule="auto"/>
        <w:ind w:left="0" w:leftChars="0"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 xml:space="preserve">8   </w:t>
      </w:r>
      <w:r>
        <w:rPr>
          <w:rFonts w:hint="eastAsia" w:ascii="宋体" w:hAnsi="宋体" w:eastAsia="宋体" w:cs="宋体"/>
          <w:b/>
          <w:bCs/>
          <w:sz w:val="24"/>
          <w:highlight w:val="none"/>
        </w:rPr>
        <w:t>图像存储，回放和浏览</w:t>
      </w:r>
    </w:p>
    <w:p w14:paraId="25BAF0BF">
      <w:pPr>
        <w:pStyle w:val="35"/>
        <w:tabs>
          <w:tab w:val="left" w:pos="567"/>
        </w:tabs>
        <w:spacing w:line="360" w:lineRule="auto"/>
        <w:ind w:left="0" w:leftChars="0" w:firstLine="0" w:firstLineChars="0"/>
        <w:rPr>
          <w:rFonts w:hint="eastAsia" w:ascii="宋体" w:hAnsi="宋体" w:eastAsia="宋体" w:cs="宋体"/>
          <w:b/>
          <w:bCs/>
          <w:sz w:val="24"/>
          <w:highlight w:val="none"/>
        </w:rPr>
      </w:pPr>
      <w:r>
        <w:rPr>
          <w:rFonts w:hint="eastAsia" w:ascii="宋体" w:hAnsi="宋体" w:cs="宋体"/>
          <w:b/>
          <w:bCs/>
          <w:sz w:val="24"/>
          <w:highlight w:val="none"/>
          <w:lang w:val="en-US" w:eastAsia="zh-CN"/>
        </w:rPr>
        <w:t>8.1</w:t>
      </w:r>
      <w:r>
        <w:rPr>
          <w:rFonts w:hint="eastAsia" w:ascii="宋体" w:hAnsi="宋体" w:eastAsia="宋体" w:cs="宋体"/>
          <w:b/>
          <w:bCs/>
          <w:sz w:val="24"/>
          <w:highlight w:val="none"/>
        </w:rPr>
        <w:t>存储动、静态图像，屏幕可显示硬盘容量数据信息</w:t>
      </w:r>
    </w:p>
    <w:p w14:paraId="00A7707B">
      <w:pPr>
        <w:pStyle w:val="35"/>
        <w:tabs>
          <w:tab w:val="left" w:pos="567"/>
        </w:tabs>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 xml:space="preserve">9  </w:t>
      </w:r>
      <w:r>
        <w:rPr>
          <w:rFonts w:hint="eastAsia" w:ascii="宋体" w:hAnsi="宋体" w:eastAsia="宋体" w:cs="宋体"/>
          <w:b/>
          <w:bCs/>
          <w:sz w:val="24"/>
          <w:highlight w:val="none"/>
        </w:rPr>
        <w:t>图文工作站</w:t>
      </w:r>
    </w:p>
    <w:p w14:paraId="4CEDDEC5">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9.1  </w:t>
      </w:r>
      <w:r>
        <w:rPr>
          <w:rFonts w:hint="eastAsia" w:ascii="仿宋" w:hAnsi="仿宋" w:eastAsia="仿宋" w:cs="仿宋"/>
          <w:sz w:val="24"/>
          <w:highlight w:val="none"/>
        </w:rPr>
        <w:t>支持AVI、WMV、JPG、BMP、TIF等格式输出</w:t>
      </w:r>
    </w:p>
    <w:p w14:paraId="157A5E3D">
      <w:pPr>
        <w:pStyle w:val="35"/>
        <w:tabs>
          <w:tab w:val="left" w:pos="567"/>
        </w:tabs>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 xml:space="preserve">10  </w:t>
      </w:r>
      <w:r>
        <w:rPr>
          <w:rFonts w:hint="eastAsia" w:ascii="宋体" w:hAnsi="宋体" w:eastAsia="宋体" w:cs="宋体"/>
          <w:b/>
          <w:bCs/>
          <w:sz w:val="24"/>
          <w:highlight w:val="none"/>
        </w:rPr>
        <w:t>技术、维修、培训及其它</w:t>
      </w:r>
    </w:p>
    <w:p w14:paraId="66EB6865">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10.1 驻地以上城市具有厂家备件库及售后服务工程师，支持安装、调试及维修</w:t>
      </w:r>
    </w:p>
    <w:p w14:paraId="7F485FB0">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10.2 在用户当地或省会中心城市设有分公司</w:t>
      </w:r>
    </w:p>
    <w:p w14:paraId="17A3F291">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10.3在用户当地或省会中心城市，卖方应配置专业技术人员提供现场技术培训，保证使用人员正常操作设备的各种功能</w:t>
      </w:r>
    </w:p>
    <w:p w14:paraId="77FC78EA">
      <w:pPr>
        <w:pStyle w:val="35"/>
        <w:tabs>
          <w:tab w:val="left" w:pos="567"/>
        </w:tabs>
        <w:spacing w:line="360" w:lineRule="auto"/>
        <w:ind w:firstLine="0" w:firstLineChars="0"/>
        <w:jc w:val="center"/>
        <w:rPr>
          <w:rFonts w:hint="eastAsia" w:ascii="仿宋" w:hAnsi="仿宋" w:eastAsia="仿宋" w:cs="仿宋"/>
          <w:sz w:val="24"/>
          <w:highlight w:val="none"/>
        </w:rPr>
      </w:pPr>
    </w:p>
    <w:p w14:paraId="0BD8B89C">
      <w:pPr>
        <w:pStyle w:val="35"/>
        <w:tabs>
          <w:tab w:val="left" w:pos="567"/>
        </w:tabs>
        <w:spacing w:line="360" w:lineRule="auto"/>
        <w:ind w:firstLine="0" w:firstLineChars="0"/>
        <w:jc w:val="center"/>
        <w:rPr>
          <w:rFonts w:hint="eastAsia" w:ascii="宋体" w:hAnsi="宋体" w:cs="宋体"/>
          <w:b/>
          <w:bCs/>
          <w:sz w:val="32"/>
          <w:szCs w:val="32"/>
          <w:highlight w:val="none"/>
        </w:rPr>
      </w:pPr>
      <w:r>
        <w:rPr>
          <w:rFonts w:hint="eastAsia" w:ascii="宋体" w:hAnsi="宋体" w:cs="宋体"/>
          <w:b/>
          <w:bCs/>
          <w:sz w:val="32"/>
          <w:szCs w:val="32"/>
          <w:highlight w:val="none"/>
        </w:rPr>
        <w:t>设备38.多参数监护仪</w:t>
      </w:r>
    </w:p>
    <w:p w14:paraId="12FD7AA4">
      <w:pPr>
        <w:pStyle w:val="7"/>
        <w:spacing w:line="360" w:lineRule="auto"/>
        <w:jc w:val="left"/>
        <w:rPr>
          <w:rFonts w:hint="eastAsia" w:ascii="宋体" w:hAnsi="宋体" w:cs="宋体"/>
          <w:b/>
          <w:bCs/>
          <w:sz w:val="32"/>
          <w:szCs w:val="32"/>
          <w:highlight w:val="none"/>
        </w:rPr>
      </w:pPr>
      <w:r>
        <w:rPr>
          <w:rFonts w:hint="eastAsia" w:ascii="宋体" w:hAnsi="宋体" w:cs="宋体"/>
          <w:b/>
          <w:bCs/>
          <w:sz w:val="32"/>
          <w:szCs w:val="32"/>
          <w:highlight w:val="none"/>
        </w:rPr>
        <w:t>数量：2台</w:t>
      </w:r>
    </w:p>
    <w:p w14:paraId="40EBD38A">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一、功能:</w:t>
      </w:r>
    </w:p>
    <w:p w14:paraId="4506E6D6">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1.高亮度LCD显示屏</w:t>
      </w:r>
    </w:p>
    <w:p w14:paraId="41F876AD">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2.七导心电同屏显示,更有利于心脏病的诊断及分析</w:t>
      </w:r>
    </w:p>
    <w:p w14:paraId="4DFD0818">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3.无创血压袖带过压保护</w:t>
      </w:r>
    </w:p>
    <w:p w14:paraId="6E017C43">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4.具有监护、手术、诊断三种模式</w:t>
      </w:r>
    </w:p>
    <w:p w14:paraId="44A1D5E5">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5.7导心电图、无创血压、呼吸、数字血氧、体温、心率、药物浓度计算和OxyCRG等标准参数</w:t>
      </w:r>
    </w:p>
    <w:p w14:paraId="7AC29D94">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6.可存储长达168小时以上的趋势数据，具有显示趋势数据和趋势图的功能</w:t>
      </w:r>
    </w:p>
    <w:p w14:paraId="683C5544">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7.750组以上无创血压测量数据回顾</w:t>
      </w:r>
    </w:p>
    <w:p w14:paraId="5D92E1C4">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8.750组以上报警回顾功能</w:t>
      </w:r>
    </w:p>
    <w:p w14:paraId="260F9310">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9.全新数字式血氧技术，更强、更好地抗干扰、抗运动、抗弱灌注</w:t>
      </w:r>
    </w:p>
    <w:p w14:paraId="51852A83">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10.标准RJ-45接口可与中央监护仪相联，组成中央监护网络系统</w:t>
      </w:r>
    </w:p>
    <w:p w14:paraId="5172B9C6">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二、规格</w:t>
      </w:r>
    </w:p>
    <w:p w14:paraId="4963F051">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1.供电方式：交流电：100-240V，直流电:内置2200 mAh可充电电池</w:t>
      </w:r>
    </w:p>
    <w:p w14:paraId="5889A34D">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2.报警模式：声、光、文字三级报警，且有报警事件回顾功能</w:t>
      </w:r>
    </w:p>
    <w:p w14:paraId="2D412A6E">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3.适用范围：婴儿、儿童和成人</w:t>
      </w:r>
    </w:p>
    <w:p w14:paraId="03054F9B">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4.心电规格</w:t>
      </w:r>
    </w:p>
    <w:p w14:paraId="474D6D9F">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5.输入方式：五导联、三导联</w:t>
      </w:r>
    </w:p>
    <w:p w14:paraId="6FB67842">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6.导联选择：I，II，III，aVR，aVL， aVF，V1-V6</w:t>
      </w:r>
    </w:p>
    <w:p w14:paraId="69F728C8">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7.增益：5mm/mv，10mm/mv，20mm/mv，40mm/mv</w:t>
      </w:r>
    </w:p>
    <w:p w14:paraId="11AF7846">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8.输入阻抗：≥5MΩ</w:t>
      </w:r>
    </w:p>
    <w:p w14:paraId="0B274700">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9.共模抑制比：≥100dB</w:t>
      </w:r>
    </w:p>
    <w:p w14:paraId="2431C086">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10.保护：隔离耐压4000V,50Hz/60Hz、抗电刀高频干扰、抗除颤保护</w:t>
      </w:r>
    </w:p>
    <w:p w14:paraId="6CBEE9CD">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11.电极脱落指示：自动识别并提示</w:t>
      </w:r>
    </w:p>
    <w:p w14:paraId="37B3ECBD">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12.扫描速度：12.5mm/s 、25mm/s、50mm/s</w:t>
      </w:r>
    </w:p>
    <w:p w14:paraId="61EC6315">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13.心率范围：0-300BPM</w:t>
      </w:r>
    </w:p>
    <w:p w14:paraId="36A51F31">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14.分辨率：±1BPM</w:t>
      </w:r>
    </w:p>
    <w:p w14:paraId="236FB288">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15.趋势图：1-168小时</w:t>
      </w:r>
    </w:p>
    <w:p w14:paraId="289E0179">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16.无创血压规格</w:t>
      </w:r>
    </w:p>
    <w:p w14:paraId="0BAA5FB2">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17.测量方法：振荡示波法</w:t>
      </w:r>
    </w:p>
    <w:p w14:paraId="6EBD0240">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18.工作模式：单次（手动）、周期（自动）、快速（连续）</w:t>
      </w:r>
    </w:p>
    <w:p w14:paraId="44257AAF">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19.测量参数：收缩压、舒张压、平均压、脉率</w:t>
      </w:r>
    </w:p>
    <w:p w14:paraId="29A84DD7">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20.测量范围：成人0-300mmHg、儿童：0-235mmHg、新生儿：0-135mmHg</w:t>
      </w:r>
    </w:p>
    <w:p w14:paraId="4963FCF2">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21.无创血压显示单位：可选择mmHg、KPa</w:t>
      </w:r>
    </w:p>
    <w:p w14:paraId="237A806B">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22.周期分段测量时间间隔：1，2，3，4，5，10，15，20，30，45，60，90分钟，2，4，8小时</w:t>
      </w:r>
    </w:p>
    <w:p w14:paraId="344BF711">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23.呼吸规格：阻抗法，测量范围：0-150rpm，显示：波形、呼吸</w:t>
      </w:r>
    </w:p>
    <w:p w14:paraId="3D194686">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24.血氧饱和度规格：测量范围0-100%，脉率测量范围：20-250BPM</w:t>
      </w:r>
    </w:p>
    <w:p w14:paraId="0C44D309">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25.体温规格：测量范围0-50℃，体温单位：摄氏，华氏，分辨率：±0.1℃</w:t>
      </w:r>
    </w:p>
    <w:p w14:paraId="3C20E12F">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26.标准配置：</w:t>
      </w:r>
    </w:p>
    <w:p w14:paraId="33582566">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27.五导心电，心率，呼吸，无创血压，血氧饱和度，脉搏，单体温，内置电池</w:t>
      </w:r>
    </w:p>
    <w:p w14:paraId="7E185215">
      <w:pPr>
        <w:pStyle w:val="7"/>
        <w:spacing w:line="360" w:lineRule="auto"/>
        <w:jc w:val="center"/>
        <w:rPr>
          <w:rFonts w:hint="eastAsia"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 xml:space="preserve">设备39.十二导心电图机 </w:t>
      </w:r>
    </w:p>
    <w:p w14:paraId="28F22768">
      <w:pPr>
        <w:pStyle w:val="7"/>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数量：2台</w:t>
      </w:r>
    </w:p>
    <w:p w14:paraId="45E822B1">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1.导联：标准12导联，12导联同步采集</w:t>
      </w:r>
    </w:p>
    <w:p w14:paraId="4A30CEC2">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2.记录模式：手/自动6道、6+1道、12道，按下“MODE”键可以切换打印模式。</w:t>
      </w:r>
    </w:p>
    <w:p w14:paraId="13A5CA75">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3.液晶显示:≥5.7英寸液晶显示屏</w:t>
      </w:r>
    </w:p>
    <w:p w14:paraId="77323B6D">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4.测量参数：心率，P时限，PR间期，QRS时限，QT/QTC间期，P/QRS/T轴，RV5/SV1幅度，RV5+SV1幅度</w:t>
      </w:r>
    </w:p>
    <w:p w14:paraId="285EA931">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5.滤波器：交流50Hz/60Hz、肌电35Hz</w:t>
      </w:r>
    </w:p>
    <w:p w14:paraId="3FED3D94">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6.共模抑制比：</w:t>
      </w:r>
      <w:r>
        <w:rPr>
          <w:rFonts w:hint="eastAsia" w:ascii="仿宋" w:hAnsi="仿宋" w:eastAsia="仿宋" w:cs="仿宋"/>
          <w:sz w:val="24"/>
          <w:highlight w:val="none"/>
          <w:lang w:val="zh-CN"/>
        </w:rPr>
        <w:t>≥</w:t>
      </w:r>
      <w:r>
        <w:rPr>
          <w:rFonts w:hint="eastAsia" w:ascii="仿宋" w:hAnsi="仿宋" w:eastAsia="仿宋" w:cs="仿宋"/>
          <w:sz w:val="24"/>
          <w:highlight w:val="none"/>
        </w:rPr>
        <w:t>101dB</w:t>
      </w:r>
    </w:p>
    <w:p w14:paraId="590850D5">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7.输入回路电流：≤0.1μA</w:t>
      </w:r>
    </w:p>
    <w:p w14:paraId="3C275A49">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8.输入阻抗：＞50M</w:t>
      </w:r>
      <w:r>
        <w:rPr>
          <w:rFonts w:hint="eastAsia" w:ascii="仿宋" w:hAnsi="仿宋" w:eastAsia="仿宋" w:cs="仿宋"/>
          <w:sz w:val="24"/>
          <w:highlight w:val="none"/>
        </w:rPr>
        <w:sym w:font="Symbol" w:char="F057"/>
      </w:r>
    </w:p>
    <w:p w14:paraId="10E4A07E">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9.患者漏电流：＜10μA</w:t>
      </w:r>
    </w:p>
    <w:p w14:paraId="6ED167EB">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10.时间常数：≥3.2s</w:t>
      </w:r>
    </w:p>
    <w:p w14:paraId="5D93ABAA">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11.频响：0 .05～150Hz(+0.4dB,-3.0 dB)</w:t>
      </w:r>
    </w:p>
    <w:p w14:paraId="67AD1E20">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12.噪声电平：＜15μVp-p</w:t>
      </w:r>
    </w:p>
    <w:p w14:paraId="106626FF">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13.耐极化电压：±550mV</w:t>
      </w:r>
    </w:p>
    <w:p w14:paraId="5344D4CA">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14.灵敏阈：≤20μV</w:t>
      </w:r>
    </w:p>
    <w:p w14:paraId="20B6853C">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15.灵敏度：2.5、5、10、20mm/mV四档</w:t>
      </w:r>
    </w:p>
    <w:p w14:paraId="2D3F02C9">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16.定标电压：1mV±3%</w:t>
      </w:r>
    </w:p>
    <w:p w14:paraId="39D0B899">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17.记录方式：热点阵打印系统</w:t>
      </w:r>
    </w:p>
    <w:p w14:paraId="7FD36067">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18.走纸速度：6.25 mm/s、12.5 mm/s、25 mm/s、50mm/s</w:t>
      </w:r>
    </w:p>
    <w:p w14:paraId="6BF0B8DF">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19.记录纸规格：210mm×30m或210mm×20m卷纸，210mm×140mm×20m折叠纸</w:t>
      </w:r>
    </w:p>
    <w:p w14:paraId="337829FA">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20.电源：交流:100V-240V，50/60Hz，60VA；直流:内置14.4V-2200mAh可充电锂电池</w:t>
      </w:r>
    </w:p>
    <w:p w14:paraId="0A8A5403">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21.显示、打印语言：中/英文</w:t>
      </w:r>
    </w:p>
    <w:p w14:paraId="121CA9FB">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22.显示操作菜单、整机工作状态、时间、心率和电极是否脱落等</w:t>
      </w:r>
    </w:p>
    <w:p w14:paraId="7253EB81">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23.内置存储器：可存450份以上病例</w:t>
      </w:r>
    </w:p>
    <w:p w14:paraId="075BC3D3">
      <w:pPr>
        <w:pStyle w:val="35"/>
        <w:tabs>
          <w:tab w:val="left" w:pos="567"/>
        </w:tabs>
        <w:spacing w:line="360" w:lineRule="auto"/>
        <w:ind w:firstLine="0" w:firstLineChars="0"/>
        <w:rPr>
          <w:rFonts w:hint="eastAsia" w:ascii="仿宋" w:hAnsi="仿宋" w:eastAsia="仿宋" w:cs="仿宋"/>
          <w:sz w:val="24"/>
          <w:highlight w:val="none"/>
        </w:rPr>
      </w:pPr>
      <w:r>
        <w:rPr>
          <w:rFonts w:hint="eastAsia" w:ascii="仿宋" w:hAnsi="仿宋" w:eastAsia="仿宋" w:cs="仿宋"/>
          <w:sz w:val="24"/>
          <w:highlight w:val="none"/>
        </w:rPr>
        <w:t>24.通过YY-0782分析型心电图机专用要求</w:t>
      </w:r>
    </w:p>
    <w:p w14:paraId="7A0232A2">
      <w:pPr>
        <w:spacing w:line="360" w:lineRule="auto"/>
        <w:jc w:val="center"/>
        <w:rPr>
          <w:rFonts w:hint="eastAsia"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设备40.体外除颤监护仪</w:t>
      </w:r>
    </w:p>
    <w:p w14:paraId="311095AE">
      <w:pPr>
        <w:spacing w:line="360" w:lineRule="auto"/>
        <w:jc w:val="left"/>
        <w:rPr>
          <w:rFonts w:ascii="宋体" w:hAnsi="宋体" w:cs="宋体"/>
          <w:sz w:val="24"/>
          <w:highlight w:val="none"/>
        </w:rPr>
      </w:pPr>
      <w:r>
        <w:rPr>
          <w:rFonts w:hint="eastAsia" w:ascii="宋体" w:hAnsi="宋体" w:cs="宋体"/>
          <w:b/>
          <w:bCs/>
          <w:sz w:val="32"/>
          <w:szCs w:val="32"/>
          <w:highlight w:val="none"/>
        </w:rPr>
        <w:t>数量：1台</w:t>
      </w:r>
    </w:p>
    <w:p w14:paraId="636C455F">
      <w:pPr>
        <w:widowControl/>
        <w:numPr>
          <w:ilvl w:val="0"/>
          <w:numId w:val="0"/>
        </w:numPr>
        <w:spacing w:line="360" w:lineRule="auto"/>
        <w:ind w:left="778" w:leftChars="0" w:hanging="42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1.具备手动除颤、心电监护功能，可选自动体外除颤（AED）功能。除颤具备自动阻抗补偿功能；可选配升级体外起搏功能，起搏分为固定和按需两种模式。具备降速起搏功能。可选配专用体内除颤附件包。</w:t>
      </w:r>
    </w:p>
    <w:p w14:paraId="516605B1">
      <w:pPr>
        <w:widowControl/>
        <w:numPr>
          <w:ilvl w:val="0"/>
          <w:numId w:val="0"/>
        </w:numPr>
        <w:spacing w:line="360" w:lineRule="auto"/>
        <w:ind w:left="778" w:leftChars="0" w:hanging="42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2.同步除颤和手动除颤中，能量分25档以上，可通过体外电极板进行能量选择最小为1J，最大为360J。</w:t>
      </w:r>
    </w:p>
    <w:p w14:paraId="7C37BB3E">
      <w:pPr>
        <w:widowControl/>
        <w:numPr>
          <w:ilvl w:val="0"/>
          <w:numId w:val="0"/>
        </w:numPr>
        <w:spacing w:line="360" w:lineRule="auto"/>
        <w:ind w:left="778" w:leftChars="0" w:hanging="42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3.支持AED除颤功能，电击能量：100～360J。</w:t>
      </w:r>
    </w:p>
    <w:p w14:paraId="7685CB85">
      <w:pPr>
        <w:widowControl/>
        <w:numPr>
          <w:ilvl w:val="0"/>
          <w:numId w:val="0"/>
        </w:numPr>
        <w:spacing w:line="360" w:lineRule="auto"/>
        <w:ind w:left="778" w:leftChars="0" w:hanging="42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4.除颤充电迅速，充电至200J&lt;3s，充电至360J&lt;7s。</w:t>
      </w:r>
    </w:p>
    <w:p w14:paraId="5CEF3A13">
      <w:pPr>
        <w:widowControl/>
        <w:numPr>
          <w:ilvl w:val="0"/>
          <w:numId w:val="0"/>
        </w:numPr>
        <w:spacing w:line="360" w:lineRule="auto"/>
        <w:ind w:left="778" w:leftChars="0" w:hanging="42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5.体外除颤电极板手柄支持充电、放电、能量选择，具备充电完成指示灯。成人、小儿一体化电极板。</w:t>
      </w:r>
    </w:p>
    <w:p w14:paraId="6D3CFEA4">
      <w:pPr>
        <w:pStyle w:val="34"/>
        <w:numPr>
          <w:ilvl w:val="0"/>
          <w:numId w:val="0"/>
        </w:numPr>
        <w:spacing w:line="360" w:lineRule="auto"/>
        <w:ind w:left="778" w:leftChars="0" w:hanging="420" w:firstLineChars="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6.病人阻抗范围：体外除颤：20~250Ω；体内除颤：15-250Ω。</w:t>
      </w:r>
    </w:p>
    <w:p w14:paraId="56B56DFC">
      <w:pPr>
        <w:widowControl/>
        <w:numPr>
          <w:ilvl w:val="0"/>
          <w:numId w:val="0"/>
        </w:numPr>
        <w:spacing w:line="360" w:lineRule="auto"/>
        <w:ind w:left="778" w:leftChars="0" w:hanging="42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7.监护功能：可选配升级SpO2、体温、NIBP、EtCO2监测功能。具有≥27种心律失常分析。</w:t>
      </w:r>
    </w:p>
    <w:p w14:paraId="33D9D5BC">
      <w:pPr>
        <w:widowControl/>
        <w:numPr>
          <w:ilvl w:val="0"/>
          <w:numId w:val="0"/>
        </w:numPr>
        <w:spacing w:line="360" w:lineRule="auto"/>
        <w:ind w:left="778" w:leftChars="0" w:hanging="42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8.支持3/5/6/12导和自动导联心电监测，并提供12导联心电静息报告输出功能。</w:t>
      </w:r>
    </w:p>
    <w:p w14:paraId="1FD83268">
      <w:pPr>
        <w:widowControl/>
        <w:numPr>
          <w:ilvl w:val="0"/>
          <w:numId w:val="0"/>
        </w:numPr>
        <w:spacing w:line="360" w:lineRule="auto"/>
        <w:ind w:left="778" w:leftChars="0" w:hanging="42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9.配备1块电池，最大可支持360J除颤210次，电池体上带有五段LED 电池电量指示装置，用于快速评估电池电量。</w:t>
      </w:r>
    </w:p>
    <w:p w14:paraId="19372B12">
      <w:pPr>
        <w:widowControl/>
        <w:numPr>
          <w:ilvl w:val="0"/>
          <w:numId w:val="0"/>
        </w:numPr>
        <w:spacing w:line="360" w:lineRule="auto"/>
        <w:ind w:left="778" w:leftChars="0" w:hanging="42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10.具备生理报警和技术报警功能，并且具有双报警灯，分别显示生理报警和技术报警。</w:t>
      </w:r>
    </w:p>
    <w:p w14:paraId="18822F0D">
      <w:pPr>
        <w:widowControl/>
        <w:numPr>
          <w:ilvl w:val="0"/>
          <w:numId w:val="0"/>
        </w:numPr>
        <w:spacing w:line="360" w:lineRule="auto"/>
        <w:ind w:left="778" w:leftChars="0" w:hanging="42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11.彩色TFT显示屏≥7英寸, 分辨率800×480，可显示≥4道监护参数波形，有高对比度显示界面。</w:t>
      </w:r>
    </w:p>
    <w:p w14:paraId="7A063BAB">
      <w:pPr>
        <w:pStyle w:val="35"/>
        <w:widowControl/>
        <w:numPr>
          <w:ilvl w:val="0"/>
          <w:numId w:val="0"/>
        </w:numPr>
        <w:spacing w:line="360" w:lineRule="auto"/>
        <w:ind w:left="778" w:leftChars="0" w:hanging="42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12.体外除颤监护仪可升级配置50mm记录仪，实时记录时间有3秒、5秒、8秒、16秒、32秒、连续可供选择。</w:t>
      </w:r>
    </w:p>
    <w:p w14:paraId="2D2E2A73">
      <w:pPr>
        <w:widowControl/>
        <w:numPr>
          <w:ilvl w:val="0"/>
          <w:numId w:val="0"/>
        </w:numPr>
        <w:spacing w:line="360" w:lineRule="auto"/>
        <w:ind w:left="778" w:leftChars="0" w:hanging="42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13.主机具备录音功能，最大支持≥240min录音存储。</w:t>
      </w:r>
    </w:p>
    <w:p w14:paraId="6B49EE93">
      <w:pPr>
        <w:widowControl/>
        <w:numPr>
          <w:ilvl w:val="0"/>
          <w:numId w:val="0"/>
        </w:numPr>
        <w:spacing w:line="360" w:lineRule="auto"/>
        <w:ind w:left="778" w:leftChars="0" w:hanging="420" w:firstLineChars="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14.关机状态下设备可自动运行自检，支持大能量自检（不低于200J）、屏幕、按键检测。</w:t>
      </w:r>
    </w:p>
    <w:p w14:paraId="4AABD106">
      <w:pPr>
        <w:spacing w:line="360" w:lineRule="auto"/>
        <w:rPr>
          <w:rFonts w:hint="eastAsia" w:ascii="宋体" w:hAnsi="宋体" w:cs="宋体"/>
          <w:b/>
          <w:bCs/>
          <w:sz w:val="32"/>
          <w:szCs w:val="32"/>
          <w:highlight w:val="none"/>
        </w:rPr>
      </w:pPr>
    </w:p>
    <w:p w14:paraId="0F4B965C">
      <w:pPr>
        <w:spacing w:line="360" w:lineRule="auto"/>
        <w:rPr>
          <w:rFonts w:hint="eastAsia" w:ascii="宋体" w:hAnsi="宋体" w:cs="宋体"/>
          <w:highlight w:val="none"/>
        </w:rPr>
      </w:pPr>
      <w:r>
        <w:rPr>
          <w:rFonts w:hint="eastAsia" w:ascii="宋体" w:hAnsi="宋体" w:cs="宋体"/>
          <w:highlight w:val="none"/>
        </w:rPr>
        <w:t xml:space="preserve"> </w:t>
      </w:r>
    </w:p>
    <w:p w14:paraId="5621D9EA">
      <w:pPr>
        <w:pStyle w:val="51"/>
        <w:numPr>
          <w:ilvl w:val="0"/>
          <w:numId w:val="0"/>
        </w:numPr>
        <w:spacing w:line="360" w:lineRule="auto"/>
        <w:ind w:left="818" w:leftChars="100" w:right="210"/>
        <w:jc w:val="center"/>
        <w:rPr>
          <w:rFonts w:hint="eastAsia" w:ascii="宋体" w:hAnsi="宋体" w:cs="宋体"/>
          <w:b/>
          <w:bCs w:val="0"/>
          <w:sz w:val="32"/>
          <w:szCs w:val="32"/>
          <w:highlight w:val="none"/>
        </w:rPr>
      </w:pPr>
      <w:r>
        <w:rPr>
          <w:rFonts w:hint="eastAsia" w:ascii="宋体" w:hAnsi="宋体" w:cs="宋体"/>
          <w:b/>
          <w:sz w:val="32"/>
          <w:szCs w:val="32"/>
          <w:highlight w:val="none"/>
        </w:rPr>
        <w:t>设备</w:t>
      </w:r>
      <w:r>
        <w:rPr>
          <w:rFonts w:hint="eastAsia" w:ascii="宋体" w:hAnsi="宋体" w:cs="宋体"/>
          <w:b/>
          <w:bCs w:val="0"/>
          <w:sz w:val="32"/>
          <w:szCs w:val="32"/>
          <w:highlight w:val="none"/>
        </w:rPr>
        <w:t xml:space="preserve">41.病床 </w:t>
      </w:r>
    </w:p>
    <w:p w14:paraId="56D1275A">
      <w:pPr>
        <w:pStyle w:val="51"/>
        <w:numPr>
          <w:ilvl w:val="0"/>
          <w:numId w:val="0"/>
        </w:numPr>
        <w:spacing w:line="360" w:lineRule="auto"/>
        <w:ind w:right="210"/>
        <w:rPr>
          <w:rFonts w:hint="eastAsia" w:ascii="宋体" w:hAnsi="宋体" w:cs="宋体"/>
          <w:b/>
          <w:bCs w:val="0"/>
          <w:sz w:val="32"/>
          <w:szCs w:val="32"/>
          <w:highlight w:val="none"/>
        </w:rPr>
      </w:pPr>
      <w:r>
        <w:rPr>
          <w:rFonts w:hint="eastAsia" w:ascii="宋体" w:hAnsi="宋体" w:cs="宋体"/>
          <w:b/>
          <w:sz w:val="32"/>
          <w:szCs w:val="32"/>
          <w:highlight w:val="none"/>
        </w:rPr>
        <w:t>数量：</w:t>
      </w:r>
      <w:r>
        <w:rPr>
          <w:rFonts w:hint="eastAsia" w:ascii="宋体" w:hAnsi="宋体" w:cs="宋体"/>
          <w:b/>
          <w:bCs w:val="0"/>
          <w:sz w:val="32"/>
          <w:szCs w:val="32"/>
          <w:highlight w:val="none"/>
        </w:rPr>
        <w:t>30张</w:t>
      </w:r>
    </w:p>
    <w:p w14:paraId="4CC8E50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1.ABS床头床尾为可拆卸式并有暗藏锁定装置，</w:t>
      </w:r>
    </w:p>
    <w:p w14:paraId="40585F15">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2.带有病例卡槽，</w:t>
      </w:r>
    </w:p>
    <w:p w14:paraId="58866BF7">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3.床头内置不锈钢管支架厚度2.0mm，床头中间配有高密度复合板，床头配有防撞角及防撞轮，（防撞轮在接触物体后，滑轮转角，避免撞击），</w:t>
      </w:r>
    </w:p>
    <w:p w14:paraId="6BE645BF">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4.床板采用优质冷轧钢板一次性冲压成形，厚度1.0mm，防滑，透气，易清洁，床框由40×80方管，厚度1.2mm，床腿由50×50mm冷轧方管焊接而成，厚度1.0mm,此床具有背部功能，（背位0-75度,），</w:t>
      </w:r>
    </w:p>
    <w:p w14:paraId="3885A8E5">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5.摇杆转动系统采用双向到位无极限保护螺杆，具有过载保护装置。</w:t>
      </w:r>
    </w:p>
    <w:p w14:paraId="0400D4F0">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配不锈钢立柱护栏，金属下座并带有自锁装置，整体使用二氧化碳保护焊接工艺焊接而成，焊缝均匀，结合牢固，表面涂层采用双重涂层技术，经去油除锈、磷化和电泳底漆处理，使用环氧树脂粉末涂料，全静电吸附粉末，高温固化，涂层附着力高，保光性好，耐腐蚀，无毒环保。</w:t>
      </w:r>
    </w:p>
    <w:p w14:paraId="30A2394E">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7.床体配有万向钢架制动脚轮。</w:t>
      </w:r>
    </w:p>
    <w:p w14:paraId="494E5E23">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8.移动方便。</w:t>
      </w:r>
    </w:p>
    <w:p w14:paraId="7D498DB6">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设备42.床垫 </w:t>
      </w:r>
    </w:p>
    <w:p w14:paraId="7327D039">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数量：30张</w:t>
      </w:r>
    </w:p>
    <w:p w14:paraId="0454530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1.床垫表面为蓝色防水布；内胆采用化纤面料，保护表皮不被棕丝刺破；</w:t>
      </w:r>
    </w:p>
    <w:p w14:paraId="72D92772">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2.内部采用天然海南椰棕重体海绵：棕丝采用三次高温灭菌，不生虫，弹性好，透气，抗菌防腐。</w:t>
      </w:r>
    </w:p>
    <w:p w14:paraId="35D719C8">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3.海绵为高密度海绵，高拉力和弹力，长期使用不变形。</w:t>
      </w:r>
    </w:p>
    <w:p w14:paraId="0E2BED4E">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4.防水，易清洁，舒适透气。</w:t>
      </w:r>
    </w:p>
    <w:p w14:paraId="10DEA1C8">
      <w:pPr>
        <w:spacing w:line="360" w:lineRule="auto"/>
        <w:jc w:val="center"/>
        <w:rPr>
          <w:rFonts w:hint="eastAsia" w:ascii="宋体" w:hAnsi="宋体" w:cs="宋体"/>
          <w:b/>
          <w:sz w:val="32"/>
          <w:szCs w:val="32"/>
          <w:highlight w:val="none"/>
        </w:rPr>
      </w:pPr>
      <w:r>
        <w:rPr>
          <w:rFonts w:hint="eastAsia" w:ascii="宋体" w:hAnsi="宋体" w:cs="宋体"/>
          <w:b/>
          <w:bCs/>
          <w:sz w:val="32"/>
          <w:szCs w:val="32"/>
          <w:highlight w:val="none"/>
        </w:rPr>
        <w:t>设备</w:t>
      </w:r>
      <w:r>
        <w:rPr>
          <w:rFonts w:hint="eastAsia" w:ascii="宋体" w:hAnsi="宋体" w:cs="宋体"/>
          <w:b/>
          <w:sz w:val="32"/>
          <w:szCs w:val="32"/>
          <w:highlight w:val="none"/>
        </w:rPr>
        <w:t xml:space="preserve">43.床头柜 </w:t>
      </w:r>
    </w:p>
    <w:p w14:paraId="6E612B47">
      <w:pPr>
        <w:spacing w:line="360" w:lineRule="auto"/>
        <w:jc w:val="left"/>
        <w:rPr>
          <w:rFonts w:ascii="宋体" w:hAnsi="宋体" w:cs="宋体"/>
          <w:b/>
          <w:sz w:val="32"/>
          <w:szCs w:val="32"/>
          <w:highlight w:val="none"/>
        </w:rPr>
      </w:pPr>
      <w:r>
        <w:rPr>
          <w:rFonts w:hint="eastAsia" w:ascii="宋体" w:hAnsi="宋体" w:cs="宋体"/>
          <w:b/>
          <w:bCs/>
          <w:sz w:val="32"/>
          <w:szCs w:val="32"/>
          <w:highlight w:val="none"/>
        </w:rPr>
        <w:t>数量：</w:t>
      </w:r>
      <w:r>
        <w:rPr>
          <w:rFonts w:hint="eastAsia" w:ascii="宋体" w:hAnsi="宋体" w:cs="宋体"/>
          <w:b/>
          <w:sz w:val="32"/>
          <w:szCs w:val="32"/>
          <w:highlight w:val="none"/>
        </w:rPr>
        <w:t>30个</w:t>
      </w:r>
    </w:p>
    <w:p w14:paraId="552E7CF5">
      <w:pPr>
        <w:spacing w:line="360" w:lineRule="auto"/>
        <w:rPr>
          <w:rFonts w:hint="eastAsia" w:ascii="宋体" w:hAnsi="宋体" w:cs="宋体"/>
          <w:sz w:val="24"/>
          <w:highlight w:val="none"/>
        </w:rPr>
      </w:pPr>
      <w:r>
        <w:rPr>
          <w:rFonts w:hint="eastAsia" w:ascii="宋体" w:hAnsi="宋体" w:cs="宋体"/>
          <w:sz w:val="24"/>
          <w:highlight w:val="none"/>
        </w:rPr>
        <w:t>1.整体用ABS材质，表面光滑，易清洁。</w:t>
      </w:r>
    </w:p>
    <w:p w14:paraId="64E31487">
      <w:pPr>
        <w:spacing w:line="360" w:lineRule="auto"/>
        <w:rPr>
          <w:rFonts w:hint="eastAsia" w:ascii="宋体" w:hAnsi="宋体" w:cs="宋体"/>
          <w:sz w:val="24"/>
          <w:highlight w:val="none"/>
        </w:rPr>
      </w:pPr>
      <w:r>
        <w:rPr>
          <w:rFonts w:hint="eastAsia" w:ascii="宋体" w:hAnsi="宋体" w:cs="宋体"/>
          <w:sz w:val="24"/>
          <w:highlight w:val="none"/>
        </w:rPr>
        <w:t>2.抗老化，防静电，防紫外线照射。</w:t>
      </w:r>
    </w:p>
    <w:p w14:paraId="05AE15CA">
      <w:pPr>
        <w:spacing w:line="360" w:lineRule="auto"/>
        <w:rPr>
          <w:rFonts w:hint="eastAsia" w:ascii="宋体" w:hAnsi="宋体" w:cs="宋体"/>
          <w:sz w:val="24"/>
          <w:highlight w:val="none"/>
        </w:rPr>
      </w:pPr>
      <w:r>
        <w:rPr>
          <w:rFonts w:hint="eastAsia" w:ascii="宋体" w:hAnsi="宋体" w:cs="宋体"/>
          <w:sz w:val="24"/>
          <w:highlight w:val="none"/>
        </w:rPr>
        <w:t>3.两侧带毛巾悬挂架及杂物钩，方便使用。</w:t>
      </w:r>
    </w:p>
    <w:p w14:paraId="1349B7A8">
      <w:pPr>
        <w:spacing w:line="360" w:lineRule="auto"/>
        <w:rPr>
          <w:rFonts w:hint="eastAsia" w:ascii="宋体" w:hAnsi="宋体" w:cs="宋体"/>
          <w:sz w:val="24"/>
          <w:highlight w:val="none"/>
        </w:rPr>
      </w:pPr>
      <w:r>
        <w:rPr>
          <w:rFonts w:hint="eastAsia" w:ascii="宋体" w:hAnsi="宋体" w:cs="宋体"/>
          <w:sz w:val="24"/>
          <w:highlight w:val="none"/>
        </w:rPr>
        <w:t>4.床头柜分三部分：第一层为一抽拉板，增大使用面积；第二层为一抽屉；第三层为一单开门柜，内置一层隔板。</w:t>
      </w:r>
    </w:p>
    <w:p w14:paraId="21F2643C">
      <w:pPr>
        <w:spacing w:line="360" w:lineRule="auto"/>
        <w:rPr>
          <w:rFonts w:hint="eastAsia" w:ascii="宋体" w:hAnsi="宋体" w:cs="宋体"/>
          <w:b/>
          <w:bCs/>
          <w:sz w:val="32"/>
          <w:szCs w:val="32"/>
          <w:highlight w:val="none"/>
        </w:rPr>
      </w:pPr>
    </w:p>
    <w:p w14:paraId="3C81A988">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设备44.抢救车 </w:t>
      </w:r>
    </w:p>
    <w:p w14:paraId="1E7FB67C">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数量：5台</w:t>
      </w:r>
    </w:p>
    <w:p w14:paraId="45AB90DC">
      <w:pPr>
        <w:spacing w:line="360" w:lineRule="auto"/>
        <w:rPr>
          <w:rFonts w:hint="eastAsia" w:ascii="宋体" w:hAnsi="宋体" w:cs="宋体"/>
          <w:sz w:val="24"/>
          <w:highlight w:val="none"/>
        </w:rPr>
      </w:pPr>
      <w:r>
        <w:rPr>
          <w:rFonts w:hint="eastAsia" w:ascii="宋体" w:hAnsi="宋体" w:cs="宋体"/>
          <w:sz w:val="24"/>
          <w:highlight w:val="none"/>
        </w:rPr>
        <w:t>1.材质：整体框架采用优质不锈钢方管焊接成型，厚度2.0mm,不锈钢板焊接成型厚度0.8mm,台面可上翻，</w:t>
      </w:r>
    </w:p>
    <w:p w14:paraId="74094172">
      <w:pPr>
        <w:spacing w:line="360" w:lineRule="auto"/>
        <w:rPr>
          <w:rFonts w:hint="eastAsia" w:ascii="宋体" w:hAnsi="宋体" w:cs="宋体"/>
          <w:sz w:val="24"/>
          <w:highlight w:val="none"/>
        </w:rPr>
      </w:pPr>
      <w:r>
        <w:rPr>
          <w:rFonts w:hint="eastAsia" w:ascii="宋体" w:hAnsi="宋体" w:cs="宋体"/>
          <w:sz w:val="24"/>
          <w:highlight w:val="none"/>
        </w:rPr>
        <w:t>2.内侧配有急救 药品袋可放置各种急救药品，车内配有器械活动式器械方盘，内部空间大，</w:t>
      </w:r>
    </w:p>
    <w:p w14:paraId="58873088">
      <w:pPr>
        <w:spacing w:line="360" w:lineRule="auto"/>
        <w:rPr>
          <w:rFonts w:hint="eastAsia" w:ascii="宋体" w:hAnsi="宋体" w:cs="宋体"/>
          <w:sz w:val="24"/>
          <w:highlight w:val="none"/>
        </w:rPr>
      </w:pPr>
      <w:r>
        <w:rPr>
          <w:rFonts w:hint="eastAsia" w:ascii="宋体" w:hAnsi="宋体" w:cs="宋体"/>
          <w:sz w:val="24"/>
          <w:highlight w:val="none"/>
        </w:rPr>
        <w:t>3.车体配有二个小抽屉及一个大抽屉，抽屉配有静音承重滑道，抽拉自如，</w:t>
      </w:r>
    </w:p>
    <w:p w14:paraId="39980E08">
      <w:pPr>
        <w:spacing w:line="360" w:lineRule="auto"/>
        <w:rPr>
          <w:rFonts w:hint="eastAsia" w:ascii="宋体" w:hAnsi="宋体" w:cs="宋体"/>
          <w:sz w:val="24"/>
          <w:highlight w:val="none"/>
        </w:rPr>
      </w:pPr>
      <w:r>
        <w:rPr>
          <w:rFonts w:hint="eastAsia" w:ascii="宋体" w:hAnsi="宋体" w:cs="宋体"/>
          <w:sz w:val="24"/>
          <w:highlight w:val="none"/>
        </w:rPr>
        <w:t>4.配有一个对开门，抽屉柜门均带锁，</w:t>
      </w:r>
    </w:p>
    <w:p w14:paraId="6C471578">
      <w:pPr>
        <w:spacing w:line="360" w:lineRule="auto"/>
        <w:rPr>
          <w:rFonts w:hint="eastAsia" w:ascii="宋体" w:hAnsi="宋体" w:cs="宋体"/>
          <w:sz w:val="24"/>
          <w:highlight w:val="none"/>
        </w:rPr>
      </w:pPr>
      <w:r>
        <w:rPr>
          <w:rFonts w:hint="eastAsia" w:ascii="宋体" w:hAnsi="宋体" w:cs="宋体"/>
          <w:sz w:val="24"/>
          <w:highlight w:val="none"/>
        </w:rPr>
        <w:t>5.车体配有推手，不锈钢伞式点滴架，可多体位输液。</w:t>
      </w:r>
    </w:p>
    <w:p w14:paraId="4D7C7BBD">
      <w:pPr>
        <w:spacing w:line="360" w:lineRule="auto"/>
        <w:rPr>
          <w:rFonts w:hint="eastAsia" w:ascii="宋体" w:hAnsi="宋体" w:cs="宋体"/>
          <w:sz w:val="24"/>
          <w:highlight w:val="none"/>
        </w:rPr>
      </w:pPr>
      <w:r>
        <w:rPr>
          <w:rFonts w:hint="eastAsia" w:ascii="宋体" w:hAnsi="宋体" w:cs="宋体"/>
          <w:sz w:val="24"/>
          <w:highlight w:val="none"/>
        </w:rPr>
        <w:t>6.配有高档万向脚轮，移动方便，整体使用氩弧焊工艺，焊接而成，焊缝均匀，结合牢固，经过加细抛光处理，表面光滑，平整、无毛刺。</w:t>
      </w:r>
    </w:p>
    <w:p w14:paraId="1DA16265">
      <w:pPr>
        <w:spacing w:line="360" w:lineRule="auto"/>
        <w:rPr>
          <w:rFonts w:hint="eastAsia" w:ascii="宋体" w:hAnsi="宋体" w:cs="宋体"/>
          <w:b/>
          <w:bCs/>
          <w:sz w:val="24"/>
          <w:highlight w:val="none"/>
        </w:rPr>
      </w:pPr>
    </w:p>
    <w:p w14:paraId="5DCC7600">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设备45.担架车 </w:t>
      </w:r>
    </w:p>
    <w:p w14:paraId="214C13A5">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数量：5台</w:t>
      </w:r>
    </w:p>
    <w:p w14:paraId="6B732BCC">
      <w:pPr>
        <w:spacing w:line="360" w:lineRule="auto"/>
        <w:rPr>
          <w:rFonts w:hint="eastAsia" w:ascii="宋体" w:hAnsi="宋体" w:cs="宋体"/>
          <w:sz w:val="24"/>
          <w:highlight w:val="none"/>
        </w:rPr>
      </w:pPr>
      <w:r>
        <w:rPr>
          <w:rFonts w:hint="eastAsia" w:ascii="宋体" w:hAnsi="宋体" w:cs="宋体"/>
          <w:sz w:val="24"/>
          <w:highlight w:val="none"/>
        </w:rPr>
        <w:t>1.材质：主体框架采用优质不锈钢钢管焊接而成，厚度2.0mm,担架面采用复合材质设计，</w:t>
      </w:r>
    </w:p>
    <w:p w14:paraId="5295BC8C">
      <w:pPr>
        <w:spacing w:line="360" w:lineRule="auto"/>
        <w:rPr>
          <w:rFonts w:hint="eastAsia" w:ascii="宋体" w:hAnsi="宋体" w:cs="宋体"/>
          <w:sz w:val="24"/>
          <w:highlight w:val="none"/>
        </w:rPr>
      </w:pPr>
      <w:r>
        <w:rPr>
          <w:rFonts w:hint="eastAsia" w:ascii="宋体" w:hAnsi="宋体" w:cs="宋体"/>
          <w:sz w:val="24"/>
          <w:highlight w:val="none"/>
        </w:rPr>
        <w:t>2.外框为2.0不锈钢管，内部细木工板及重体海绵、优质环保革面，担架面可独立使用，</w:t>
      </w:r>
    </w:p>
    <w:p w14:paraId="19E87ED6">
      <w:pPr>
        <w:spacing w:line="360" w:lineRule="auto"/>
        <w:rPr>
          <w:rFonts w:hint="eastAsia" w:ascii="宋体" w:hAnsi="宋体" w:cs="宋体"/>
          <w:sz w:val="24"/>
          <w:highlight w:val="none"/>
        </w:rPr>
      </w:pPr>
      <w:r>
        <w:rPr>
          <w:rFonts w:hint="eastAsia" w:ascii="宋体" w:hAnsi="宋体" w:cs="宋体"/>
          <w:sz w:val="24"/>
          <w:highlight w:val="none"/>
        </w:rPr>
        <w:t>3.车体下部分配有全钢置物架，可放置各种物品，车体整体打磨光滑、平整、无毛刺，易清洁消毒；</w:t>
      </w:r>
    </w:p>
    <w:p w14:paraId="035AB4BC">
      <w:pPr>
        <w:spacing w:line="360" w:lineRule="auto"/>
        <w:rPr>
          <w:rFonts w:hint="eastAsia" w:ascii="宋体" w:hAnsi="宋体" w:cs="宋体"/>
          <w:sz w:val="24"/>
          <w:highlight w:val="none"/>
        </w:rPr>
      </w:pPr>
      <w:r>
        <w:rPr>
          <w:rFonts w:hint="eastAsia" w:ascii="宋体" w:hAnsi="宋体" w:cs="宋体"/>
          <w:sz w:val="24"/>
          <w:highlight w:val="none"/>
        </w:rPr>
        <w:t>4.车体由推车与担架床两部分组成，两侧设护栏，一侧配置输液架，输液架可装卸；2个防缠绕万向脚轮、带制动、安全、灵活，</w:t>
      </w:r>
    </w:p>
    <w:p w14:paraId="0AE57577">
      <w:pPr>
        <w:spacing w:line="360" w:lineRule="auto"/>
        <w:rPr>
          <w:rFonts w:hint="eastAsia" w:ascii="宋体" w:hAnsi="宋体" w:cs="宋体"/>
          <w:sz w:val="24"/>
          <w:highlight w:val="none"/>
        </w:rPr>
      </w:pPr>
      <w:r>
        <w:rPr>
          <w:rFonts w:hint="eastAsia" w:ascii="宋体" w:hAnsi="宋体" w:cs="宋体"/>
          <w:sz w:val="24"/>
          <w:highlight w:val="none"/>
        </w:rPr>
        <w:t>5.配有2个摩托车轮，整体使用氩弧焊工艺，焊接而成，焊缝均匀，结合牢固，经过加细抛光处理，表面光滑，平整、无毛刺，易清洁消毒</w:t>
      </w:r>
    </w:p>
    <w:p w14:paraId="60B826E1">
      <w:pPr>
        <w:spacing w:line="360" w:lineRule="auto"/>
        <w:jc w:val="center"/>
        <w:rPr>
          <w:rFonts w:hint="eastAsia" w:ascii="宋体" w:hAnsi="宋体" w:cs="宋体"/>
          <w:b/>
          <w:bCs/>
          <w:sz w:val="32"/>
          <w:szCs w:val="32"/>
          <w:highlight w:val="none"/>
        </w:rPr>
      </w:pPr>
    </w:p>
    <w:p w14:paraId="39115754">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设备46.治疗车 </w:t>
      </w:r>
    </w:p>
    <w:p w14:paraId="6A306461">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数量：5台</w:t>
      </w:r>
    </w:p>
    <w:p w14:paraId="2B81CB76">
      <w:pPr>
        <w:spacing w:line="360" w:lineRule="auto"/>
        <w:rPr>
          <w:rFonts w:hint="eastAsia" w:ascii="宋体" w:hAnsi="宋体" w:cs="宋体"/>
          <w:sz w:val="24"/>
          <w:highlight w:val="none"/>
        </w:rPr>
      </w:pPr>
      <w:r>
        <w:rPr>
          <w:rFonts w:hint="eastAsia" w:ascii="宋体" w:hAnsi="宋体" w:cs="宋体"/>
          <w:sz w:val="24"/>
          <w:highlight w:val="none"/>
        </w:rPr>
        <w:t>1.材质：主体框架采用优质不锈钢管焊接成型，厚度1.5mm,</w:t>
      </w:r>
    </w:p>
    <w:p w14:paraId="3AD5BFCA">
      <w:pPr>
        <w:spacing w:line="360" w:lineRule="auto"/>
        <w:rPr>
          <w:rFonts w:hint="eastAsia" w:ascii="宋体" w:hAnsi="宋体" w:cs="宋体"/>
          <w:sz w:val="24"/>
          <w:highlight w:val="none"/>
        </w:rPr>
      </w:pPr>
      <w:r>
        <w:rPr>
          <w:rFonts w:hint="eastAsia" w:ascii="宋体" w:hAnsi="宋体" w:cs="宋体"/>
          <w:sz w:val="24"/>
          <w:highlight w:val="none"/>
        </w:rPr>
        <w:t>2.二层设计，台面采用优质不锈钢板，厚度0.8mm,层板配有三面围栏上部分配有弯扶手设计，</w:t>
      </w:r>
    </w:p>
    <w:p w14:paraId="55C18F01">
      <w:pPr>
        <w:spacing w:line="360" w:lineRule="auto"/>
        <w:rPr>
          <w:rFonts w:hint="eastAsia" w:ascii="宋体" w:hAnsi="宋体" w:cs="宋体"/>
          <w:sz w:val="24"/>
          <w:highlight w:val="none"/>
        </w:rPr>
      </w:pPr>
      <w:r>
        <w:rPr>
          <w:rFonts w:hint="eastAsia" w:ascii="宋体" w:hAnsi="宋体" w:cs="宋体"/>
          <w:sz w:val="24"/>
          <w:highlight w:val="none"/>
        </w:rPr>
        <w:t>3.车体配有≥2个小抽屉，车体配有高档万向脚轮，移动方便。</w:t>
      </w:r>
    </w:p>
    <w:p w14:paraId="2E037225">
      <w:pPr>
        <w:spacing w:line="360" w:lineRule="auto"/>
        <w:rPr>
          <w:rFonts w:hint="eastAsia" w:ascii="宋体" w:hAnsi="宋体" w:cs="宋体"/>
          <w:sz w:val="24"/>
          <w:highlight w:val="none"/>
        </w:rPr>
      </w:pPr>
      <w:r>
        <w:rPr>
          <w:rFonts w:hint="eastAsia" w:ascii="宋体" w:hAnsi="宋体" w:cs="宋体"/>
          <w:sz w:val="24"/>
          <w:highlight w:val="none"/>
        </w:rPr>
        <w:t>4.整体使用氩弧焊工艺，焊接而成，焊缝均匀，结合牢固，经过加细抛光处理，表面光滑，平整、无毛刺，易清洁消毒</w:t>
      </w:r>
    </w:p>
    <w:p w14:paraId="2150FE3D">
      <w:pPr>
        <w:spacing w:line="360" w:lineRule="auto"/>
        <w:jc w:val="center"/>
        <w:rPr>
          <w:rFonts w:hint="eastAsia" w:ascii="宋体" w:hAnsi="宋体" w:cs="宋体"/>
          <w:b/>
          <w:bCs/>
          <w:sz w:val="32"/>
          <w:szCs w:val="32"/>
          <w:highlight w:val="none"/>
        </w:rPr>
      </w:pPr>
    </w:p>
    <w:p w14:paraId="7675482C">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设备47.轮椅 </w:t>
      </w:r>
    </w:p>
    <w:p w14:paraId="71CF3A3F">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232A3CA3">
      <w:pPr>
        <w:spacing w:line="360" w:lineRule="auto"/>
        <w:rPr>
          <w:rFonts w:hint="eastAsia" w:ascii="宋体" w:hAnsi="宋体" w:cs="宋体"/>
          <w:sz w:val="24"/>
          <w:highlight w:val="none"/>
        </w:rPr>
      </w:pPr>
      <w:r>
        <w:rPr>
          <w:rFonts w:hint="eastAsia" w:ascii="宋体" w:hAnsi="宋体" w:cs="宋体"/>
          <w:sz w:val="24"/>
          <w:highlight w:val="none"/>
        </w:rPr>
        <w:t>1.产品为可折叠，双支撑架，手动四轮轮椅，</w:t>
      </w:r>
    </w:p>
    <w:p w14:paraId="72858CC5">
      <w:pPr>
        <w:spacing w:line="360" w:lineRule="auto"/>
        <w:rPr>
          <w:rFonts w:hint="eastAsia" w:ascii="宋体" w:hAnsi="宋体" w:cs="宋体"/>
          <w:sz w:val="24"/>
          <w:highlight w:val="none"/>
        </w:rPr>
      </w:pPr>
      <w:r>
        <w:rPr>
          <w:rFonts w:hint="eastAsia" w:ascii="宋体" w:hAnsi="宋体" w:cs="宋体"/>
          <w:sz w:val="24"/>
          <w:highlight w:val="none"/>
        </w:rPr>
        <w:t>2.车架为钢管材料，表面处理为喷塑;</w:t>
      </w:r>
    </w:p>
    <w:p w14:paraId="4DB46930">
      <w:pPr>
        <w:spacing w:line="360" w:lineRule="auto"/>
        <w:rPr>
          <w:rFonts w:hint="eastAsia" w:ascii="宋体" w:hAnsi="宋体" w:cs="宋体"/>
          <w:sz w:val="24"/>
          <w:highlight w:val="none"/>
        </w:rPr>
      </w:pPr>
      <w:r>
        <w:rPr>
          <w:rFonts w:hint="eastAsia" w:ascii="宋体" w:hAnsi="宋体" w:cs="宋体"/>
          <w:sz w:val="24"/>
          <w:highlight w:val="none"/>
        </w:rPr>
        <w:t>3.固定扶手，固定挂脚，带旁板，软座，高强度塑料手推圈和前叉;</w:t>
      </w:r>
    </w:p>
    <w:p w14:paraId="5F0801D8">
      <w:pPr>
        <w:spacing w:line="360" w:lineRule="auto"/>
        <w:rPr>
          <w:rFonts w:hint="eastAsia" w:ascii="宋体" w:hAnsi="宋体" w:cs="宋体"/>
          <w:sz w:val="24"/>
          <w:highlight w:val="none"/>
        </w:rPr>
      </w:pPr>
      <w:r>
        <w:rPr>
          <w:rFonts w:hint="eastAsia" w:ascii="宋体" w:hAnsi="宋体" w:cs="宋体"/>
          <w:sz w:val="24"/>
          <w:highlight w:val="none"/>
        </w:rPr>
        <w:t>4.缝边牢固整齐，无褶皱、跳线和破损等缺陷;</w:t>
      </w:r>
    </w:p>
    <w:p w14:paraId="48AE75D9">
      <w:pPr>
        <w:spacing w:line="360" w:lineRule="auto"/>
        <w:rPr>
          <w:rFonts w:hint="eastAsia" w:ascii="宋体" w:hAnsi="宋体" w:cs="宋体"/>
          <w:sz w:val="24"/>
          <w:highlight w:val="none"/>
        </w:rPr>
      </w:pPr>
      <w:r>
        <w:rPr>
          <w:rFonts w:hint="eastAsia" w:ascii="宋体" w:hAnsi="宋体" w:cs="宋体"/>
          <w:sz w:val="24"/>
          <w:highlight w:val="none"/>
        </w:rPr>
        <w:t>5.脚踏板高度可调节，调节方式应牢固可靠;</w:t>
      </w:r>
    </w:p>
    <w:p w14:paraId="30879E5C">
      <w:pPr>
        <w:spacing w:line="360" w:lineRule="auto"/>
        <w:rPr>
          <w:rFonts w:hint="eastAsia" w:ascii="宋体" w:hAnsi="宋体" w:cs="宋体"/>
          <w:sz w:val="24"/>
          <w:highlight w:val="none"/>
        </w:rPr>
      </w:pPr>
      <w:r>
        <w:rPr>
          <w:rFonts w:hint="eastAsia" w:ascii="宋体" w:hAnsi="宋体" w:cs="宋体"/>
          <w:sz w:val="24"/>
          <w:highlight w:val="none"/>
        </w:rPr>
        <w:t>6.前轮为直径≥6英寸高品质实心橡胶轮胎;后轮为直径≥22英寸一体轮实心轮胎;后轮轴带大轴套;前后轮结构应牢固可靠，适合不同路面的使用要求;前小轮轴带减震橡胶，前叉采用双轴承结构;</w:t>
      </w:r>
    </w:p>
    <w:p w14:paraId="7D375A9C">
      <w:pPr>
        <w:spacing w:line="360" w:lineRule="auto"/>
        <w:rPr>
          <w:rFonts w:hint="eastAsia" w:ascii="宋体" w:hAnsi="宋体" w:cs="宋体"/>
          <w:sz w:val="24"/>
          <w:highlight w:val="none"/>
        </w:rPr>
      </w:pPr>
      <w:r>
        <w:rPr>
          <w:rFonts w:hint="eastAsia" w:ascii="宋体" w:hAnsi="宋体" w:cs="宋体"/>
          <w:sz w:val="24"/>
          <w:highlight w:val="none"/>
        </w:rPr>
        <w:t>7.轮椅车配备安全带，承重≥100KG</w:t>
      </w:r>
    </w:p>
    <w:p w14:paraId="78877D4C">
      <w:pPr>
        <w:spacing w:line="360" w:lineRule="auto"/>
        <w:rPr>
          <w:rFonts w:hint="eastAsia" w:ascii="宋体" w:hAnsi="宋体" w:cs="宋体"/>
          <w:sz w:val="24"/>
          <w:highlight w:val="none"/>
        </w:rPr>
      </w:pPr>
    </w:p>
    <w:p w14:paraId="7A93DA13">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设备48.医疗器械等</w:t>
      </w:r>
    </w:p>
    <w:p w14:paraId="0952B1C4">
      <w:pPr>
        <w:spacing w:line="360" w:lineRule="auto"/>
        <w:jc w:val="left"/>
        <w:rPr>
          <w:rFonts w:hint="eastAsia" w:ascii="宋体" w:hAnsi="宋体" w:cs="宋体"/>
          <w:b/>
          <w:bCs/>
          <w:sz w:val="32"/>
          <w:szCs w:val="32"/>
          <w:highlight w:val="none"/>
        </w:rPr>
      </w:pPr>
      <w:r>
        <w:rPr>
          <w:rFonts w:hint="eastAsia" w:ascii="宋体" w:hAnsi="宋体" w:cs="宋体"/>
          <w:b/>
          <w:bCs/>
          <w:sz w:val="32"/>
          <w:szCs w:val="32"/>
          <w:highlight w:val="none"/>
        </w:rPr>
        <w:t>数量：1套</w:t>
      </w:r>
    </w:p>
    <w:p w14:paraId="36AF8970">
      <w:pPr>
        <w:spacing w:line="360" w:lineRule="auto"/>
        <w:rPr>
          <w:rFonts w:ascii="宋体" w:hAnsi="宋体" w:cs="宋体"/>
          <w:sz w:val="24"/>
          <w:highlight w:val="none"/>
        </w:rPr>
      </w:pPr>
      <w:r>
        <w:rPr>
          <w:rFonts w:hint="eastAsia" w:ascii="宋体" w:hAnsi="宋体" w:cs="宋体"/>
          <w:sz w:val="24"/>
          <w:highlight w:val="none"/>
        </w:rPr>
        <w:t>1.经高压灭菌后可重复使用，</w:t>
      </w:r>
    </w:p>
    <w:p w14:paraId="3921C677">
      <w:pPr>
        <w:spacing w:line="360" w:lineRule="auto"/>
        <w:rPr>
          <w:rFonts w:ascii="宋体" w:hAnsi="宋体" w:cs="宋体"/>
          <w:sz w:val="24"/>
          <w:highlight w:val="none"/>
        </w:rPr>
      </w:pPr>
      <w:r>
        <w:rPr>
          <w:rFonts w:hint="eastAsia" w:ascii="宋体" w:hAnsi="宋体" w:cs="宋体"/>
          <w:sz w:val="24"/>
          <w:highlight w:val="none"/>
        </w:rPr>
        <w:t>2.医用级不锈钢可用作于手术。</w:t>
      </w:r>
    </w:p>
    <w:p w14:paraId="59297307">
      <w:pPr>
        <w:spacing w:line="360" w:lineRule="auto"/>
        <w:jc w:val="center"/>
        <w:rPr>
          <w:rFonts w:hint="eastAsia" w:ascii="宋体" w:hAnsi="宋体" w:cs="宋体"/>
          <w:b/>
          <w:bCs/>
          <w:sz w:val="32"/>
          <w:szCs w:val="32"/>
          <w:highlight w:val="none"/>
        </w:rPr>
      </w:pPr>
    </w:p>
    <w:p w14:paraId="362C2245">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设备49.医用灰阶显示器 </w:t>
      </w:r>
    </w:p>
    <w:p w14:paraId="71485915">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数量：2套</w:t>
      </w:r>
    </w:p>
    <w:p w14:paraId="62B8CEB4">
      <w:pPr>
        <w:pStyle w:val="7"/>
        <w:numPr>
          <w:ilvl w:val="0"/>
          <w:numId w:val="25"/>
        </w:num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显示器可以自动校准亮度曲线</w:t>
      </w:r>
    </w:p>
    <w:p w14:paraId="35545321">
      <w:pPr>
        <w:pStyle w:val="7"/>
        <w:numPr>
          <w:ilvl w:val="0"/>
          <w:numId w:val="25"/>
        </w:num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≧17英寸 </w:t>
      </w:r>
    </w:p>
    <w:p w14:paraId="1CB4E571">
      <w:pPr>
        <w:pStyle w:val="7"/>
        <w:numPr>
          <w:ilvl w:val="0"/>
          <w:numId w:val="25"/>
        </w:num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最大亮度≧1000cd/m²，最大校正亮度≥800cd/m²，对比度≧1400：1，响应时间≦16ms，可视角度≥178°，亮度一致性≥75%</w:t>
      </w:r>
    </w:p>
    <w:p w14:paraId="462C8AE9">
      <w:pPr>
        <w:pStyle w:val="7"/>
        <w:numPr>
          <w:ilvl w:val="0"/>
          <w:numId w:val="25"/>
        </w:num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显示器具有亮度均匀性调节功能，确保全屏幕亮度均衡</w:t>
      </w:r>
    </w:p>
    <w:p w14:paraId="3453B5C9">
      <w:pPr>
        <w:pStyle w:val="7"/>
        <w:numPr>
          <w:ilvl w:val="0"/>
          <w:numId w:val="25"/>
        </w:num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灰阶≧16384(14bit)</w:t>
      </w:r>
    </w:p>
    <w:p w14:paraId="502A6AF5">
      <w:pPr>
        <w:pStyle w:val="7"/>
        <w:numPr>
          <w:ilvl w:val="0"/>
          <w:numId w:val="25"/>
        </w:num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DVI-D×1、DP×1，</w:t>
      </w:r>
    </w:p>
    <w:p w14:paraId="7D2B9756">
      <w:pPr>
        <w:pStyle w:val="7"/>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w:t>
      </w:r>
      <w:r>
        <w:rPr>
          <w:rFonts w:hint="eastAsia" w:ascii="宋体" w:hAnsi="宋体" w:cs="宋体"/>
          <w:b/>
          <w:bCs/>
          <w:kern w:val="0"/>
          <w:sz w:val="32"/>
          <w:szCs w:val="32"/>
          <w:highlight w:val="none"/>
        </w:rPr>
        <w:t>50.</w:t>
      </w:r>
      <w:r>
        <w:rPr>
          <w:rFonts w:hint="eastAsia" w:ascii="宋体" w:hAnsi="宋体" w:cs="宋体"/>
          <w:b/>
          <w:bCs/>
          <w:sz w:val="32"/>
          <w:szCs w:val="32"/>
          <w:highlight w:val="none"/>
        </w:rPr>
        <w:t xml:space="preserve">空气消毒器 </w:t>
      </w:r>
    </w:p>
    <w:p w14:paraId="763A3C7A">
      <w:pPr>
        <w:pStyle w:val="7"/>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数量：3台</w:t>
      </w:r>
    </w:p>
    <w:p w14:paraId="53E41064">
      <w:pPr>
        <w:numPr>
          <w:ilvl w:val="0"/>
          <w:numId w:val="26"/>
        </w:numPr>
        <w:spacing w:line="360" w:lineRule="auto"/>
        <w:rPr>
          <w:rFonts w:hint="eastAsia" w:ascii="宋体" w:hAnsi="宋体" w:cs="宋体"/>
          <w:color w:val="000000"/>
          <w:sz w:val="24"/>
          <w:highlight w:val="none"/>
          <w:lang w:val="zh-CN"/>
        </w:rPr>
      </w:pPr>
      <w:r>
        <w:rPr>
          <w:rFonts w:hint="eastAsia" w:ascii="宋体" w:hAnsi="宋体" w:cs="宋体"/>
          <w:color w:val="000000"/>
          <w:sz w:val="24"/>
          <w:highlight w:val="none"/>
          <w:lang w:val="zh-CN"/>
        </w:rPr>
        <w:t>安全类型：1类B型</w:t>
      </w:r>
    </w:p>
    <w:p w14:paraId="180B8B44">
      <w:pPr>
        <w:numPr>
          <w:ilvl w:val="0"/>
          <w:numId w:val="26"/>
        </w:num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zh-CN"/>
        </w:rPr>
        <w:t>杀菌原理：等离子体、无放射、动态场所持续杀菌消毒效果不变，并对人体无害</w:t>
      </w:r>
    </w:p>
    <w:p w14:paraId="7DC420A3">
      <w:pPr>
        <w:numPr>
          <w:ilvl w:val="0"/>
          <w:numId w:val="26"/>
        </w:num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zh-CN"/>
        </w:rPr>
        <w:t>适用体积：小于等于</w:t>
      </w:r>
      <w:r>
        <w:rPr>
          <w:rFonts w:hint="eastAsia" w:ascii="宋体" w:hAnsi="宋体" w:cs="宋体"/>
          <w:color w:val="000000"/>
          <w:sz w:val="24"/>
          <w:highlight w:val="none"/>
        </w:rPr>
        <w:t>800立方米以内的空间内适用</w:t>
      </w:r>
    </w:p>
    <w:p w14:paraId="170FFE41">
      <w:pPr>
        <w:numPr>
          <w:ilvl w:val="0"/>
          <w:numId w:val="2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运行风速：</w:t>
      </w:r>
      <w:r>
        <w:rPr>
          <w:rFonts w:hint="eastAsia" w:ascii="宋体" w:hAnsi="宋体" w:cs="宋体"/>
          <w:color w:val="000000"/>
          <w:sz w:val="24"/>
          <w:highlight w:val="none"/>
          <w:lang w:val="zh-CN"/>
        </w:rPr>
        <w:t>循环风量≥8</w:t>
      </w:r>
      <w:r>
        <w:rPr>
          <w:rFonts w:hint="eastAsia" w:ascii="宋体" w:hAnsi="宋体" w:cs="宋体"/>
          <w:color w:val="000000"/>
          <w:sz w:val="24"/>
          <w:highlight w:val="none"/>
        </w:rPr>
        <w:t>00</w:t>
      </w:r>
      <w:r>
        <w:rPr>
          <w:rFonts w:hint="eastAsia" w:ascii="宋体" w:hAnsi="宋体" w:cs="宋体"/>
          <w:color w:val="000000"/>
          <w:sz w:val="24"/>
          <w:highlight w:val="none"/>
          <w:lang w:val="zh-CN"/>
        </w:rPr>
        <w:t>m</w:t>
      </w:r>
      <w:r>
        <w:rPr>
          <w:rFonts w:hint="eastAsia" w:ascii="宋体" w:hAnsi="宋体" w:cs="宋体"/>
          <w:color w:val="000000"/>
          <w:sz w:val="24"/>
          <w:highlight w:val="none"/>
          <w:vertAlign w:val="superscript"/>
          <w:lang w:val="zh-CN"/>
        </w:rPr>
        <w:t>3</w:t>
      </w:r>
      <w:r>
        <w:rPr>
          <w:rFonts w:hint="eastAsia" w:ascii="宋体" w:hAnsi="宋体" w:cs="宋体"/>
          <w:color w:val="000000"/>
          <w:sz w:val="24"/>
          <w:highlight w:val="none"/>
          <w:lang w:val="zh-CN"/>
        </w:rPr>
        <w:t>/h</w:t>
      </w:r>
    </w:p>
    <w:p w14:paraId="2251479B">
      <w:pPr>
        <w:numPr>
          <w:ilvl w:val="0"/>
          <w:numId w:val="2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等离子体浓度：</w:t>
      </w:r>
      <w:r>
        <w:rPr>
          <w:rFonts w:hint="eastAsia" w:ascii="宋体" w:hAnsi="宋体" w:cs="宋体"/>
          <w:sz w:val="24"/>
          <w:highlight w:val="none"/>
        </w:rPr>
        <w:t>1.6×10</w:t>
      </w:r>
      <w:r>
        <w:rPr>
          <w:rFonts w:hint="eastAsia" w:ascii="宋体" w:hAnsi="宋体" w:cs="宋体"/>
          <w:sz w:val="24"/>
          <w:highlight w:val="none"/>
          <w:vertAlign w:val="superscript"/>
        </w:rPr>
        <w:t>18</w:t>
      </w:r>
      <w:r>
        <w:rPr>
          <w:rFonts w:hint="eastAsia" w:ascii="宋体" w:hAnsi="宋体" w:cs="宋体"/>
          <w:sz w:val="24"/>
          <w:highlight w:val="none"/>
        </w:rPr>
        <w:t>-6.2×10</w:t>
      </w:r>
      <w:r>
        <w:rPr>
          <w:rFonts w:hint="eastAsia" w:ascii="宋体" w:hAnsi="宋体" w:cs="宋体"/>
          <w:sz w:val="24"/>
          <w:highlight w:val="none"/>
          <w:vertAlign w:val="superscript"/>
        </w:rPr>
        <w:t>18</w:t>
      </w:r>
      <w:r>
        <w:rPr>
          <w:rFonts w:hint="eastAsia" w:ascii="宋体" w:hAnsi="宋体" w:cs="宋体"/>
          <w:sz w:val="24"/>
          <w:highlight w:val="none"/>
        </w:rPr>
        <w:t>cm</w:t>
      </w:r>
      <w:r>
        <w:rPr>
          <w:rFonts w:hint="eastAsia" w:ascii="宋体" w:hAnsi="宋体" w:cs="宋体"/>
          <w:sz w:val="24"/>
          <w:highlight w:val="none"/>
          <w:vertAlign w:val="superscript"/>
        </w:rPr>
        <w:t xml:space="preserve">-3  </w:t>
      </w:r>
    </w:p>
    <w:p w14:paraId="7F55B757">
      <w:pPr>
        <w:numPr>
          <w:ilvl w:val="0"/>
          <w:numId w:val="2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运行中的噪音：噪声(dB)≤80</w:t>
      </w:r>
    </w:p>
    <w:p w14:paraId="10CA7F2D">
      <w:pPr>
        <w:numPr>
          <w:ilvl w:val="0"/>
          <w:numId w:val="2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臭氧含量：消毒时空气中的臭氧含量(mg/m3)≤0.04</w:t>
      </w:r>
    </w:p>
    <w:p w14:paraId="65408E73">
      <w:pPr>
        <w:numPr>
          <w:ilvl w:val="0"/>
          <w:numId w:val="2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环境温度：5℃~40℃；</w:t>
      </w:r>
    </w:p>
    <w:p w14:paraId="2C39B8F8">
      <w:pPr>
        <w:numPr>
          <w:ilvl w:val="0"/>
          <w:numId w:val="2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相对湿度：≤90%；</w:t>
      </w:r>
    </w:p>
    <w:p w14:paraId="0D3B1E33">
      <w:pPr>
        <w:numPr>
          <w:ilvl w:val="0"/>
          <w:numId w:val="26"/>
        </w:num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消毒时间：房间内初次消毒时间应大于等于两个小时</w:t>
      </w:r>
    </w:p>
    <w:p w14:paraId="543C7695">
      <w:pPr>
        <w:numPr>
          <w:ilvl w:val="0"/>
          <w:numId w:val="26"/>
        </w:num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zh-CN"/>
        </w:rPr>
        <w:t>累计工作时间显示：具有整机寿命计时功能并掉电记忆功能；</w:t>
      </w:r>
    </w:p>
    <w:p w14:paraId="456CED7F">
      <w:pPr>
        <w:numPr>
          <w:ilvl w:val="0"/>
          <w:numId w:val="26"/>
        </w:num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zh-CN"/>
        </w:rPr>
        <w:t>操作屏显示：采用高清液晶屏显示工作状态；</w:t>
      </w:r>
    </w:p>
    <w:p w14:paraId="73E6AED2">
      <w:pPr>
        <w:numPr>
          <w:ilvl w:val="0"/>
          <w:numId w:val="26"/>
        </w:num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zh-CN"/>
        </w:rPr>
        <w:t>智能提示功能：具备故障报警、风机故障报警及过滤网清洗提示功能；</w:t>
      </w:r>
    </w:p>
    <w:p w14:paraId="0C1D2C57">
      <w:pPr>
        <w:spacing w:line="360" w:lineRule="auto"/>
        <w:rPr>
          <w:rFonts w:hint="eastAsia" w:ascii="宋体" w:hAnsi="宋体" w:cs="宋体"/>
          <w:sz w:val="24"/>
          <w:highlight w:val="none"/>
        </w:rPr>
      </w:pPr>
    </w:p>
    <w:p w14:paraId="1CD7E9AC">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设备51.电动流产吸引器 </w:t>
      </w:r>
    </w:p>
    <w:p w14:paraId="5494847A">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475BB757">
      <w:pPr>
        <w:spacing w:line="360" w:lineRule="auto"/>
        <w:rPr>
          <w:rFonts w:hint="eastAsia" w:ascii="宋体" w:hAnsi="宋体" w:cs="宋体"/>
          <w:sz w:val="24"/>
          <w:szCs w:val="32"/>
          <w:highlight w:val="none"/>
        </w:rPr>
      </w:pPr>
      <w:r>
        <w:rPr>
          <w:rFonts w:hint="eastAsia" w:ascii="宋体" w:hAnsi="宋体" w:cs="宋体"/>
          <w:sz w:val="24"/>
          <w:szCs w:val="32"/>
          <w:highlight w:val="none"/>
        </w:rPr>
        <w:t>1.极限负压值:≥0.09MPa(680mmHg)(1级负压)</w:t>
      </w:r>
    </w:p>
    <w:p w14:paraId="6499095D">
      <w:pPr>
        <w:spacing w:line="360" w:lineRule="auto"/>
        <w:rPr>
          <w:rFonts w:hint="eastAsia" w:ascii="宋体" w:hAnsi="宋体" w:cs="宋体"/>
          <w:sz w:val="24"/>
          <w:szCs w:val="32"/>
          <w:highlight w:val="none"/>
        </w:rPr>
      </w:pPr>
      <w:r>
        <w:rPr>
          <w:rFonts w:hint="eastAsia" w:ascii="宋体" w:hAnsi="宋体" w:cs="宋体"/>
          <w:sz w:val="24"/>
          <w:szCs w:val="32"/>
          <w:highlight w:val="none"/>
        </w:rPr>
        <w:t>2.负压调节范围:≥ 0.02MPa(150mmHg)~ 极限负压值</w:t>
      </w:r>
    </w:p>
    <w:p w14:paraId="44145C3A">
      <w:pPr>
        <w:spacing w:line="360" w:lineRule="auto"/>
        <w:rPr>
          <w:rFonts w:hint="eastAsia" w:ascii="宋体" w:hAnsi="宋体" w:cs="宋体"/>
          <w:sz w:val="24"/>
          <w:szCs w:val="32"/>
          <w:highlight w:val="none"/>
        </w:rPr>
      </w:pPr>
      <w:r>
        <w:rPr>
          <w:rFonts w:hint="eastAsia" w:ascii="宋体" w:hAnsi="宋体" w:cs="宋体"/>
          <w:sz w:val="24"/>
          <w:szCs w:val="32"/>
          <w:highlight w:val="none"/>
        </w:rPr>
        <w:t>3.抽气速率:≥15L/min</w:t>
      </w:r>
    </w:p>
    <w:p w14:paraId="761E7904">
      <w:pPr>
        <w:spacing w:line="360" w:lineRule="auto"/>
        <w:rPr>
          <w:rFonts w:hint="eastAsia" w:ascii="宋体" w:hAnsi="宋体" w:cs="宋体"/>
          <w:sz w:val="24"/>
          <w:szCs w:val="32"/>
          <w:highlight w:val="none"/>
        </w:rPr>
      </w:pPr>
      <w:r>
        <w:rPr>
          <w:rFonts w:hint="eastAsia" w:ascii="宋体" w:hAnsi="宋体" w:cs="宋体"/>
          <w:sz w:val="24"/>
          <w:szCs w:val="32"/>
          <w:highlight w:val="none"/>
        </w:rPr>
        <w:t>4.贮液瓶:≥500mlx2</w:t>
      </w:r>
    </w:p>
    <w:p w14:paraId="29EC28CF">
      <w:pPr>
        <w:spacing w:line="360" w:lineRule="auto"/>
        <w:rPr>
          <w:rFonts w:hint="eastAsia" w:ascii="宋体" w:hAnsi="宋体" w:cs="宋体"/>
          <w:sz w:val="24"/>
          <w:szCs w:val="32"/>
          <w:highlight w:val="none"/>
        </w:rPr>
      </w:pPr>
      <w:r>
        <w:rPr>
          <w:rFonts w:hint="eastAsia" w:ascii="宋体" w:hAnsi="宋体" w:cs="宋体"/>
          <w:sz w:val="24"/>
          <w:szCs w:val="32"/>
          <w:highlight w:val="none"/>
        </w:rPr>
        <w:t>5.贮气瓶:≥2500mlx2</w:t>
      </w:r>
    </w:p>
    <w:p w14:paraId="2FF8CCEC">
      <w:pPr>
        <w:spacing w:line="360" w:lineRule="auto"/>
        <w:rPr>
          <w:rFonts w:hint="eastAsia" w:ascii="宋体" w:hAnsi="宋体" w:cs="宋体"/>
          <w:sz w:val="24"/>
          <w:szCs w:val="32"/>
          <w:highlight w:val="none"/>
        </w:rPr>
      </w:pPr>
      <w:r>
        <w:rPr>
          <w:rFonts w:hint="eastAsia" w:ascii="宋体" w:hAnsi="宋体" w:cs="宋体"/>
          <w:sz w:val="24"/>
          <w:szCs w:val="32"/>
          <w:highlight w:val="none"/>
        </w:rPr>
        <w:t>6.输入功率:≤150VA</w:t>
      </w:r>
    </w:p>
    <w:p w14:paraId="7BB412B6">
      <w:pPr>
        <w:spacing w:line="360" w:lineRule="auto"/>
        <w:jc w:val="center"/>
        <w:rPr>
          <w:rFonts w:hint="eastAsia" w:ascii="宋体" w:hAnsi="宋体" w:cs="宋体"/>
          <w:b/>
          <w:bCs/>
          <w:sz w:val="32"/>
          <w:szCs w:val="32"/>
          <w:highlight w:val="none"/>
        </w:rPr>
      </w:pPr>
    </w:p>
    <w:p w14:paraId="5562D690">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设备52.高频电刀 </w:t>
      </w:r>
    </w:p>
    <w:p w14:paraId="156AE42B">
      <w:pPr>
        <w:spacing w:line="360" w:lineRule="auto"/>
        <w:jc w:val="left"/>
        <w:rPr>
          <w:rFonts w:ascii="宋体" w:hAnsi="宋体" w:cs="宋体"/>
          <w:sz w:val="24"/>
          <w:szCs w:val="32"/>
          <w:highlight w:val="none"/>
        </w:rPr>
      </w:pPr>
      <w:r>
        <w:rPr>
          <w:rFonts w:hint="eastAsia" w:ascii="宋体" w:hAnsi="宋体" w:cs="宋体"/>
          <w:b/>
          <w:bCs/>
          <w:sz w:val="32"/>
          <w:szCs w:val="32"/>
          <w:highlight w:val="none"/>
        </w:rPr>
        <w:t>数量：1台</w:t>
      </w:r>
    </w:p>
    <w:p w14:paraId="7F56E821">
      <w:pPr>
        <w:spacing w:line="360" w:lineRule="auto"/>
        <w:rPr>
          <w:rFonts w:hint="eastAsia" w:ascii="宋体" w:hAnsi="宋体" w:cs="宋体"/>
          <w:sz w:val="24"/>
          <w:highlight w:val="none"/>
        </w:rPr>
      </w:pPr>
      <w:r>
        <w:rPr>
          <w:rFonts w:hint="eastAsia" w:ascii="宋体" w:hAnsi="宋体" w:cs="宋体"/>
          <w:sz w:val="24"/>
          <w:highlight w:val="none"/>
        </w:rPr>
        <w:t>1.工作模式</w:t>
      </w:r>
    </w:p>
    <w:p w14:paraId="0F84CECD">
      <w:pPr>
        <w:spacing w:line="360" w:lineRule="auto"/>
        <w:rPr>
          <w:rFonts w:hint="eastAsia" w:ascii="宋体" w:hAnsi="宋体" w:cs="宋体"/>
          <w:sz w:val="24"/>
          <w:highlight w:val="none"/>
        </w:rPr>
      </w:pPr>
      <w:r>
        <w:rPr>
          <w:rFonts w:hint="eastAsia" w:ascii="宋体" w:hAnsi="宋体" w:cs="宋体"/>
          <w:sz w:val="24"/>
          <w:highlight w:val="none"/>
        </w:rPr>
        <w:t>1.1.纯切：允许最大切割功率 200W</w:t>
      </w:r>
    </w:p>
    <w:p w14:paraId="15EEDF2A">
      <w:pPr>
        <w:spacing w:line="360" w:lineRule="auto"/>
        <w:rPr>
          <w:rFonts w:hint="eastAsia" w:ascii="宋体" w:hAnsi="宋体" w:cs="宋体"/>
          <w:sz w:val="24"/>
          <w:highlight w:val="none"/>
        </w:rPr>
      </w:pPr>
      <w:r>
        <w:rPr>
          <w:rFonts w:hint="eastAsia" w:ascii="宋体" w:hAnsi="宋体" w:cs="宋体"/>
          <w:sz w:val="24"/>
          <w:highlight w:val="none"/>
        </w:rPr>
        <w:t>1.2.双极电凝：低功率双极电凝（选配）</w:t>
      </w:r>
    </w:p>
    <w:p w14:paraId="44ED3875">
      <w:pPr>
        <w:spacing w:line="360" w:lineRule="auto"/>
        <w:rPr>
          <w:rFonts w:hint="eastAsia" w:ascii="宋体" w:hAnsi="宋体" w:cs="宋体"/>
          <w:sz w:val="24"/>
          <w:highlight w:val="none"/>
        </w:rPr>
      </w:pPr>
      <w:r>
        <w:rPr>
          <w:rFonts w:hint="eastAsia" w:ascii="宋体" w:hAnsi="宋体" w:cs="宋体"/>
          <w:sz w:val="24"/>
          <w:highlight w:val="none"/>
        </w:rPr>
        <w:t>2.工作频率：475KHZ</w:t>
      </w:r>
    </w:p>
    <w:p w14:paraId="7634C53C">
      <w:pPr>
        <w:spacing w:line="360" w:lineRule="auto"/>
        <w:rPr>
          <w:rFonts w:hint="eastAsia" w:ascii="宋体" w:hAnsi="宋体" w:cs="宋体"/>
          <w:sz w:val="24"/>
          <w:highlight w:val="none"/>
        </w:rPr>
      </w:pPr>
      <w:r>
        <w:rPr>
          <w:rFonts w:hint="eastAsia" w:ascii="宋体" w:hAnsi="宋体" w:cs="宋体"/>
          <w:sz w:val="24"/>
          <w:highlight w:val="none"/>
        </w:rPr>
        <w:t>3.控制功能</w:t>
      </w:r>
    </w:p>
    <w:p w14:paraId="0FD57B3F">
      <w:pPr>
        <w:spacing w:line="360" w:lineRule="auto"/>
        <w:rPr>
          <w:rFonts w:hint="eastAsia" w:ascii="宋体" w:hAnsi="宋体" w:cs="宋体"/>
          <w:sz w:val="24"/>
          <w:highlight w:val="none"/>
        </w:rPr>
      </w:pPr>
      <w:r>
        <w:rPr>
          <w:rFonts w:hint="eastAsia" w:ascii="宋体" w:hAnsi="宋体" w:cs="宋体"/>
          <w:sz w:val="24"/>
          <w:highlight w:val="none"/>
        </w:rPr>
        <w:t>4.整机功率≤1250VA</w:t>
      </w:r>
    </w:p>
    <w:p w14:paraId="4BA4DD0A">
      <w:pPr>
        <w:spacing w:line="360" w:lineRule="auto"/>
        <w:rPr>
          <w:rFonts w:hint="eastAsia" w:ascii="宋体" w:hAnsi="宋体" w:cs="宋体"/>
          <w:sz w:val="24"/>
          <w:highlight w:val="none"/>
        </w:rPr>
      </w:pPr>
      <w:r>
        <w:rPr>
          <w:rFonts w:hint="eastAsia" w:ascii="宋体" w:hAnsi="宋体" w:cs="宋体"/>
          <w:sz w:val="24"/>
          <w:highlight w:val="none"/>
        </w:rPr>
        <w:t>5.环境温度5℃-40℃</w:t>
      </w:r>
    </w:p>
    <w:p w14:paraId="622A32D4">
      <w:pPr>
        <w:spacing w:line="360" w:lineRule="auto"/>
        <w:rPr>
          <w:rFonts w:hint="eastAsia" w:ascii="宋体" w:hAnsi="宋体" w:cs="宋体"/>
          <w:sz w:val="24"/>
          <w:highlight w:val="none"/>
        </w:rPr>
      </w:pPr>
      <w:r>
        <w:rPr>
          <w:rFonts w:hint="eastAsia" w:ascii="宋体" w:hAnsi="宋体" w:cs="宋体"/>
          <w:sz w:val="24"/>
          <w:highlight w:val="none"/>
        </w:rPr>
        <w:t>6.相对湿度≤80%</w:t>
      </w:r>
    </w:p>
    <w:p w14:paraId="16A84571">
      <w:pPr>
        <w:spacing w:line="360" w:lineRule="auto"/>
        <w:rPr>
          <w:rFonts w:hint="eastAsia" w:ascii="宋体" w:hAnsi="宋体" w:cs="宋体"/>
          <w:sz w:val="24"/>
          <w:highlight w:val="none"/>
        </w:rPr>
      </w:pPr>
      <w:r>
        <w:rPr>
          <w:rFonts w:hint="eastAsia" w:ascii="宋体" w:hAnsi="宋体" w:cs="宋体"/>
          <w:sz w:val="24"/>
          <w:highlight w:val="none"/>
        </w:rPr>
        <w:t>7.最大功率：450W（1.5A Ac220V）</w:t>
      </w:r>
    </w:p>
    <w:p w14:paraId="5BFFA2C7">
      <w:pPr>
        <w:spacing w:line="360" w:lineRule="auto"/>
        <w:rPr>
          <w:rFonts w:hint="eastAsia" w:ascii="宋体" w:hAnsi="宋体" w:cs="宋体"/>
          <w:sz w:val="24"/>
          <w:highlight w:val="none"/>
        </w:rPr>
      </w:pPr>
      <w:r>
        <w:rPr>
          <w:rFonts w:hint="eastAsia" w:ascii="宋体" w:hAnsi="宋体" w:cs="宋体"/>
          <w:sz w:val="24"/>
          <w:highlight w:val="none"/>
        </w:rPr>
        <w:t>8.工作噪声：max40db(a)</w:t>
      </w:r>
    </w:p>
    <w:p w14:paraId="4AF5EEA9">
      <w:pPr>
        <w:spacing w:line="360" w:lineRule="auto"/>
        <w:rPr>
          <w:rFonts w:hint="eastAsia" w:ascii="宋体" w:hAnsi="宋体" w:cs="宋体"/>
          <w:sz w:val="24"/>
          <w:highlight w:val="none"/>
        </w:rPr>
      </w:pPr>
      <w:r>
        <w:rPr>
          <w:rFonts w:hint="eastAsia" w:ascii="宋体" w:hAnsi="宋体" w:cs="宋体"/>
          <w:sz w:val="24"/>
          <w:highlight w:val="none"/>
        </w:rPr>
        <w:t>9.滤芯寿命：≥1年</w:t>
      </w:r>
    </w:p>
    <w:p w14:paraId="3B313436">
      <w:pPr>
        <w:spacing w:line="360" w:lineRule="auto"/>
        <w:rPr>
          <w:rFonts w:hint="eastAsia" w:ascii="宋体" w:hAnsi="宋体" w:cs="宋体"/>
          <w:sz w:val="24"/>
          <w:highlight w:val="none"/>
        </w:rPr>
      </w:pPr>
      <w:r>
        <w:rPr>
          <w:rFonts w:hint="eastAsia" w:ascii="宋体" w:hAnsi="宋体" w:cs="宋体"/>
          <w:sz w:val="24"/>
          <w:highlight w:val="none"/>
        </w:rPr>
        <w:t>10.效率:大于99.999%颗粒除净度</w:t>
      </w:r>
    </w:p>
    <w:p w14:paraId="44ACADEB">
      <w:pPr>
        <w:spacing w:line="360" w:lineRule="auto"/>
        <w:rPr>
          <w:rFonts w:hint="eastAsia" w:ascii="宋体" w:hAnsi="宋体" w:cs="宋体"/>
          <w:sz w:val="24"/>
          <w:highlight w:val="none"/>
        </w:rPr>
      </w:pPr>
      <w:r>
        <w:rPr>
          <w:rFonts w:hint="eastAsia" w:ascii="宋体" w:hAnsi="宋体" w:cs="宋体"/>
          <w:sz w:val="24"/>
          <w:highlight w:val="none"/>
        </w:rPr>
        <w:t>11.操作方式：手动按钮或脚踏板控制</w:t>
      </w:r>
    </w:p>
    <w:p w14:paraId="7AF30B32">
      <w:pPr>
        <w:spacing w:line="360" w:lineRule="auto"/>
        <w:jc w:val="center"/>
        <w:rPr>
          <w:rFonts w:hint="eastAsia"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 xml:space="preserve">设备53.电子阴道镜数字成像系统 </w:t>
      </w:r>
    </w:p>
    <w:p w14:paraId="7E86210D">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数量：1套</w:t>
      </w:r>
    </w:p>
    <w:p w14:paraId="1CE58910">
      <w:pPr>
        <w:spacing w:line="360" w:lineRule="auto"/>
        <w:rPr>
          <w:rFonts w:hint="eastAsia" w:ascii="宋体" w:hAnsi="宋体" w:cs="宋体"/>
          <w:sz w:val="24"/>
          <w:highlight w:val="none"/>
        </w:rPr>
      </w:pPr>
      <w:r>
        <w:rPr>
          <w:rFonts w:hint="eastAsia" w:ascii="宋体" w:hAnsi="宋体" w:cs="宋体"/>
          <w:sz w:val="24"/>
          <w:highlight w:val="none"/>
        </w:rPr>
        <w:t>1.高分辨率、高清晰度、彩色数字CCD</w:t>
      </w:r>
    </w:p>
    <w:p w14:paraId="2615652D">
      <w:pPr>
        <w:spacing w:line="360" w:lineRule="auto"/>
        <w:rPr>
          <w:rFonts w:hint="eastAsia" w:ascii="宋体" w:hAnsi="宋体" w:cs="宋体"/>
          <w:sz w:val="24"/>
          <w:highlight w:val="none"/>
        </w:rPr>
      </w:pPr>
      <w:r>
        <w:rPr>
          <w:rFonts w:hint="eastAsia" w:ascii="宋体" w:hAnsi="宋体" w:cs="宋体"/>
          <w:sz w:val="24"/>
          <w:highlight w:val="none"/>
        </w:rPr>
        <w:t>2.阴道镜光源照度 ：≥1200Lux</w:t>
      </w:r>
    </w:p>
    <w:p w14:paraId="31DDC39C">
      <w:pPr>
        <w:spacing w:line="360" w:lineRule="auto"/>
        <w:rPr>
          <w:rFonts w:hint="eastAsia" w:ascii="宋体" w:hAnsi="宋体" w:cs="宋体"/>
          <w:sz w:val="24"/>
          <w:highlight w:val="none"/>
        </w:rPr>
      </w:pPr>
      <w:r>
        <w:rPr>
          <w:rFonts w:hint="eastAsia" w:ascii="宋体" w:hAnsi="宋体" w:cs="宋体"/>
          <w:sz w:val="24"/>
          <w:highlight w:val="none"/>
        </w:rPr>
        <w:t>3.阴道镜光源色温：3200K-7000K.</w:t>
      </w:r>
    </w:p>
    <w:p w14:paraId="5C22F893">
      <w:pPr>
        <w:spacing w:line="360" w:lineRule="auto"/>
        <w:rPr>
          <w:rFonts w:hint="eastAsia" w:ascii="宋体" w:hAnsi="宋体" w:cs="宋体"/>
          <w:sz w:val="24"/>
          <w:highlight w:val="none"/>
        </w:rPr>
      </w:pPr>
      <w:r>
        <w:rPr>
          <w:rFonts w:hint="eastAsia" w:ascii="宋体" w:hAnsi="宋体" w:cs="宋体"/>
          <w:sz w:val="24"/>
          <w:highlight w:val="none"/>
        </w:rPr>
        <w:t>4.系统水平分辨率：≥900TVL</w:t>
      </w:r>
    </w:p>
    <w:p w14:paraId="2B55CEEB">
      <w:pPr>
        <w:spacing w:line="360" w:lineRule="auto"/>
        <w:rPr>
          <w:rFonts w:hint="eastAsia" w:ascii="宋体" w:hAnsi="宋体" w:cs="宋体"/>
          <w:sz w:val="24"/>
          <w:highlight w:val="none"/>
        </w:rPr>
      </w:pPr>
      <w:r>
        <w:rPr>
          <w:rFonts w:hint="eastAsia" w:ascii="宋体" w:hAnsi="宋体" w:cs="宋体"/>
          <w:sz w:val="24"/>
          <w:highlight w:val="none"/>
        </w:rPr>
        <w:t>5.阴道镜通过：GB 9706.1-2007;  YY 0505-2012 ; GB/T 14710-2009</w:t>
      </w:r>
    </w:p>
    <w:p w14:paraId="1DF05709">
      <w:pPr>
        <w:spacing w:line="360" w:lineRule="auto"/>
        <w:rPr>
          <w:rFonts w:hint="eastAsia" w:ascii="宋体" w:hAnsi="宋体" w:cs="宋体"/>
          <w:sz w:val="24"/>
          <w:highlight w:val="none"/>
        </w:rPr>
      </w:pPr>
      <w:r>
        <w:rPr>
          <w:rFonts w:hint="eastAsia" w:ascii="宋体" w:hAnsi="宋体" w:cs="宋体"/>
          <w:sz w:val="24"/>
          <w:highlight w:val="none"/>
        </w:rPr>
        <w:t>6.阴道镜 Ⅱ型镜头支持1-60倍连续变倍。</w:t>
      </w:r>
    </w:p>
    <w:p w14:paraId="7DA7746D">
      <w:pPr>
        <w:spacing w:line="360" w:lineRule="auto"/>
        <w:rPr>
          <w:rFonts w:hint="eastAsia" w:ascii="宋体" w:hAnsi="宋体" w:cs="宋体"/>
          <w:sz w:val="24"/>
          <w:highlight w:val="none"/>
        </w:rPr>
      </w:pPr>
      <w:r>
        <w:rPr>
          <w:rFonts w:hint="eastAsia" w:ascii="宋体" w:hAnsi="宋体" w:cs="宋体"/>
          <w:sz w:val="24"/>
          <w:highlight w:val="none"/>
        </w:rPr>
        <w:t>7.色彩还原度：色彩还原度的最大误差不大于60 NBS，平均色彩还原误差不大于30 NBS</w:t>
      </w:r>
    </w:p>
    <w:p w14:paraId="2AAD136F">
      <w:pPr>
        <w:spacing w:line="360" w:lineRule="auto"/>
        <w:rPr>
          <w:rFonts w:hint="eastAsia" w:ascii="宋体" w:hAnsi="宋体" w:cs="宋体"/>
          <w:sz w:val="24"/>
          <w:highlight w:val="none"/>
        </w:rPr>
      </w:pPr>
      <w:r>
        <w:rPr>
          <w:rFonts w:hint="eastAsia" w:ascii="宋体" w:hAnsi="宋体" w:cs="宋体"/>
          <w:sz w:val="24"/>
          <w:highlight w:val="none"/>
        </w:rPr>
        <w:t>8.放大倍数：Ⅱ型镜头应支持1-60倍连续变倍。</w:t>
      </w:r>
    </w:p>
    <w:p w14:paraId="785CD0D0">
      <w:pPr>
        <w:spacing w:line="360" w:lineRule="auto"/>
        <w:rPr>
          <w:rFonts w:hint="eastAsia" w:ascii="宋体" w:hAnsi="宋体" w:cs="宋体"/>
          <w:sz w:val="24"/>
          <w:highlight w:val="none"/>
        </w:rPr>
      </w:pPr>
      <w:r>
        <w:rPr>
          <w:rFonts w:hint="eastAsia" w:ascii="宋体" w:hAnsi="宋体" w:cs="宋体"/>
          <w:sz w:val="24"/>
          <w:highlight w:val="none"/>
        </w:rPr>
        <w:t>9.工作距离：放大倍数为3倍时，工作距离应包含230mm～350mm。</w:t>
      </w:r>
    </w:p>
    <w:p w14:paraId="503BAF92">
      <w:pPr>
        <w:spacing w:line="360" w:lineRule="auto"/>
        <w:rPr>
          <w:rFonts w:hint="eastAsia" w:ascii="宋体" w:hAnsi="宋体" w:cs="宋体"/>
          <w:sz w:val="24"/>
          <w:highlight w:val="none"/>
        </w:rPr>
      </w:pPr>
      <w:r>
        <w:rPr>
          <w:rFonts w:hint="eastAsia" w:ascii="宋体" w:hAnsi="宋体" w:cs="宋体"/>
          <w:sz w:val="24"/>
          <w:highlight w:val="none"/>
        </w:rPr>
        <w:t>10.放大倍数为最大倍数时，工作距离应包含300mm～500mm。</w:t>
      </w:r>
    </w:p>
    <w:p w14:paraId="703FD440">
      <w:pPr>
        <w:spacing w:line="360" w:lineRule="auto"/>
        <w:rPr>
          <w:rFonts w:hint="eastAsia" w:ascii="宋体" w:hAnsi="宋体" w:cs="宋体"/>
          <w:sz w:val="24"/>
          <w:highlight w:val="none"/>
        </w:rPr>
      </w:pPr>
      <w:r>
        <w:rPr>
          <w:rFonts w:hint="eastAsia" w:ascii="宋体" w:hAnsi="宋体" w:cs="宋体"/>
          <w:sz w:val="24"/>
          <w:highlight w:val="none"/>
        </w:rPr>
        <w:t>11.视场范围：放大倍数为3倍时应 ≥φ60mm；</w:t>
      </w:r>
    </w:p>
    <w:p w14:paraId="00A0EBF0">
      <w:pPr>
        <w:spacing w:line="360" w:lineRule="auto"/>
        <w:rPr>
          <w:rFonts w:hint="eastAsia" w:ascii="宋体" w:hAnsi="宋体" w:cs="宋体"/>
          <w:sz w:val="24"/>
          <w:highlight w:val="none"/>
        </w:rPr>
      </w:pPr>
      <w:r>
        <w:rPr>
          <w:rFonts w:hint="eastAsia" w:ascii="宋体" w:hAnsi="宋体" w:cs="宋体"/>
          <w:sz w:val="24"/>
          <w:highlight w:val="none"/>
        </w:rPr>
        <w:t>12.放大倍数为最大倍时应 ≥φ6mm。</w:t>
      </w:r>
    </w:p>
    <w:p w14:paraId="125312C4">
      <w:pPr>
        <w:spacing w:line="360" w:lineRule="auto"/>
        <w:rPr>
          <w:rFonts w:hint="eastAsia" w:ascii="宋体" w:hAnsi="宋体" w:cs="宋体"/>
          <w:sz w:val="24"/>
          <w:highlight w:val="none"/>
        </w:rPr>
      </w:pPr>
      <w:r>
        <w:rPr>
          <w:rFonts w:hint="eastAsia" w:ascii="宋体" w:hAnsi="宋体" w:cs="宋体"/>
          <w:sz w:val="24"/>
          <w:highlight w:val="none"/>
        </w:rPr>
        <w:t>13.景深：放大倍数为8倍时应 ≥40mm；</w:t>
      </w:r>
    </w:p>
    <w:p w14:paraId="3A572E0B">
      <w:pPr>
        <w:spacing w:line="360" w:lineRule="auto"/>
        <w:rPr>
          <w:rFonts w:hint="eastAsia" w:ascii="宋体" w:hAnsi="宋体" w:cs="宋体"/>
          <w:sz w:val="24"/>
          <w:highlight w:val="none"/>
        </w:rPr>
      </w:pPr>
      <w:r>
        <w:rPr>
          <w:rFonts w:hint="eastAsia" w:ascii="宋体" w:hAnsi="宋体" w:cs="宋体"/>
          <w:sz w:val="24"/>
          <w:highlight w:val="none"/>
        </w:rPr>
        <w:t>14.放大倍数为16倍时应 ≥5mm。</w:t>
      </w:r>
    </w:p>
    <w:p w14:paraId="11FC9809">
      <w:pPr>
        <w:spacing w:line="360" w:lineRule="auto"/>
        <w:rPr>
          <w:rFonts w:hint="eastAsia" w:ascii="宋体" w:hAnsi="宋体" w:cs="宋体"/>
          <w:sz w:val="24"/>
          <w:highlight w:val="none"/>
        </w:rPr>
      </w:pPr>
      <w:r>
        <w:rPr>
          <w:rFonts w:hint="eastAsia" w:ascii="宋体" w:hAnsi="宋体" w:cs="宋体"/>
          <w:sz w:val="24"/>
          <w:highlight w:val="none"/>
        </w:rPr>
        <w:t>15.几何失真：图像几何失真度应≤3%。</w:t>
      </w:r>
    </w:p>
    <w:p w14:paraId="01DFE602">
      <w:pPr>
        <w:spacing w:line="360" w:lineRule="auto"/>
        <w:rPr>
          <w:rFonts w:hint="eastAsia" w:ascii="宋体" w:hAnsi="宋体" w:cs="宋体"/>
          <w:sz w:val="24"/>
          <w:highlight w:val="none"/>
        </w:rPr>
      </w:pPr>
      <w:r>
        <w:rPr>
          <w:rFonts w:hint="eastAsia" w:ascii="宋体" w:hAnsi="宋体" w:cs="宋体"/>
          <w:sz w:val="24"/>
          <w:highlight w:val="none"/>
        </w:rPr>
        <w:t>16.辐射热：在最近工作距离，视场范围内，最大强度时辐射强度值应不大于350 W/㎡</w:t>
      </w:r>
    </w:p>
    <w:p w14:paraId="050ABE7A">
      <w:pPr>
        <w:spacing w:line="360" w:lineRule="auto"/>
        <w:rPr>
          <w:rFonts w:hint="eastAsia" w:ascii="宋体" w:hAnsi="宋体" w:cs="宋体"/>
          <w:sz w:val="24"/>
          <w:highlight w:val="none"/>
        </w:rPr>
      </w:pPr>
      <w:r>
        <w:rPr>
          <w:rFonts w:hint="eastAsia" w:ascii="宋体" w:hAnsi="宋体" w:cs="宋体"/>
          <w:sz w:val="24"/>
          <w:highlight w:val="none"/>
        </w:rPr>
        <w:t>17.照度均匀性：光源照度均匀性应≤1.2</w:t>
      </w:r>
    </w:p>
    <w:p w14:paraId="4442731C">
      <w:pPr>
        <w:spacing w:line="360" w:lineRule="auto"/>
        <w:rPr>
          <w:rFonts w:hint="eastAsia" w:ascii="宋体" w:hAnsi="宋体" w:cs="宋体"/>
          <w:sz w:val="24"/>
          <w:highlight w:val="none"/>
        </w:rPr>
      </w:pPr>
      <w:r>
        <w:rPr>
          <w:rFonts w:hint="eastAsia" w:ascii="宋体" w:hAnsi="宋体" w:cs="宋体"/>
          <w:sz w:val="24"/>
          <w:highlight w:val="none"/>
        </w:rPr>
        <w:t>18.光斑直径：距离光源30cm处的光斑直径不小于80㎜；</w:t>
      </w:r>
    </w:p>
    <w:p w14:paraId="5E1246CF">
      <w:pPr>
        <w:spacing w:line="360" w:lineRule="auto"/>
        <w:rPr>
          <w:rFonts w:hint="eastAsia" w:ascii="宋体" w:hAnsi="宋体" w:cs="宋体"/>
          <w:sz w:val="24"/>
          <w:highlight w:val="none"/>
        </w:rPr>
      </w:pPr>
      <w:r>
        <w:rPr>
          <w:rFonts w:hint="eastAsia" w:ascii="宋体" w:hAnsi="宋体" w:cs="宋体"/>
          <w:sz w:val="24"/>
          <w:highlight w:val="none"/>
        </w:rPr>
        <w:t>19.光源温升：光源照射被检物表面20min，温升应≤1℃；</w:t>
      </w:r>
    </w:p>
    <w:p w14:paraId="3993A881">
      <w:pPr>
        <w:spacing w:line="360" w:lineRule="auto"/>
        <w:rPr>
          <w:rFonts w:hint="eastAsia" w:ascii="宋体" w:hAnsi="宋体" w:cs="宋体"/>
          <w:sz w:val="24"/>
          <w:highlight w:val="none"/>
        </w:rPr>
      </w:pPr>
      <w:r>
        <w:rPr>
          <w:rFonts w:hint="eastAsia" w:ascii="宋体" w:hAnsi="宋体" w:cs="宋体"/>
          <w:sz w:val="24"/>
          <w:highlight w:val="none"/>
        </w:rPr>
        <w:t>20.工作环境温度：5℃～40℃</w:t>
      </w:r>
    </w:p>
    <w:p w14:paraId="7178F692">
      <w:pPr>
        <w:spacing w:line="360" w:lineRule="auto"/>
        <w:rPr>
          <w:rFonts w:hint="eastAsia" w:ascii="宋体" w:hAnsi="宋体" w:cs="宋体"/>
          <w:sz w:val="24"/>
          <w:highlight w:val="none"/>
        </w:rPr>
      </w:pPr>
      <w:r>
        <w:rPr>
          <w:rFonts w:hint="eastAsia" w:ascii="宋体" w:hAnsi="宋体" w:cs="宋体"/>
          <w:sz w:val="24"/>
          <w:highlight w:val="none"/>
        </w:rPr>
        <w:t>21.相对湿度：≤80%</w:t>
      </w:r>
    </w:p>
    <w:p w14:paraId="1E676B5F">
      <w:pPr>
        <w:spacing w:line="360" w:lineRule="auto"/>
        <w:rPr>
          <w:rFonts w:hint="eastAsia" w:ascii="宋体" w:hAnsi="宋体" w:cs="宋体"/>
          <w:sz w:val="24"/>
          <w:highlight w:val="none"/>
        </w:rPr>
      </w:pPr>
      <w:r>
        <w:rPr>
          <w:rFonts w:hint="eastAsia" w:ascii="宋体" w:hAnsi="宋体" w:cs="宋体"/>
          <w:sz w:val="24"/>
          <w:highlight w:val="none"/>
        </w:rPr>
        <w:t>22.大气压：70KPa～106KPa</w:t>
      </w:r>
    </w:p>
    <w:p w14:paraId="352641C8">
      <w:pPr>
        <w:spacing w:line="360" w:lineRule="auto"/>
        <w:rPr>
          <w:rFonts w:hint="eastAsia" w:ascii="宋体" w:hAnsi="宋体" w:cs="宋体"/>
          <w:sz w:val="24"/>
          <w:highlight w:val="none"/>
        </w:rPr>
      </w:pPr>
      <w:r>
        <w:rPr>
          <w:rFonts w:hint="eastAsia" w:ascii="宋体" w:hAnsi="宋体" w:cs="宋体"/>
          <w:sz w:val="24"/>
          <w:highlight w:val="none"/>
        </w:rPr>
        <w:t>23.使用电源：～220V，50Hz</w:t>
      </w:r>
    </w:p>
    <w:p w14:paraId="03C39DCE">
      <w:pPr>
        <w:spacing w:line="360" w:lineRule="auto"/>
        <w:rPr>
          <w:rFonts w:hint="eastAsia" w:ascii="宋体" w:hAnsi="宋体" w:cs="宋体"/>
          <w:sz w:val="24"/>
          <w:highlight w:val="none"/>
        </w:rPr>
      </w:pPr>
      <w:r>
        <w:rPr>
          <w:rFonts w:hint="eastAsia" w:ascii="宋体" w:hAnsi="宋体" w:cs="宋体"/>
          <w:sz w:val="24"/>
          <w:highlight w:val="none"/>
        </w:rPr>
        <w:t>储运环境：</w:t>
      </w:r>
    </w:p>
    <w:p w14:paraId="528FAAF1">
      <w:pPr>
        <w:spacing w:line="360" w:lineRule="auto"/>
        <w:rPr>
          <w:rFonts w:hint="eastAsia" w:ascii="宋体" w:hAnsi="宋体" w:cs="宋体"/>
          <w:sz w:val="24"/>
          <w:highlight w:val="none"/>
        </w:rPr>
      </w:pPr>
      <w:r>
        <w:rPr>
          <w:rFonts w:hint="eastAsia" w:ascii="宋体" w:hAnsi="宋体" w:cs="宋体"/>
          <w:sz w:val="24"/>
          <w:highlight w:val="none"/>
        </w:rPr>
        <w:t>24.温度：-40℃～+55℃</w:t>
      </w:r>
    </w:p>
    <w:p w14:paraId="1FDDBE33">
      <w:pPr>
        <w:spacing w:line="360" w:lineRule="auto"/>
        <w:rPr>
          <w:rFonts w:hint="eastAsia" w:ascii="宋体" w:hAnsi="宋体" w:cs="宋体"/>
          <w:sz w:val="24"/>
          <w:highlight w:val="none"/>
        </w:rPr>
      </w:pPr>
      <w:r>
        <w:rPr>
          <w:rFonts w:hint="eastAsia" w:ascii="宋体" w:hAnsi="宋体" w:cs="宋体"/>
          <w:sz w:val="24"/>
          <w:highlight w:val="none"/>
        </w:rPr>
        <w:t>25.相对湿度：≤93％（无水凝）</w:t>
      </w:r>
    </w:p>
    <w:p w14:paraId="77D970F9">
      <w:pPr>
        <w:spacing w:line="360" w:lineRule="auto"/>
        <w:rPr>
          <w:rFonts w:hint="eastAsia" w:ascii="宋体" w:hAnsi="宋体" w:cs="宋体"/>
          <w:sz w:val="24"/>
          <w:highlight w:val="none"/>
        </w:rPr>
      </w:pPr>
      <w:r>
        <w:rPr>
          <w:rFonts w:hint="eastAsia" w:ascii="宋体" w:hAnsi="宋体" w:cs="宋体"/>
          <w:sz w:val="24"/>
          <w:highlight w:val="none"/>
        </w:rPr>
        <w:t>26.大气压：50.0kPa～106.0kPa。</w:t>
      </w:r>
    </w:p>
    <w:p w14:paraId="30457DF8">
      <w:pPr>
        <w:spacing w:line="360" w:lineRule="auto"/>
        <w:rPr>
          <w:rFonts w:hint="eastAsia" w:ascii="宋体" w:hAnsi="宋体" w:cs="宋体"/>
          <w:sz w:val="24"/>
          <w:highlight w:val="none"/>
        </w:rPr>
      </w:pPr>
      <w:r>
        <w:rPr>
          <w:rFonts w:hint="eastAsia" w:ascii="宋体" w:hAnsi="宋体" w:cs="宋体"/>
          <w:sz w:val="24"/>
          <w:highlight w:val="none"/>
        </w:rPr>
        <w:t>27.符合标准GB 9706.1-2007;  YY 0505-2012 ; GB/T 14710-2009</w:t>
      </w:r>
    </w:p>
    <w:p w14:paraId="4D2E2109">
      <w:pPr>
        <w:spacing w:line="360" w:lineRule="auto"/>
        <w:rPr>
          <w:rFonts w:hint="eastAsia" w:ascii="宋体" w:hAnsi="宋体" w:cs="宋体"/>
          <w:sz w:val="24"/>
          <w:highlight w:val="none"/>
        </w:rPr>
      </w:pPr>
      <w:r>
        <w:rPr>
          <w:rFonts w:hint="eastAsia" w:ascii="宋体" w:hAnsi="宋体" w:cs="宋体"/>
          <w:sz w:val="24"/>
          <w:highlight w:val="none"/>
        </w:rPr>
        <w:t>28.熔断器规格：F1AL250V</w:t>
      </w:r>
    </w:p>
    <w:p w14:paraId="01C7EA4A">
      <w:pPr>
        <w:spacing w:line="360" w:lineRule="auto"/>
        <w:rPr>
          <w:rFonts w:hint="eastAsia" w:ascii="宋体" w:hAnsi="宋体" w:cs="宋体"/>
          <w:sz w:val="24"/>
          <w:highlight w:val="none"/>
        </w:rPr>
      </w:pPr>
      <w:r>
        <w:rPr>
          <w:rFonts w:hint="eastAsia" w:ascii="宋体" w:hAnsi="宋体" w:cs="宋体"/>
          <w:sz w:val="24"/>
          <w:highlight w:val="none"/>
        </w:rPr>
        <w:t>29.防电击类型：Ⅰ类设备。</w:t>
      </w:r>
    </w:p>
    <w:p w14:paraId="5BC56EBD">
      <w:pPr>
        <w:spacing w:line="360" w:lineRule="auto"/>
        <w:rPr>
          <w:rFonts w:hint="eastAsia" w:ascii="宋体" w:hAnsi="宋体" w:cs="宋体"/>
          <w:sz w:val="24"/>
          <w:highlight w:val="none"/>
        </w:rPr>
      </w:pPr>
      <w:r>
        <w:rPr>
          <w:rFonts w:hint="eastAsia" w:ascii="宋体" w:hAnsi="宋体" w:cs="宋体"/>
          <w:sz w:val="24"/>
          <w:highlight w:val="none"/>
        </w:rPr>
        <w:t>30.工作模式：连续运行</w:t>
      </w:r>
    </w:p>
    <w:p w14:paraId="029CD5AF">
      <w:pPr>
        <w:spacing w:line="360" w:lineRule="auto"/>
        <w:rPr>
          <w:rFonts w:hint="eastAsia" w:ascii="宋体" w:hAnsi="宋体" w:cs="宋体"/>
          <w:sz w:val="24"/>
          <w:highlight w:val="none"/>
        </w:rPr>
      </w:pPr>
      <w:r>
        <w:rPr>
          <w:rFonts w:hint="eastAsia" w:ascii="宋体" w:hAnsi="宋体" w:cs="宋体"/>
          <w:sz w:val="24"/>
          <w:highlight w:val="none"/>
        </w:rPr>
        <w:t>31.防进液等级：整机IPX0设备，脚踏开关防护等级IPX1。</w:t>
      </w:r>
      <w:bookmarkStart w:id="82" w:name="_Toc16149"/>
      <w:bookmarkStart w:id="83" w:name="_Toc30276"/>
      <w:bookmarkStart w:id="84" w:name="_Toc6855"/>
      <w:bookmarkStart w:id="85" w:name="_Toc17518"/>
      <w:bookmarkStart w:id="86" w:name="_Toc23964"/>
      <w:bookmarkStart w:id="87" w:name="_Toc8026_WPSOffice_Level2"/>
      <w:bookmarkStart w:id="88" w:name="_Toc12391"/>
    </w:p>
    <w:p w14:paraId="0C650CA2">
      <w:pPr>
        <w:spacing w:line="360" w:lineRule="auto"/>
        <w:rPr>
          <w:rFonts w:hint="eastAsia" w:ascii="宋体" w:hAnsi="宋体" w:cs="宋体"/>
          <w:sz w:val="24"/>
          <w:highlight w:val="none"/>
        </w:rPr>
      </w:pPr>
      <w:r>
        <w:rPr>
          <w:rFonts w:hint="eastAsia" w:ascii="宋体" w:hAnsi="宋体" w:cs="宋体"/>
          <w:sz w:val="24"/>
          <w:highlight w:val="none"/>
        </w:rPr>
        <w:t>32.计时功能：仪器具备实时计时功能，由镜头按键控制，且观察屏幕、采集的图像及打印报告上可标记计时时间。</w:t>
      </w:r>
    </w:p>
    <w:bookmarkEnd w:id="82"/>
    <w:bookmarkEnd w:id="83"/>
    <w:bookmarkEnd w:id="84"/>
    <w:bookmarkEnd w:id="85"/>
    <w:bookmarkEnd w:id="86"/>
    <w:bookmarkEnd w:id="87"/>
    <w:bookmarkEnd w:id="88"/>
    <w:p w14:paraId="139EC145">
      <w:pPr>
        <w:spacing w:line="360" w:lineRule="auto"/>
        <w:rPr>
          <w:rFonts w:hint="eastAsia" w:ascii="宋体" w:hAnsi="宋体" w:cs="宋体"/>
          <w:sz w:val="24"/>
          <w:highlight w:val="none"/>
        </w:rPr>
      </w:pPr>
      <w:bookmarkStart w:id="89" w:name="_Toc14975"/>
      <w:r>
        <w:rPr>
          <w:rFonts w:hint="eastAsia" w:ascii="宋体" w:hAnsi="宋体" w:cs="宋体"/>
          <w:sz w:val="24"/>
          <w:highlight w:val="none"/>
        </w:rPr>
        <w:t>阴道镜亮度：</w:t>
      </w:r>
      <w:bookmarkEnd w:id="89"/>
    </w:p>
    <w:p w14:paraId="5B25FA3B">
      <w:pPr>
        <w:spacing w:line="360" w:lineRule="auto"/>
        <w:rPr>
          <w:rFonts w:hint="eastAsia" w:ascii="宋体" w:hAnsi="宋体" w:cs="宋体"/>
          <w:sz w:val="24"/>
          <w:highlight w:val="none"/>
        </w:rPr>
      </w:pPr>
      <w:r>
        <w:rPr>
          <w:rFonts w:hint="eastAsia" w:ascii="宋体" w:hAnsi="宋体" w:cs="宋体"/>
          <w:sz w:val="24"/>
          <w:highlight w:val="none"/>
        </w:rPr>
        <w:t>33.亮度控制前端LED灯珠亮度，LED有L1-L2-L3-L4-L5-L6共6个亮度等级，</w:t>
      </w:r>
    </w:p>
    <w:p w14:paraId="6D2474BD">
      <w:pPr>
        <w:spacing w:line="360" w:lineRule="auto"/>
        <w:rPr>
          <w:rFonts w:hint="eastAsia" w:ascii="宋体" w:hAnsi="宋体" w:cs="宋体"/>
          <w:sz w:val="24"/>
          <w:highlight w:val="none"/>
        </w:rPr>
      </w:pPr>
      <w:r>
        <w:rPr>
          <w:rFonts w:hint="eastAsia" w:ascii="宋体" w:hAnsi="宋体" w:cs="宋体"/>
          <w:sz w:val="24"/>
          <w:highlight w:val="none"/>
        </w:rPr>
        <w:t>亮度调节设计成亮度记忆功能，即下次开机时LED灯的亮度为上次设置的LED亮度。</w:t>
      </w:r>
    </w:p>
    <w:p w14:paraId="0E5B8D71">
      <w:pPr>
        <w:spacing w:line="360" w:lineRule="auto"/>
        <w:rPr>
          <w:rFonts w:hint="eastAsia" w:ascii="宋体" w:hAnsi="宋体" w:cs="宋体"/>
          <w:sz w:val="24"/>
          <w:highlight w:val="none"/>
        </w:rPr>
      </w:pPr>
      <w:bookmarkStart w:id="90" w:name="_Toc4838"/>
      <w:r>
        <w:rPr>
          <w:rFonts w:hint="eastAsia" w:ascii="宋体" w:hAnsi="宋体" w:cs="宋体"/>
          <w:sz w:val="24"/>
          <w:highlight w:val="none"/>
        </w:rPr>
        <w:t>34.有白光功能显示</w:t>
      </w:r>
      <w:bookmarkEnd w:id="90"/>
    </w:p>
    <w:p w14:paraId="38EEFD47">
      <w:pPr>
        <w:spacing w:line="360" w:lineRule="auto"/>
        <w:rPr>
          <w:rFonts w:hint="eastAsia" w:ascii="宋体" w:hAnsi="宋体" w:cs="宋体"/>
          <w:sz w:val="24"/>
          <w:highlight w:val="none"/>
        </w:rPr>
      </w:pPr>
      <w:r>
        <w:rPr>
          <w:rFonts w:hint="eastAsia" w:ascii="宋体" w:hAnsi="宋体" w:cs="宋体"/>
          <w:sz w:val="24"/>
          <w:highlight w:val="none"/>
        </w:rPr>
        <w:t>35.绿光功能显示</w:t>
      </w:r>
    </w:p>
    <w:p w14:paraId="3AAE0240">
      <w:pPr>
        <w:spacing w:line="360" w:lineRule="auto"/>
        <w:rPr>
          <w:rFonts w:hint="eastAsia" w:ascii="宋体" w:hAnsi="宋体" w:cs="宋体"/>
          <w:sz w:val="24"/>
          <w:highlight w:val="none"/>
        </w:rPr>
      </w:pPr>
      <w:bookmarkStart w:id="91" w:name="_Toc7176"/>
      <w:r>
        <w:rPr>
          <w:rFonts w:hint="eastAsia" w:ascii="宋体" w:hAnsi="宋体" w:cs="宋体"/>
          <w:sz w:val="24"/>
          <w:highlight w:val="none"/>
        </w:rPr>
        <w:t>36.有焦远/焦近</w:t>
      </w:r>
      <w:bookmarkEnd w:id="91"/>
      <w:r>
        <w:rPr>
          <w:rFonts w:hint="eastAsia" w:ascii="宋体" w:hAnsi="宋体" w:cs="宋体"/>
          <w:sz w:val="24"/>
          <w:highlight w:val="none"/>
        </w:rPr>
        <w:t>功能显示</w:t>
      </w:r>
    </w:p>
    <w:p w14:paraId="297E749A">
      <w:pPr>
        <w:spacing w:line="360" w:lineRule="auto"/>
        <w:rPr>
          <w:rFonts w:hint="eastAsia" w:ascii="宋体" w:hAnsi="宋体" w:cs="宋体"/>
          <w:sz w:val="24"/>
          <w:highlight w:val="none"/>
        </w:rPr>
      </w:pPr>
      <w:r>
        <w:rPr>
          <w:rFonts w:hint="eastAsia" w:ascii="宋体" w:hAnsi="宋体" w:cs="宋体"/>
          <w:sz w:val="24"/>
          <w:highlight w:val="none"/>
        </w:rPr>
        <w:t>手动模式下有效，支持点按与长按，点按单次调整焦距，长按连续变焦，松手则停止变焦。；</w:t>
      </w:r>
    </w:p>
    <w:p w14:paraId="1FC27196">
      <w:pPr>
        <w:spacing w:line="360" w:lineRule="auto"/>
        <w:rPr>
          <w:rFonts w:hint="eastAsia" w:ascii="宋体" w:hAnsi="宋体" w:cs="宋体"/>
          <w:sz w:val="24"/>
          <w:highlight w:val="none"/>
        </w:rPr>
      </w:pPr>
      <w:r>
        <w:rPr>
          <w:rFonts w:hint="eastAsia" w:ascii="宋体" w:hAnsi="宋体" w:cs="宋体"/>
          <w:sz w:val="24"/>
          <w:highlight w:val="none"/>
        </w:rPr>
        <w:t>手动聚焦动作只有在有效工作距离范围内才有效（即：放大倍数为3倍时，工作距离应包含230mm～350mm；放大倍数为最大倍数时，工作距离应包含300mm～500mm)；</w:t>
      </w:r>
      <w:bookmarkStart w:id="92" w:name="_Toc14080"/>
    </w:p>
    <w:p w14:paraId="70D2CCBE">
      <w:pPr>
        <w:spacing w:line="360" w:lineRule="auto"/>
        <w:rPr>
          <w:rFonts w:hint="eastAsia" w:ascii="宋体" w:hAnsi="宋体" w:cs="宋体"/>
          <w:sz w:val="24"/>
          <w:highlight w:val="none"/>
        </w:rPr>
      </w:pPr>
      <w:r>
        <w:rPr>
          <w:rFonts w:hint="eastAsia" w:ascii="宋体" w:hAnsi="宋体" w:cs="宋体"/>
          <w:sz w:val="24"/>
          <w:highlight w:val="none"/>
        </w:rPr>
        <w:t>37.有采集/冻结</w:t>
      </w:r>
      <w:bookmarkEnd w:id="92"/>
      <w:r>
        <w:rPr>
          <w:rFonts w:hint="eastAsia" w:ascii="宋体" w:hAnsi="宋体" w:cs="宋体"/>
          <w:sz w:val="24"/>
          <w:highlight w:val="none"/>
        </w:rPr>
        <w:t>功能显示此键为复合按键，具有两重按键定义：</w:t>
      </w:r>
    </w:p>
    <w:p w14:paraId="58456886">
      <w:pPr>
        <w:spacing w:line="360" w:lineRule="auto"/>
        <w:rPr>
          <w:rFonts w:hint="eastAsia" w:ascii="宋体" w:hAnsi="宋体" w:cs="宋体"/>
          <w:sz w:val="24"/>
          <w:highlight w:val="none"/>
        </w:rPr>
      </w:pPr>
      <w:r>
        <w:rPr>
          <w:rFonts w:hint="eastAsia" w:ascii="宋体" w:hAnsi="宋体" w:cs="宋体"/>
          <w:sz w:val="24"/>
          <w:highlight w:val="none"/>
        </w:rPr>
        <w:t>a)点按此键为采集功能：截取当前图像，并在软件采集栏内列出采集的图像。</w:t>
      </w:r>
    </w:p>
    <w:p w14:paraId="225A6154">
      <w:pPr>
        <w:spacing w:line="360" w:lineRule="auto"/>
        <w:rPr>
          <w:rFonts w:hint="eastAsia" w:ascii="宋体" w:hAnsi="宋体" w:cs="宋体"/>
          <w:sz w:val="24"/>
          <w:highlight w:val="none"/>
        </w:rPr>
      </w:pPr>
      <w:bookmarkStart w:id="93" w:name="_Toc1068"/>
      <w:r>
        <w:rPr>
          <w:rFonts w:hint="eastAsia" w:ascii="宋体" w:hAnsi="宋体" w:cs="宋体"/>
          <w:sz w:val="24"/>
          <w:highlight w:val="none"/>
        </w:rPr>
        <w:t>38.放大/缩小</w:t>
      </w:r>
      <w:bookmarkEnd w:id="93"/>
    </w:p>
    <w:p w14:paraId="1DEDF3AC">
      <w:pPr>
        <w:spacing w:line="360" w:lineRule="auto"/>
        <w:rPr>
          <w:rFonts w:hint="eastAsia" w:ascii="宋体" w:hAnsi="宋体" w:cs="宋体"/>
          <w:sz w:val="24"/>
          <w:highlight w:val="none"/>
        </w:rPr>
      </w:pPr>
      <w:r>
        <w:rPr>
          <w:rFonts w:hint="eastAsia" w:ascii="宋体" w:hAnsi="宋体" w:cs="宋体"/>
          <w:sz w:val="24"/>
          <w:highlight w:val="none"/>
        </w:rPr>
        <w:t>39.开机默认10倍；点按逐档调整；长按连续调整，放大倍数范围为1～60倍。</w:t>
      </w:r>
    </w:p>
    <w:p w14:paraId="769E615B">
      <w:pPr>
        <w:spacing w:line="360" w:lineRule="auto"/>
        <w:rPr>
          <w:rFonts w:hint="eastAsia" w:ascii="宋体" w:hAnsi="宋体" w:cs="宋体"/>
          <w:sz w:val="24"/>
          <w:highlight w:val="none"/>
        </w:rPr>
      </w:pPr>
      <w:r>
        <w:rPr>
          <w:rFonts w:hint="eastAsia" w:ascii="宋体" w:hAnsi="宋体" w:cs="宋体"/>
          <w:sz w:val="24"/>
          <w:highlight w:val="none"/>
        </w:rPr>
        <w:t>40.病例管理：应具有病历查询、导入、导出、维护、统计分析、报表、图表、数据对比等管理功能。观察检查：如图像和视频采集、冻结、查看等</w:t>
      </w:r>
    </w:p>
    <w:p w14:paraId="559BA28E">
      <w:pPr>
        <w:spacing w:line="360" w:lineRule="auto"/>
        <w:jc w:val="center"/>
        <w:rPr>
          <w:rFonts w:hint="eastAsia"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 xml:space="preserve">设备54.超高清内窥镜摄像系统 </w:t>
      </w:r>
    </w:p>
    <w:p w14:paraId="249EC2CF">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数量：1套</w:t>
      </w:r>
    </w:p>
    <w:p w14:paraId="22D7CFF6">
      <w:pPr>
        <w:spacing w:line="360" w:lineRule="auto"/>
        <w:rPr>
          <w:rFonts w:hint="eastAsia" w:ascii="宋体" w:hAnsi="宋体" w:cs="宋体"/>
          <w:sz w:val="24"/>
          <w:highlight w:val="none"/>
        </w:rPr>
      </w:pPr>
      <w:r>
        <w:rPr>
          <w:rFonts w:hint="eastAsia" w:ascii="宋体" w:hAnsi="宋体" w:cs="宋体"/>
          <w:sz w:val="24"/>
          <w:highlight w:val="none"/>
        </w:rPr>
        <w:t>高清摄像主机</w:t>
      </w:r>
    </w:p>
    <w:p w14:paraId="77876B3E">
      <w:pPr>
        <w:spacing w:line="360" w:lineRule="auto"/>
        <w:rPr>
          <w:rFonts w:hint="eastAsia" w:ascii="宋体" w:hAnsi="宋体" w:cs="宋体"/>
          <w:sz w:val="24"/>
          <w:highlight w:val="none"/>
        </w:rPr>
      </w:pPr>
      <w:r>
        <w:rPr>
          <w:rFonts w:hint="eastAsia" w:ascii="宋体" w:hAnsi="宋体" w:cs="宋体"/>
          <w:sz w:val="24"/>
          <w:highlight w:val="none"/>
        </w:rPr>
        <w:t>1、扫描方式逐行扫描；</w:t>
      </w:r>
    </w:p>
    <w:p w14:paraId="6FD02B5A">
      <w:pPr>
        <w:spacing w:line="360" w:lineRule="auto"/>
        <w:rPr>
          <w:rFonts w:hint="eastAsia" w:ascii="宋体" w:hAnsi="宋体" w:cs="宋体"/>
          <w:sz w:val="24"/>
          <w:highlight w:val="none"/>
        </w:rPr>
      </w:pPr>
      <w:r>
        <w:rPr>
          <w:rFonts w:hint="eastAsia" w:ascii="宋体" w:hAnsi="宋体" w:cs="宋体"/>
          <w:sz w:val="24"/>
          <w:highlight w:val="none"/>
        </w:rPr>
        <w:t>2、图像传感器为三片1/3英寸 CMOS图像传感器；</w:t>
      </w:r>
    </w:p>
    <w:p w14:paraId="4BD3329A">
      <w:pPr>
        <w:spacing w:line="360" w:lineRule="auto"/>
        <w:rPr>
          <w:rFonts w:hint="eastAsia" w:ascii="宋体" w:hAnsi="宋体" w:cs="宋体"/>
          <w:sz w:val="24"/>
          <w:highlight w:val="none"/>
        </w:rPr>
      </w:pPr>
      <w:r>
        <w:rPr>
          <w:rFonts w:hint="eastAsia" w:ascii="宋体" w:hAnsi="宋体" w:cs="宋体"/>
          <w:sz w:val="24"/>
          <w:highlight w:val="none"/>
        </w:rPr>
        <w:t>3、主机面板具有锐度、亮度、放大、对比度、增益、白平衡、拍照等一键操控功能，便于操作；</w:t>
      </w:r>
    </w:p>
    <w:p w14:paraId="79B27E66">
      <w:pPr>
        <w:spacing w:line="360" w:lineRule="auto"/>
        <w:rPr>
          <w:rFonts w:hint="eastAsia" w:ascii="宋体" w:hAnsi="宋体" w:cs="宋体"/>
          <w:sz w:val="24"/>
          <w:highlight w:val="none"/>
        </w:rPr>
      </w:pPr>
      <w:r>
        <w:rPr>
          <w:rFonts w:hint="eastAsia" w:ascii="宋体" w:hAnsi="宋体" w:cs="宋体"/>
          <w:sz w:val="24"/>
          <w:highlight w:val="none"/>
        </w:rPr>
        <w:t>4、主机采用电容式触控面板设计，操控方便且易于清洁保养。</w:t>
      </w:r>
    </w:p>
    <w:p w14:paraId="05A63C94">
      <w:pPr>
        <w:spacing w:line="360" w:lineRule="auto"/>
        <w:rPr>
          <w:rFonts w:hint="eastAsia" w:ascii="宋体" w:hAnsi="宋体" w:cs="宋体"/>
          <w:sz w:val="24"/>
          <w:highlight w:val="none"/>
        </w:rPr>
      </w:pPr>
      <w:r>
        <w:rPr>
          <w:rFonts w:hint="eastAsia" w:ascii="宋体" w:hAnsi="宋体" w:cs="宋体"/>
          <w:sz w:val="24"/>
          <w:highlight w:val="none"/>
        </w:rPr>
        <w:t>5、有USB视频存储接口，主机内置静态图片及动态图像抓取模块，可术中记录1920x1080分辨率视频及图片；</w:t>
      </w:r>
    </w:p>
    <w:p w14:paraId="722452FE">
      <w:pPr>
        <w:spacing w:line="360" w:lineRule="auto"/>
        <w:rPr>
          <w:rFonts w:hint="eastAsia" w:ascii="宋体" w:hAnsi="宋体" w:cs="宋体"/>
          <w:sz w:val="24"/>
          <w:highlight w:val="none"/>
        </w:rPr>
      </w:pPr>
      <w:r>
        <w:rPr>
          <w:rFonts w:hint="eastAsia" w:ascii="宋体" w:hAnsi="宋体" w:cs="宋体"/>
          <w:sz w:val="24"/>
          <w:highlight w:val="none"/>
        </w:rPr>
        <w:t>6、摄像头具有≥4个可预设功能遥控按钮；可预设白平衡、录像、拍照、锐度、亮度、对比度等不少于10种遥控功能。</w:t>
      </w:r>
    </w:p>
    <w:p w14:paraId="033600F6">
      <w:pPr>
        <w:spacing w:line="360" w:lineRule="auto"/>
        <w:rPr>
          <w:rFonts w:hint="eastAsia" w:ascii="宋体" w:hAnsi="宋体" w:cs="宋体"/>
          <w:sz w:val="24"/>
          <w:highlight w:val="none"/>
        </w:rPr>
      </w:pPr>
      <w:r>
        <w:rPr>
          <w:rFonts w:hint="eastAsia" w:ascii="宋体" w:hAnsi="宋体" w:cs="宋体"/>
          <w:sz w:val="24"/>
          <w:highlight w:val="none"/>
        </w:rPr>
        <w:t>7、视频信号输出制式为标清：PAL，NTSC；高清：FULL-HD；</w:t>
      </w:r>
    </w:p>
    <w:p w14:paraId="57B6DEBE">
      <w:pPr>
        <w:spacing w:line="360" w:lineRule="auto"/>
        <w:rPr>
          <w:rFonts w:hint="eastAsia" w:ascii="宋体" w:hAnsi="宋体" w:cs="宋体"/>
          <w:sz w:val="24"/>
          <w:highlight w:val="none"/>
        </w:rPr>
      </w:pPr>
      <w:r>
        <w:rPr>
          <w:rFonts w:hint="eastAsia" w:ascii="宋体" w:hAnsi="宋体" w:cs="宋体"/>
          <w:sz w:val="24"/>
          <w:highlight w:val="none"/>
        </w:rPr>
        <w:t>8、视频信号输出接口为DVI*2，HD-SDI*2，Y/C*1，CVBS*1；</w:t>
      </w:r>
    </w:p>
    <w:p w14:paraId="1BDA1632">
      <w:pPr>
        <w:spacing w:line="360" w:lineRule="auto"/>
        <w:rPr>
          <w:rFonts w:hint="eastAsia" w:ascii="宋体" w:hAnsi="宋体" w:cs="宋体"/>
          <w:sz w:val="24"/>
          <w:highlight w:val="none"/>
        </w:rPr>
      </w:pPr>
      <w:r>
        <w:rPr>
          <w:rFonts w:hint="eastAsia" w:ascii="宋体" w:hAnsi="宋体" w:cs="宋体"/>
          <w:sz w:val="24"/>
          <w:highlight w:val="none"/>
        </w:rPr>
        <w:t>9、有特殊光染色+电子染色模式功能，提高早期癌筛查检出率及术中病变组织边界识别能力；</w:t>
      </w:r>
    </w:p>
    <w:p w14:paraId="16B33BFF">
      <w:pPr>
        <w:spacing w:line="360" w:lineRule="auto"/>
        <w:rPr>
          <w:rFonts w:hint="eastAsia" w:ascii="宋体" w:hAnsi="宋体" w:cs="宋体"/>
          <w:sz w:val="24"/>
          <w:highlight w:val="none"/>
        </w:rPr>
      </w:pPr>
      <w:r>
        <w:rPr>
          <w:rFonts w:hint="eastAsia" w:ascii="宋体" w:hAnsi="宋体" w:cs="宋体"/>
          <w:sz w:val="24"/>
          <w:highlight w:val="none"/>
        </w:rPr>
        <w:t>10、锐度增强≥9级，具有血管及组织边缘凸显锐化功能；</w:t>
      </w:r>
    </w:p>
    <w:p w14:paraId="56A8FBCC">
      <w:pPr>
        <w:spacing w:line="360" w:lineRule="auto"/>
        <w:rPr>
          <w:rFonts w:hint="eastAsia" w:ascii="宋体" w:hAnsi="宋体" w:cs="宋体"/>
          <w:sz w:val="24"/>
          <w:highlight w:val="none"/>
        </w:rPr>
      </w:pPr>
      <w:r>
        <w:rPr>
          <w:rFonts w:hint="eastAsia" w:ascii="宋体" w:hAnsi="宋体" w:cs="宋体"/>
          <w:sz w:val="24"/>
          <w:highlight w:val="none"/>
        </w:rPr>
        <w:t>11、图像亮度调节≥9级亮度可调；</w:t>
      </w:r>
    </w:p>
    <w:p w14:paraId="376FF2D4">
      <w:pPr>
        <w:spacing w:line="360" w:lineRule="auto"/>
        <w:rPr>
          <w:rFonts w:hint="eastAsia" w:ascii="宋体" w:hAnsi="宋体" w:cs="宋体"/>
          <w:sz w:val="24"/>
          <w:highlight w:val="none"/>
        </w:rPr>
      </w:pPr>
      <w:r>
        <w:rPr>
          <w:rFonts w:hint="eastAsia" w:ascii="宋体" w:hAnsi="宋体" w:cs="宋体"/>
          <w:sz w:val="24"/>
          <w:highlight w:val="none"/>
        </w:rPr>
        <w:t>12、有电子放大功能，最高2倍电子放大，3级可调；</w:t>
      </w:r>
    </w:p>
    <w:p w14:paraId="46613E15">
      <w:pPr>
        <w:spacing w:line="360" w:lineRule="auto"/>
        <w:rPr>
          <w:rFonts w:hint="eastAsia" w:ascii="宋体" w:hAnsi="宋体" w:cs="宋体"/>
          <w:sz w:val="24"/>
          <w:highlight w:val="none"/>
        </w:rPr>
      </w:pPr>
      <w:r>
        <w:rPr>
          <w:rFonts w:hint="eastAsia" w:ascii="宋体" w:hAnsi="宋体" w:cs="宋体"/>
          <w:sz w:val="24"/>
          <w:highlight w:val="none"/>
        </w:rPr>
        <w:t>13、有光学放大功能，具有2倍光学放大，变焦范围16-32mm；</w:t>
      </w:r>
    </w:p>
    <w:p w14:paraId="64380EB3">
      <w:pPr>
        <w:spacing w:line="360" w:lineRule="auto"/>
        <w:rPr>
          <w:rFonts w:hint="eastAsia" w:ascii="宋体" w:hAnsi="宋体" w:cs="宋体"/>
          <w:sz w:val="24"/>
          <w:highlight w:val="none"/>
        </w:rPr>
      </w:pPr>
      <w:r>
        <w:rPr>
          <w:rFonts w:hint="eastAsia" w:ascii="宋体" w:hAnsi="宋体" w:cs="宋体"/>
          <w:sz w:val="24"/>
          <w:highlight w:val="none"/>
        </w:rPr>
        <w:t>14、测光模式具有全域、宽域和中央等多种测光模式；</w:t>
      </w:r>
    </w:p>
    <w:p w14:paraId="7F5FD71A">
      <w:pPr>
        <w:spacing w:line="360" w:lineRule="auto"/>
        <w:rPr>
          <w:rFonts w:hint="eastAsia" w:ascii="宋体" w:hAnsi="宋体" w:cs="宋体"/>
          <w:sz w:val="24"/>
          <w:highlight w:val="none"/>
        </w:rPr>
      </w:pPr>
      <w:r>
        <w:rPr>
          <w:rFonts w:hint="eastAsia" w:ascii="宋体" w:hAnsi="宋体" w:cs="宋体"/>
          <w:sz w:val="24"/>
          <w:highlight w:val="none"/>
        </w:rPr>
        <w:t>15、对比度增强有高、中、低三档可调；</w:t>
      </w:r>
    </w:p>
    <w:p w14:paraId="4802D5EB">
      <w:pPr>
        <w:spacing w:line="360" w:lineRule="auto"/>
        <w:rPr>
          <w:rFonts w:hint="eastAsia" w:ascii="宋体" w:hAnsi="宋体" w:cs="宋体"/>
          <w:sz w:val="24"/>
          <w:highlight w:val="none"/>
        </w:rPr>
      </w:pPr>
      <w:r>
        <w:rPr>
          <w:rFonts w:hint="eastAsia" w:ascii="宋体" w:hAnsi="宋体" w:cs="宋体"/>
          <w:sz w:val="24"/>
          <w:highlight w:val="none"/>
        </w:rPr>
        <w:t>16、具有图像冻结功能；</w:t>
      </w:r>
    </w:p>
    <w:p w14:paraId="59F92F81">
      <w:pPr>
        <w:spacing w:line="360" w:lineRule="auto"/>
        <w:rPr>
          <w:rFonts w:hint="eastAsia" w:ascii="宋体" w:hAnsi="宋体" w:cs="宋体"/>
          <w:sz w:val="24"/>
          <w:highlight w:val="none"/>
        </w:rPr>
      </w:pPr>
      <w:r>
        <w:rPr>
          <w:rFonts w:hint="eastAsia" w:ascii="宋体" w:hAnsi="宋体" w:cs="宋体"/>
          <w:sz w:val="24"/>
          <w:highlight w:val="none"/>
        </w:rPr>
        <w:t>17、兼容同品牌术中超声，实现宫腔镜下经阴道进行超声探查</w:t>
      </w:r>
    </w:p>
    <w:p w14:paraId="0DDC2EA4">
      <w:pPr>
        <w:spacing w:line="360" w:lineRule="auto"/>
        <w:rPr>
          <w:rFonts w:hint="eastAsia" w:ascii="宋体" w:hAnsi="宋体" w:cs="宋体"/>
          <w:sz w:val="24"/>
          <w:highlight w:val="none"/>
        </w:rPr>
      </w:pPr>
      <w:r>
        <w:rPr>
          <w:rFonts w:hint="eastAsia" w:ascii="宋体" w:hAnsi="宋体" w:cs="宋体"/>
          <w:sz w:val="24"/>
          <w:highlight w:val="none"/>
        </w:rPr>
        <w:t>18，兼容的术中超声画面可通过摄像头控制画中画开启</w:t>
      </w:r>
    </w:p>
    <w:p w14:paraId="003C3B7A">
      <w:pPr>
        <w:spacing w:line="360" w:lineRule="auto"/>
        <w:rPr>
          <w:rFonts w:hint="eastAsia" w:ascii="宋体" w:hAnsi="宋体" w:cs="宋体"/>
          <w:sz w:val="24"/>
          <w:highlight w:val="none"/>
        </w:rPr>
      </w:pPr>
      <w:r>
        <w:rPr>
          <w:rFonts w:hint="eastAsia" w:ascii="宋体" w:hAnsi="宋体" w:cs="宋体"/>
          <w:sz w:val="24"/>
          <w:highlight w:val="none"/>
        </w:rPr>
        <w:t>19、摄像头分体设计，兼容更换18mm 25mm的定焦卡口</w:t>
      </w:r>
    </w:p>
    <w:p w14:paraId="6B13F7F5">
      <w:pPr>
        <w:pStyle w:val="13"/>
        <w:rPr>
          <w:rFonts w:hint="eastAsia"/>
          <w:highlight w:val="none"/>
        </w:rPr>
      </w:pPr>
    </w:p>
    <w:p w14:paraId="5E81BEED">
      <w:pPr>
        <w:spacing w:line="360" w:lineRule="auto"/>
        <w:rPr>
          <w:rFonts w:hint="eastAsia" w:ascii="宋体" w:hAnsi="宋体" w:cs="宋体"/>
          <w:sz w:val="24"/>
          <w:highlight w:val="none"/>
        </w:rPr>
      </w:pPr>
      <w:r>
        <w:rPr>
          <w:rFonts w:hint="eastAsia" w:ascii="宋体" w:hAnsi="宋体" w:cs="宋体"/>
          <w:sz w:val="24"/>
          <w:highlight w:val="none"/>
        </w:rPr>
        <w:t>冷光源系统</w:t>
      </w:r>
      <w:r>
        <w:rPr>
          <w:rFonts w:hint="eastAsia" w:ascii="宋体" w:hAnsi="宋体" w:cs="宋体"/>
          <w:sz w:val="24"/>
          <w:highlight w:val="none"/>
        </w:rPr>
        <w:tab/>
      </w:r>
      <w:r>
        <w:rPr>
          <w:rFonts w:hint="eastAsia" w:ascii="宋体" w:hAnsi="宋体" w:cs="宋体"/>
          <w:sz w:val="24"/>
          <w:highlight w:val="none"/>
        </w:rPr>
        <w:t>　</w:t>
      </w:r>
    </w:p>
    <w:p w14:paraId="2D1D6F8B">
      <w:pPr>
        <w:spacing w:line="360" w:lineRule="auto"/>
        <w:rPr>
          <w:rFonts w:hint="eastAsia" w:ascii="宋体" w:hAnsi="宋体" w:cs="宋体"/>
          <w:sz w:val="24"/>
          <w:highlight w:val="none"/>
        </w:rPr>
      </w:pPr>
      <w:r>
        <w:rPr>
          <w:rFonts w:hint="eastAsia" w:ascii="宋体" w:hAnsi="宋体" w:cs="宋体"/>
          <w:sz w:val="24"/>
          <w:highlight w:val="none"/>
        </w:rPr>
        <w:t>1、采用多路LED灯泡，轻松实现多波长光谱输出，便于光学染色观察；</w:t>
      </w:r>
    </w:p>
    <w:p w14:paraId="33D97116">
      <w:pPr>
        <w:spacing w:line="360" w:lineRule="auto"/>
        <w:rPr>
          <w:rFonts w:hint="eastAsia" w:ascii="宋体" w:hAnsi="宋体" w:cs="宋体"/>
          <w:sz w:val="24"/>
          <w:highlight w:val="none"/>
        </w:rPr>
      </w:pPr>
      <w:r>
        <w:rPr>
          <w:rFonts w:hint="eastAsia" w:ascii="宋体" w:hAnsi="宋体" w:cs="宋体"/>
          <w:sz w:val="24"/>
          <w:highlight w:val="none"/>
        </w:rPr>
        <w:t>2、支持白光和特殊光照明输出，三种模式可选；</w:t>
      </w:r>
    </w:p>
    <w:p w14:paraId="76F5E196">
      <w:pPr>
        <w:spacing w:line="360" w:lineRule="auto"/>
        <w:rPr>
          <w:rFonts w:hint="eastAsia" w:ascii="宋体" w:hAnsi="宋体" w:cs="宋体"/>
          <w:sz w:val="24"/>
          <w:highlight w:val="none"/>
        </w:rPr>
      </w:pPr>
      <w:r>
        <w:rPr>
          <w:rFonts w:hint="eastAsia" w:ascii="宋体" w:hAnsi="宋体" w:cs="宋体"/>
          <w:sz w:val="24"/>
          <w:highlight w:val="none"/>
        </w:rPr>
        <w:t>3、灯泡平均连续使用寿命：≥50000小时；</w:t>
      </w:r>
    </w:p>
    <w:p w14:paraId="6D324834">
      <w:pPr>
        <w:spacing w:line="360" w:lineRule="auto"/>
        <w:rPr>
          <w:rFonts w:hint="eastAsia" w:ascii="宋体" w:hAnsi="宋体" w:cs="宋体"/>
          <w:sz w:val="24"/>
          <w:highlight w:val="none"/>
        </w:rPr>
      </w:pPr>
      <w:r>
        <w:rPr>
          <w:rFonts w:hint="eastAsia" w:ascii="宋体" w:hAnsi="宋体" w:cs="宋体"/>
          <w:sz w:val="24"/>
          <w:highlight w:val="none"/>
        </w:rPr>
        <w:t>4、具有灯泡寿命指示灯显示，可随时掌握灯泡剩余寿命情况；</w:t>
      </w:r>
    </w:p>
    <w:p w14:paraId="4FA4ECA2">
      <w:pPr>
        <w:spacing w:line="360" w:lineRule="auto"/>
        <w:rPr>
          <w:rFonts w:hint="eastAsia" w:ascii="宋体" w:hAnsi="宋体" w:cs="宋体"/>
          <w:sz w:val="24"/>
          <w:highlight w:val="none"/>
        </w:rPr>
      </w:pPr>
      <w:r>
        <w:rPr>
          <w:rFonts w:hint="eastAsia" w:ascii="宋体" w:hAnsi="宋体" w:cs="宋体"/>
          <w:sz w:val="24"/>
          <w:highlight w:val="none"/>
        </w:rPr>
        <w:t>5、调光模式具有手动、自动两种调光模式；</w:t>
      </w:r>
    </w:p>
    <w:p w14:paraId="15A85270">
      <w:pPr>
        <w:spacing w:line="360" w:lineRule="auto"/>
        <w:rPr>
          <w:rFonts w:hint="eastAsia" w:ascii="宋体" w:hAnsi="宋体" w:cs="宋体"/>
          <w:sz w:val="24"/>
          <w:highlight w:val="none"/>
        </w:rPr>
      </w:pPr>
      <w:r>
        <w:rPr>
          <w:rFonts w:hint="eastAsia" w:ascii="宋体" w:hAnsi="宋体" w:cs="宋体"/>
          <w:sz w:val="24"/>
          <w:highlight w:val="none"/>
        </w:rPr>
        <w:t>6、调光级别≥19级；</w:t>
      </w:r>
    </w:p>
    <w:p w14:paraId="7D5568D0">
      <w:pPr>
        <w:spacing w:line="360" w:lineRule="auto"/>
        <w:rPr>
          <w:rFonts w:hint="eastAsia" w:ascii="宋体" w:hAnsi="宋体" w:cs="宋体"/>
          <w:sz w:val="24"/>
          <w:highlight w:val="none"/>
        </w:rPr>
      </w:pPr>
      <w:r>
        <w:rPr>
          <w:rFonts w:hint="eastAsia" w:ascii="宋体" w:hAnsi="宋体" w:cs="宋体"/>
          <w:sz w:val="24"/>
          <w:highlight w:val="none"/>
        </w:rPr>
        <w:t>7、显色指数≥96；</w:t>
      </w:r>
    </w:p>
    <w:p w14:paraId="76189629">
      <w:pPr>
        <w:spacing w:line="360" w:lineRule="auto"/>
        <w:rPr>
          <w:rFonts w:hint="eastAsia" w:ascii="宋体" w:hAnsi="宋体" w:cs="宋体"/>
          <w:sz w:val="24"/>
          <w:highlight w:val="none"/>
        </w:rPr>
      </w:pPr>
      <w:r>
        <w:rPr>
          <w:rFonts w:hint="eastAsia" w:ascii="宋体" w:hAnsi="宋体" w:cs="宋体"/>
          <w:sz w:val="24"/>
          <w:highlight w:val="none"/>
        </w:rPr>
        <w:t>宫腔镜</w:t>
      </w:r>
      <w:r>
        <w:rPr>
          <w:rFonts w:hint="eastAsia" w:ascii="宋体" w:hAnsi="宋体" w:cs="宋体"/>
          <w:sz w:val="24"/>
          <w:highlight w:val="none"/>
        </w:rPr>
        <w:tab/>
      </w:r>
      <w:r>
        <w:rPr>
          <w:rFonts w:hint="eastAsia" w:ascii="宋体" w:hAnsi="宋体" w:cs="宋体"/>
          <w:sz w:val="24"/>
          <w:highlight w:val="none"/>
        </w:rPr>
        <w:t>　</w:t>
      </w:r>
    </w:p>
    <w:p w14:paraId="5438CA89">
      <w:pPr>
        <w:spacing w:line="360" w:lineRule="auto"/>
        <w:rPr>
          <w:rFonts w:hint="eastAsia" w:ascii="宋体" w:hAnsi="宋体" w:cs="宋体"/>
          <w:sz w:val="24"/>
          <w:highlight w:val="none"/>
        </w:rPr>
      </w:pPr>
      <w:r>
        <w:rPr>
          <w:rFonts w:hint="eastAsia" w:ascii="宋体" w:hAnsi="宋体" w:cs="宋体"/>
          <w:sz w:val="24"/>
          <w:highlight w:val="none"/>
        </w:rPr>
        <w:t>1、30°内窥镜</w:t>
      </w:r>
    </w:p>
    <w:p w14:paraId="20CB4A87">
      <w:pPr>
        <w:spacing w:line="360" w:lineRule="auto"/>
        <w:rPr>
          <w:rFonts w:hint="eastAsia" w:ascii="宋体" w:hAnsi="宋体" w:cs="宋体"/>
          <w:sz w:val="24"/>
          <w:highlight w:val="none"/>
        </w:rPr>
      </w:pPr>
      <w:r>
        <w:rPr>
          <w:rFonts w:hint="eastAsia" w:ascii="宋体" w:hAnsi="宋体" w:cs="宋体"/>
          <w:sz w:val="24"/>
          <w:highlight w:val="none"/>
        </w:rPr>
        <w:t>监视器</w:t>
      </w:r>
      <w:r>
        <w:rPr>
          <w:rFonts w:hint="eastAsia" w:ascii="宋体" w:hAnsi="宋体" w:cs="宋体"/>
          <w:sz w:val="24"/>
          <w:highlight w:val="none"/>
        </w:rPr>
        <w:tab/>
      </w:r>
      <w:r>
        <w:rPr>
          <w:rFonts w:hint="eastAsia" w:ascii="宋体" w:hAnsi="宋体" w:cs="宋体"/>
          <w:sz w:val="24"/>
          <w:highlight w:val="none"/>
        </w:rPr>
        <w:t>　</w:t>
      </w:r>
    </w:p>
    <w:p w14:paraId="58A477AE">
      <w:pPr>
        <w:spacing w:line="360" w:lineRule="auto"/>
        <w:rPr>
          <w:rFonts w:hint="eastAsia" w:ascii="宋体" w:hAnsi="宋体" w:cs="宋体"/>
          <w:sz w:val="24"/>
          <w:highlight w:val="none"/>
        </w:rPr>
      </w:pPr>
      <w:r>
        <w:rPr>
          <w:rFonts w:hint="eastAsia" w:ascii="宋体" w:hAnsi="宋体" w:cs="宋体"/>
          <w:sz w:val="24"/>
          <w:highlight w:val="none"/>
        </w:rPr>
        <w:t>1、监视器尺寸≥26英寸；</w:t>
      </w:r>
    </w:p>
    <w:p w14:paraId="28D0450C">
      <w:pPr>
        <w:spacing w:line="360" w:lineRule="auto"/>
        <w:rPr>
          <w:rFonts w:hint="eastAsia" w:ascii="宋体" w:hAnsi="宋体" w:cs="宋体"/>
          <w:sz w:val="24"/>
          <w:highlight w:val="none"/>
        </w:rPr>
      </w:pPr>
      <w:r>
        <w:rPr>
          <w:rFonts w:hint="eastAsia" w:ascii="宋体" w:hAnsi="宋体" w:cs="宋体"/>
          <w:sz w:val="24"/>
          <w:highlight w:val="none"/>
        </w:rPr>
        <w:t>2、含DVI、SDI、Video、S-Video等视频输入接口；</w:t>
      </w:r>
    </w:p>
    <w:p w14:paraId="71BA6242">
      <w:pPr>
        <w:spacing w:line="360" w:lineRule="auto"/>
        <w:rPr>
          <w:rFonts w:hint="eastAsia" w:ascii="宋体" w:hAnsi="宋体" w:cs="宋体"/>
          <w:sz w:val="24"/>
          <w:highlight w:val="none"/>
        </w:rPr>
      </w:pPr>
      <w:r>
        <w:rPr>
          <w:rFonts w:hint="eastAsia" w:ascii="宋体" w:hAnsi="宋体" w:cs="宋体"/>
          <w:sz w:val="24"/>
          <w:highlight w:val="none"/>
        </w:rPr>
        <w:t>3、视角为水平≥1780，垂直≥1780；</w:t>
      </w:r>
    </w:p>
    <w:p w14:paraId="6AD2E2B8">
      <w:pPr>
        <w:spacing w:line="360" w:lineRule="auto"/>
        <w:rPr>
          <w:rFonts w:hint="eastAsia" w:ascii="宋体" w:hAnsi="宋体" w:cs="宋体"/>
          <w:sz w:val="24"/>
          <w:highlight w:val="none"/>
        </w:rPr>
      </w:pPr>
      <w:r>
        <w:rPr>
          <w:rFonts w:hint="eastAsia" w:ascii="宋体" w:hAnsi="宋体" w:cs="宋体"/>
          <w:sz w:val="24"/>
          <w:highlight w:val="none"/>
        </w:rPr>
        <w:t>加压灌注器</w:t>
      </w:r>
    </w:p>
    <w:p w14:paraId="42ABA7FA">
      <w:pPr>
        <w:spacing w:line="360" w:lineRule="auto"/>
        <w:rPr>
          <w:rFonts w:hint="eastAsia" w:ascii="宋体" w:hAnsi="宋体" w:cs="宋体"/>
          <w:sz w:val="24"/>
          <w:highlight w:val="none"/>
        </w:rPr>
      </w:pPr>
      <w:r>
        <w:rPr>
          <w:rFonts w:hint="eastAsia" w:ascii="宋体" w:hAnsi="宋体" w:cs="宋体"/>
          <w:sz w:val="24"/>
          <w:highlight w:val="none"/>
        </w:rPr>
        <w:t>1.防电击类型:I类</w:t>
      </w:r>
    </w:p>
    <w:p w14:paraId="75A5191F">
      <w:pPr>
        <w:spacing w:line="360" w:lineRule="auto"/>
        <w:rPr>
          <w:rFonts w:hint="eastAsia" w:ascii="宋体" w:hAnsi="宋体" w:cs="宋体"/>
          <w:sz w:val="24"/>
          <w:highlight w:val="none"/>
        </w:rPr>
      </w:pPr>
      <w:r>
        <w:rPr>
          <w:rFonts w:hint="eastAsia" w:ascii="宋体" w:hAnsi="宋体" w:cs="宋体"/>
          <w:sz w:val="24"/>
          <w:highlight w:val="none"/>
        </w:rPr>
        <w:t>2.按工作制式分:连续运行</w:t>
      </w:r>
    </w:p>
    <w:p w14:paraId="4684BD15">
      <w:pPr>
        <w:spacing w:line="360" w:lineRule="auto"/>
        <w:rPr>
          <w:rFonts w:hint="eastAsia" w:ascii="宋体" w:hAnsi="宋体" w:cs="宋体"/>
          <w:sz w:val="24"/>
          <w:highlight w:val="none"/>
        </w:rPr>
      </w:pPr>
      <w:r>
        <w:rPr>
          <w:rFonts w:hint="eastAsia" w:ascii="宋体" w:hAnsi="宋体" w:cs="宋体"/>
          <w:sz w:val="24"/>
          <w:highlight w:val="none"/>
        </w:rPr>
        <w:t>3.流量调节范围: 0～2200ml/min</w:t>
      </w:r>
    </w:p>
    <w:p w14:paraId="7113D5FD">
      <w:pPr>
        <w:spacing w:line="360" w:lineRule="auto"/>
        <w:rPr>
          <w:rFonts w:hint="eastAsia" w:ascii="宋体" w:hAnsi="宋体" w:cs="宋体"/>
          <w:sz w:val="24"/>
          <w:highlight w:val="none"/>
        </w:rPr>
      </w:pPr>
      <w:r>
        <w:rPr>
          <w:rFonts w:hint="eastAsia" w:ascii="宋体" w:hAnsi="宋体" w:cs="宋体"/>
          <w:sz w:val="24"/>
          <w:highlight w:val="none"/>
        </w:rPr>
        <w:t>4.压力调节范围:0～250mmHg可调</w:t>
      </w:r>
    </w:p>
    <w:p w14:paraId="486E48D5">
      <w:pPr>
        <w:spacing w:line="360" w:lineRule="auto"/>
        <w:rPr>
          <w:rFonts w:hint="eastAsia" w:ascii="宋体" w:hAnsi="宋体" w:cs="宋体"/>
          <w:sz w:val="24"/>
          <w:highlight w:val="none"/>
        </w:rPr>
      </w:pPr>
      <w:r>
        <w:rPr>
          <w:rFonts w:hint="eastAsia" w:ascii="宋体" w:hAnsi="宋体" w:cs="宋体"/>
          <w:sz w:val="24"/>
          <w:highlight w:val="none"/>
        </w:rPr>
        <w:t>台车</w:t>
      </w:r>
    </w:p>
    <w:p w14:paraId="4174FDFE">
      <w:pPr>
        <w:spacing w:line="360" w:lineRule="auto"/>
        <w:rPr>
          <w:rFonts w:hint="eastAsia" w:ascii="宋体" w:hAnsi="宋体" w:cs="宋体"/>
          <w:sz w:val="24"/>
          <w:highlight w:val="none"/>
        </w:rPr>
      </w:pPr>
      <w:r>
        <w:rPr>
          <w:rFonts w:hint="eastAsia" w:ascii="宋体" w:hAnsi="宋体" w:cs="宋体"/>
          <w:sz w:val="24"/>
          <w:highlight w:val="none"/>
        </w:rPr>
        <w:t>1.原厂高性能台车，带气弹簧显示器支臂，支臂可360°旋转；</w:t>
      </w:r>
    </w:p>
    <w:p w14:paraId="5789F36A">
      <w:pPr>
        <w:spacing w:line="360" w:lineRule="auto"/>
        <w:rPr>
          <w:rFonts w:hint="eastAsia" w:ascii="宋体" w:hAnsi="宋体" w:cs="宋体"/>
          <w:sz w:val="24"/>
          <w:highlight w:val="none"/>
        </w:rPr>
      </w:pPr>
      <w:r>
        <w:rPr>
          <w:rFonts w:hint="eastAsia" w:ascii="宋体" w:hAnsi="宋体" w:cs="宋体"/>
          <w:sz w:val="24"/>
          <w:highlight w:val="none"/>
        </w:rPr>
        <w:t>2.显示器高度可调；</w:t>
      </w:r>
    </w:p>
    <w:p w14:paraId="16F48008">
      <w:pPr>
        <w:spacing w:line="360" w:lineRule="auto"/>
        <w:rPr>
          <w:rFonts w:hint="eastAsia" w:ascii="宋体" w:hAnsi="宋体" w:cs="宋体"/>
          <w:sz w:val="24"/>
          <w:highlight w:val="none"/>
        </w:rPr>
      </w:pPr>
      <w:r>
        <w:rPr>
          <w:rFonts w:hint="eastAsia" w:ascii="宋体" w:hAnsi="宋体" w:cs="宋体"/>
          <w:sz w:val="24"/>
          <w:highlight w:val="none"/>
        </w:rPr>
        <w:t>3.自带隔离电源模块；</w:t>
      </w:r>
    </w:p>
    <w:p w14:paraId="038493F1">
      <w:pPr>
        <w:spacing w:line="360" w:lineRule="auto"/>
        <w:rPr>
          <w:rFonts w:hint="eastAsia" w:ascii="宋体" w:hAnsi="宋体" w:cs="宋体"/>
          <w:sz w:val="24"/>
          <w:highlight w:val="none"/>
        </w:rPr>
      </w:pPr>
      <w:r>
        <w:rPr>
          <w:rFonts w:hint="eastAsia" w:ascii="宋体" w:hAnsi="宋体" w:cs="宋体"/>
          <w:sz w:val="24"/>
          <w:highlight w:val="none"/>
        </w:rPr>
        <w:t>4.多层设计，且层高可调，可满足不同腔镜主机摆放需求。</w:t>
      </w:r>
    </w:p>
    <w:p w14:paraId="5B9EF58E">
      <w:pPr>
        <w:pStyle w:val="7"/>
        <w:rPr>
          <w:rFonts w:hint="eastAsia" w:ascii="宋体" w:hAnsi="宋体" w:cs="宋体"/>
          <w:highlight w:val="none"/>
        </w:rPr>
      </w:pPr>
    </w:p>
    <w:p w14:paraId="09CF831D">
      <w:pPr>
        <w:rPr>
          <w:rFonts w:hint="eastAsia" w:ascii="宋体" w:hAnsi="宋体" w:cs="宋体"/>
          <w:highlight w:val="none"/>
        </w:rPr>
      </w:pPr>
    </w:p>
    <w:p w14:paraId="6A9E8916">
      <w:pPr>
        <w:spacing w:line="360" w:lineRule="auto"/>
        <w:jc w:val="center"/>
        <w:rPr>
          <w:rFonts w:hint="eastAsia"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 xml:space="preserve">设备55.妇科检查床 </w:t>
      </w:r>
    </w:p>
    <w:p w14:paraId="65D2056F">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数量：4张</w:t>
      </w:r>
    </w:p>
    <w:p w14:paraId="20E6220C">
      <w:pPr>
        <w:spacing w:line="360" w:lineRule="auto"/>
        <w:rPr>
          <w:rFonts w:hint="eastAsia" w:ascii="宋体" w:hAnsi="宋体" w:cs="宋体"/>
          <w:sz w:val="24"/>
          <w:szCs w:val="32"/>
          <w:highlight w:val="none"/>
        </w:rPr>
      </w:pPr>
      <w:r>
        <w:rPr>
          <w:rFonts w:hint="eastAsia" w:ascii="宋体" w:hAnsi="宋体" w:cs="宋体"/>
          <w:sz w:val="24"/>
          <w:szCs w:val="32"/>
          <w:highlight w:val="none"/>
        </w:rPr>
        <w:t>1.材质：整体框架采用优质不锈钢管焊接而成，</w:t>
      </w:r>
    </w:p>
    <w:p w14:paraId="22512A8B">
      <w:pPr>
        <w:spacing w:line="360" w:lineRule="auto"/>
        <w:rPr>
          <w:rFonts w:hint="eastAsia" w:ascii="宋体" w:hAnsi="宋体" w:cs="宋体"/>
          <w:sz w:val="24"/>
          <w:szCs w:val="32"/>
          <w:highlight w:val="none"/>
        </w:rPr>
      </w:pPr>
      <w:r>
        <w:rPr>
          <w:rFonts w:hint="eastAsia" w:ascii="宋体" w:hAnsi="宋体" w:cs="宋体"/>
          <w:sz w:val="24"/>
          <w:szCs w:val="32"/>
          <w:highlight w:val="none"/>
        </w:rPr>
        <w:t>2.床面采用三折设计，</w:t>
      </w:r>
    </w:p>
    <w:p w14:paraId="3309512B">
      <w:pPr>
        <w:spacing w:line="360" w:lineRule="auto"/>
        <w:rPr>
          <w:rFonts w:hint="eastAsia" w:ascii="宋体" w:hAnsi="宋体" w:cs="宋体"/>
          <w:sz w:val="24"/>
          <w:szCs w:val="32"/>
          <w:highlight w:val="none"/>
        </w:rPr>
      </w:pPr>
      <w:r>
        <w:rPr>
          <w:rFonts w:hint="eastAsia" w:ascii="宋体" w:hAnsi="宋体" w:cs="宋体"/>
          <w:sz w:val="24"/>
          <w:szCs w:val="32"/>
          <w:highlight w:val="none"/>
        </w:rPr>
        <w:t>3.配有扶手，背板及腿板可调节角度，</w:t>
      </w:r>
    </w:p>
    <w:p w14:paraId="6B2EB2AE">
      <w:pPr>
        <w:spacing w:line="360" w:lineRule="auto"/>
        <w:rPr>
          <w:rFonts w:hint="eastAsia" w:ascii="宋体" w:hAnsi="宋体" w:cs="宋体"/>
          <w:sz w:val="24"/>
          <w:szCs w:val="32"/>
          <w:highlight w:val="none"/>
        </w:rPr>
      </w:pPr>
      <w:r>
        <w:rPr>
          <w:rFonts w:hint="eastAsia" w:ascii="宋体" w:hAnsi="宋体" w:cs="宋体"/>
          <w:sz w:val="24"/>
          <w:szCs w:val="32"/>
          <w:highlight w:val="none"/>
        </w:rPr>
        <w:t>4.床下配有旋转式污物盆，床面采用重体海绵、优质革面无毒环保。</w:t>
      </w:r>
    </w:p>
    <w:p w14:paraId="6EE1DC04">
      <w:pPr>
        <w:spacing w:line="360" w:lineRule="auto"/>
        <w:rPr>
          <w:rFonts w:hint="eastAsia" w:ascii="宋体" w:hAnsi="宋体" w:cs="宋体"/>
          <w:sz w:val="24"/>
          <w:szCs w:val="32"/>
          <w:highlight w:val="none"/>
        </w:rPr>
      </w:pPr>
      <w:r>
        <w:rPr>
          <w:rFonts w:hint="eastAsia" w:ascii="宋体" w:hAnsi="宋体" w:cs="宋体"/>
          <w:sz w:val="24"/>
          <w:szCs w:val="32"/>
          <w:highlight w:val="none"/>
        </w:rPr>
        <w:t>5.整体使用氩弧焊工艺，焊接而成，焊缝均匀，结合牢固，经过加细抛光处理，表面光滑，平整、无毛刺，易清洁消毒，有效防止细菌滋生。</w:t>
      </w:r>
    </w:p>
    <w:p w14:paraId="671E3022">
      <w:pPr>
        <w:spacing w:line="360" w:lineRule="auto"/>
        <w:rPr>
          <w:rFonts w:hint="eastAsia" w:ascii="宋体" w:hAnsi="宋体" w:cs="宋体"/>
          <w:b/>
          <w:bCs/>
          <w:sz w:val="32"/>
          <w:szCs w:val="32"/>
          <w:highlight w:val="none"/>
        </w:rPr>
      </w:pPr>
    </w:p>
    <w:p w14:paraId="2C43CD71">
      <w:pPr>
        <w:pStyle w:val="51"/>
        <w:numPr>
          <w:ilvl w:val="0"/>
          <w:numId w:val="0"/>
        </w:numPr>
        <w:spacing w:line="360" w:lineRule="auto"/>
        <w:ind w:left="818" w:leftChars="100" w:right="210"/>
        <w:jc w:val="center"/>
        <w:rPr>
          <w:rFonts w:hint="eastAsia" w:ascii="宋体" w:hAnsi="宋体" w:cs="宋体"/>
          <w:b/>
          <w:bCs w:val="0"/>
          <w:sz w:val="32"/>
          <w:szCs w:val="32"/>
          <w:highlight w:val="none"/>
        </w:rPr>
      </w:pPr>
      <w:r>
        <w:rPr>
          <w:rFonts w:hint="eastAsia" w:ascii="宋体" w:hAnsi="宋体" w:cs="宋体"/>
          <w:b/>
          <w:sz w:val="32"/>
          <w:szCs w:val="32"/>
          <w:highlight w:val="none"/>
        </w:rPr>
        <w:t>设备56</w:t>
      </w:r>
      <w:r>
        <w:rPr>
          <w:rFonts w:hint="eastAsia" w:ascii="宋体" w:hAnsi="宋体" w:cs="宋体"/>
          <w:b/>
          <w:bCs w:val="0"/>
          <w:sz w:val="32"/>
          <w:szCs w:val="32"/>
          <w:highlight w:val="none"/>
        </w:rPr>
        <w:t>.地灯</w:t>
      </w:r>
    </w:p>
    <w:p w14:paraId="5A980B25">
      <w:pPr>
        <w:pStyle w:val="51"/>
        <w:numPr>
          <w:ilvl w:val="0"/>
          <w:numId w:val="0"/>
        </w:numPr>
        <w:spacing w:line="360" w:lineRule="auto"/>
        <w:ind w:right="210"/>
        <w:jc w:val="left"/>
        <w:rPr>
          <w:rFonts w:ascii="宋体" w:hAnsi="宋体" w:cs="宋体"/>
          <w:b/>
          <w:bCs w:val="0"/>
          <w:sz w:val="32"/>
          <w:szCs w:val="32"/>
          <w:highlight w:val="none"/>
        </w:rPr>
      </w:pPr>
      <w:r>
        <w:rPr>
          <w:rFonts w:hint="eastAsia" w:ascii="宋体" w:hAnsi="宋体" w:cs="宋体"/>
          <w:b/>
          <w:sz w:val="32"/>
          <w:szCs w:val="32"/>
          <w:highlight w:val="none"/>
        </w:rPr>
        <w:t>数量：</w:t>
      </w:r>
      <w:r>
        <w:rPr>
          <w:rFonts w:hint="eastAsia" w:ascii="宋体" w:hAnsi="宋体" w:cs="宋体"/>
          <w:b/>
          <w:bCs w:val="0"/>
          <w:sz w:val="32"/>
          <w:szCs w:val="32"/>
          <w:highlight w:val="none"/>
        </w:rPr>
        <w:t xml:space="preserve"> 3个</w:t>
      </w:r>
    </w:p>
    <w:p w14:paraId="3F371479">
      <w:pPr>
        <w:spacing w:line="360" w:lineRule="auto"/>
        <w:rPr>
          <w:rFonts w:hint="eastAsia" w:ascii="宋体" w:hAnsi="宋体" w:cs="宋体"/>
          <w:sz w:val="24"/>
          <w:highlight w:val="none"/>
        </w:rPr>
      </w:pPr>
      <w:r>
        <w:rPr>
          <w:rFonts w:hint="eastAsia" w:ascii="宋体" w:hAnsi="宋体" w:cs="宋体"/>
          <w:sz w:val="24"/>
          <w:highlight w:val="none"/>
        </w:rPr>
        <w:t>1.手术辅助照明灯≥8个LED（发光二极管）光源。</w:t>
      </w:r>
    </w:p>
    <w:p w14:paraId="5E698E79">
      <w:pPr>
        <w:spacing w:line="360" w:lineRule="auto"/>
        <w:rPr>
          <w:rFonts w:hint="eastAsia" w:ascii="宋体" w:hAnsi="宋体" w:cs="宋体"/>
          <w:sz w:val="24"/>
          <w:highlight w:val="none"/>
        </w:rPr>
      </w:pPr>
      <w:r>
        <w:rPr>
          <w:rFonts w:hint="eastAsia" w:ascii="宋体" w:hAnsi="宋体" w:cs="宋体"/>
          <w:sz w:val="24"/>
          <w:highlight w:val="none"/>
        </w:rPr>
        <w:t>2.照明灯为可移动立式结构，高度可调，底座上设有脚踏开关、通电指示灯显示和双保险丝做保护。灯头带有聚光镜，防护玻璃，控制手柄。</w:t>
      </w:r>
    </w:p>
    <w:p w14:paraId="1A2B71DF">
      <w:pPr>
        <w:spacing w:line="360" w:lineRule="auto"/>
        <w:rPr>
          <w:rFonts w:hint="eastAsia" w:ascii="宋体" w:hAnsi="宋体" w:cs="宋体"/>
          <w:sz w:val="24"/>
          <w:highlight w:val="none"/>
        </w:rPr>
      </w:pPr>
      <w:r>
        <w:rPr>
          <w:rFonts w:hint="eastAsia" w:ascii="宋体" w:hAnsi="宋体" w:cs="宋体"/>
          <w:sz w:val="24"/>
          <w:highlight w:val="none"/>
        </w:rPr>
        <w:t>3.灯头为优质铝合金制造，灯柱和底座外罩由不锈钢制作，其它附件由优质钢材制作，表面静电喷塑处理或电镀处理。</w:t>
      </w:r>
    </w:p>
    <w:p w14:paraId="75532456">
      <w:pPr>
        <w:spacing w:line="360" w:lineRule="auto"/>
        <w:rPr>
          <w:rFonts w:hint="eastAsia" w:ascii="宋体" w:hAnsi="宋体" w:cs="宋体"/>
          <w:sz w:val="24"/>
          <w:highlight w:val="none"/>
        </w:rPr>
      </w:pPr>
      <w:r>
        <w:rPr>
          <w:rFonts w:hint="eastAsia" w:ascii="宋体" w:hAnsi="宋体" w:cs="宋体"/>
          <w:sz w:val="24"/>
          <w:highlight w:val="none"/>
        </w:rPr>
        <w:t>4.照度：≥15,000 lx</w:t>
      </w:r>
    </w:p>
    <w:p w14:paraId="0964ACE8">
      <w:pPr>
        <w:spacing w:line="360" w:lineRule="auto"/>
        <w:rPr>
          <w:rFonts w:hint="eastAsia" w:ascii="宋体" w:hAnsi="宋体" w:cs="宋体"/>
          <w:sz w:val="24"/>
          <w:highlight w:val="none"/>
        </w:rPr>
      </w:pPr>
      <w:r>
        <w:rPr>
          <w:rFonts w:hint="eastAsia" w:ascii="宋体" w:hAnsi="宋体" w:cs="宋体"/>
          <w:sz w:val="24"/>
          <w:highlight w:val="none"/>
        </w:rPr>
        <w:t>5.色温：5000K±500K</w:t>
      </w:r>
    </w:p>
    <w:p w14:paraId="17619EEE">
      <w:pPr>
        <w:spacing w:line="360" w:lineRule="auto"/>
        <w:rPr>
          <w:rFonts w:hint="eastAsia" w:ascii="宋体" w:hAnsi="宋体" w:cs="宋体"/>
          <w:sz w:val="24"/>
          <w:highlight w:val="none"/>
        </w:rPr>
      </w:pPr>
      <w:r>
        <w:rPr>
          <w:rFonts w:hint="eastAsia" w:ascii="宋体" w:hAnsi="宋体" w:cs="宋体"/>
          <w:sz w:val="24"/>
          <w:highlight w:val="none"/>
        </w:rPr>
        <w:t>6.电源电压：220V±10% AC交流</w:t>
      </w:r>
    </w:p>
    <w:p w14:paraId="739B91C4">
      <w:pPr>
        <w:spacing w:line="360" w:lineRule="auto"/>
        <w:rPr>
          <w:rFonts w:hint="eastAsia" w:ascii="宋体" w:hAnsi="宋体" w:cs="宋体"/>
          <w:sz w:val="24"/>
          <w:highlight w:val="none"/>
        </w:rPr>
      </w:pPr>
      <w:r>
        <w:rPr>
          <w:rFonts w:hint="eastAsia" w:ascii="宋体" w:hAnsi="宋体" w:cs="宋体"/>
          <w:sz w:val="24"/>
          <w:highlight w:val="none"/>
        </w:rPr>
        <w:t>7.电源频率：50Hz±1 Hz</w:t>
      </w:r>
    </w:p>
    <w:p w14:paraId="4CF25048">
      <w:pPr>
        <w:spacing w:line="360" w:lineRule="auto"/>
        <w:rPr>
          <w:rFonts w:hint="eastAsia" w:ascii="宋体" w:hAnsi="宋体" w:cs="宋体"/>
          <w:sz w:val="24"/>
          <w:highlight w:val="none"/>
        </w:rPr>
      </w:pPr>
      <w:r>
        <w:rPr>
          <w:rFonts w:hint="eastAsia" w:ascii="宋体" w:hAnsi="宋体" w:cs="宋体"/>
          <w:sz w:val="24"/>
          <w:highlight w:val="none"/>
        </w:rPr>
        <w:t>8.灯泡额定功率：3.2V/1W</w:t>
      </w:r>
    </w:p>
    <w:p w14:paraId="6B395131">
      <w:pPr>
        <w:spacing w:line="360" w:lineRule="auto"/>
        <w:rPr>
          <w:rFonts w:hint="eastAsia" w:ascii="宋体" w:hAnsi="宋体" w:cs="宋体"/>
          <w:sz w:val="24"/>
          <w:highlight w:val="none"/>
        </w:rPr>
      </w:pPr>
      <w:r>
        <w:rPr>
          <w:rFonts w:hint="eastAsia" w:ascii="宋体" w:hAnsi="宋体" w:cs="宋体"/>
          <w:sz w:val="24"/>
          <w:highlight w:val="none"/>
        </w:rPr>
        <w:t>9.灯泡LED二级发光管</w:t>
      </w:r>
    </w:p>
    <w:p w14:paraId="502CA96F">
      <w:pPr>
        <w:spacing w:line="360" w:lineRule="auto"/>
        <w:jc w:val="center"/>
        <w:rPr>
          <w:rFonts w:hint="eastAsia"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 xml:space="preserve">设备57.自动两煎煎药机 </w:t>
      </w:r>
    </w:p>
    <w:p w14:paraId="744DFC3C">
      <w:pPr>
        <w:spacing w:line="360" w:lineRule="auto"/>
        <w:jc w:val="left"/>
        <w:rPr>
          <w:rFonts w:ascii="宋体" w:hAnsi="宋体" w:cs="宋体"/>
          <w:sz w:val="24"/>
          <w:highlight w:val="none"/>
        </w:rPr>
      </w:pPr>
      <w:r>
        <w:rPr>
          <w:rFonts w:hint="eastAsia" w:ascii="宋体" w:hAnsi="宋体" w:cs="宋体"/>
          <w:b/>
          <w:bCs/>
          <w:sz w:val="32"/>
          <w:szCs w:val="32"/>
          <w:highlight w:val="none"/>
        </w:rPr>
        <w:t>数量：1台</w:t>
      </w:r>
    </w:p>
    <w:p w14:paraId="1062A9AD">
      <w:pPr>
        <w:spacing w:line="360" w:lineRule="auto"/>
        <w:rPr>
          <w:rFonts w:hint="eastAsia" w:ascii="宋体" w:hAnsi="宋体" w:cs="宋体"/>
          <w:sz w:val="24"/>
          <w:highlight w:val="none"/>
        </w:rPr>
      </w:pPr>
      <w:r>
        <w:rPr>
          <w:rFonts w:hint="eastAsia" w:ascii="宋体" w:hAnsi="宋体" w:cs="宋体"/>
          <w:sz w:val="24"/>
          <w:highlight w:val="none"/>
        </w:rPr>
        <w:t xml:space="preserve">1.容量：≥100ml </w:t>
      </w:r>
    </w:p>
    <w:p w14:paraId="7DC1AFF5">
      <w:pPr>
        <w:spacing w:line="360" w:lineRule="auto"/>
        <w:rPr>
          <w:rFonts w:hint="eastAsia" w:ascii="宋体" w:hAnsi="宋体" w:cs="宋体"/>
          <w:sz w:val="24"/>
          <w:highlight w:val="none"/>
        </w:rPr>
      </w:pPr>
      <w:r>
        <w:rPr>
          <w:rFonts w:hint="eastAsia" w:ascii="宋体" w:hAnsi="宋体" w:cs="宋体"/>
          <w:sz w:val="24"/>
          <w:highlight w:val="none"/>
        </w:rPr>
        <w:t>2.可预设不少于5种煎药方案，并具备联网通讯功能。可支持通讯协议自动设置及实现煎药单据传输等通讯协议；</w:t>
      </w:r>
    </w:p>
    <w:p w14:paraId="62D6186A">
      <w:pPr>
        <w:spacing w:line="360" w:lineRule="auto"/>
        <w:rPr>
          <w:rFonts w:hint="eastAsia" w:ascii="宋体" w:hAnsi="宋体" w:cs="宋体"/>
          <w:sz w:val="24"/>
          <w:highlight w:val="none"/>
        </w:rPr>
      </w:pPr>
      <w:r>
        <w:rPr>
          <w:rFonts w:hint="eastAsia" w:ascii="宋体" w:hAnsi="宋体" w:cs="宋体"/>
          <w:sz w:val="24"/>
          <w:highlight w:val="none"/>
        </w:rPr>
        <w:t>3.符合中药煎药室管理规范的相关要求。具有常压煎药功能，自动完成一煎两煎的全过程，提高煎药药效。可实现二煎煎药，二煎时自动加水，自动清洗。</w:t>
      </w:r>
    </w:p>
    <w:p w14:paraId="5DD80516">
      <w:pPr>
        <w:spacing w:line="360" w:lineRule="auto"/>
        <w:rPr>
          <w:rFonts w:hint="eastAsia" w:ascii="宋体" w:hAnsi="宋体" w:cs="宋体"/>
          <w:sz w:val="24"/>
          <w:highlight w:val="none"/>
        </w:rPr>
      </w:pPr>
      <w:r>
        <w:rPr>
          <w:rFonts w:hint="eastAsia" w:ascii="宋体" w:hAnsi="宋体" w:cs="宋体"/>
          <w:sz w:val="24"/>
          <w:highlight w:val="none"/>
        </w:rPr>
        <w:t>4.采用安全、方便、快捷的一键式滑盖锁紧装置。</w:t>
      </w:r>
    </w:p>
    <w:p w14:paraId="06752F66">
      <w:pPr>
        <w:spacing w:line="360" w:lineRule="auto"/>
        <w:rPr>
          <w:rFonts w:hint="eastAsia" w:ascii="宋体" w:hAnsi="宋体" w:cs="宋体"/>
          <w:sz w:val="24"/>
          <w:highlight w:val="none"/>
        </w:rPr>
      </w:pPr>
      <w:r>
        <w:rPr>
          <w:rFonts w:hint="eastAsia" w:ascii="宋体" w:hAnsi="宋体" w:cs="宋体"/>
          <w:sz w:val="24"/>
          <w:highlight w:val="none"/>
        </w:rPr>
        <w:t>5.先煎后下提示功能，可实现常压煎药、密闭煎药、循环煎药功能。</w:t>
      </w:r>
    </w:p>
    <w:p w14:paraId="68C515BE">
      <w:pPr>
        <w:spacing w:line="360" w:lineRule="auto"/>
        <w:rPr>
          <w:rFonts w:hint="eastAsia" w:ascii="宋体" w:hAnsi="宋体" w:cs="宋体"/>
          <w:sz w:val="24"/>
          <w:highlight w:val="none"/>
        </w:rPr>
      </w:pPr>
      <w:r>
        <w:rPr>
          <w:rFonts w:hint="eastAsia" w:ascii="宋体" w:hAnsi="宋体" w:cs="宋体"/>
          <w:sz w:val="24"/>
          <w:highlight w:val="none"/>
        </w:rPr>
        <w:t>6.采用安全、卫生、自下往上、双滑道定位的电动机械挤压系统，实现药渣充分分离。</w:t>
      </w:r>
    </w:p>
    <w:p w14:paraId="48E80B7C">
      <w:pPr>
        <w:spacing w:line="360" w:lineRule="auto"/>
        <w:rPr>
          <w:rFonts w:hint="eastAsia" w:ascii="宋体" w:hAnsi="宋体" w:cs="宋体"/>
          <w:sz w:val="24"/>
          <w:highlight w:val="none"/>
        </w:rPr>
      </w:pPr>
      <w:r>
        <w:rPr>
          <w:rFonts w:hint="eastAsia" w:ascii="宋体" w:hAnsi="宋体" w:cs="宋体"/>
          <w:sz w:val="24"/>
          <w:highlight w:val="none"/>
        </w:rPr>
        <w:t>7.不锈钢锅体，内置不锈钢二煎储药罐。</w:t>
      </w:r>
    </w:p>
    <w:p w14:paraId="1437F24B">
      <w:pPr>
        <w:spacing w:line="360" w:lineRule="auto"/>
        <w:rPr>
          <w:rFonts w:hint="eastAsia" w:ascii="宋体" w:hAnsi="宋体" w:cs="宋体"/>
          <w:sz w:val="24"/>
          <w:highlight w:val="none"/>
        </w:rPr>
      </w:pPr>
      <w:r>
        <w:rPr>
          <w:rFonts w:hint="eastAsia" w:ascii="宋体" w:hAnsi="宋体" w:cs="宋体"/>
          <w:sz w:val="24"/>
          <w:highlight w:val="none"/>
        </w:rPr>
        <w:t>8.具有防温度过高和防干烧功能，数控煎药计时、定时功能，控制精度高。</w:t>
      </w:r>
    </w:p>
    <w:p w14:paraId="4E4EADAC">
      <w:pPr>
        <w:spacing w:line="360" w:lineRule="auto"/>
        <w:rPr>
          <w:rFonts w:hint="eastAsia" w:ascii="宋体" w:hAnsi="宋体" w:cs="宋体"/>
          <w:sz w:val="24"/>
          <w:highlight w:val="none"/>
        </w:rPr>
      </w:pPr>
      <w:r>
        <w:rPr>
          <w:rFonts w:hint="eastAsia" w:ascii="宋体" w:hAnsi="宋体" w:cs="宋体"/>
          <w:sz w:val="24"/>
          <w:highlight w:val="none"/>
        </w:rPr>
        <w:t>9.自动加热调节，文火、武火自动转换。</w:t>
      </w:r>
    </w:p>
    <w:p w14:paraId="23AA1C47">
      <w:pPr>
        <w:spacing w:line="360" w:lineRule="auto"/>
        <w:rPr>
          <w:rFonts w:hint="eastAsia" w:ascii="宋体" w:hAnsi="宋体" w:cs="宋体"/>
          <w:sz w:val="24"/>
          <w:highlight w:val="none"/>
        </w:rPr>
      </w:pPr>
      <w:r>
        <w:rPr>
          <w:rFonts w:hint="eastAsia" w:ascii="宋体" w:hAnsi="宋体" w:cs="宋体"/>
          <w:sz w:val="24"/>
          <w:highlight w:val="none"/>
        </w:rPr>
        <w:t>10.具有安全卸压阀，双安全阀超压报警，自动卸压自动闭合。</w:t>
      </w:r>
    </w:p>
    <w:p w14:paraId="4DC0870C">
      <w:pPr>
        <w:spacing w:line="360" w:lineRule="auto"/>
        <w:rPr>
          <w:rFonts w:hint="eastAsia" w:ascii="宋体" w:hAnsi="宋体" w:cs="宋体"/>
          <w:sz w:val="24"/>
          <w:highlight w:val="none"/>
        </w:rPr>
      </w:pPr>
      <w:r>
        <w:rPr>
          <w:rFonts w:hint="eastAsia" w:ascii="宋体" w:hAnsi="宋体" w:cs="宋体"/>
          <w:sz w:val="24"/>
          <w:highlight w:val="none"/>
        </w:rPr>
        <w:t>11.有蒸汽循环回收功能，煎药蒸汽经风冷冷凝器回收，保障有效成份无损失，无味煎药，改善环境。</w:t>
      </w:r>
    </w:p>
    <w:p w14:paraId="18388051">
      <w:pPr>
        <w:spacing w:line="360" w:lineRule="auto"/>
        <w:rPr>
          <w:rFonts w:hint="eastAsia" w:ascii="宋体" w:hAnsi="宋体" w:cs="宋体"/>
          <w:sz w:val="24"/>
          <w:highlight w:val="none"/>
        </w:rPr>
      </w:pPr>
      <w:r>
        <w:rPr>
          <w:rFonts w:hint="eastAsia" w:ascii="宋体" w:hAnsi="宋体" w:cs="宋体"/>
          <w:sz w:val="24"/>
          <w:highlight w:val="none"/>
        </w:rPr>
        <w:t>12.自动升温灭菌功能，延长药液的保质期。</w:t>
      </w:r>
    </w:p>
    <w:p w14:paraId="71906356">
      <w:pPr>
        <w:pStyle w:val="51"/>
        <w:numPr>
          <w:ilvl w:val="0"/>
          <w:numId w:val="0"/>
        </w:numPr>
        <w:spacing w:line="360" w:lineRule="auto"/>
        <w:ind w:right="210"/>
        <w:rPr>
          <w:rFonts w:hint="eastAsia" w:ascii="宋体" w:hAnsi="宋体" w:cs="宋体"/>
          <w:b/>
          <w:sz w:val="32"/>
          <w:szCs w:val="32"/>
          <w:highlight w:val="none"/>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74B2AA45">
      <w:pPr>
        <w:pStyle w:val="51"/>
        <w:numPr>
          <w:ilvl w:val="0"/>
          <w:numId w:val="0"/>
        </w:numPr>
        <w:spacing w:line="360" w:lineRule="auto"/>
        <w:ind w:right="210"/>
        <w:jc w:val="center"/>
        <w:rPr>
          <w:rFonts w:hint="eastAsia" w:ascii="宋体" w:hAnsi="宋体" w:cs="宋体"/>
          <w:b/>
          <w:bCs w:val="0"/>
          <w:sz w:val="32"/>
          <w:szCs w:val="32"/>
          <w:highlight w:val="none"/>
        </w:rPr>
      </w:pPr>
      <w:r>
        <w:rPr>
          <w:rFonts w:hint="eastAsia" w:ascii="宋体" w:hAnsi="宋体" w:cs="宋体"/>
          <w:b/>
          <w:sz w:val="32"/>
          <w:szCs w:val="32"/>
          <w:highlight w:val="none"/>
        </w:rPr>
        <w:t>设备58</w:t>
      </w:r>
      <w:r>
        <w:rPr>
          <w:rFonts w:hint="eastAsia" w:ascii="宋体" w:hAnsi="宋体" w:cs="宋体"/>
          <w:b/>
          <w:bCs w:val="0"/>
          <w:sz w:val="32"/>
          <w:szCs w:val="32"/>
          <w:highlight w:val="none"/>
        </w:rPr>
        <w:t>.液体包装机</w:t>
      </w:r>
    </w:p>
    <w:p w14:paraId="6BAC47D9">
      <w:pPr>
        <w:pStyle w:val="51"/>
        <w:numPr>
          <w:ilvl w:val="0"/>
          <w:numId w:val="0"/>
        </w:numPr>
        <w:spacing w:line="360" w:lineRule="auto"/>
        <w:ind w:right="210"/>
        <w:jc w:val="left"/>
        <w:rPr>
          <w:rFonts w:ascii="宋体" w:hAnsi="宋体" w:cs="宋体"/>
          <w:b/>
          <w:bCs w:val="0"/>
          <w:sz w:val="32"/>
          <w:szCs w:val="32"/>
          <w:highlight w:val="none"/>
        </w:rPr>
      </w:pPr>
      <w:r>
        <w:rPr>
          <w:rFonts w:hint="eastAsia" w:ascii="宋体" w:hAnsi="宋体" w:cs="宋体"/>
          <w:b/>
          <w:sz w:val="32"/>
          <w:szCs w:val="32"/>
          <w:highlight w:val="none"/>
        </w:rPr>
        <w:t>数量：</w:t>
      </w:r>
      <w:r>
        <w:rPr>
          <w:rFonts w:hint="eastAsia" w:ascii="宋体" w:hAnsi="宋体" w:cs="宋体"/>
          <w:b/>
          <w:bCs w:val="0"/>
          <w:sz w:val="32"/>
          <w:szCs w:val="32"/>
          <w:highlight w:val="none"/>
        </w:rPr>
        <w:t>1台</w:t>
      </w:r>
    </w:p>
    <w:p w14:paraId="57A33E59">
      <w:pPr>
        <w:spacing w:line="360" w:lineRule="auto"/>
        <w:rPr>
          <w:rFonts w:hint="eastAsia" w:ascii="宋体" w:hAnsi="宋体" w:cs="宋体"/>
          <w:sz w:val="24"/>
          <w:highlight w:val="none"/>
        </w:rPr>
      </w:pPr>
      <w:r>
        <w:rPr>
          <w:rFonts w:hint="eastAsia" w:ascii="宋体" w:hAnsi="宋体" w:cs="宋体"/>
          <w:sz w:val="24"/>
          <w:highlight w:val="none"/>
        </w:rPr>
        <w:t>1.容量：≥20000ML</w:t>
      </w:r>
    </w:p>
    <w:p w14:paraId="3879A2A8">
      <w:pPr>
        <w:spacing w:line="360" w:lineRule="auto"/>
        <w:rPr>
          <w:rFonts w:hint="eastAsia" w:ascii="宋体" w:hAnsi="宋体" w:cs="宋体"/>
          <w:sz w:val="24"/>
          <w:highlight w:val="none"/>
        </w:rPr>
      </w:pPr>
      <w:r>
        <w:rPr>
          <w:rFonts w:hint="eastAsia" w:ascii="宋体" w:hAnsi="宋体" w:cs="宋体"/>
          <w:sz w:val="24"/>
          <w:highlight w:val="none"/>
        </w:rPr>
        <w:t>2.自动包装，卫生健康，保质期长，易于携带，服用方便。</w:t>
      </w:r>
    </w:p>
    <w:p w14:paraId="450C6B1D">
      <w:pPr>
        <w:spacing w:line="360" w:lineRule="auto"/>
        <w:rPr>
          <w:rFonts w:hint="eastAsia" w:ascii="宋体" w:hAnsi="宋体" w:cs="宋体"/>
          <w:sz w:val="24"/>
          <w:highlight w:val="none"/>
        </w:rPr>
      </w:pPr>
      <w:r>
        <w:rPr>
          <w:rFonts w:hint="eastAsia" w:ascii="宋体" w:hAnsi="宋体" w:cs="宋体"/>
          <w:sz w:val="24"/>
          <w:highlight w:val="none"/>
        </w:rPr>
        <w:t>3.包装温度、包装量自动显示。</w:t>
      </w:r>
    </w:p>
    <w:p w14:paraId="4BBC19AA">
      <w:pPr>
        <w:spacing w:line="360" w:lineRule="auto"/>
        <w:rPr>
          <w:rFonts w:hint="eastAsia" w:ascii="宋体" w:hAnsi="宋体" w:cs="宋体"/>
          <w:sz w:val="24"/>
          <w:highlight w:val="none"/>
        </w:rPr>
      </w:pPr>
      <w:r>
        <w:rPr>
          <w:rFonts w:hint="eastAsia" w:ascii="宋体" w:hAnsi="宋体" w:cs="宋体"/>
          <w:sz w:val="24"/>
          <w:highlight w:val="none"/>
        </w:rPr>
        <w:t>4.封合温度数字化控制，可以设定自动恒定。</w:t>
      </w:r>
    </w:p>
    <w:p w14:paraId="5B3803F8">
      <w:pPr>
        <w:spacing w:line="360" w:lineRule="auto"/>
        <w:rPr>
          <w:rFonts w:hint="eastAsia" w:ascii="宋体" w:hAnsi="宋体" w:cs="宋体"/>
          <w:sz w:val="24"/>
          <w:highlight w:val="none"/>
        </w:rPr>
      </w:pPr>
      <w:r>
        <w:rPr>
          <w:rFonts w:hint="eastAsia" w:ascii="宋体" w:hAnsi="宋体" w:cs="宋体"/>
          <w:sz w:val="24"/>
          <w:highlight w:val="none"/>
        </w:rPr>
        <w:t>5.包装量为50-250ML无极变量可调包装。</w:t>
      </w:r>
    </w:p>
    <w:p w14:paraId="513BB513">
      <w:pPr>
        <w:spacing w:line="360" w:lineRule="auto"/>
        <w:rPr>
          <w:rFonts w:hint="eastAsia" w:ascii="宋体" w:hAnsi="宋体" w:cs="宋体"/>
          <w:sz w:val="24"/>
          <w:highlight w:val="none"/>
        </w:rPr>
      </w:pPr>
      <w:r>
        <w:rPr>
          <w:rFonts w:hint="eastAsia" w:ascii="宋体" w:hAnsi="宋体" w:cs="宋体"/>
          <w:sz w:val="24"/>
          <w:highlight w:val="none"/>
        </w:rPr>
        <w:t>6.适用于老人、儿童、成年人等不同用量。</w:t>
      </w:r>
    </w:p>
    <w:p w14:paraId="23862F8D">
      <w:pPr>
        <w:spacing w:line="360" w:lineRule="auto"/>
        <w:rPr>
          <w:rFonts w:hint="eastAsia" w:ascii="宋体" w:hAnsi="宋体" w:cs="宋体"/>
          <w:sz w:val="24"/>
          <w:highlight w:val="none"/>
        </w:rPr>
      </w:pPr>
      <w:r>
        <w:rPr>
          <w:rFonts w:hint="eastAsia" w:ascii="宋体" w:hAnsi="宋体" w:cs="宋体"/>
          <w:sz w:val="24"/>
          <w:highlight w:val="none"/>
        </w:rPr>
        <w:t>7.包装平均速度8袋/分。</w:t>
      </w:r>
    </w:p>
    <w:p w14:paraId="695BF957">
      <w:pPr>
        <w:spacing w:line="360" w:lineRule="auto"/>
        <w:jc w:val="center"/>
        <w:rPr>
          <w:rFonts w:hint="eastAsia" w:ascii="宋体" w:hAnsi="宋体" w:cs="宋体"/>
          <w:b/>
          <w:bCs/>
          <w:sz w:val="32"/>
          <w:szCs w:val="32"/>
          <w:highlight w:val="none"/>
        </w:rPr>
      </w:pPr>
    </w:p>
    <w:p w14:paraId="3D3F5AEF">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设备59.不锈钢药柜 </w:t>
      </w:r>
    </w:p>
    <w:p w14:paraId="04109808">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数量：1套</w:t>
      </w:r>
    </w:p>
    <w:p w14:paraId="1F05B971">
      <w:pPr>
        <w:numPr>
          <w:ilvl w:val="0"/>
          <w:numId w:val="27"/>
        </w:numPr>
        <w:spacing w:line="360" w:lineRule="auto"/>
        <w:rPr>
          <w:rFonts w:hint="eastAsia" w:ascii="宋体" w:hAnsi="宋体" w:cs="宋体"/>
          <w:sz w:val="24"/>
          <w:szCs w:val="32"/>
          <w:highlight w:val="none"/>
        </w:rPr>
      </w:pPr>
      <w:r>
        <w:rPr>
          <w:rFonts w:hint="eastAsia" w:ascii="宋体" w:hAnsi="宋体" w:cs="宋体"/>
          <w:sz w:val="24"/>
          <w:szCs w:val="32"/>
          <w:highlight w:val="none"/>
        </w:rPr>
        <w:t>结构：通体对开门或上下各对开门，柜门为内厢式使其更加防撬，内部两层活动隔板，可自由间隔</w:t>
      </w:r>
    </w:p>
    <w:p w14:paraId="02884111">
      <w:pPr>
        <w:numPr>
          <w:ilvl w:val="0"/>
          <w:numId w:val="27"/>
        </w:numPr>
        <w:spacing w:line="360" w:lineRule="auto"/>
        <w:rPr>
          <w:rFonts w:hint="eastAsia" w:ascii="宋体" w:hAnsi="宋体" w:cs="宋体"/>
          <w:sz w:val="24"/>
          <w:szCs w:val="32"/>
          <w:highlight w:val="none"/>
        </w:rPr>
      </w:pPr>
      <w:r>
        <w:rPr>
          <w:rFonts w:hint="eastAsia" w:ascii="宋体" w:hAnsi="宋体" w:cs="宋体"/>
          <w:sz w:val="24"/>
          <w:szCs w:val="32"/>
          <w:highlight w:val="none"/>
        </w:rPr>
        <w:t>板材：采用优质冷轧钢板</w:t>
      </w:r>
    </w:p>
    <w:p w14:paraId="35E0ADEC">
      <w:pPr>
        <w:numPr>
          <w:ilvl w:val="0"/>
          <w:numId w:val="27"/>
        </w:numPr>
        <w:spacing w:line="360" w:lineRule="auto"/>
        <w:rPr>
          <w:rFonts w:hint="eastAsia" w:ascii="宋体" w:hAnsi="宋体" w:cs="宋体"/>
          <w:sz w:val="24"/>
          <w:szCs w:val="32"/>
          <w:highlight w:val="none"/>
        </w:rPr>
      </w:pPr>
      <w:r>
        <w:rPr>
          <w:rFonts w:hint="eastAsia" w:ascii="宋体" w:hAnsi="宋体" w:cs="宋体"/>
          <w:sz w:val="24"/>
          <w:szCs w:val="32"/>
          <w:highlight w:val="none"/>
        </w:rPr>
        <w:t>工艺：金属架体及附件经酸洗、磷化、除锈处理，环保无毒害、无气味</w:t>
      </w:r>
    </w:p>
    <w:p w14:paraId="278307CC">
      <w:pPr>
        <w:numPr>
          <w:ilvl w:val="0"/>
          <w:numId w:val="27"/>
        </w:numPr>
        <w:spacing w:line="360" w:lineRule="auto"/>
        <w:rPr>
          <w:rFonts w:hint="eastAsia" w:ascii="宋体" w:hAnsi="宋体" w:cs="宋体"/>
          <w:sz w:val="24"/>
          <w:szCs w:val="32"/>
          <w:highlight w:val="none"/>
        </w:rPr>
      </w:pPr>
      <w:r>
        <w:rPr>
          <w:rFonts w:hint="eastAsia" w:ascii="宋体" w:hAnsi="宋体" w:cs="宋体"/>
          <w:sz w:val="24"/>
          <w:szCs w:val="32"/>
          <w:highlight w:val="none"/>
        </w:rPr>
        <w:t>达到或超过以下标准：光泽度&gt;65%，冲击强度能承受≥3.29J的冲击，附着力不低于三级（划圈法）。</w:t>
      </w:r>
    </w:p>
    <w:p w14:paraId="3C8B1E2F">
      <w:pPr>
        <w:numPr>
          <w:ilvl w:val="0"/>
          <w:numId w:val="27"/>
        </w:numPr>
        <w:spacing w:line="360" w:lineRule="auto"/>
        <w:rPr>
          <w:rFonts w:hint="eastAsia" w:ascii="宋体" w:hAnsi="宋体" w:cs="宋体"/>
          <w:sz w:val="24"/>
          <w:szCs w:val="32"/>
          <w:highlight w:val="none"/>
        </w:rPr>
      </w:pPr>
      <w:r>
        <w:rPr>
          <w:rFonts w:hint="eastAsia" w:ascii="宋体" w:hAnsi="宋体" w:cs="宋体"/>
          <w:sz w:val="24"/>
          <w:szCs w:val="32"/>
          <w:highlight w:val="none"/>
        </w:rPr>
        <w:t>五金件：采用优质五金件，铝合金拉手。</w:t>
      </w:r>
    </w:p>
    <w:p w14:paraId="57F46EF2">
      <w:pPr>
        <w:numPr>
          <w:ilvl w:val="0"/>
          <w:numId w:val="27"/>
        </w:numPr>
        <w:spacing w:line="360" w:lineRule="auto"/>
        <w:rPr>
          <w:rFonts w:hint="eastAsia" w:ascii="宋体" w:hAnsi="宋体" w:cs="宋体"/>
          <w:sz w:val="24"/>
          <w:szCs w:val="32"/>
          <w:highlight w:val="none"/>
        </w:rPr>
      </w:pPr>
      <w:r>
        <w:rPr>
          <w:rFonts w:hint="eastAsia" w:ascii="宋体" w:hAnsi="宋体" w:cs="宋体"/>
          <w:sz w:val="24"/>
          <w:szCs w:val="32"/>
          <w:highlight w:val="none"/>
        </w:rPr>
        <w:t>甲醛释放量达到国家检测标准</w:t>
      </w:r>
    </w:p>
    <w:p w14:paraId="4231AB2F">
      <w:pPr>
        <w:spacing w:line="360" w:lineRule="auto"/>
        <w:jc w:val="center"/>
        <w:rPr>
          <w:rFonts w:hint="eastAsia" w:ascii="宋体" w:hAnsi="宋体" w:cs="宋体"/>
          <w:b/>
          <w:bCs/>
          <w:sz w:val="32"/>
          <w:szCs w:val="32"/>
          <w:highlight w:val="none"/>
        </w:rPr>
      </w:pPr>
    </w:p>
    <w:p w14:paraId="7B5834AC">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设备60.医用冷藏保存箱 </w:t>
      </w:r>
    </w:p>
    <w:p w14:paraId="2AD68957">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数量：5台</w:t>
      </w:r>
    </w:p>
    <w:p w14:paraId="79EDC77F">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1</w:t>
      </w:r>
      <w:r>
        <w:rPr>
          <w:rFonts w:ascii="宋体" w:hAnsi="宋体" w:cs="仿宋_GB2312"/>
          <w:color w:val="000000"/>
          <w:sz w:val="24"/>
          <w:highlight w:val="none"/>
        </w:rPr>
        <w:t>.</w:t>
      </w:r>
      <w:r>
        <w:rPr>
          <w:rFonts w:hint="eastAsia" w:ascii="宋体" w:hAnsi="宋体" w:cs="仿宋_GB2312"/>
          <w:color w:val="000000"/>
          <w:sz w:val="24"/>
          <w:highlight w:val="none"/>
        </w:rPr>
        <w:t>样式：立式。</w:t>
      </w:r>
    </w:p>
    <w:p w14:paraId="13C96855">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2</w:t>
      </w:r>
      <w:r>
        <w:rPr>
          <w:rFonts w:ascii="宋体" w:hAnsi="宋体" w:cs="仿宋_GB2312"/>
          <w:color w:val="000000"/>
          <w:sz w:val="24"/>
          <w:highlight w:val="none"/>
        </w:rPr>
        <w:t>.</w:t>
      </w:r>
      <w:r>
        <w:rPr>
          <w:rFonts w:hint="eastAsia" w:ascii="宋体" w:hAnsi="宋体" w:cs="仿宋_GB2312"/>
          <w:color w:val="000000"/>
          <w:sz w:val="24"/>
          <w:highlight w:val="none"/>
        </w:rPr>
        <w:t>气候类型：</w:t>
      </w:r>
      <w:r>
        <w:rPr>
          <w:rFonts w:ascii="宋体" w:hAnsi="宋体" w:cs="宋体"/>
          <w:color w:val="000000"/>
          <w:kern w:val="0"/>
          <w:sz w:val="24"/>
          <w:highlight w:val="none"/>
        </w:rPr>
        <w:t>SN/N</w:t>
      </w:r>
      <w:r>
        <w:rPr>
          <w:rFonts w:hint="eastAsia" w:ascii="宋体" w:hAnsi="宋体" w:cs="宋体"/>
          <w:color w:val="000000"/>
          <w:kern w:val="0"/>
          <w:sz w:val="24"/>
          <w:highlight w:val="none"/>
        </w:rPr>
        <w:t>。</w:t>
      </w:r>
    </w:p>
    <w:p w14:paraId="052B86C9">
      <w:pPr>
        <w:spacing w:line="360" w:lineRule="auto"/>
        <w:jc w:val="left"/>
        <w:rPr>
          <w:rFonts w:ascii="宋体" w:hAnsi="宋体" w:cs="宋体"/>
          <w:color w:val="000000"/>
          <w:sz w:val="24"/>
          <w:highlight w:val="none"/>
        </w:rPr>
      </w:pPr>
      <w:r>
        <w:rPr>
          <w:rFonts w:hint="eastAsia" w:ascii="宋体" w:hAnsi="宋体" w:cs="仿宋"/>
          <w:color w:val="000000"/>
          <w:sz w:val="24"/>
          <w:highlight w:val="none"/>
        </w:rPr>
        <w:t>3</w:t>
      </w:r>
      <w:r>
        <w:rPr>
          <w:rFonts w:ascii="宋体" w:hAnsi="宋体" w:cs="仿宋"/>
          <w:color w:val="000000"/>
          <w:sz w:val="24"/>
          <w:highlight w:val="none"/>
        </w:rPr>
        <w:t>.</w:t>
      </w:r>
      <w:r>
        <w:rPr>
          <w:rFonts w:hint="eastAsia" w:ascii="宋体" w:hAnsi="宋体" w:cs="宋体"/>
          <w:bCs/>
          <w:color w:val="000000"/>
          <w:sz w:val="24"/>
          <w:highlight w:val="none"/>
        </w:rPr>
        <w:t>制冷方式</w:t>
      </w:r>
      <w:r>
        <w:rPr>
          <w:rFonts w:hint="eastAsia" w:ascii="宋体" w:hAnsi="宋体" w:cs="宋体"/>
          <w:color w:val="000000"/>
          <w:sz w:val="24"/>
          <w:highlight w:val="none"/>
        </w:rPr>
        <w:t>：风冷。</w:t>
      </w:r>
    </w:p>
    <w:p w14:paraId="7674BFB9">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4</w:t>
      </w:r>
      <w:r>
        <w:rPr>
          <w:rFonts w:ascii="宋体" w:hAnsi="宋体" w:cs="仿宋_GB2312"/>
          <w:color w:val="000000"/>
          <w:sz w:val="24"/>
          <w:highlight w:val="none"/>
        </w:rPr>
        <w:t>.</w:t>
      </w:r>
      <w:r>
        <w:rPr>
          <w:rFonts w:hint="eastAsia" w:ascii="宋体" w:hAnsi="宋体" w:cs="仿宋_GB2312"/>
          <w:color w:val="000000"/>
          <w:sz w:val="24"/>
          <w:highlight w:val="none"/>
        </w:rPr>
        <w:t>箱内温度：2～8℃。</w:t>
      </w:r>
    </w:p>
    <w:p w14:paraId="05241A2B">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5.工作条件：环境温度10～32℃，电源220V/50Hz。</w:t>
      </w:r>
    </w:p>
    <w:p w14:paraId="34634860">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6.门体数量：</w:t>
      </w:r>
      <w:r>
        <w:rPr>
          <w:rFonts w:ascii="宋体" w:hAnsi="宋体" w:cs="仿宋_GB2312"/>
          <w:color w:val="000000"/>
          <w:sz w:val="24"/>
          <w:highlight w:val="none"/>
        </w:rPr>
        <w:t>1</w:t>
      </w:r>
      <w:r>
        <w:rPr>
          <w:rFonts w:hint="eastAsia" w:ascii="宋体" w:hAnsi="宋体" w:cs="仿宋_GB2312"/>
          <w:color w:val="000000"/>
          <w:sz w:val="24"/>
          <w:highlight w:val="none"/>
        </w:rPr>
        <w:t>扇。</w:t>
      </w:r>
    </w:p>
    <w:p w14:paraId="1FB340D1">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7.网架：</w:t>
      </w:r>
      <w:r>
        <w:rPr>
          <w:rFonts w:hint="eastAsia" w:ascii="宋体" w:hAnsi="宋体" w:cs="宋体"/>
          <w:color w:val="000000"/>
          <w:sz w:val="24"/>
          <w:highlight w:val="none"/>
        </w:rPr>
        <w:t xml:space="preserve">标配≥5层浸塑网架，搁架配有插卡槽，可调高度，带标识条。 </w:t>
      </w:r>
    </w:p>
    <w:p w14:paraId="1D4511E2">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8.脚轮：4个脚轮，</w:t>
      </w:r>
      <w:r>
        <w:rPr>
          <w:rFonts w:hint="eastAsia" w:ascii="宋体" w:hAnsi="宋体"/>
          <w:color w:val="000000"/>
          <w:sz w:val="24"/>
          <w:highlight w:val="none"/>
        </w:rPr>
        <w:t>用户可根据需要移动箱体；带</w:t>
      </w:r>
      <w:r>
        <w:rPr>
          <w:rFonts w:hint="eastAsia" w:ascii="宋体" w:hAnsi="宋体" w:cs="仿宋_GB2312"/>
          <w:color w:val="000000"/>
          <w:sz w:val="24"/>
          <w:highlight w:val="none"/>
        </w:rPr>
        <w:t>2个调平脚，可固定箱体</w:t>
      </w:r>
      <w:r>
        <w:rPr>
          <w:rFonts w:hint="eastAsia" w:ascii="宋体" w:hAnsi="宋体"/>
          <w:color w:val="000000"/>
          <w:sz w:val="24"/>
          <w:highlight w:val="none"/>
        </w:rPr>
        <w:t>。</w:t>
      </w:r>
    </w:p>
    <w:p w14:paraId="7E282FBB">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9.测试孔：1个，方便安装温湿度记录仪。</w:t>
      </w:r>
    </w:p>
    <w:p w14:paraId="7D9D68BF">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10</w:t>
      </w:r>
      <w:r>
        <w:rPr>
          <w:rFonts w:ascii="宋体" w:hAnsi="宋体" w:cs="仿宋_GB2312"/>
          <w:color w:val="000000"/>
          <w:sz w:val="24"/>
          <w:highlight w:val="none"/>
        </w:rPr>
        <w:t>.</w:t>
      </w:r>
      <w:r>
        <w:rPr>
          <w:rFonts w:hint="eastAsia" w:ascii="宋体" w:hAnsi="宋体" w:cs="仿宋_GB2312"/>
          <w:color w:val="000000"/>
          <w:sz w:val="24"/>
          <w:highlight w:val="none"/>
        </w:rPr>
        <w:t>风机类型：</w:t>
      </w:r>
      <w:r>
        <w:rPr>
          <w:rFonts w:hint="eastAsia" w:ascii="宋体" w:hAnsi="宋体" w:cs="宋体"/>
          <w:color w:val="000000"/>
          <w:sz w:val="24"/>
          <w:highlight w:val="none"/>
        </w:rPr>
        <w:t>采用罩极风机。</w:t>
      </w:r>
    </w:p>
    <w:p w14:paraId="19265F09">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11.压缩机：品牌压缩机，数量1个。</w:t>
      </w:r>
    </w:p>
    <w:p w14:paraId="16291248">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12</w:t>
      </w:r>
      <w:r>
        <w:rPr>
          <w:rFonts w:ascii="宋体" w:hAnsi="宋体" w:cs="仿宋_GB2312"/>
          <w:color w:val="000000"/>
          <w:sz w:val="24"/>
          <w:highlight w:val="none"/>
        </w:rPr>
        <w:t>.</w:t>
      </w:r>
      <w:r>
        <w:rPr>
          <w:rFonts w:hint="eastAsia" w:ascii="宋体" w:hAnsi="宋体" w:cs="仿宋_GB2312"/>
          <w:color w:val="000000"/>
          <w:sz w:val="24"/>
          <w:highlight w:val="none"/>
        </w:rPr>
        <w:t>显示方式：LED数码显示屏，可显示箱内温度及各种报警信息。</w:t>
      </w:r>
    </w:p>
    <w:p w14:paraId="6E3B3DEE">
      <w:pPr>
        <w:spacing w:line="360" w:lineRule="auto"/>
        <w:jc w:val="left"/>
        <w:rPr>
          <w:rFonts w:ascii="宋体" w:hAnsi="宋体" w:cs="仿宋_GB2312"/>
          <w:color w:val="000000"/>
          <w:sz w:val="24"/>
          <w:highlight w:val="none"/>
        </w:rPr>
      </w:pPr>
      <w:r>
        <w:rPr>
          <w:rFonts w:hint="eastAsia" w:ascii="宋体" w:hAnsi="宋体" w:cs="仿宋_GB2312"/>
          <w:color w:val="000000"/>
          <w:sz w:val="24"/>
          <w:highlight w:val="none"/>
        </w:rPr>
        <w:t>13.报警系统：多种报警系统</w:t>
      </w:r>
      <w:r>
        <w:rPr>
          <w:rFonts w:hint="eastAsia" w:ascii="宋体" w:hAnsi="宋体" w:cs="仿宋_GB2312"/>
          <w:color w:val="000000"/>
          <w:kern w:val="0"/>
          <w:sz w:val="24"/>
          <w:highlight w:val="none"/>
        </w:rPr>
        <w:t>。</w:t>
      </w:r>
    </w:p>
    <w:p w14:paraId="4176D994">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br w:type="page"/>
      </w:r>
      <w:r>
        <w:rPr>
          <w:rFonts w:hint="eastAsia" w:ascii="宋体" w:hAnsi="宋体" w:cs="宋体"/>
          <w:b/>
          <w:bCs/>
          <w:sz w:val="32"/>
          <w:szCs w:val="32"/>
          <w:highlight w:val="none"/>
        </w:rPr>
        <w:t xml:space="preserve">设备61.医用冷藏保存箱 </w:t>
      </w:r>
    </w:p>
    <w:p w14:paraId="44CEAF68">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数量：5台</w:t>
      </w:r>
    </w:p>
    <w:p w14:paraId="2E761B82">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1.样式：立式。</w:t>
      </w:r>
    </w:p>
    <w:p w14:paraId="2679346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2.耗电量：0.84 kW.h/24h。 </w:t>
      </w:r>
    </w:p>
    <w:p w14:paraId="5D0AA6E1">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3.噪音值：50dB。</w:t>
      </w:r>
    </w:p>
    <w:p w14:paraId="273CF1AF">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4.气候类型：</w:t>
      </w:r>
      <w:r>
        <w:rPr>
          <w:rFonts w:hint="eastAsia" w:ascii="宋体" w:hAnsi="宋体" w:cs="宋体"/>
          <w:color w:val="000000"/>
          <w:kern w:val="0"/>
          <w:sz w:val="24"/>
          <w:highlight w:val="none"/>
        </w:rPr>
        <w:t>SN/N。</w:t>
      </w:r>
    </w:p>
    <w:p w14:paraId="15BDE163">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5.</w:t>
      </w:r>
      <w:r>
        <w:rPr>
          <w:rFonts w:hint="eastAsia" w:ascii="宋体" w:hAnsi="宋体" w:cs="宋体"/>
          <w:bCs/>
          <w:color w:val="000000"/>
          <w:sz w:val="24"/>
          <w:highlight w:val="none"/>
        </w:rPr>
        <w:t>制冷方式</w:t>
      </w:r>
      <w:r>
        <w:rPr>
          <w:rFonts w:hint="eastAsia" w:ascii="宋体" w:hAnsi="宋体" w:cs="宋体"/>
          <w:color w:val="000000"/>
          <w:sz w:val="24"/>
          <w:highlight w:val="none"/>
        </w:rPr>
        <w:t>：风冷。</w:t>
      </w:r>
    </w:p>
    <w:p w14:paraId="07C9FA63">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6.箱内温度：2℃～8℃。</w:t>
      </w:r>
    </w:p>
    <w:p w14:paraId="12CDB44F">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7.工作条件：环境温度10～32℃，电源220V/50Hz。</w:t>
      </w:r>
    </w:p>
    <w:p w14:paraId="1B01AC12">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8.门体数量：1扇。</w:t>
      </w:r>
    </w:p>
    <w:p w14:paraId="18C2CA52">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 xml:space="preserve">9.网架：≥2层，浸塑材质。 </w:t>
      </w:r>
    </w:p>
    <w:p w14:paraId="6A55EAD4">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10.</w:t>
      </w:r>
      <w:r>
        <w:rPr>
          <w:rFonts w:hint="eastAsia" w:ascii="宋体" w:hAnsi="宋体" w:cs="宋体"/>
          <w:color w:val="000000"/>
          <w:kern w:val="0"/>
          <w:sz w:val="24"/>
          <w:highlight w:val="none"/>
        </w:rPr>
        <w:t>底脚：4个调平脚。</w:t>
      </w:r>
    </w:p>
    <w:p w14:paraId="589CC68E">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11.冷凝器：丝管式冷凝器。</w:t>
      </w:r>
    </w:p>
    <w:p w14:paraId="35119A48">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12.蒸发器：盘管式蒸发器。</w:t>
      </w:r>
    </w:p>
    <w:p w14:paraId="3BE3A83C">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13.压缩机：品牌压缩机，数量1个。</w:t>
      </w:r>
    </w:p>
    <w:p w14:paraId="3B4A022D">
      <w:pPr>
        <w:spacing w:line="360" w:lineRule="auto"/>
        <w:jc w:val="left"/>
        <w:rPr>
          <w:rFonts w:hint="eastAsia" w:ascii="宋体" w:hAnsi="宋体" w:cs="宋体"/>
          <w:color w:val="000000"/>
          <w:kern w:val="0"/>
          <w:sz w:val="24"/>
          <w:highlight w:val="none"/>
        </w:rPr>
      </w:pPr>
      <w:r>
        <w:rPr>
          <w:rFonts w:hint="eastAsia" w:ascii="宋体" w:hAnsi="宋体" w:cs="宋体"/>
          <w:color w:val="000000"/>
          <w:sz w:val="24"/>
          <w:highlight w:val="none"/>
        </w:rPr>
        <w:t>14.制冷系统：</w:t>
      </w:r>
      <w:r>
        <w:rPr>
          <w:rFonts w:hint="eastAsia" w:ascii="宋体" w:hAnsi="宋体" w:cs="宋体"/>
          <w:color w:val="000000"/>
          <w:kern w:val="0"/>
          <w:sz w:val="24"/>
          <w:highlight w:val="none"/>
        </w:rPr>
        <w:t>高效的制冷系统设计，实现更均匀的温度布局，同时保证更小的温度波动，从而实现样本储存温度的稳定。</w:t>
      </w:r>
    </w:p>
    <w:p w14:paraId="191289B9">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15.显示方式：LED数码显示屏，可显示箱内温度及报警信息。</w:t>
      </w:r>
    </w:p>
    <w:p w14:paraId="537C090F">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16.报警系统：</w:t>
      </w:r>
      <w:r>
        <w:rPr>
          <w:rFonts w:hint="eastAsia" w:ascii="宋体" w:hAnsi="宋体" w:cs="仿宋_GB2312"/>
          <w:color w:val="000000"/>
          <w:sz w:val="24"/>
          <w:highlight w:val="none"/>
        </w:rPr>
        <w:t>多种报警系统</w:t>
      </w:r>
      <w:r>
        <w:rPr>
          <w:rFonts w:hint="eastAsia" w:ascii="宋体" w:hAnsi="宋体" w:cs="宋体"/>
          <w:color w:val="000000"/>
          <w:kern w:val="0"/>
          <w:sz w:val="24"/>
          <w:highlight w:val="none"/>
        </w:rPr>
        <w:t>。</w:t>
      </w:r>
    </w:p>
    <w:p w14:paraId="0B7D7DE1">
      <w:pPr>
        <w:spacing w:line="360" w:lineRule="auto"/>
        <w:rPr>
          <w:rFonts w:hint="eastAsia" w:ascii="宋体" w:hAnsi="宋体" w:cs="宋体"/>
          <w:color w:val="000000"/>
          <w:sz w:val="24"/>
          <w:highlight w:val="none"/>
        </w:rPr>
      </w:pPr>
    </w:p>
    <w:p w14:paraId="195C0E2C">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w:t>
      </w:r>
      <w:r>
        <w:rPr>
          <w:rFonts w:hint="eastAsia" w:ascii="宋体" w:hAnsi="宋体" w:cs="宋体"/>
          <w:b/>
          <w:bCs/>
          <w:color w:val="000000"/>
          <w:sz w:val="32"/>
          <w:szCs w:val="32"/>
          <w:highlight w:val="none"/>
        </w:rPr>
        <w:t>62.</w:t>
      </w:r>
      <w:r>
        <w:rPr>
          <w:rFonts w:hint="eastAsia" w:ascii="宋体" w:hAnsi="宋体" w:cs="宋体"/>
          <w:b/>
          <w:bCs/>
          <w:sz w:val="32"/>
          <w:szCs w:val="32"/>
          <w:highlight w:val="none"/>
        </w:rPr>
        <w:t xml:space="preserve">扫码枪 </w:t>
      </w:r>
    </w:p>
    <w:p w14:paraId="16668562">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数量：12个</w:t>
      </w:r>
    </w:p>
    <w:p w14:paraId="07090532">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1.电源：直流5伏士0.25伏</w:t>
      </w:r>
    </w:p>
    <w:p w14:paraId="7932DC28">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2.电流：25毫安(工作):95毫安(工作瞬间最大)</w:t>
      </w:r>
    </w:p>
    <w:p w14:paraId="0167AC82">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3.光源：650纳米激光</w:t>
      </w:r>
    </w:p>
    <w:p w14:paraId="34C687FE">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4.激光等级：EN60825-1，class1，国家二级激光安全标准</w:t>
      </w:r>
    </w:p>
    <w:p w14:paraId="65F0EF26">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5.解码速度：200次/秒</w:t>
      </w:r>
    </w:p>
    <w:p w14:paraId="3EF8C9EE">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6.解析度：3mil5mil</w:t>
      </w:r>
    </w:p>
    <w:p w14:paraId="5CF998F0">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7.解码能力：UPC-A，UPC-E，EAN-13，EAN-8，ISBN/ISSN，39码，39码(ASCII全码)，交叉25码，工业25码，矩阵25码，库德巴码，128码，93码，11码CMSI/Plessey,UK/Plessey，UCC/EAN 128，中国邮政码，GS1 DataBar (前身是:RSS)系列等等。</w:t>
      </w:r>
    </w:p>
    <w:p w14:paraId="4F015288">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8.提示方式：蜂鸣器，LED指示灯</w:t>
      </w:r>
    </w:p>
    <w:p w14:paraId="1AAFB84E">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9.通信距离：≥500米</w:t>
      </w:r>
    </w:p>
    <w:p w14:paraId="2A782D58">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10.内置存储：1M字节(可以存储6万条商品条码)</w:t>
      </w:r>
    </w:p>
    <w:p w14:paraId="666F3F50">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11.续航能力：可以连续使用45小时(正常工作强度可达一星期)</w:t>
      </w:r>
    </w:p>
    <w:p w14:paraId="717EB13D">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12.数据接口：全内置自动识别的USB、PS2键盘、RS-232串口、USB-COM:</w:t>
      </w:r>
    </w:p>
    <w:p w14:paraId="713FB887">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13.触发方式：手动、连续自动扫描</w:t>
      </w:r>
    </w:p>
    <w:p w14:paraId="44D6B177">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14.温度：0°C至45°C(工作):-40·C至60C(存储)</w:t>
      </w:r>
    </w:p>
    <w:p w14:paraId="3713E64F">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15.湿度：5%至95%(无冷凝)</w:t>
      </w:r>
    </w:p>
    <w:p w14:paraId="2BA2F365">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16.抗震能力：抗多次2米高度跌落到水泥地面的冲击</w:t>
      </w:r>
    </w:p>
    <w:p w14:paraId="45F2FD3F">
      <w:pPr>
        <w:spacing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17设置方式：依次扫描设置条码 /通过接收器按键设置</w:t>
      </w:r>
    </w:p>
    <w:p w14:paraId="203DAA4B">
      <w:pPr>
        <w:rPr>
          <w:highlight w:val="none"/>
        </w:rPr>
      </w:pPr>
    </w:p>
    <w:p w14:paraId="67199325">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设备63.身份证读卡器 </w:t>
      </w:r>
    </w:p>
    <w:p w14:paraId="22913108">
      <w:pPr>
        <w:spacing w:line="360" w:lineRule="auto"/>
        <w:jc w:val="left"/>
        <w:rPr>
          <w:rFonts w:ascii="宋体" w:hAnsi="宋体" w:cs="宋体"/>
          <w:sz w:val="24"/>
          <w:szCs w:val="32"/>
          <w:highlight w:val="none"/>
        </w:rPr>
      </w:pPr>
      <w:r>
        <w:rPr>
          <w:rFonts w:hint="eastAsia" w:ascii="宋体" w:hAnsi="宋体" w:cs="宋体"/>
          <w:b/>
          <w:bCs/>
          <w:sz w:val="32"/>
          <w:szCs w:val="32"/>
          <w:highlight w:val="none"/>
        </w:rPr>
        <w:t>数量：10个</w:t>
      </w:r>
    </w:p>
    <w:p w14:paraId="35C9A8DD">
      <w:pPr>
        <w:numPr>
          <w:ilvl w:val="0"/>
          <w:numId w:val="28"/>
        </w:numPr>
        <w:spacing w:line="360" w:lineRule="auto"/>
        <w:rPr>
          <w:rFonts w:hint="eastAsia" w:ascii="宋体" w:hAnsi="宋体" w:cs="宋体"/>
          <w:sz w:val="24"/>
          <w:highlight w:val="none"/>
        </w:rPr>
      </w:pPr>
      <w:r>
        <w:rPr>
          <w:rFonts w:hint="eastAsia" w:ascii="宋体" w:hAnsi="宋体" w:cs="宋体"/>
          <w:sz w:val="24"/>
          <w:highlight w:val="none"/>
        </w:rPr>
        <w:t>支持卡片标准：符合ISO7816 标准的4442卡、4428卡、CPU卡；</w:t>
      </w:r>
    </w:p>
    <w:p w14:paraId="27E0CC4E">
      <w:pPr>
        <w:numPr>
          <w:ilvl w:val="0"/>
          <w:numId w:val="28"/>
        </w:numPr>
        <w:spacing w:line="360" w:lineRule="auto"/>
        <w:rPr>
          <w:rFonts w:hint="eastAsia" w:ascii="宋体" w:hAnsi="宋体" w:cs="宋体"/>
          <w:sz w:val="24"/>
          <w:highlight w:val="none"/>
        </w:rPr>
      </w:pPr>
      <w:r>
        <w:rPr>
          <w:rFonts w:hint="eastAsia" w:ascii="宋体" w:hAnsi="宋体" w:cs="宋体"/>
          <w:sz w:val="24"/>
          <w:highlight w:val="none"/>
        </w:rPr>
        <w:t>支持各种windows操作系统如XP、WIN2003、vista、WIN7、win2008, 以及32位及64位等；</w:t>
      </w:r>
    </w:p>
    <w:p w14:paraId="0ACB5B60">
      <w:pPr>
        <w:numPr>
          <w:ilvl w:val="0"/>
          <w:numId w:val="28"/>
        </w:numPr>
        <w:spacing w:line="360" w:lineRule="auto"/>
        <w:rPr>
          <w:rFonts w:hint="eastAsia" w:ascii="宋体" w:hAnsi="宋体" w:cs="宋体"/>
          <w:sz w:val="24"/>
          <w:highlight w:val="none"/>
        </w:rPr>
      </w:pPr>
      <w:r>
        <w:rPr>
          <w:rFonts w:hint="eastAsia" w:ascii="宋体" w:hAnsi="宋体" w:cs="宋体"/>
          <w:sz w:val="24"/>
          <w:highlight w:val="none"/>
        </w:rPr>
        <w:t>支持Visual Basic 、Visual C++等常见开发工具。</w:t>
      </w:r>
    </w:p>
    <w:p w14:paraId="560AB941">
      <w:pPr>
        <w:numPr>
          <w:ilvl w:val="0"/>
          <w:numId w:val="28"/>
        </w:numPr>
        <w:spacing w:line="360" w:lineRule="auto"/>
        <w:rPr>
          <w:rFonts w:hint="eastAsia" w:ascii="宋体" w:hAnsi="宋体" w:cs="宋体"/>
          <w:sz w:val="24"/>
          <w:highlight w:val="none"/>
        </w:rPr>
      </w:pPr>
      <w:r>
        <w:rPr>
          <w:rFonts w:hint="eastAsia" w:ascii="宋体" w:hAnsi="宋体" w:cs="宋体"/>
          <w:sz w:val="24"/>
          <w:highlight w:val="none"/>
        </w:rPr>
        <w:t>状态显示：3个LED指示灯，分别指示电源、运行、通讯状态。</w:t>
      </w:r>
    </w:p>
    <w:p w14:paraId="2F244D51">
      <w:pPr>
        <w:numPr>
          <w:ilvl w:val="0"/>
          <w:numId w:val="28"/>
        </w:numPr>
        <w:spacing w:line="360" w:lineRule="auto"/>
        <w:rPr>
          <w:rFonts w:hint="eastAsia" w:ascii="宋体" w:hAnsi="宋体" w:cs="宋体"/>
          <w:sz w:val="24"/>
          <w:highlight w:val="none"/>
        </w:rPr>
      </w:pPr>
      <w:r>
        <w:rPr>
          <w:rFonts w:hint="eastAsia" w:ascii="宋体" w:hAnsi="宋体" w:cs="宋体"/>
          <w:sz w:val="24"/>
          <w:highlight w:val="none"/>
        </w:rPr>
        <w:t>USB2.0通讯(12Mbps全速)；无需驱动、即插即用、使用方便快捷；按键出卡：单手操作，告别手工插拔；不伤卡面：采用探针下压式读卡技术，有效减少因进出卡时反复摩擦对芯片和卡面造成的损伤；备用卡座：独特的备用卡座配置，确保主卡座异常时的连续性作业；</w:t>
      </w:r>
    </w:p>
    <w:p w14:paraId="19ADD3FD">
      <w:pPr>
        <w:spacing w:line="360" w:lineRule="auto"/>
        <w:rPr>
          <w:rFonts w:hint="eastAsia" w:ascii="宋体" w:hAnsi="宋体" w:cs="宋体"/>
          <w:b/>
          <w:bCs/>
          <w:sz w:val="32"/>
          <w:szCs w:val="32"/>
          <w:highlight w:val="none"/>
        </w:rPr>
      </w:pPr>
    </w:p>
    <w:p w14:paraId="535842A7">
      <w:pPr>
        <w:rPr>
          <w:rFonts w:hint="eastAsia" w:ascii="宋体" w:hAnsi="宋体" w:cs="宋体"/>
          <w:b/>
          <w:bCs/>
          <w:sz w:val="32"/>
          <w:szCs w:val="32"/>
          <w:highlight w:val="none"/>
        </w:rPr>
      </w:pPr>
      <w:r>
        <w:rPr>
          <w:rFonts w:hint="eastAsia" w:ascii="宋体" w:hAnsi="宋体" w:cs="宋体"/>
          <w:b/>
          <w:bCs/>
          <w:sz w:val="32"/>
          <w:szCs w:val="32"/>
          <w:highlight w:val="none"/>
        </w:rPr>
        <w:br w:type="page"/>
      </w:r>
    </w:p>
    <w:p w14:paraId="769F62EB">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设备64.空调 </w:t>
      </w:r>
    </w:p>
    <w:p w14:paraId="4ACBA28B">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数量：2台</w:t>
      </w:r>
    </w:p>
    <w:p w14:paraId="02BC1DEE">
      <w:pPr>
        <w:spacing w:line="360" w:lineRule="auto"/>
        <w:rPr>
          <w:rFonts w:hint="eastAsia" w:ascii="宋体" w:hAnsi="宋体" w:cs="宋体"/>
          <w:sz w:val="24"/>
          <w:highlight w:val="none"/>
        </w:rPr>
      </w:pPr>
      <w:r>
        <w:rPr>
          <w:rFonts w:hint="eastAsia" w:ascii="宋体" w:hAnsi="宋体" w:cs="宋体"/>
          <w:sz w:val="24"/>
          <w:highlight w:val="none"/>
        </w:rPr>
        <w:t>1.适用面积15-22平米</w:t>
      </w:r>
    </w:p>
    <w:p w14:paraId="6562D526">
      <w:pPr>
        <w:spacing w:line="360" w:lineRule="auto"/>
        <w:rPr>
          <w:rFonts w:hint="eastAsia" w:ascii="宋体" w:hAnsi="宋体" w:cs="宋体"/>
          <w:sz w:val="24"/>
          <w:highlight w:val="none"/>
        </w:rPr>
      </w:pPr>
      <w:r>
        <w:rPr>
          <w:rFonts w:hint="eastAsia" w:ascii="宋体" w:hAnsi="宋体" w:cs="宋体"/>
          <w:sz w:val="24"/>
          <w:highlight w:val="none"/>
        </w:rPr>
        <w:t>2.能效等级新3级</w:t>
      </w:r>
    </w:p>
    <w:p w14:paraId="7B8E8641">
      <w:pPr>
        <w:spacing w:line="360" w:lineRule="auto"/>
        <w:rPr>
          <w:rFonts w:hint="eastAsia" w:ascii="宋体" w:hAnsi="宋体" w:cs="宋体"/>
          <w:sz w:val="24"/>
          <w:highlight w:val="none"/>
        </w:rPr>
      </w:pPr>
      <w:r>
        <w:rPr>
          <w:rFonts w:hint="eastAsia" w:ascii="宋体" w:hAnsi="宋体" w:cs="宋体"/>
          <w:sz w:val="24"/>
          <w:highlight w:val="none"/>
        </w:rPr>
        <w:t>3.变频/定频:变频</w:t>
      </w:r>
    </w:p>
    <w:p w14:paraId="30065105">
      <w:pPr>
        <w:spacing w:line="360" w:lineRule="auto"/>
        <w:rPr>
          <w:rFonts w:hint="eastAsia" w:ascii="宋体" w:hAnsi="宋体" w:cs="宋体"/>
          <w:sz w:val="24"/>
          <w:highlight w:val="none"/>
        </w:rPr>
      </w:pPr>
      <w:r>
        <w:rPr>
          <w:rFonts w:hint="eastAsia" w:ascii="宋体" w:hAnsi="宋体" w:cs="宋体"/>
          <w:sz w:val="24"/>
          <w:highlight w:val="none"/>
        </w:rPr>
        <w:t>4.制冷剂R32</w:t>
      </w:r>
    </w:p>
    <w:p w14:paraId="7E07281C">
      <w:pPr>
        <w:spacing w:line="360" w:lineRule="auto"/>
        <w:rPr>
          <w:rFonts w:hint="eastAsia" w:ascii="宋体" w:hAnsi="宋体" w:cs="宋体"/>
          <w:sz w:val="24"/>
          <w:highlight w:val="none"/>
        </w:rPr>
      </w:pPr>
      <w:r>
        <w:rPr>
          <w:rFonts w:hint="eastAsia" w:ascii="宋体" w:hAnsi="宋体" w:cs="宋体"/>
          <w:sz w:val="24"/>
          <w:highlight w:val="none"/>
        </w:rPr>
        <w:t>5.APF能效比4:2</w:t>
      </w:r>
    </w:p>
    <w:p w14:paraId="66CC6FA3">
      <w:pPr>
        <w:spacing w:line="360" w:lineRule="auto"/>
        <w:rPr>
          <w:rFonts w:hint="eastAsia" w:ascii="宋体" w:hAnsi="宋体" w:cs="宋体"/>
          <w:sz w:val="24"/>
          <w:highlight w:val="none"/>
        </w:rPr>
      </w:pPr>
      <w:r>
        <w:rPr>
          <w:rFonts w:hint="eastAsia" w:ascii="宋体" w:hAnsi="宋体" w:cs="宋体"/>
          <w:sz w:val="24"/>
          <w:highlight w:val="none"/>
        </w:rPr>
        <w:t>6.制冷功率(W)990</w:t>
      </w:r>
    </w:p>
    <w:p w14:paraId="0FD9FD28">
      <w:pPr>
        <w:spacing w:line="360" w:lineRule="auto"/>
        <w:rPr>
          <w:rFonts w:hint="eastAsia" w:ascii="宋体" w:hAnsi="宋体" w:cs="宋体"/>
          <w:sz w:val="24"/>
          <w:highlight w:val="none"/>
        </w:rPr>
      </w:pPr>
      <w:r>
        <w:rPr>
          <w:rFonts w:hint="eastAsia" w:ascii="宋体" w:hAnsi="宋体" w:cs="宋体"/>
          <w:sz w:val="24"/>
          <w:highlight w:val="none"/>
        </w:rPr>
        <w:t>7.制冷量(W)3500</w:t>
      </w:r>
    </w:p>
    <w:p w14:paraId="49785127">
      <w:pPr>
        <w:spacing w:line="360" w:lineRule="auto"/>
        <w:rPr>
          <w:rFonts w:hint="eastAsia" w:ascii="宋体" w:hAnsi="宋体" w:cs="宋体"/>
          <w:sz w:val="24"/>
          <w:highlight w:val="none"/>
        </w:rPr>
      </w:pPr>
      <w:r>
        <w:rPr>
          <w:rFonts w:hint="eastAsia" w:ascii="宋体" w:hAnsi="宋体" w:cs="宋体"/>
          <w:sz w:val="24"/>
          <w:highlight w:val="none"/>
        </w:rPr>
        <w:t>8.制热功率(W)1260</w:t>
      </w:r>
    </w:p>
    <w:p w14:paraId="2C3E5D93">
      <w:pPr>
        <w:spacing w:line="360" w:lineRule="auto"/>
        <w:rPr>
          <w:rFonts w:hint="eastAsia" w:ascii="宋体" w:hAnsi="宋体" w:cs="宋体"/>
          <w:sz w:val="24"/>
          <w:highlight w:val="none"/>
        </w:rPr>
      </w:pPr>
      <w:r>
        <w:rPr>
          <w:rFonts w:hint="eastAsia" w:ascii="宋体" w:hAnsi="宋体" w:cs="宋体"/>
          <w:sz w:val="24"/>
          <w:highlight w:val="none"/>
        </w:rPr>
        <w:t>9.制热量(W)4400</w:t>
      </w:r>
    </w:p>
    <w:p w14:paraId="51AEEAEF">
      <w:pPr>
        <w:spacing w:line="360" w:lineRule="auto"/>
        <w:rPr>
          <w:rFonts w:hint="eastAsia" w:ascii="宋体" w:hAnsi="宋体" w:cs="宋体"/>
          <w:sz w:val="24"/>
          <w:highlight w:val="none"/>
        </w:rPr>
      </w:pPr>
      <w:r>
        <w:rPr>
          <w:rFonts w:hint="eastAsia" w:ascii="宋体" w:hAnsi="宋体" w:cs="宋体"/>
          <w:sz w:val="24"/>
          <w:highlight w:val="none"/>
        </w:rPr>
        <w:t>10.外机噪音[dB(A)]:52</w:t>
      </w:r>
    </w:p>
    <w:p w14:paraId="482CE9E9">
      <w:pPr>
        <w:spacing w:line="360" w:lineRule="auto"/>
        <w:rPr>
          <w:rFonts w:hint="eastAsia" w:ascii="宋体" w:hAnsi="宋体" w:cs="宋体"/>
          <w:sz w:val="24"/>
          <w:highlight w:val="none"/>
        </w:rPr>
      </w:pPr>
      <w:r>
        <w:rPr>
          <w:rFonts w:hint="eastAsia" w:ascii="宋体" w:hAnsi="宋体" w:cs="宋体"/>
          <w:sz w:val="24"/>
          <w:highlight w:val="none"/>
        </w:rPr>
        <w:t>11.内机噪音[dB(A)]:18-39-42</w:t>
      </w:r>
    </w:p>
    <w:p w14:paraId="5B60E3D4">
      <w:pPr>
        <w:spacing w:line="360" w:lineRule="auto"/>
        <w:rPr>
          <w:rFonts w:hint="eastAsia" w:ascii="宋体" w:hAnsi="宋体" w:cs="宋体"/>
          <w:sz w:val="24"/>
          <w:highlight w:val="none"/>
        </w:rPr>
      </w:pPr>
      <w:r>
        <w:rPr>
          <w:rFonts w:hint="eastAsia" w:ascii="宋体" w:hAnsi="宋体" w:cs="宋体"/>
          <w:sz w:val="24"/>
          <w:highlight w:val="none"/>
        </w:rPr>
        <w:t>12.冷暖类型:冷暖</w:t>
      </w:r>
    </w:p>
    <w:p w14:paraId="1E496FE7">
      <w:pPr>
        <w:spacing w:line="360" w:lineRule="auto"/>
        <w:rPr>
          <w:rFonts w:hint="eastAsia" w:ascii="宋体" w:hAnsi="宋体" w:cs="宋体"/>
          <w:sz w:val="24"/>
          <w:highlight w:val="none"/>
        </w:rPr>
      </w:pPr>
      <w:r>
        <w:rPr>
          <w:rFonts w:hint="eastAsia" w:ascii="宋体" w:hAnsi="宋体" w:cs="宋体"/>
          <w:sz w:val="24"/>
          <w:highlight w:val="none"/>
        </w:rPr>
        <w:t>13.扫风方式:上下/左右扫风</w:t>
      </w:r>
    </w:p>
    <w:p w14:paraId="214C6162">
      <w:pPr>
        <w:spacing w:line="360" w:lineRule="auto"/>
        <w:jc w:val="center"/>
        <w:rPr>
          <w:rFonts w:hint="eastAsia" w:ascii="宋体" w:hAnsi="宋体" w:cs="宋体"/>
          <w:b/>
          <w:bCs/>
          <w:sz w:val="32"/>
          <w:szCs w:val="32"/>
          <w:highlight w:val="none"/>
        </w:rPr>
      </w:pPr>
    </w:p>
    <w:p w14:paraId="300375D0">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设备65.体质辨识机 </w:t>
      </w:r>
    </w:p>
    <w:p w14:paraId="530706A6">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6C01907E">
      <w:pPr>
        <w:spacing w:line="360" w:lineRule="auto"/>
        <w:rPr>
          <w:rFonts w:hint="eastAsia" w:ascii="宋体" w:hAnsi="宋体" w:cs="宋体"/>
          <w:sz w:val="24"/>
          <w:highlight w:val="none"/>
        </w:rPr>
      </w:pPr>
      <w:r>
        <w:rPr>
          <w:rFonts w:hint="eastAsia" w:ascii="宋体" w:hAnsi="宋体" w:cs="宋体"/>
          <w:sz w:val="24"/>
          <w:highlight w:val="none"/>
        </w:rPr>
        <w:t>1.提供产后抑郁的中医筛查与调理功能。</w:t>
      </w:r>
    </w:p>
    <w:p w14:paraId="627CF0E4">
      <w:pPr>
        <w:spacing w:line="360" w:lineRule="auto"/>
        <w:rPr>
          <w:rFonts w:hint="eastAsia" w:ascii="宋体" w:hAnsi="宋体" w:cs="宋体"/>
          <w:sz w:val="24"/>
          <w:highlight w:val="none"/>
        </w:rPr>
      </w:pPr>
      <w:r>
        <w:rPr>
          <w:rFonts w:hint="eastAsia" w:ascii="宋体" w:hAnsi="宋体" w:cs="宋体"/>
          <w:sz w:val="24"/>
          <w:highlight w:val="none"/>
        </w:rPr>
        <w:t>2.提供女性更年期症状中医筛查与调理功能。</w:t>
      </w:r>
    </w:p>
    <w:p w14:paraId="062FD48C">
      <w:pPr>
        <w:spacing w:line="360" w:lineRule="auto"/>
        <w:rPr>
          <w:rFonts w:hint="eastAsia" w:ascii="宋体" w:hAnsi="宋体" w:cs="宋体"/>
          <w:sz w:val="24"/>
          <w:highlight w:val="none"/>
        </w:rPr>
      </w:pPr>
      <w:r>
        <w:rPr>
          <w:rFonts w:hint="eastAsia" w:ascii="宋体" w:hAnsi="宋体" w:cs="宋体"/>
          <w:sz w:val="24"/>
          <w:highlight w:val="none"/>
        </w:rPr>
        <w:t>3.提供焦虑状态筛查与调理功能。</w:t>
      </w:r>
    </w:p>
    <w:p w14:paraId="3D349506">
      <w:pPr>
        <w:spacing w:line="360" w:lineRule="auto"/>
        <w:rPr>
          <w:rFonts w:hint="eastAsia" w:ascii="宋体" w:hAnsi="宋体" w:cs="宋体"/>
          <w:sz w:val="24"/>
          <w:highlight w:val="none"/>
        </w:rPr>
      </w:pPr>
      <w:r>
        <w:rPr>
          <w:rFonts w:hint="eastAsia" w:ascii="宋体" w:hAnsi="宋体" w:cs="宋体"/>
          <w:sz w:val="24"/>
          <w:highlight w:val="none"/>
        </w:rPr>
        <w:t>4.提供身份证刷卡登陆功能。</w:t>
      </w:r>
    </w:p>
    <w:p w14:paraId="6CFFB979">
      <w:pPr>
        <w:spacing w:line="360" w:lineRule="auto"/>
        <w:rPr>
          <w:rFonts w:hint="eastAsia" w:ascii="宋体" w:hAnsi="宋体" w:cs="宋体"/>
          <w:sz w:val="24"/>
          <w:highlight w:val="none"/>
        </w:rPr>
      </w:pPr>
      <w:r>
        <w:rPr>
          <w:rFonts w:hint="eastAsia" w:ascii="宋体" w:hAnsi="宋体" w:cs="宋体"/>
          <w:sz w:val="24"/>
          <w:highlight w:val="none"/>
        </w:rPr>
        <w:t>5.内置热敏打印机，一个客户，两份报告，分别存储打印输出功能。</w:t>
      </w:r>
    </w:p>
    <w:p w14:paraId="319ADD7E">
      <w:pPr>
        <w:spacing w:line="360" w:lineRule="auto"/>
        <w:rPr>
          <w:rFonts w:hint="eastAsia" w:ascii="宋体" w:hAnsi="宋体" w:cs="宋体"/>
          <w:sz w:val="24"/>
          <w:highlight w:val="none"/>
        </w:rPr>
      </w:pPr>
      <w:r>
        <w:rPr>
          <w:rFonts w:hint="eastAsia" w:ascii="宋体" w:hAnsi="宋体" w:cs="宋体"/>
          <w:sz w:val="24"/>
          <w:highlight w:val="none"/>
        </w:rPr>
        <w:t>6.提供全功能接口，可连接医院HIS系统，可连接健康小屋等。</w:t>
      </w:r>
    </w:p>
    <w:p w14:paraId="0C6F8320">
      <w:pPr>
        <w:spacing w:line="360" w:lineRule="auto"/>
        <w:rPr>
          <w:rFonts w:hint="eastAsia" w:ascii="宋体" w:hAnsi="宋体" w:cs="宋体"/>
          <w:sz w:val="24"/>
          <w:highlight w:val="none"/>
        </w:rPr>
      </w:pPr>
      <w:r>
        <w:rPr>
          <w:rFonts w:hint="eastAsia" w:ascii="宋体" w:hAnsi="宋体" w:cs="宋体"/>
          <w:sz w:val="24"/>
          <w:highlight w:val="none"/>
        </w:rPr>
        <w:t>7.采用触摸一体机设计，弧形机身（方便触控查看），冷轧电解钢板。</w:t>
      </w:r>
    </w:p>
    <w:p w14:paraId="31CAD86A">
      <w:pPr>
        <w:spacing w:line="360" w:lineRule="auto"/>
        <w:rPr>
          <w:rFonts w:hint="eastAsia" w:ascii="宋体" w:hAnsi="宋体" w:cs="宋体"/>
          <w:sz w:val="24"/>
          <w:highlight w:val="none"/>
        </w:rPr>
      </w:pPr>
      <w:r>
        <w:rPr>
          <w:rFonts w:hint="eastAsia" w:ascii="宋体" w:hAnsi="宋体" w:cs="宋体"/>
          <w:sz w:val="24"/>
          <w:highlight w:val="none"/>
        </w:rPr>
        <w:t>8.电容屏：≥15寸电容触摸屏，避免了红外屏炫光晃眼触摸定位不准的先天缺陷。</w:t>
      </w:r>
    </w:p>
    <w:p w14:paraId="7509146D">
      <w:pPr>
        <w:spacing w:line="360" w:lineRule="auto"/>
        <w:jc w:val="center"/>
        <w:rPr>
          <w:rFonts w:hint="eastAsia"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 xml:space="preserve">设备66.拔牙钳 </w:t>
      </w:r>
    </w:p>
    <w:p w14:paraId="1546DCB0">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数量：10把</w:t>
      </w:r>
    </w:p>
    <w:p w14:paraId="6B98B445">
      <w:pPr>
        <w:spacing w:line="360" w:lineRule="auto"/>
        <w:rPr>
          <w:rFonts w:hint="eastAsia" w:ascii="宋体" w:hAnsi="宋体" w:cs="宋体"/>
          <w:sz w:val="24"/>
          <w:highlight w:val="none"/>
        </w:rPr>
      </w:pPr>
      <w:r>
        <w:rPr>
          <w:rFonts w:hint="eastAsia" w:ascii="宋体" w:hAnsi="宋体" w:cs="宋体"/>
          <w:sz w:val="24"/>
          <w:highlight w:val="none"/>
        </w:rPr>
        <w:t>1.牙钳与鳃轴螺钉应以2Cr13Mo材料和GB1220-84《不锈钢棒》中规定的2Cr13材料制成;钳用鳃轴和鳃轴螺钉用GB1220-84中规定的2Cr13或1Cr13材料。</w:t>
      </w:r>
    </w:p>
    <w:p w14:paraId="5530BCB9">
      <w:pPr>
        <w:spacing w:line="360" w:lineRule="auto"/>
        <w:rPr>
          <w:rFonts w:hint="eastAsia" w:ascii="宋体" w:hAnsi="宋体" w:cs="宋体"/>
          <w:sz w:val="24"/>
          <w:highlight w:val="none"/>
        </w:rPr>
      </w:pPr>
      <w:r>
        <w:rPr>
          <w:rFonts w:hint="eastAsia" w:ascii="宋体" w:hAnsi="宋体" w:cs="宋体"/>
          <w:sz w:val="24"/>
          <w:highlight w:val="none"/>
        </w:rPr>
        <w:t>2.牙钳应经热处理,其硬度为HRC42~47。</w:t>
      </w:r>
    </w:p>
    <w:p w14:paraId="7085333E">
      <w:pPr>
        <w:spacing w:line="360" w:lineRule="auto"/>
        <w:rPr>
          <w:rFonts w:hint="eastAsia" w:ascii="宋体" w:hAnsi="宋体" w:cs="宋体"/>
          <w:sz w:val="24"/>
          <w:highlight w:val="none"/>
        </w:rPr>
      </w:pPr>
      <w:r>
        <w:rPr>
          <w:rFonts w:hint="eastAsia" w:ascii="宋体" w:hAnsi="宋体" w:cs="宋体"/>
          <w:sz w:val="24"/>
          <w:highlight w:val="none"/>
        </w:rPr>
        <w:t>3.鳃轴螺钉应符合GB3349-82《手术器械 圆柱沉头鳃轴螺钉》的规定;钳用鳃轴应符合 GB3054-82《手术器械 钳用鳃轴》的规定。</w:t>
      </w:r>
    </w:p>
    <w:p w14:paraId="04F62B0B">
      <w:pPr>
        <w:spacing w:line="360" w:lineRule="auto"/>
        <w:rPr>
          <w:rFonts w:hint="eastAsia" w:ascii="宋体" w:hAnsi="宋体" w:cs="宋体"/>
          <w:sz w:val="24"/>
          <w:highlight w:val="none"/>
        </w:rPr>
      </w:pPr>
      <w:r>
        <w:rPr>
          <w:rFonts w:hint="eastAsia" w:ascii="宋体" w:hAnsi="宋体" w:cs="宋体"/>
          <w:sz w:val="24"/>
          <w:highlight w:val="none"/>
        </w:rPr>
        <w:t>4.牙钳的网纹柄花应按GB4748-84《手术器械柄花》的规定选用。</w:t>
      </w:r>
    </w:p>
    <w:p w14:paraId="12C5B797">
      <w:pPr>
        <w:spacing w:line="360" w:lineRule="auto"/>
        <w:rPr>
          <w:rFonts w:hint="eastAsia" w:ascii="宋体" w:hAnsi="宋体" w:cs="宋体"/>
          <w:sz w:val="24"/>
          <w:highlight w:val="none"/>
        </w:rPr>
      </w:pPr>
      <w:r>
        <w:rPr>
          <w:rFonts w:hint="eastAsia" w:ascii="宋体" w:hAnsi="宋体" w:cs="宋体"/>
          <w:sz w:val="24"/>
          <w:highlight w:val="none"/>
        </w:rPr>
        <w:t>5.牙钳不应有锋棱、毛刺及裂纹。钳子鳃部前后端的外棱边(包括雄片鳃部两端)应倒钝。</w:t>
      </w:r>
    </w:p>
    <w:p w14:paraId="491DEF21">
      <w:pPr>
        <w:spacing w:line="360" w:lineRule="auto"/>
        <w:rPr>
          <w:rFonts w:hint="eastAsia" w:ascii="宋体" w:hAnsi="宋体" w:cs="宋体"/>
          <w:sz w:val="24"/>
          <w:highlight w:val="none"/>
        </w:rPr>
      </w:pPr>
      <w:r>
        <w:rPr>
          <w:rFonts w:hint="eastAsia" w:ascii="宋体" w:hAnsi="宋体" w:cs="宋体"/>
          <w:sz w:val="24"/>
          <w:highlight w:val="none"/>
        </w:rPr>
        <w:t>6.牙钳柄花应均匀清晰,不应有氧化皮、缺花等缺陷。</w:t>
      </w:r>
    </w:p>
    <w:p w14:paraId="0A882A61">
      <w:pPr>
        <w:spacing w:line="360" w:lineRule="auto"/>
        <w:rPr>
          <w:rFonts w:hint="eastAsia" w:ascii="宋体" w:hAnsi="宋体" w:cs="宋体"/>
          <w:sz w:val="24"/>
          <w:highlight w:val="none"/>
        </w:rPr>
      </w:pPr>
      <w:r>
        <w:rPr>
          <w:rFonts w:hint="eastAsia" w:ascii="宋体" w:hAnsi="宋体" w:cs="宋体"/>
          <w:sz w:val="24"/>
          <w:highlight w:val="none"/>
        </w:rPr>
        <w:t>7. 牙钳应有足够的强度。</w:t>
      </w:r>
    </w:p>
    <w:p w14:paraId="528617C3">
      <w:pPr>
        <w:spacing w:line="360" w:lineRule="auto"/>
        <w:rPr>
          <w:rFonts w:hint="eastAsia" w:ascii="宋体" w:hAnsi="宋体" w:cs="宋体"/>
          <w:sz w:val="24"/>
          <w:highlight w:val="none"/>
        </w:rPr>
      </w:pPr>
      <w:r>
        <w:rPr>
          <w:rFonts w:hint="eastAsia" w:ascii="宋体" w:hAnsi="宋体" w:cs="宋体"/>
          <w:sz w:val="24"/>
          <w:highlight w:val="none"/>
        </w:rPr>
        <w:t>8.螺钉应牢固地固定在拔牙钳左片上,当拔牙钳闭合或打开时，螺钉不得跟动。</w:t>
      </w:r>
    </w:p>
    <w:p w14:paraId="288F3E58">
      <w:pPr>
        <w:spacing w:line="360" w:lineRule="auto"/>
        <w:rPr>
          <w:rFonts w:hint="eastAsia" w:ascii="宋体" w:hAnsi="宋体" w:cs="宋体"/>
          <w:sz w:val="24"/>
          <w:highlight w:val="none"/>
        </w:rPr>
      </w:pPr>
      <w:r>
        <w:rPr>
          <w:rFonts w:hint="eastAsia" w:ascii="宋体" w:hAnsi="宋体" w:cs="宋体"/>
          <w:sz w:val="24"/>
          <w:highlight w:val="none"/>
        </w:rPr>
        <w:t>9.牙钳开闭时,头部张角在60°范围内鳃部应灵活，当大于60*时，不应有卡塞现象。</w:t>
      </w:r>
    </w:p>
    <w:p w14:paraId="45560EA2">
      <w:pPr>
        <w:spacing w:line="360" w:lineRule="auto"/>
        <w:rPr>
          <w:rFonts w:hint="eastAsia" w:ascii="宋体" w:hAnsi="宋体" w:cs="宋体"/>
          <w:sz w:val="24"/>
          <w:highlight w:val="none"/>
        </w:rPr>
      </w:pPr>
      <w:r>
        <w:rPr>
          <w:rFonts w:hint="eastAsia" w:ascii="宋体" w:hAnsi="宋体" w:cs="宋体"/>
          <w:sz w:val="24"/>
          <w:highlight w:val="none"/>
        </w:rPr>
        <w:t>10. 牙钳头端摆动量应根据产品使用功能和结构特点在产品标准中作出规定。</w:t>
      </w:r>
    </w:p>
    <w:p w14:paraId="1F0ED17E">
      <w:pPr>
        <w:spacing w:line="360" w:lineRule="auto"/>
        <w:rPr>
          <w:rFonts w:hint="eastAsia" w:ascii="宋体" w:hAnsi="宋体" w:cs="宋体"/>
          <w:sz w:val="24"/>
          <w:highlight w:val="none"/>
        </w:rPr>
      </w:pPr>
      <w:r>
        <w:rPr>
          <w:rFonts w:hint="eastAsia" w:ascii="宋体" w:hAnsi="宋体" w:cs="宋体"/>
          <w:sz w:val="24"/>
          <w:highlight w:val="none"/>
        </w:rPr>
        <w:t>11.牙钳应有良好的耐腐蚀性能。</w:t>
      </w:r>
    </w:p>
    <w:p w14:paraId="125B2BEB">
      <w:pPr>
        <w:spacing w:line="360" w:lineRule="auto"/>
        <w:rPr>
          <w:rFonts w:hint="eastAsia" w:ascii="宋体" w:hAnsi="宋体" w:cs="宋体"/>
          <w:sz w:val="24"/>
          <w:highlight w:val="none"/>
        </w:rPr>
      </w:pPr>
      <w:r>
        <w:rPr>
          <w:rFonts w:hint="eastAsia" w:ascii="宋体" w:hAnsi="宋体" w:cs="宋体"/>
          <w:sz w:val="24"/>
          <w:highlight w:val="none"/>
        </w:rPr>
        <w:t>12.牙钳外表可制成有光亮或无光亮，其表面粗糙度Ra之数值应符合表1的规定。</w:t>
      </w:r>
    </w:p>
    <w:p w14:paraId="29DF1FD9">
      <w:pPr>
        <w:spacing w:line="360" w:lineRule="auto"/>
        <w:jc w:val="center"/>
        <w:rPr>
          <w:rFonts w:hint="eastAsia" w:ascii="宋体" w:hAnsi="宋体" w:cs="宋体"/>
          <w:b/>
          <w:bCs/>
          <w:sz w:val="32"/>
          <w:szCs w:val="32"/>
          <w:highlight w:val="none"/>
        </w:rPr>
      </w:pPr>
    </w:p>
    <w:p w14:paraId="0327A257">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设备67.牙根挺 </w:t>
      </w:r>
    </w:p>
    <w:p w14:paraId="4E052AA1">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数量：10把</w:t>
      </w:r>
    </w:p>
    <w:p w14:paraId="7EC0410B">
      <w:pPr>
        <w:spacing w:line="360" w:lineRule="auto"/>
        <w:rPr>
          <w:rFonts w:hint="eastAsia" w:ascii="宋体" w:hAnsi="宋体" w:cs="宋体"/>
          <w:sz w:val="24"/>
          <w:highlight w:val="none"/>
        </w:rPr>
      </w:pPr>
      <w:r>
        <w:rPr>
          <w:rFonts w:hint="eastAsia" w:ascii="宋体" w:hAnsi="宋体" w:cs="宋体"/>
          <w:sz w:val="24"/>
          <w:highlight w:val="none"/>
        </w:rPr>
        <w:t>1 牙根挺应经热处理,其硬度为HRC42~47。</w:t>
      </w:r>
    </w:p>
    <w:p w14:paraId="0AFEA7E3">
      <w:pPr>
        <w:spacing w:line="360" w:lineRule="auto"/>
        <w:rPr>
          <w:rFonts w:hint="eastAsia" w:ascii="宋体" w:hAnsi="宋体" w:cs="宋体"/>
          <w:sz w:val="24"/>
          <w:highlight w:val="none"/>
        </w:rPr>
      </w:pPr>
      <w:r>
        <w:rPr>
          <w:rFonts w:hint="eastAsia" w:ascii="宋体" w:hAnsi="宋体" w:cs="宋体"/>
          <w:sz w:val="24"/>
          <w:highlight w:val="none"/>
        </w:rPr>
        <w:t>2. 牙根挺的网纹柄花应按GB4748-84《手术器械柄花》的规定选用。</w:t>
      </w:r>
    </w:p>
    <w:p w14:paraId="1EB587A1">
      <w:pPr>
        <w:spacing w:line="360" w:lineRule="auto"/>
        <w:rPr>
          <w:rFonts w:hint="eastAsia" w:ascii="宋体" w:hAnsi="宋体" w:cs="宋体"/>
          <w:sz w:val="24"/>
          <w:highlight w:val="none"/>
        </w:rPr>
      </w:pPr>
      <w:r>
        <w:rPr>
          <w:rFonts w:hint="eastAsia" w:ascii="宋体" w:hAnsi="宋体" w:cs="宋体"/>
          <w:sz w:val="24"/>
          <w:highlight w:val="none"/>
        </w:rPr>
        <w:t>3.牙根挺不应有锋棱、毛刺及裂纹。</w:t>
      </w:r>
    </w:p>
    <w:p w14:paraId="0102271B">
      <w:pPr>
        <w:spacing w:line="360" w:lineRule="auto"/>
        <w:rPr>
          <w:rFonts w:hint="eastAsia" w:ascii="宋体" w:hAnsi="宋体" w:cs="宋体"/>
          <w:sz w:val="24"/>
          <w:highlight w:val="none"/>
        </w:rPr>
      </w:pPr>
      <w:r>
        <w:rPr>
          <w:rFonts w:hint="eastAsia" w:ascii="宋体" w:hAnsi="宋体" w:cs="宋体"/>
          <w:sz w:val="24"/>
          <w:highlight w:val="none"/>
        </w:rPr>
        <w:t>4.牙根挺应均匀清晰,不应有氧化皮、缺花等缺陷。</w:t>
      </w:r>
    </w:p>
    <w:p w14:paraId="16B2CF31">
      <w:pPr>
        <w:spacing w:line="360" w:lineRule="auto"/>
        <w:rPr>
          <w:rFonts w:hint="eastAsia" w:ascii="宋体" w:hAnsi="宋体" w:cs="宋体"/>
          <w:sz w:val="24"/>
          <w:highlight w:val="none"/>
        </w:rPr>
      </w:pPr>
      <w:r>
        <w:rPr>
          <w:rFonts w:hint="eastAsia" w:ascii="宋体" w:hAnsi="宋体" w:cs="宋体"/>
          <w:sz w:val="24"/>
          <w:highlight w:val="none"/>
        </w:rPr>
        <w:t>5.牙根挺摆动量应根据产品使用功能和结构特点在产品标准中作出规定。</w:t>
      </w:r>
    </w:p>
    <w:p w14:paraId="06B5ECE9">
      <w:pPr>
        <w:spacing w:line="360" w:lineRule="auto"/>
        <w:rPr>
          <w:rFonts w:hint="eastAsia" w:ascii="宋体" w:hAnsi="宋体" w:cs="宋体"/>
          <w:sz w:val="24"/>
          <w:highlight w:val="none"/>
        </w:rPr>
      </w:pPr>
      <w:r>
        <w:rPr>
          <w:rFonts w:hint="eastAsia" w:ascii="宋体" w:hAnsi="宋体" w:cs="宋体"/>
          <w:sz w:val="24"/>
          <w:highlight w:val="none"/>
        </w:rPr>
        <w:t>6.牙根挺应有良好的耐腐蚀性能。</w:t>
      </w:r>
    </w:p>
    <w:p w14:paraId="471FF062">
      <w:pPr>
        <w:spacing w:line="360" w:lineRule="auto"/>
        <w:rPr>
          <w:rFonts w:hint="eastAsia" w:ascii="宋体" w:hAnsi="宋体" w:cs="宋体"/>
          <w:sz w:val="24"/>
          <w:highlight w:val="none"/>
        </w:rPr>
      </w:pPr>
      <w:r>
        <w:rPr>
          <w:rFonts w:hint="eastAsia" w:ascii="宋体" w:hAnsi="宋体" w:cs="宋体"/>
          <w:sz w:val="24"/>
          <w:highlight w:val="none"/>
        </w:rPr>
        <w:t>7. 牙根挺外表可制成有光亮或无光亮。</w:t>
      </w:r>
    </w:p>
    <w:p w14:paraId="0D045EA9">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设备68.石膏调拌刀 </w:t>
      </w:r>
    </w:p>
    <w:p w14:paraId="5098B80E">
      <w:pPr>
        <w:spacing w:line="360" w:lineRule="auto"/>
        <w:jc w:val="left"/>
        <w:rPr>
          <w:rFonts w:ascii="宋体" w:hAnsi="宋体" w:cs="宋体"/>
          <w:sz w:val="24"/>
          <w:highlight w:val="none"/>
        </w:rPr>
      </w:pPr>
      <w:r>
        <w:rPr>
          <w:rFonts w:hint="eastAsia" w:ascii="宋体" w:hAnsi="宋体" w:cs="宋体"/>
          <w:b/>
          <w:bCs/>
          <w:sz w:val="32"/>
          <w:szCs w:val="32"/>
          <w:highlight w:val="none"/>
        </w:rPr>
        <w:t>数量：2把</w:t>
      </w:r>
    </w:p>
    <w:p w14:paraId="54EAFD97">
      <w:pPr>
        <w:spacing w:line="360" w:lineRule="auto"/>
        <w:rPr>
          <w:rFonts w:hint="eastAsia" w:ascii="宋体" w:hAnsi="宋体" w:cs="宋体"/>
          <w:sz w:val="24"/>
          <w:highlight w:val="none"/>
        </w:rPr>
      </w:pPr>
      <w:r>
        <w:rPr>
          <w:rFonts w:hint="eastAsia" w:ascii="宋体" w:hAnsi="宋体" w:cs="宋体"/>
          <w:sz w:val="24"/>
          <w:highlight w:val="none"/>
        </w:rPr>
        <w:t>1.采用优质不锈钢材料制成。</w:t>
      </w:r>
    </w:p>
    <w:p w14:paraId="46284C1A">
      <w:pPr>
        <w:spacing w:line="360" w:lineRule="auto"/>
        <w:rPr>
          <w:rFonts w:hint="eastAsia" w:ascii="宋体" w:hAnsi="宋体" w:cs="宋体"/>
          <w:sz w:val="24"/>
          <w:highlight w:val="none"/>
        </w:rPr>
      </w:pPr>
      <w:r>
        <w:rPr>
          <w:rFonts w:hint="eastAsia" w:ascii="宋体" w:hAnsi="宋体" w:cs="宋体"/>
          <w:sz w:val="24"/>
          <w:highlight w:val="none"/>
        </w:rPr>
        <w:t>2.用于口腔科技工室搅拌与挑取石膏用。</w:t>
      </w:r>
    </w:p>
    <w:p w14:paraId="68EF60F4">
      <w:pPr>
        <w:spacing w:line="360" w:lineRule="auto"/>
        <w:rPr>
          <w:rFonts w:hint="eastAsia" w:ascii="宋体" w:hAnsi="宋体" w:cs="宋体"/>
          <w:sz w:val="24"/>
          <w:highlight w:val="none"/>
        </w:rPr>
      </w:pPr>
      <w:r>
        <w:rPr>
          <w:rFonts w:hint="eastAsia" w:ascii="宋体" w:hAnsi="宋体" w:cs="宋体"/>
          <w:sz w:val="24"/>
          <w:highlight w:val="none"/>
        </w:rPr>
        <w:t>3.手柄采用木柄制成。</w:t>
      </w:r>
    </w:p>
    <w:p w14:paraId="658F1366">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设备69.蜡刀、蜡匙 </w:t>
      </w:r>
    </w:p>
    <w:p w14:paraId="3BF44F99">
      <w:pPr>
        <w:spacing w:line="360" w:lineRule="auto"/>
        <w:jc w:val="left"/>
        <w:rPr>
          <w:rFonts w:ascii="宋体" w:hAnsi="宋体" w:cs="宋体"/>
          <w:sz w:val="24"/>
          <w:highlight w:val="none"/>
        </w:rPr>
      </w:pPr>
      <w:r>
        <w:rPr>
          <w:rFonts w:hint="eastAsia" w:ascii="宋体" w:hAnsi="宋体" w:cs="宋体"/>
          <w:b/>
          <w:bCs/>
          <w:sz w:val="32"/>
          <w:szCs w:val="32"/>
          <w:highlight w:val="none"/>
        </w:rPr>
        <w:t>数量：4把</w:t>
      </w:r>
    </w:p>
    <w:p w14:paraId="396F7FF0">
      <w:pPr>
        <w:spacing w:line="360" w:lineRule="auto"/>
        <w:rPr>
          <w:rFonts w:hint="eastAsia" w:ascii="宋体" w:hAnsi="宋体" w:cs="宋体"/>
          <w:sz w:val="24"/>
          <w:highlight w:val="none"/>
        </w:rPr>
      </w:pPr>
      <w:r>
        <w:rPr>
          <w:rFonts w:hint="eastAsia" w:ascii="宋体" w:hAnsi="宋体" w:cs="宋体"/>
          <w:sz w:val="24"/>
          <w:highlight w:val="none"/>
        </w:rPr>
        <w:t>1.采用优质不锈钢材料制成。</w:t>
      </w:r>
    </w:p>
    <w:p w14:paraId="5EF2AF15">
      <w:pPr>
        <w:spacing w:line="360" w:lineRule="auto"/>
        <w:rPr>
          <w:rFonts w:hint="eastAsia" w:ascii="宋体" w:hAnsi="宋体" w:cs="宋体"/>
          <w:sz w:val="24"/>
          <w:highlight w:val="none"/>
        </w:rPr>
      </w:pPr>
      <w:r>
        <w:rPr>
          <w:rFonts w:hint="eastAsia" w:ascii="宋体" w:hAnsi="宋体" w:cs="宋体"/>
          <w:sz w:val="24"/>
          <w:highlight w:val="none"/>
        </w:rPr>
        <w:t>2.用于齿科牙科技工雕刻刻刀配合口腔护理设备使用</w:t>
      </w:r>
    </w:p>
    <w:p w14:paraId="52EB0070">
      <w:pPr>
        <w:spacing w:line="360" w:lineRule="auto"/>
        <w:rPr>
          <w:rFonts w:hint="eastAsia" w:ascii="宋体" w:hAnsi="宋体" w:cs="宋体"/>
          <w:sz w:val="24"/>
          <w:highlight w:val="none"/>
        </w:rPr>
      </w:pPr>
      <w:r>
        <w:rPr>
          <w:rFonts w:hint="eastAsia" w:ascii="宋体" w:hAnsi="宋体" w:cs="宋体"/>
          <w:sz w:val="24"/>
          <w:highlight w:val="none"/>
        </w:rPr>
        <w:t>3.用于蜡染时画蜡所需的专用工具。用来蘸取防染剂（如蜡）在织物上进行描绘图案等</w:t>
      </w:r>
    </w:p>
    <w:p w14:paraId="0221C4BF">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设备70.树脂充填器 </w:t>
      </w:r>
    </w:p>
    <w:p w14:paraId="0C51152F">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数量：1个</w:t>
      </w:r>
    </w:p>
    <w:p w14:paraId="4A05C90D">
      <w:pPr>
        <w:spacing w:line="360" w:lineRule="auto"/>
        <w:rPr>
          <w:rFonts w:hint="eastAsia" w:ascii="宋体" w:hAnsi="宋体" w:cs="宋体"/>
          <w:sz w:val="24"/>
          <w:highlight w:val="none"/>
        </w:rPr>
      </w:pPr>
      <w:r>
        <w:rPr>
          <w:rFonts w:hint="eastAsia" w:ascii="宋体" w:hAnsi="宋体" w:cs="宋体"/>
          <w:sz w:val="24"/>
          <w:highlight w:val="none"/>
        </w:rPr>
        <w:t>1.产品头部应以32Cr13Mo 材料制成、柄部以12Cr18Ni9材料制成。</w:t>
      </w:r>
    </w:p>
    <w:p w14:paraId="7BB949C4">
      <w:pPr>
        <w:spacing w:line="360" w:lineRule="auto"/>
        <w:rPr>
          <w:rFonts w:hint="eastAsia" w:ascii="宋体" w:hAnsi="宋体" w:cs="宋体"/>
          <w:sz w:val="24"/>
          <w:highlight w:val="none"/>
        </w:rPr>
      </w:pPr>
      <w:r>
        <w:rPr>
          <w:rFonts w:hint="eastAsia" w:ascii="宋体" w:hAnsi="宋体" w:cs="宋体"/>
          <w:sz w:val="24"/>
          <w:highlight w:val="none"/>
        </w:rPr>
        <w:t>2.产品外表平整、光滑应无锋棱、毛刺。</w:t>
      </w:r>
    </w:p>
    <w:p w14:paraId="25CA86EC">
      <w:pPr>
        <w:spacing w:line="360" w:lineRule="auto"/>
        <w:rPr>
          <w:rFonts w:hint="eastAsia" w:ascii="宋体" w:hAnsi="宋体" w:cs="宋体"/>
          <w:sz w:val="24"/>
          <w:highlight w:val="none"/>
        </w:rPr>
      </w:pPr>
      <w:r>
        <w:rPr>
          <w:rFonts w:hint="eastAsia" w:ascii="宋体" w:hAnsi="宋体" w:cs="宋体"/>
          <w:sz w:val="24"/>
          <w:highlight w:val="none"/>
        </w:rPr>
        <w:t>3.产品头部与柄连接牢固，能经受300N的拉力而不松动。</w:t>
      </w:r>
    </w:p>
    <w:p w14:paraId="24DB3B2A">
      <w:pPr>
        <w:spacing w:line="360" w:lineRule="auto"/>
        <w:rPr>
          <w:rFonts w:hint="eastAsia" w:ascii="宋体" w:hAnsi="宋体" w:cs="宋体"/>
          <w:sz w:val="24"/>
          <w:highlight w:val="none"/>
        </w:rPr>
      </w:pPr>
      <w:r>
        <w:rPr>
          <w:rFonts w:hint="eastAsia" w:ascii="宋体" w:hAnsi="宋体" w:cs="宋体"/>
          <w:sz w:val="24"/>
          <w:highlight w:val="none"/>
        </w:rPr>
        <w:t>4.经热处理后，产品头部的硬度可达510-620HNO.3。</w:t>
      </w:r>
    </w:p>
    <w:p w14:paraId="41CE6C72">
      <w:pPr>
        <w:spacing w:line="360" w:lineRule="auto"/>
        <w:rPr>
          <w:rFonts w:hint="eastAsia" w:ascii="宋体" w:hAnsi="宋体" w:cs="宋体"/>
          <w:sz w:val="24"/>
          <w:highlight w:val="none"/>
        </w:rPr>
      </w:pPr>
      <w:r>
        <w:rPr>
          <w:rFonts w:hint="eastAsia" w:ascii="宋体" w:hAnsi="宋体" w:cs="宋体"/>
          <w:sz w:val="24"/>
          <w:highlight w:val="none"/>
        </w:rPr>
        <w:t>5.产品具有良好的耐腐蚀性能。</w:t>
      </w:r>
    </w:p>
    <w:p w14:paraId="6A23D63F">
      <w:pPr>
        <w:spacing w:line="360" w:lineRule="auto"/>
        <w:jc w:val="center"/>
        <w:rPr>
          <w:rFonts w:hint="eastAsia" w:ascii="宋体" w:hAnsi="宋体" w:cs="宋体"/>
          <w:b/>
          <w:bCs/>
          <w:sz w:val="32"/>
          <w:szCs w:val="32"/>
          <w:highlight w:val="none"/>
        </w:rPr>
      </w:pPr>
    </w:p>
    <w:p w14:paraId="203D4723">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设备71.离子充填器 </w:t>
      </w:r>
    </w:p>
    <w:p w14:paraId="72AB2D26">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数量：1个</w:t>
      </w:r>
    </w:p>
    <w:p w14:paraId="58C6F549">
      <w:pPr>
        <w:spacing w:line="360" w:lineRule="auto"/>
        <w:rPr>
          <w:rFonts w:hint="eastAsia" w:ascii="宋体" w:hAnsi="宋体" w:cs="宋体"/>
          <w:sz w:val="24"/>
          <w:highlight w:val="none"/>
        </w:rPr>
      </w:pPr>
      <w:r>
        <w:rPr>
          <w:rFonts w:hint="eastAsia" w:ascii="宋体" w:hAnsi="宋体" w:cs="宋体"/>
          <w:sz w:val="24"/>
          <w:highlight w:val="none"/>
        </w:rPr>
        <w:t>1.产品经热处理后，其头部的硬度为510-620H V0.3。</w:t>
      </w:r>
    </w:p>
    <w:p w14:paraId="4909B02A">
      <w:pPr>
        <w:spacing w:line="360" w:lineRule="auto"/>
        <w:rPr>
          <w:rFonts w:hint="eastAsia" w:ascii="宋体" w:hAnsi="宋体" w:cs="宋体"/>
          <w:sz w:val="24"/>
          <w:highlight w:val="none"/>
        </w:rPr>
      </w:pPr>
      <w:r>
        <w:rPr>
          <w:rFonts w:hint="eastAsia" w:ascii="宋体" w:hAnsi="宋体" w:cs="宋体"/>
          <w:sz w:val="24"/>
          <w:highlight w:val="none"/>
        </w:rPr>
        <w:t>2.产品头部与柄连接牢固，能经受300N的拉力而不松动。</w:t>
      </w:r>
    </w:p>
    <w:p w14:paraId="3F37E0A5">
      <w:pPr>
        <w:spacing w:line="360" w:lineRule="auto"/>
        <w:rPr>
          <w:rFonts w:hint="eastAsia" w:ascii="宋体" w:hAnsi="宋体" w:cs="宋体"/>
          <w:sz w:val="24"/>
          <w:highlight w:val="none"/>
        </w:rPr>
      </w:pPr>
      <w:r>
        <w:rPr>
          <w:rFonts w:hint="eastAsia" w:ascii="宋体" w:hAnsi="宋体" w:cs="宋体"/>
          <w:sz w:val="24"/>
          <w:highlight w:val="none"/>
        </w:rPr>
        <w:t>3.产品应有良好的耐腐蚀性能。</w:t>
      </w:r>
    </w:p>
    <w:p w14:paraId="16C10611">
      <w:pPr>
        <w:spacing w:line="360" w:lineRule="auto"/>
        <w:rPr>
          <w:rFonts w:hint="eastAsia" w:ascii="宋体" w:hAnsi="宋体" w:cs="宋体"/>
          <w:sz w:val="24"/>
          <w:highlight w:val="none"/>
        </w:rPr>
      </w:pPr>
      <w:r>
        <w:rPr>
          <w:rFonts w:hint="eastAsia" w:ascii="宋体" w:hAnsi="宋体" w:cs="宋体"/>
          <w:sz w:val="24"/>
          <w:highlight w:val="none"/>
        </w:rPr>
        <w:t>4.器械清洗消毒必须符合国家和有关部门规定。</w:t>
      </w:r>
    </w:p>
    <w:p w14:paraId="17D24A22">
      <w:pPr>
        <w:spacing w:line="360" w:lineRule="auto"/>
        <w:rPr>
          <w:rFonts w:hint="eastAsia" w:ascii="宋体" w:hAnsi="宋体" w:cs="宋体"/>
          <w:sz w:val="24"/>
          <w:highlight w:val="none"/>
        </w:rPr>
      </w:pPr>
      <w:r>
        <w:rPr>
          <w:rFonts w:hint="eastAsia" w:ascii="宋体" w:hAnsi="宋体" w:cs="宋体"/>
          <w:sz w:val="24"/>
          <w:highlight w:val="none"/>
        </w:rPr>
        <w:t>5.对金属材质的器械绝不能使用含有氯离子的消毒剂，否则</w:t>
      </w:r>
    </w:p>
    <w:p w14:paraId="0F968D23">
      <w:pPr>
        <w:spacing w:line="360" w:lineRule="auto"/>
        <w:rPr>
          <w:rFonts w:hint="eastAsia" w:ascii="宋体" w:hAnsi="宋体" w:cs="宋体"/>
          <w:sz w:val="24"/>
          <w:highlight w:val="none"/>
        </w:rPr>
      </w:pPr>
      <w:r>
        <w:rPr>
          <w:rFonts w:hint="eastAsia" w:ascii="宋体" w:hAnsi="宋体" w:cs="宋体"/>
          <w:sz w:val="24"/>
          <w:highlight w:val="none"/>
        </w:rPr>
        <w:t>将对器械造成永久性的破坏。</w:t>
      </w:r>
    </w:p>
    <w:p w14:paraId="51A6A648">
      <w:pPr>
        <w:spacing w:line="360" w:lineRule="auto"/>
        <w:rPr>
          <w:rFonts w:hint="eastAsia" w:ascii="宋体" w:hAnsi="宋体" w:cs="宋体"/>
          <w:sz w:val="24"/>
          <w:highlight w:val="none"/>
        </w:rPr>
      </w:pPr>
      <w:r>
        <w:rPr>
          <w:rFonts w:hint="eastAsia" w:ascii="宋体" w:hAnsi="宋体" w:cs="宋体"/>
          <w:sz w:val="24"/>
          <w:highlight w:val="none"/>
        </w:rPr>
        <w:t>6.浸泡消毒时消毒液中应添加一定的缓蚀剂。</w:t>
      </w:r>
    </w:p>
    <w:p w14:paraId="62E3213F">
      <w:pPr>
        <w:spacing w:line="360" w:lineRule="auto"/>
        <w:jc w:val="center"/>
        <w:rPr>
          <w:rFonts w:hint="eastAsia" w:ascii="宋体" w:hAnsi="宋体" w:cs="宋体"/>
          <w:b/>
          <w:bCs/>
          <w:sz w:val="32"/>
          <w:szCs w:val="32"/>
          <w:highlight w:val="none"/>
        </w:rPr>
      </w:pPr>
    </w:p>
    <w:p w14:paraId="3D1AB943">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设备72.窝沟充填器 </w:t>
      </w:r>
    </w:p>
    <w:p w14:paraId="757F1AEC">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数量：1个</w:t>
      </w:r>
    </w:p>
    <w:p w14:paraId="6FBB408A">
      <w:pPr>
        <w:spacing w:line="360" w:lineRule="auto"/>
        <w:rPr>
          <w:rFonts w:hint="eastAsia" w:ascii="宋体" w:hAnsi="宋体" w:cs="宋体"/>
          <w:sz w:val="24"/>
          <w:highlight w:val="none"/>
        </w:rPr>
      </w:pPr>
      <w:r>
        <w:rPr>
          <w:rFonts w:hint="eastAsia" w:ascii="宋体" w:hAnsi="宋体" w:cs="宋体"/>
          <w:sz w:val="24"/>
          <w:highlight w:val="none"/>
        </w:rPr>
        <w:t>1.本品用于将充填材料压入目标位置。</w:t>
      </w:r>
    </w:p>
    <w:p w14:paraId="3DA90011">
      <w:pPr>
        <w:spacing w:line="360" w:lineRule="auto"/>
        <w:rPr>
          <w:rFonts w:hint="eastAsia" w:ascii="宋体" w:hAnsi="宋体" w:cs="宋体"/>
          <w:sz w:val="24"/>
          <w:highlight w:val="none"/>
        </w:rPr>
      </w:pPr>
      <w:r>
        <w:rPr>
          <w:rFonts w:hint="eastAsia" w:ascii="宋体" w:hAnsi="宋体" w:cs="宋体"/>
          <w:sz w:val="24"/>
          <w:highlight w:val="none"/>
        </w:rPr>
        <w:t>2.产品在使用前,使用中,使用后应注意保护工作头部，不受碰撞损坏。</w:t>
      </w:r>
    </w:p>
    <w:p w14:paraId="0AE589CD">
      <w:pPr>
        <w:spacing w:line="360" w:lineRule="auto"/>
        <w:rPr>
          <w:rFonts w:hint="eastAsia" w:ascii="宋体" w:hAnsi="宋体" w:cs="宋体"/>
          <w:sz w:val="24"/>
          <w:highlight w:val="none"/>
        </w:rPr>
      </w:pPr>
      <w:r>
        <w:rPr>
          <w:rFonts w:hint="eastAsia" w:ascii="宋体" w:hAnsi="宋体" w:cs="宋体"/>
          <w:sz w:val="24"/>
          <w:highlight w:val="none"/>
        </w:rPr>
        <w:t>3.产品使用后一定要及时清洗,消毒,擦干。</w:t>
      </w:r>
    </w:p>
    <w:p w14:paraId="5C85222D">
      <w:pPr>
        <w:spacing w:line="360" w:lineRule="auto"/>
        <w:rPr>
          <w:rFonts w:hint="eastAsia" w:ascii="宋体" w:hAnsi="宋体" w:cs="宋体"/>
          <w:sz w:val="24"/>
          <w:highlight w:val="none"/>
        </w:rPr>
      </w:pPr>
      <w:r>
        <w:rPr>
          <w:rFonts w:hint="eastAsia" w:ascii="宋体" w:hAnsi="宋体" w:cs="宋体"/>
          <w:sz w:val="24"/>
          <w:highlight w:val="none"/>
        </w:rPr>
        <w:t>4.包装后的产品应贮存在相对湿度不超过80%、无腐蚀性气体和通风良好的室内。</w:t>
      </w:r>
    </w:p>
    <w:p w14:paraId="7B67435E">
      <w:pPr>
        <w:spacing w:line="360" w:lineRule="auto"/>
        <w:jc w:val="center"/>
        <w:rPr>
          <w:rFonts w:hint="eastAsia" w:ascii="宋体" w:hAnsi="宋体" w:cs="宋体"/>
          <w:b/>
          <w:bCs/>
          <w:sz w:val="32"/>
          <w:szCs w:val="32"/>
          <w:highlight w:val="none"/>
        </w:rPr>
      </w:pPr>
    </w:p>
    <w:p w14:paraId="3C09FB37">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设备73.光固化刀 </w:t>
      </w:r>
    </w:p>
    <w:p w14:paraId="431E959E">
      <w:pPr>
        <w:spacing w:line="360" w:lineRule="auto"/>
        <w:jc w:val="left"/>
        <w:rPr>
          <w:rFonts w:ascii="宋体" w:hAnsi="宋体" w:cs="宋体"/>
          <w:sz w:val="24"/>
          <w:highlight w:val="none"/>
        </w:rPr>
      </w:pPr>
      <w:r>
        <w:rPr>
          <w:rFonts w:hint="eastAsia" w:ascii="宋体" w:hAnsi="宋体" w:cs="宋体"/>
          <w:b/>
          <w:bCs/>
          <w:sz w:val="32"/>
          <w:szCs w:val="32"/>
          <w:highlight w:val="none"/>
        </w:rPr>
        <w:t>数量：2把</w:t>
      </w:r>
    </w:p>
    <w:p w14:paraId="5CCFFCCD">
      <w:pPr>
        <w:spacing w:line="360" w:lineRule="auto"/>
        <w:rPr>
          <w:rFonts w:hint="eastAsia" w:ascii="宋体" w:hAnsi="宋体" w:cs="宋体"/>
          <w:sz w:val="24"/>
          <w:highlight w:val="none"/>
        </w:rPr>
      </w:pPr>
      <w:r>
        <w:rPr>
          <w:rFonts w:hint="eastAsia" w:ascii="宋体" w:hAnsi="宋体" w:cs="宋体"/>
          <w:sz w:val="24"/>
          <w:highlight w:val="none"/>
        </w:rPr>
        <w:t>1产品经热处理后，其头部的硬度为510-620HV0.3</w:t>
      </w:r>
    </w:p>
    <w:p w14:paraId="6F61A0B1">
      <w:pPr>
        <w:spacing w:line="360" w:lineRule="auto"/>
        <w:rPr>
          <w:rFonts w:hint="eastAsia" w:ascii="宋体" w:hAnsi="宋体" w:cs="宋体"/>
          <w:sz w:val="24"/>
          <w:highlight w:val="none"/>
        </w:rPr>
      </w:pPr>
      <w:r>
        <w:rPr>
          <w:rFonts w:hint="eastAsia" w:ascii="宋体" w:hAnsi="宋体" w:cs="宋体"/>
          <w:sz w:val="24"/>
          <w:highlight w:val="none"/>
        </w:rPr>
        <w:t>2.产品头部与柄部的连接牢固，能经受300N的拉力而不松动。</w:t>
      </w:r>
    </w:p>
    <w:p w14:paraId="25C5AFDB">
      <w:pPr>
        <w:spacing w:line="360" w:lineRule="auto"/>
        <w:rPr>
          <w:rFonts w:hint="eastAsia" w:ascii="宋体" w:hAnsi="宋体" w:cs="宋体"/>
          <w:sz w:val="24"/>
          <w:highlight w:val="none"/>
        </w:rPr>
      </w:pPr>
      <w:r>
        <w:rPr>
          <w:rFonts w:hint="eastAsia" w:ascii="宋体" w:hAnsi="宋体" w:cs="宋体"/>
          <w:sz w:val="24"/>
          <w:highlight w:val="none"/>
        </w:rPr>
        <w:t>3.产品外表平整、光滑应无锋棱、光滑应无锋棱、毛刺。</w:t>
      </w:r>
    </w:p>
    <w:p w14:paraId="41F369FA">
      <w:pPr>
        <w:spacing w:line="360" w:lineRule="auto"/>
        <w:rPr>
          <w:rFonts w:hint="eastAsia" w:ascii="宋体" w:hAnsi="宋体" w:cs="宋体"/>
          <w:sz w:val="24"/>
          <w:highlight w:val="none"/>
        </w:rPr>
      </w:pPr>
      <w:r>
        <w:rPr>
          <w:rFonts w:hint="eastAsia" w:ascii="宋体" w:hAnsi="宋体" w:cs="宋体"/>
          <w:sz w:val="24"/>
          <w:highlight w:val="none"/>
        </w:rPr>
        <w:t>4.产品应有良好的耐腐蚀性能</w:t>
      </w:r>
    </w:p>
    <w:p w14:paraId="28352F79">
      <w:pPr>
        <w:spacing w:line="360" w:lineRule="auto"/>
        <w:jc w:val="center"/>
        <w:rPr>
          <w:rFonts w:hint="eastAsia" w:ascii="宋体" w:hAnsi="宋体" w:cs="宋体"/>
          <w:b/>
          <w:bCs/>
          <w:sz w:val="32"/>
          <w:szCs w:val="32"/>
          <w:highlight w:val="none"/>
        </w:rPr>
      </w:pPr>
    </w:p>
    <w:p w14:paraId="15706486">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设备74.一次性口腔器械盒 </w:t>
      </w:r>
    </w:p>
    <w:p w14:paraId="2334D3CD">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数量：2箱</w:t>
      </w:r>
    </w:p>
    <w:p w14:paraId="3FEE0093">
      <w:pPr>
        <w:spacing w:line="360" w:lineRule="auto"/>
        <w:rPr>
          <w:rFonts w:hint="eastAsia" w:ascii="宋体" w:hAnsi="宋体" w:cs="宋体"/>
          <w:sz w:val="24"/>
          <w:highlight w:val="none"/>
        </w:rPr>
      </w:pPr>
      <w:r>
        <w:rPr>
          <w:rFonts w:hint="eastAsia" w:ascii="宋体" w:hAnsi="宋体" w:cs="宋体"/>
          <w:sz w:val="24"/>
          <w:highlight w:val="none"/>
        </w:rPr>
        <w:t>1.一次性口腔器械盒由牙探针、镊子、口镜、医用检查垫、脱脂棉球等组成。</w:t>
      </w:r>
    </w:p>
    <w:p w14:paraId="28DE5DB0">
      <w:pPr>
        <w:spacing w:line="360" w:lineRule="auto"/>
        <w:rPr>
          <w:rFonts w:hint="eastAsia" w:ascii="宋体" w:hAnsi="宋体" w:cs="宋体"/>
          <w:sz w:val="24"/>
          <w:highlight w:val="none"/>
        </w:rPr>
      </w:pPr>
      <w:r>
        <w:rPr>
          <w:rFonts w:hint="eastAsia" w:ascii="宋体" w:hAnsi="宋体" w:cs="宋体"/>
          <w:sz w:val="24"/>
          <w:highlight w:val="none"/>
        </w:rPr>
        <w:t>2.医用检查垫:一次性使用病床或检查床上的卫生护理用品;不包括手术室、产房内使用的各种手术垫。</w:t>
      </w:r>
    </w:p>
    <w:p w14:paraId="26515881">
      <w:pPr>
        <w:spacing w:line="360" w:lineRule="auto"/>
        <w:rPr>
          <w:rFonts w:hint="eastAsia" w:ascii="宋体" w:hAnsi="宋体" w:cs="宋体"/>
          <w:sz w:val="24"/>
          <w:highlight w:val="none"/>
        </w:rPr>
      </w:pPr>
      <w:r>
        <w:rPr>
          <w:rFonts w:hint="eastAsia" w:ascii="宋体" w:hAnsi="宋体" w:cs="宋体"/>
          <w:sz w:val="24"/>
          <w:highlight w:val="none"/>
        </w:rPr>
        <w:t>3.口镜:主要由柄、带有连接杆或不带有连接杆的镜子组成。</w:t>
      </w:r>
    </w:p>
    <w:p w14:paraId="2FE75399">
      <w:pPr>
        <w:spacing w:line="360" w:lineRule="auto"/>
        <w:rPr>
          <w:rFonts w:hint="eastAsia" w:ascii="宋体" w:hAnsi="宋体" w:cs="宋体"/>
          <w:sz w:val="24"/>
          <w:highlight w:val="none"/>
        </w:rPr>
      </w:pPr>
      <w:r>
        <w:rPr>
          <w:rFonts w:hint="eastAsia" w:ascii="宋体" w:hAnsi="宋体" w:cs="宋体"/>
          <w:sz w:val="24"/>
          <w:highlight w:val="none"/>
        </w:rPr>
        <w:t>4.牙探针:探触器械，末端为细的工作部分;根据用途，工作部分为针状、钩状或圆头。</w:t>
      </w:r>
    </w:p>
    <w:p w14:paraId="432C0131">
      <w:pPr>
        <w:spacing w:line="360" w:lineRule="auto"/>
        <w:rPr>
          <w:rFonts w:hint="eastAsia" w:ascii="宋体" w:hAnsi="宋体" w:cs="宋体"/>
          <w:sz w:val="24"/>
          <w:highlight w:val="none"/>
        </w:rPr>
      </w:pPr>
      <w:r>
        <w:rPr>
          <w:rFonts w:hint="eastAsia" w:ascii="宋体" w:hAnsi="宋体" w:cs="宋体"/>
          <w:sz w:val="24"/>
          <w:highlight w:val="none"/>
        </w:rPr>
        <w:t>5.镊子:由一对尾部叠合的叶片组成，由不锈钢材料制成。</w:t>
      </w:r>
    </w:p>
    <w:p w14:paraId="01B0C284">
      <w:pPr>
        <w:spacing w:line="360" w:lineRule="auto"/>
        <w:rPr>
          <w:rFonts w:hint="eastAsia" w:ascii="宋体" w:hAnsi="宋体" w:cs="宋体"/>
          <w:sz w:val="24"/>
          <w:highlight w:val="none"/>
        </w:rPr>
      </w:pPr>
      <w:r>
        <w:rPr>
          <w:rFonts w:hint="eastAsia" w:ascii="宋体" w:hAnsi="宋体" w:cs="宋体"/>
          <w:sz w:val="24"/>
          <w:highlight w:val="none"/>
        </w:rPr>
        <w:t>6.脱脂棉球:皮肤创面消毒处理时，涂抹药物或消毒剂的工具，不含药物或消毒剂。</w:t>
      </w:r>
    </w:p>
    <w:p w14:paraId="3AAB0CBC">
      <w:pPr>
        <w:spacing w:line="360" w:lineRule="auto"/>
        <w:rPr>
          <w:rFonts w:hint="eastAsia" w:ascii="宋体" w:hAnsi="宋体" w:cs="宋体"/>
          <w:sz w:val="24"/>
          <w:highlight w:val="none"/>
        </w:rPr>
      </w:pPr>
      <w:r>
        <w:rPr>
          <w:rFonts w:hint="eastAsia" w:ascii="宋体" w:hAnsi="宋体" w:cs="宋体"/>
          <w:sz w:val="24"/>
          <w:highlight w:val="none"/>
        </w:rPr>
        <w:t>7.产品用于普通环境牙科常规检查、治疗时一次性使用医用检查垫:</w:t>
      </w:r>
    </w:p>
    <w:p w14:paraId="2228987E">
      <w:pPr>
        <w:spacing w:line="360" w:lineRule="auto"/>
        <w:rPr>
          <w:rFonts w:hint="eastAsia" w:ascii="宋体" w:hAnsi="宋体" w:cs="宋体"/>
          <w:sz w:val="24"/>
          <w:highlight w:val="none"/>
        </w:rPr>
      </w:pPr>
      <w:r>
        <w:rPr>
          <w:rFonts w:hint="eastAsia" w:ascii="宋体" w:hAnsi="宋体" w:cs="宋体"/>
          <w:sz w:val="24"/>
          <w:highlight w:val="none"/>
        </w:rPr>
        <w:t>8.用于卧床(检查)病人保洁。</w:t>
      </w:r>
    </w:p>
    <w:p w14:paraId="27498FF3">
      <w:pPr>
        <w:spacing w:line="360" w:lineRule="auto"/>
        <w:rPr>
          <w:rFonts w:hint="eastAsia" w:ascii="宋体" w:hAnsi="宋体" w:cs="宋体"/>
          <w:sz w:val="24"/>
          <w:highlight w:val="none"/>
        </w:rPr>
      </w:pPr>
      <w:r>
        <w:rPr>
          <w:rFonts w:hint="eastAsia" w:ascii="宋体" w:hAnsi="宋体" w:cs="宋体"/>
          <w:sz w:val="24"/>
          <w:highlight w:val="none"/>
        </w:rPr>
        <w:t>9.口镜:用于口腔检查牙面、牙龈等部位的病灶。</w:t>
      </w:r>
    </w:p>
    <w:p w14:paraId="4BF4894A">
      <w:pPr>
        <w:spacing w:line="360" w:lineRule="auto"/>
        <w:rPr>
          <w:rFonts w:hint="eastAsia" w:ascii="宋体" w:hAnsi="宋体" w:cs="宋体"/>
          <w:sz w:val="24"/>
          <w:highlight w:val="none"/>
        </w:rPr>
      </w:pPr>
      <w:r>
        <w:rPr>
          <w:rFonts w:hint="eastAsia" w:ascii="宋体" w:hAnsi="宋体" w:cs="宋体"/>
          <w:sz w:val="24"/>
          <w:highlight w:val="none"/>
        </w:rPr>
        <w:t>10.牙探针:供医疗单位口腔科探测牙龋洞的位置及深浅用。</w:t>
      </w:r>
    </w:p>
    <w:p w14:paraId="7D7A4BB4">
      <w:pPr>
        <w:spacing w:line="360" w:lineRule="auto"/>
        <w:rPr>
          <w:rFonts w:hint="eastAsia" w:ascii="宋体" w:hAnsi="宋体" w:cs="宋体"/>
          <w:sz w:val="24"/>
          <w:highlight w:val="none"/>
        </w:rPr>
      </w:pPr>
      <w:r>
        <w:rPr>
          <w:rFonts w:hint="eastAsia" w:ascii="宋体" w:hAnsi="宋体" w:cs="宋体"/>
          <w:sz w:val="24"/>
          <w:highlight w:val="none"/>
        </w:rPr>
        <w:t>11.镊子:用于口腔科检查和治疗时夹持。</w:t>
      </w:r>
    </w:p>
    <w:p w14:paraId="19DB0A89">
      <w:pPr>
        <w:spacing w:line="360" w:lineRule="auto"/>
        <w:rPr>
          <w:rFonts w:hint="eastAsia" w:ascii="宋体" w:hAnsi="宋体" w:cs="宋体"/>
          <w:sz w:val="24"/>
          <w:highlight w:val="none"/>
        </w:rPr>
      </w:pPr>
      <w:r>
        <w:rPr>
          <w:rFonts w:hint="eastAsia" w:ascii="宋体" w:hAnsi="宋体" w:cs="宋体"/>
          <w:sz w:val="24"/>
          <w:highlight w:val="none"/>
        </w:rPr>
        <w:t>12.脱脂棉球:用于对手术或穿刺部位的皮肤，机械创伤及器械的局部涂抹消毒剂。</w:t>
      </w:r>
    </w:p>
    <w:p w14:paraId="75434AE2">
      <w:pPr>
        <w:spacing w:line="360" w:lineRule="auto"/>
        <w:rPr>
          <w:rFonts w:hint="eastAsia" w:ascii="宋体" w:hAnsi="宋体" w:cs="宋体"/>
          <w:highlight w:val="none"/>
        </w:rPr>
      </w:pPr>
      <w:r>
        <w:rPr>
          <w:rFonts w:hint="eastAsia" w:ascii="宋体" w:hAnsi="宋体" w:cs="宋体"/>
          <w:sz w:val="24"/>
          <w:highlight w:val="none"/>
        </w:rPr>
        <w:t>13.将各配件取出即可使用，拆封即用;组件可根据用途，由医生选择使用，本品经环氧乙烷消毒</w:t>
      </w:r>
      <w:r>
        <w:rPr>
          <w:rFonts w:hint="eastAsia" w:ascii="宋体" w:hAnsi="宋体" w:cs="宋体"/>
          <w:highlight w:val="none"/>
        </w:rPr>
        <w:t>。</w:t>
      </w:r>
    </w:p>
    <w:p w14:paraId="7853490A">
      <w:pPr>
        <w:spacing w:line="360" w:lineRule="auto"/>
        <w:jc w:val="center"/>
        <w:rPr>
          <w:rFonts w:hint="eastAsia" w:ascii="宋体" w:hAnsi="宋体" w:cs="宋体"/>
          <w:b/>
          <w:bCs/>
          <w:sz w:val="32"/>
          <w:szCs w:val="32"/>
          <w:highlight w:val="none"/>
        </w:rPr>
      </w:pPr>
    </w:p>
    <w:p w14:paraId="5F9BEE30">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设备75.牙胶尖切断器 </w:t>
      </w:r>
    </w:p>
    <w:p w14:paraId="558F0731">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数量：1个</w:t>
      </w:r>
    </w:p>
    <w:p w14:paraId="4A7450B1">
      <w:pPr>
        <w:spacing w:line="360" w:lineRule="auto"/>
        <w:rPr>
          <w:rFonts w:hint="eastAsia" w:ascii="宋体" w:hAnsi="宋体" w:cs="宋体"/>
          <w:sz w:val="24"/>
          <w:highlight w:val="none"/>
        </w:rPr>
      </w:pPr>
      <w:r>
        <w:rPr>
          <w:rFonts w:hint="eastAsia" w:ascii="宋体" w:hAnsi="宋体" w:cs="宋体"/>
          <w:sz w:val="24"/>
          <w:highlight w:val="none"/>
        </w:rPr>
        <w:t>1.在牙管充填术中，经侧压确定根管已充满时，用本产品切断根管口处多余的牙胶尖术者在使用本产品时按下开关，前端的加热丝在短时间内达到理想的温度，放开开关短时间可降温</w:t>
      </w:r>
    </w:p>
    <w:p w14:paraId="7AE02FAF">
      <w:pPr>
        <w:spacing w:line="360" w:lineRule="auto"/>
        <w:rPr>
          <w:rFonts w:hint="eastAsia" w:ascii="宋体" w:hAnsi="宋体" w:cs="宋体"/>
          <w:sz w:val="24"/>
          <w:highlight w:val="none"/>
        </w:rPr>
      </w:pPr>
      <w:r>
        <w:rPr>
          <w:rFonts w:hint="eastAsia" w:ascii="宋体" w:hAnsi="宋体" w:cs="宋体"/>
          <w:sz w:val="24"/>
          <w:highlight w:val="none"/>
        </w:rPr>
        <w:t>2.按下按键快速加热，释放按键几秒钟内降温，使用方便、快捷、舒适。</w:t>
      </w:r>
    </w:p>
    <w:p w14:paraId="10C6A128">
      <w:pPr>
        <w:spacing w:line="360" w:lineRule="auto"/>
        <w:rPr>
          <w:rFonts w:hint="eastAsia" w:ascii="宋体" w:hAnsi="宋体" w:cs="宋体"/>
          <w:sz w:val="24"/>
          <w:highlight w:val="none"/>
        </w:rPr>
      </w:pPr>
      <w:r>
        <w:rPr>
          <w:rFonts w:hint="eastAsia" w:ascii="宋体" w:hAnsi="宋体" w:cs="宋体"/>
          <w:sz w:val="24"/>
          <w:highlight w:val="none"/>
        </w:rPr>
        <w:t>3.使用无线充电技术，新潮、时尚。</w:t>
      </w:r>
    </w:p>
    <w:p w14:paraId="68217981">
      <w:pPr>
        <w:spacing w:line="360" w:lineRule="auto"/>
        <w:rPr>
          <w:rFonts w:hint="eastAsia" w:ascii="宋体" w:hAnsi="宋体" w:cs="宋体"/>
          <w:sz w:val="24"/>
          <w:highlight w:val="none"/>
        </w:rPr>
      </w:pPr>
      <w:r>
        <w:rPr>
          <w:rFonts w:hint="eastAsia" w:ascii="宋体" w:hAnsi="宋体" w:cs="宋体"/>
          <w:sz w:val="24"/>
          <w:highlight w:val="none"/>
        </w:rPr>
        <w:t>4.发热针可高温高压灭菌消毒，反复可反复使用。</w:t>
      </w:r>
    </w:p>
    <w:p w14:paraId="213741E2">
      <w:pPr>
        <w:spacing w:line="360" w:lineRule="auto"/>
        <w:jc w:val="center"/>
        <w:rPr>
          <w:rFonts w:hint="eastAsia" w:ascii="宋体" w:hAnsi="宋体" w:cs="宋体"/>
          <w:b/>
          <w:bCs/>
          <w:sz w:val="32"/>
          <w:szCs w:val="32"/>
          <w:highlight w:val="none"/>
        </w:rPr>
      </w:pPr>
    </w:p>
    <w:p w14:paraId="0B91A38B">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设备76.挖匙 </w:t>
      </w:r>
    </w:p>
    <w:p w14:paraId="06002ECC">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数量：5把</w:t>
      </w:r>
    </w:p>
    <w:p w14:paraId="110597D3">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产品的整体结构应以GB/T1220中规定的40Cr13材料制成。</w:t>
      </w:r>
    </w:p>
    <w:p w14:paraId="36AB51B2">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2.</w:t>
      </w:r>
      <w:r>
        <w:rPr>
          <w:rFonts w:hint="eastAsia" w:ascii="仿宋" w:hAnsi="仿宋" w:eastAsia="仿宋" w:cs="仿宋"/>
          <w:kern w:val="2"/>
          <w:sz w:val="24"/>
          <w:szCs w:val="24"/>
          <w:highlight w:val="none"/>
          <w:lang w:val="en-US" w:eastAsia="zh-CN" w:bidi="ar-SA"/>
        </w:rPr>
        <w:t>头柄装配结构的头部应以GB/T1220中的32Cr13Mo材料制成、柄部应以12Cr18Ni9材料制成。</w:t>
      </w:r>
    </w:p>
    <w:p w14:paraId="3D9131E7">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八角柄整体型式的产品表面应电镀铬处理，圆柄头柄装配型式的产品表面经钝化处理。</w:t>
      </w:r>
    </w:p>
    <w:p w14:paraId="0C252952">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4.</w:t>
      </w:r>
      <w:r>
        <w:rPr>
          <w:rFonts w:hint="eastAsia" w:ascii="仿宋" w:hAnsi="仿宋" w:eastAsia="仿宋" w:cs="仿宋"/>
          <w:kern w:val="2"/>
          <w:sz w:val="24"/>
          <w:szCs w:val="24"/>
          <w:highlight w:val="none"/>
          <w:lang w:val="en-US" w:eastAsia="zh-CN" w:bidi="ar-SA"/>
        </w:rPr>
        <w:t>产品经热处理硬度为510-620HV0.3。</w:t>
      </w:r>
    </w:p>
    <w:p w14:paraId="73121139">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5.</w:t>
      </w:r>
      <w:r>
        <w:rPr>
          <w:rFonts w:hint="eastAsia" w:ascii="仿宋" w:hAnsi="仿宋" w:eastAsia="仿宋" w:cs="仿宋"/>
          <w:kern w:val="2"/>
          <w:sz w:val="24"/>
          <w:szCs w:val="24"/>
          <w:highlight w:val="none"/>
          <w:lang w:val="en-US" w:eastAsia="zh-CN" w:bidi="ar-SA"/>
        </w:rPr>
        <w:t>产品装配结构头部与柄部的连接应牢固，能经受294N的拉力而不松动。</w:t>
      </w:r>
    </w:p>
    <w:p w14:paraId="5E6A0375">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6.</w:t>
      </w:r>
      <w:r>
        <w:rPr>
          <w:rFonts w:hint="eastAsia" w:ascii="仿宋" w:hAnsi="仿宋" w:eastAsia="仿宋" w:cs="仿宋"/>
          <w:kern w:val="2"/>
          <w:sz w:val="24"/>
          <w:szCs w:val="24"/>
          <w:highlight w:val="none"/>
          <w:lang w:val="en-US" w:eastAsia="zh-CN" w:bidi="ar-SA"/>
        </w:rPr>
        <w:t>产品刃口微锐，无卷口，缺口。</w:t>
      </w:r>
    </w:p>
    <w:p w14:paraId="13A9B5DB">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7.</w:t>
      </w:r>
      <w:r>
        <w:rPr>
          <w:rFonts w:hint="eastAsia" w:ascii="仿宋" w:hAnsi="仿宋" w:eastAsia="仿宋" w:cs="仿宋"/>
          <w:kern w:val="2"/>
          <w:sz w:val="24"/>
          <w:szCs w:val="24"/>
          <w:highlight w:val="none"/>
          <w:lang w:val="en-US" w:eastAsia="zh-CN" w:bidi="ar-SA"/>
        </w:rPr>
        <w:t>产品有足够的强度。</w:t>
      </w:r>
    </w:p>
    <w:p w14:paraId="2D2FE25B">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8.</w:t>
      </w:r>
      <w:r>
        <w:rPr>
          <w:rFonts w:hint="eastAsia" w:ascii="仿宋" w:hAnsi="仿宋" w:eastAsia="仿宋" w:cs="仿宋"/>
          <w:kern w:val="2"/>
          <w:sz w:val="24"/>
          <w:szCs w:val="24"/>
          <w:highlight w:val="none"/>
          <w:lang w:val="en-US" w:eastAsia="zh-CN" w:bidi="ar-SA"/>
        </w:rPr>
        <w:t>产品具有良好的耐腐蚀性能。</w:t>
      </w:r>
    </w:p>
    <w:p w14:paraId="0FA0AD26">
      <w:pPr>
        <w:pStyle w:val="7"/>
        <w:jc w:val="center"/>
        <w:rPr>
          <w:rFonts w:hint="eastAsia" w:ascii="宋体" w:hAnsi="宋体" w:cs="宋体"/>
          <w:b/>
          <w:bCs/>
          <w:sz w:val="32"/>
          <w:szCs w:val="32"/>
          <w:highlight w:val="none"/>
        </w:rPr>
      </w:pPr>
    </w:p>
    <w:p w14:paraId="06BA1B7E">
      <w:pPr>
        <w:pStyle w:val="7"/>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设备77.广口瓶宅口瓶 </w:t>
      </w:r>
    </w:p>
    <w:p w14:paraId="1DD3283C">
      <w:pPr>
        <w:pStyle w:val="7"/>
        <w:jc w:val="left"/>
        <w:rPr>
          <w:rFonts w:ascii="宋体" w:hAnsi="宋体" w:cs="宋体"/>
          <w:b/>
          <w:bCs/>
          <w:sz w:val="32"/>
          <w:szCs w:val="32"/>
          <w:highlight w:val="none"/>
        </w:rPr>
      </w:pPr>
      <w:r>
        <w:rPr>
          <w:rFonts w:hint="eastAsia" w:ascii="宋体" w:hAnsi="宋体" w:cs="宋体"/>
          <w:b/>
          <w:bCs/>
          <w:sz w:val="32"/>
          <w:szCs w:val="32"/>
          <w:highlight w:val="none"/>
        </w:rPr>
        <w:t>数量：4个</w:t>
      </w:r>
    </w:p>
    <w:p w14:paraId="6DD5F52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1瓶口相对较大或者较肖的玻璃制品。</w:t>
      </w:r>
    </w:p>
    <w:p w14:paraId="1D107E2B">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2用于实验室中常使用玻璃制的广口瓶用于盛装固体药品的玻璃制品</w:t>
      </w:r>
    </w:p>
    <w:p w14:paraId="3F90F580">
      <w:pPr>
        <w:pStyle w:val="7"/>
        <w:jc w:val="center"/>
        <w:rPr>
          <w:rFonts w:hint="eastAsia" w:ascii="宋体" w:hAnsi="宋体" w:cs="宋体"/>
          <w:b/>
          <w:bCs/>
          <w:sz w:val="32"/>
          <w:szCs w:val="32"/>
          <w:highlight w:val="none"/>
        </w:rPr>
      </w:pPr>
    </w:p>
    <w:p w14:paraId="1C161433">
      <w:pPr>
        <w:pStyle w:val="7"/>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设备78.正畸钳子 </w:t>
      </w:r>
    </w:p>
    <w:p w14:paraId="63D36F52">
      <w:pPr>
        <w:pStyle w:val="7"/>
        <w:jc w:val="left"/>
        <w:rPr>
          <w:rFonts w:ascii="宋体" w:hAnsi="宋体" w:cs="宋体"/>
          <w:b/>
          <w:bCs/>
          <w:sz w:val="32"/>
          <w:szCs w:val="32"/>
          <w:highlight w:val="none"/>
        </w:rPr>
      </w:pPr>
      <w:r>
        <w:rPr>
          <w:rFonts w:hint="eastAsia" w:ascii="宋体" w:hAnsi="宋体" w:cs="宋体"/>
          <w:b/>
          <w:bCs/>
          <w:sz w:val="32"/>
          <w:szCs w:val="32"/>
          <w:highlight w:val="none"/>
        </w:rPr>
        <w:t>数量：1把</w:t>
      </w:r>
    </w:p>
    <w:p w14:paraId="0B52E25C">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1.用于牙科临床中完成固定、止血、夹持、剪切和去除等操</w:t>
      </w:r>
    </w:p>
    <w:p w14:paraId="73AC3D7D">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作。</w:t>
      </w:r>
    </w:p>
    <w:p w14:paraId="5A49904C">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2.由钳喙、关节和钳柄组成钳喙可根据用途制成不同形状。</w:t>
      </w:r>
    </w:p>
    <w:p w14:paraId="5583A8C1">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3.采用不锈钢材料制成。非无菌提供。使用前由使用机构根据</w:t>
      </w:r>
    </w:p>
    <w:p w14:paraId="54FF084C">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说明书进行灭菌。</w:t>
      </w:r>
    </w:p>
    <w:p w14:paraId="3670BD7E">
      <w:pPr>
        <w:spacing w:line="360" w:lineRule="auto"/>
        <w:jc w:val="center"/>
        <w:rPr>
          <w:rFonts w:hint="eastAsia" w:ascii="宋体" w:hAnsi="宋体" w:cs="宋体"/>
          <w:b/>
          <w:bCs/>
          <w:sz w:val="32"/>
          <w:szCs w:val="32"/>
          <w:highlight w:val="none"/>
        </w:rPr>
      </w:pPr>
    </w:p>
    <w:p w14:paraId="781C9949">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设备79.自锁托槽 </w:t>
      </w:r>
    </w:p>
    <w:p w14:paraId="6DA38747">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数量：10个</w:t>
      </w:r>
    </w:p>
    <w:p w14:paraId="31C94C3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1.托槽采用不锈钢材料06Cr18NillTi、06Cr19Ni-10、12Cr18Ni9或05Cr17NiCu4Nb加工</w:t>
      </w:r>
    </w:p>
    <w:p w14:paraId="48817467">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2.主要用于口腔正畸治疗。</w:t>
      </w:r>
    </w:p>
    <w:p w14:paraId="541B120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3.开锁工具:用于口腔中正畸材料的成型、安装、去除。</w:t>
      </w:r>
    </w:p>
    <w:p w14:paraId="637C946A">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设备80.橡皮圈</w:t>
      </w:r>
    </w:p>
    <w:p w14:paraId="0E72041D">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 5个</w:t>
      </w:r>
    </w:p>
    <w:p w14:paraId="79CE57A1">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1.正畸弹力圈采用聚胺脂材料或乳胶材料制成。</w:t>
      </w:r>
    </w:p>
    <w:p w14:paraId="47CD915B">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2.供人体牙齿正畸用。</w:t>
      </w:r>
    </w:p>
    <w:p w14:paraId="3B5F5C93">
      <w:pPr>
        <w:pStyle w:val="7"/>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设备81.止血钳 </w:t>
      </w:r>
    </w:p>
    <w:p w14:paraId="62606648">
      <w:pPr>
        <w:pStyle w:val="7"/>
        <w:jc w:val="left"/>
        <w:rPr>
          <w:rFonts w:ascii="宋体" w:hAnsi="宋体" w:cs="宋体"/>
          <w:b/>
          <w:bCs/>
          <w:sz w:val="32"/>
          <w:szCs w:val="32"/>
          <w:highlight w:val="none"/>
        </w:rPr>
      </w:pPr>
      <w:r>
        <w:rPr>
          <w:rFonts w:hint="eastAsia" w:ascii="宋体" w:hAnsi="宋体" w:cs="宋体"/>
          <w:b/>
          <w:bCs/>
          <w:sz w:val="32"/>
          <w:szCs w:val="32"/>
          <w:highlight w:val="none"/>
        </w:rPr>
        <w:t>数量：4把</w:t>
      </w:r>
    </w:p>
    <w:p w14:paraId="47EBC0B1">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1.正畸钳用于牙科临床中完成固定、止血、夹持、弯制、剪切和去除等操作。</w:t>
      </w:r>
    </w:p>
    <w:p w14:paraId="0E720D35">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2.由钳喙、关节和钳柄组成，钳喙可根据用途制成不同形状，采用不锈钢材料制成。</w:t>
      </w:r>
    </w:p>
    <w:p w14:paraId="685A6ACD">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3.'非无菌提供。使用前由使用机构根据说明书进行灭菌或消毒。</w:t>
      </w:r>
    </w:p>
    <w:p w14:paraId="521E4B03">
      <w:pPr>
        <w:pStyle w:val="7"/>
        <w:jc w:val="center"/>
        <w:rPr>
          <w:rFonts w:hint="eastAsia" w:ascii="宋体" w:hAnsi="宋体" w:cs="宋体"/>
          <w:b/>
          <w:bCs/>
          <w:sz w:val="32"/>
          <w:szCs w:val="32"/>
          <w:highlight w:val="none"/>
        </w:rPr>
      </w:pPr>
    </w:p>
    <w:p w14:paraId="775EA722">
      <w:pPr>
        <w:pStyle w:val="7"/>
        <w:jc w:val="center"/>
        <w:rPr>
          <w:rFonts w:hint="eastAsia" w:ascii="宋体" w:hAnsi="宋体" w:cs="宋体"/>
          <w:b/>
          <w:bCs/>
          <w:sz w:val="32"/>
          <w:szCs w:val="32"/>
          <w:highlight w:val="none"/>
        </w:rPr>
      </w:pPr>
      <w:r>
        <w:rPr>
          <w:rFonts w:hint="eastAsia" w:ascii="宋体" w:hAnsi="宋体" w:cs="宋体"/>
          <w:b/>
          <w:bCs/>
          <w:sz w:val="32"/>
          <w:szCs w:val="32"/>
          <w:highlight w:val="none"/>
        </w:rPr>
        <w:t>设备82.手术刀片（柄）</w:t>
      </w:r>
    </w:p>
    <w:p w14:paraId="63DE9B47">
      <w:pPr>
        <w:pStyle w:val="7"/>
        <w:jc w:val="left"/>
        <w:rPr>
          <w:rFonts w:ascii="宋体" w:hAnsi="宋体" w:cs="宋体"/>
          <w:b/>
          <w:bCs/>
          <w:sz w:val="32"/>
          <w:szCs w:val="32"/>
          <w:highlight w:val="none"/>
        </w:rPr>
      </w:pPr>
      <w:r>
        <w:rPr>
          <w:rFonts w:hint="eastAsia" w:ascii="宋体" w:hAnsi="宋体" w:cs="宋体"/>
          <w:b/>
          <w:bCs/>
          <w:sz w:val="32"/>
          <w:szCs w:val="32"/>
          <w:highlight w:val="none"/>
        </w:rPr>
        <w:t>数量： 2把</w:t>
      </w:r>
    </w:p>
    <w:p w14:paraId="11385113">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1.产品由GB1220中规定的12Cr13或12Cr18Ni9材料制成。</w:t>
      </w:r>
    </w:p>
    <w:p w14:paraId="65619B4B">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2.其中12Cr18Ni9材料的产品表面经钝化处理</w:t>
      </w:r>
    </w:p>
    <w:p w14:paraId="31A457A8">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3.产品具有良好的弹性，按YY/T0295.1附录A试验后变形量不超过1.6mm。</w:t>
      </w:r>
    </w:p>
    <w:p w14:paraId="7D3A0049">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4.产品应对称，两片连接牢固。</w:t>
      </w:r>
    </w:p>
    <w:p w14:paraId="5B25915F">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5.产品二片捏合时，唇头齿自头端向下在其全长三分之二的长度内应吻合，唇头钩应完整无损，唇头钩的钩与槽应吻合，开闭时应灵活，不卡塞。</w:t>
      </w:r>
    </w:p>
    <w:p w14:paraId="5B959685">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6.产品具有良好的耐腐蚀性能。</w:t>
      </w:r>
    </w:p>
    <w:p w14:paraId="7CB748D1">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7.外表应光滑，不得有锋棱、毛刺、裂纹、麻点、砂眼。</w:t>
      </w:r>
    </w:p>
    <w:p w14:paraId="12164C14">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设备83.喷枪头 </w:t>
      </w:r>
    </w:p>
    <w:p w14:paraId="1CC50CBA">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数量：10 个</w:t>
      </w:r>
    </w:p>
    <w:p w14:paraId="1BA855DB">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1.材质：不锈钢</w:t>
      </w:r>
    </w:p>
    <w:p w14:paraId="2894BA47">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2.最高消毒温度≥135°</w:t>
      </w:r>
    </w:p>
    <w:p w14:paraId="2DCF7EC8">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3.水汽均匀</w:t>
      </w:r>
    </w:p>
    <w:p w14:paraId="032BCDAC">
      <w:pPr>
        <w:spacing w:line="360" w:lineRule="auto"/>
        <w:rPr>
          <w:rFonts w:hint="eastAsia" w:ascii="宋体" w:hAnsi="宋体" w:cs="宋体"/>
          <w:b/>
          <w:bCs/>
          <w:sz w:val="32"/>
          <w:szCs w:val="32"/>
          <w:highlight w:val="none"/>
        </w:rPr>
      </w:pPr>
    </w:p>
    <w:p w14:paraId="01251A8F">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设备84.取膜托盘 </w:t>
      </w:r>
    </w:p>
    <w:p w14:paraId="275BE1F9">
      <w:pPr>
        <w:spacing w:line="360" w:lineRule="auto"/>
        <w:jc w:val="left"/>
        <w:rPr>
          <w:rFonts w:ascii="宋体" w:hAnsi="宋体" w:cs="宋体"/>
          <w:highlight w:val="none"/>
        </w:rPr>
      </w:pPr>
      <w:r>
        <w:rPr>
          <w:rFonts w:hint="eastAsia" w:ascii="宋体" w:hAnsi="宋体" w:cs="宋体"/>
          <w:b/>
          <w:bCs/>
          <w:sz w:val="32"/>
          <w:szCs w:val="32"/>
          <w:highlight w:val="none"/>
        </w:rPr>
        <w:t>数量：30个</w:t>
      </w:r>
    </w:p>
    <w:p w14:paraId="7272E8C4">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1.材质：树脂材料</w:t>
      </w:r>
    </w:p>
    <w:p w14:paraId="149CEBB9">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2.最高消毒温度≥135°</w:t>
      </w:r>
    </w:p>
    <w:p w14:paraId="62AE9519">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3.易开孔，手机车针轻触牙位4个支点，轻松划开牙位。</w:t>
      </w:r>
    </w:p>
    <w:p w14:paraId="0B293D12">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4.牙托边缘锁设计，印刷材料更牢圈</w:t>
      </w:r>
    </w:p>
    <w:p w14:paraId="6782277D">
      <w:pPr>
        <w:spacing w:line="360" w:lineRule="auto"/>
        <w:jc w:val="center"/>
        <w:rPr>
          <w:rFonts w:hint="eastAsia" w:ascii="宋体" w:hAnsi="宋体" w:cs="宋体"/>
          <w:b/>
          <w:bCs/>
          <w:sz w:val="32"/>
          <w:szCs w:val="32"/>
          <w:highlight w:val="none"/>
        </w:rPr>
      </w:pPr>
    </w:p>
    <w:p w14:paraId="39BA304D">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设备85.诊室移动消毒灯 </w:t>
      </w:r>
    </w:p>
    <w:p w14:paraId="02B3D98C">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数量：2台</w:t>
      </w:r>
    </w:p>
    <w:p w14:paraId="47FC9120">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1.波长≥254（nm）</w:t>
      </w:r>
    </w:p>
    <w:p w14:paraId="51CD57DB">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2.防护等级≥IP55</w:t>
      </w:r>
    </w:p>
    <w:p w14:paraId="4F24D80B">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3.电压=220（V）</w:t>
      </w:r>
    </w:p>
    <w:p w14:paraId="10194A25">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4.电流≥170（A）</w:t>
      </w:r>
    </w:p>
    <w:p w14:paraId="29C97FAC">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5.使用寿命≥8000（H）</w:t>
      </w:r>
    </w:p>
    <w:p w14:paraId="54415172">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设备86.补牙成型片 </w:t>
      </w:r>
    </w:p>
    <w:p w14:paraId="7F71FD76">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数量：2个</w:t>
      </w:r>
    </w:p>
    <w:p w14:paraId="69C129C9">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1.</w:t>
      </w:r>
      <w:r>
        <w:rPr>
          <w:rFonts w:hint="eastAsia" w:ascii="宋体" w:hAnsi="宋体" w:cs="宋体"/>
          <w:sz w:val="24"/>
          <w:szCs w:val="32"/>
          <w:highlight w:val="none"/>
        </w:rPr>
        <w:t>材质：塑料或金属</w:t>
      </w:r>
    </w:p>
    <w:p w14:paraId="785D5C4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2.</w:t>
      </w:r>
      <w:r>
        <w:rPr>
          <w:rFonts w:hint="eastAsia" w:ascii="宋体" w:hAnsi="宋体" w:cs="宋体"/>
          <w:sz w:val="24"/>
          <w:szCs w:val="32"/>
          <w:highlight w:val="none"/>
        </w:rPr>
        <w:t>最高消毒温度≥135°</w:t>
      </w:r>
    </w:p>
    <w:p w14:paraId="0BAD86C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3.</w:t>
      </w:r>
      <w:r>
        <w:rPr>
          <w:rFonts w:hint="eastAsia" w:ascii="宋体" w:hAnsi="宋体" w:cs="宋体"/>
          <w:sz w:val="24"/>
          <w:szCs w:val="32"/>
          <w:highlight w:val="none"/>
        </w:rPr>
        <w:t>尺寸可调节</w:t>
      </w:r>
    </w:p>
    <w:p w14:paraId="20B3D150">
      <w:pPr>
        <w:pStyle w:val="13"/>
        <w:rPr>
          <w:rFonts w:hint="eastAsia"/>
          <w:highlight w:val="none"/>
        </w:rPr>
      </w:pPr>
    </w:p>
    <w:p w14:paraId="2C12D28C">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设备87.拔髓针光滑针 </w:t>
      </w:r>
    </w:p>
    <w:p w14:paraId="5DDCAAB8">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数量：10个</w:t>
      </w:r>
    </w:p>
    <w:p w14:paraId="4B4FB5E4">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1.材质：不锈钢</w:t>
      </w:r>
    </w:p>
    <w:p w14:paraId="6E400E16">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2.无菌包装</w:t>
      </w:r>
    </w:p>
    <w:p w14:paraId="3A6DC88A">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3.多种尺寸</w:t>
      </w:r>
    </w:p>
    <w:p w14:paraId="03682F57">
      <w:pPr>
        <w:spacing w:line="360" w:lineRule="auto"/>
        <w:jc w:val="center"/>
        <w:rPr>
          <w:rFonts w:hint="eastAsia" w:ascii="宋体" w:hAnsi="宋体" w:cs="宋体"/>
          <w:b/>
          <w:bCs/>
          <w:sz w:val="32"/>
          <w:szCs w:val="32"/>
          <w:highlight w:val="none"/>
        </w:rPr>
      </w:pPr>
    </w:p>
    <w:p w14:paraId="136F5756">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设备88.磨牙车针 </w:t>
      </w:r>
    </w:p>
    <w:p w14:paraId="714477EF">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数量：200支</w:t>
      </w:r>
    </w:p>
    <w:p w14:paraId="74C5D85C">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1.材质：不锈钢或金刚砂</w:t>
      </w:r>
    </w:p>
    <w:p w14:paraId="78D3D93E">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2.最高消毒温度≥135°</w:t>
      </w:r>
    </w:p>
    <w:p w14:paraId="56B80578">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3.不易变形</w:t>
      </w:r>
    </w:p>
    <w:p w14:paraId="0797B3A6">
      <w:pPr>
        <w:numPr>
          <w:ilvl w:val="0"/>
          <w:numId w:val="0"/>
        </w:numPr>
        <w:spacing w:line="360" w:lineRule="auto"/>
        <w:ind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4.车针锋利耐用，每支可用3-6颗牙</w:t>
      </w:r>
    </w:p>
    <w:p w14:paraId="042E1FB8">
      <w:pPr>
        <w:spacing w:line="360" w:lineRule="auto"/>
        <w:jc w:val="center"/>
        <w:rPr>
          <w:rFonts w:hint="eastAsia" w:ascii="宋体" w:hAnsi="宋体" w:cs="宋体"/>
          <w:b/>
          <w:bCs/>
          <w:sz w:val="32"/>
          <w:szCs w:val="32"/>
          <w:highlight w:val="none"/>
        </w:rPr>
      </w:pPr>
    </w:p>
    <w:p w14:paraId="28FF4A4F">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设备89.维他比色板</w:t>
      </w:r>
    </w:p>
    <w:p w14:paraId="4554D011">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 2个</w:t>
      </w:r>
    </w:p>
    <w:p w14:paraId="29E0994A">
      <w:pPr>
        <w:numPr>
          <w:ilvl w:val="0"/>
          <w:numId w:val="29"/>
        </w:numPr>
        <w:spacing w:line="360" w:lineRule="auto"/>
        <w:rPr>
          <w:rFonts w:hint="eastAsia" w:ascii="宋体" w:hAnsi="宋体" w:cs="宋体"/>
          <w:sz w:val="24"/>
          <w:szCs w:val="32"/>
          <w:highlight w:val="none"/>
        </w:rPr>
      </w:pPr>
      <w:r>
        <w:rPr>
          <w:rFonts w:hint="eastAsia" w:ascii="宋体" w:hAnsi="宋体" w:cs="宋体"/>
          <w:sz w:val="24"/>
          <w:szCs w:val="32"/>
          <w:highlight w:val="none"/>
        </w:rPr>
        <w:t>颜色：≥16种</w:t>
      </w:r>
    </w:p>
    <w:p w14:paraId="7B4A2B47">
      <w:pPr>
        <w:numPr>
          <w:ilvl w:val="0"/>
          <w:numId w:val="29"/>
        </w:numPr>
        <w:spacing w:line="360" w:lineRule="auto"/>
        <w:rPr>
          <w:rFonts w:hint="eastAsia" w:ascii="宋体" w:hAnsi="宋体" w:cs="宋体"/>
          <w:sz w:val="24"/>
          <w:szCs w:val="32"/>
          <w:highlight w:val="none"/>
        </w:rPr>
      </w:pPr>
      <w:r>
        <w:rPr>
          <w:rFonts w:hint="eastAsia" w:ascii="宋体" w:hAnsi="宋体" w:cs="宋体"/>
          <w:sz w:val="24"/>
          <w:szCs w:val="32"/>
          <w:highlight w:val="none"/>
        </w:rPr>
        <w:t>材质：树脂或全瓷</w:t>
      </w:r>
    </w:p>
    <w:p w14:paraId="24A357FE">
      <w:pPr>
        <w:jc w:val="center"/>
        <w:rPr>
          <w:rFonts w:hint="eastAsia" w:ascii="宋体" w:hAnsi="宋体" w:cs="宋体"/>
          <w:b/>
          <w:bCs/>
          <w:sz w:val="32"/>
          <w:szCs w:val="32"/>
          <w:highlight w:val="none"/>
        </w:rPr>
      </w:pPr>
    </w:p>
    <w:p w14:paraId="74854E02">
      <w:pPr>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设备90.档案柜 </w:t>
      </w:r>
    </w:p>
    <w:p w14:paraId="65D9B538">
      <w:pPr>
        <w:jc w:val="left"/>
        <w:rPr>
          <w:rFonts w:ascii="宋体" w:hAnsi="宋体" w:cs="宋体"/>
          <w:b/>
          <w:bCs/>
          <w:sz w:val="32"/>
          <w:szCs w:val="32"/>
          <w:highlight w:val="none"/>
        </w:rPr>
      </w:pPr>
      <w:r>
        <w:rPr>
          <w:rFonts w:hint="eastAsia" w:ascii="宋体" w:hAnsi="宋体" w:cs="宋体"/>
          <w:b/>
          <w:bCs/>
          <w:sz w:val="32"/>
          <w:szCs w:val="32"/>
          <w:highlight w:val="none"/>
        </w:rPr>
        <w:t>数量：3组</w:t>
      </w:r>
    </w:p>
    <w:p w14:paraId="75571605">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1.</w:t>
      </w:r>
      <w:r>
        <w:rPr>
          <w:rFonts w:hint="eastAsia" w:ascii="宋体" w:hAnsi="宋体" w:cs="宋体"/>
          <w:sz w:val="24"/>
          <w:szCs w:val="32"/>
          <w:highlight w:val="none"/>
        </w:rPr>
        <w:t>执行标准：严格按照GB/T3325-2008金属家具通用技术条件。</w:t>
      </w:r>
    </w:p>
    <w:p w14:paraId="6797A39C">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2.</w:t>
      </w:r>
      <w:r>
        <w:rPr>
          <w:rFonts w:hint="eastAsia" w:ascii="宋体" w:hAnsi="宋体" w:cs="宋体"/>
          <w:sz w:val="24"/>
          <w:szCs w:val="32"/>
          <w:highlight w:val="none"/>
        </w:rPr>
        <w:t>结构：通体对开门或上下各对开门，柜门为内厢式使其更加防撬，内部两层活动隔板，可自由间隔</w:t>
      </w:r>
    </w:p>
    <w:p w14:paraId="2764EA0B">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3.</w:t>
      </w:r>
      <w:r>
        <w:rPr>
          <w:rFonts w:hint="eastAsia" w:ascii="宋体" w:hAnsi="宋体" w:cs="宋体"/>
          <w:sz w:val="24"/>
          <w:szCs w:val="32"/>
          <w:highlight w:val="none"/>
        </w:rPr>
        <w:t>板材：采用优质冷轧钢板，符合GB/T708-2007标准</w:t>
      </w:r>
    </w:p>
    <w:p w14:paraId="02B343A2">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4.</w:t>
      </w:r>
      <w:r>
        <w:rPr>
          <w:rFonts w:hint="eastAsia" w:ascii="宋体" w:hAnsi="宋体" w:cs="宋体"/>
          <w:sz w:val="24"/>
          <w:szCs w:val="32"/>
          <w:highlight w:val="none"/>
        </w:rPr>
        <w:t>工艺：金属架体及附件经酸洗、磷化、除锈处理，符合ISO14001质量标准，环保无毒害、无气味</w:t>
      </w:r>
    </w:p>
    <w:p w14:paraId="0F541641">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5.</w:t>
      </w:r>
      <w:r>
        <w:rPr>
          <w:rFonts w:hint="eastAsia" w:ascii="宋体" w:hAnsi="宋体" w:cs="宋体"/>
          <w:sz w:val="24"/>
          <w:szCs w:val="32"/>
          <w:highlight w:val="none"/>
        </w:rPr>
        <w:t>达到或超过以下标准：光泽度&gt;65%，冲击强度能承受≥3.29J的冲击，附着力不低于三级（划圈法）。盐雾试验48小时无涂膜脱落现象</w:t>
      </w:r>
    </w:p>
    <w:p w14:paraId="102A5995">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6.</w:t>
      </w:r>
      <w:r>
        <w:rPr>
          <w:rFonts w:hint="eastAsia" w:ascii="宋体" w:hAnsi="宋体" w:cs="宋体"/>
          <w:sz w:val="24"/>
          <w:szCs w:val="32"/>
          <w:highlight w:val="none"/>
        </w:rPr>
        <w:t>五金件：采用优质五金件，铝合金拉手。</w:t>
      </w:r>
    </w:p>
    <w:p w14:paraId="2201C097">
      <w:pPr>
        <w:spacing w:line="360" w:lineRule="auto"/>
        <w:jc w:val="center"/>
        <w:rPr>
          <w:rFonts w:hint="eastAsia" w:ascii="宋体" w:hAnsi="宋体" w:cs="宋体"/>
          <w:b/>
          <w:bCs/>
          <w:sz w:val="32"/>
          <w:szCs w:val="32"/>
          <w:highlight w:val="none"/>
        </w:rPr>
      </w:pPr>
      <w:r>
        <w:rPr>
          <w:rFonts w:hint="eastAsia" w:ascii="宋体" w:hAnsi="宋体" w:cs="宋体"/>
          <w:sz w:val="24"/>
          <w:szCs w:val="32"/>
          <w:highlight w:val="none"/>
        </w:rPr>
        <w:br w:type="page"/>
      </w:r>
      <w:r>
        <w:rPr>
          <w:rFonts w:hint="eastAsia" w:ascii="宋体" w:hAnsi="宋体" w:cs="宋体"/>
          <w:b/>
          <w:bCs/>
          <w:sz w:val="32"/>
          <w:szCs w:val="32"/>
          <w:highlight w:val="none"/>
        </w:rPr>
        <w:t xml:space="preserve">设备91.医用低温保存箱 </w:t>
      </w:r>
    </w:p>
    <w:p w14:paraId="791A2BF7">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数量：1台</w:t>
      </w:r>
    </w:p>
    <w:p w14:paraId="00F675F9">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1.样式：立式。</w:t>
      </w:r>
    </w:p>
    <w:p w14:paraId="4DB567B3">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2.耗电量：1.94kW.h/24h。</w:t>
      </w:r>
    </w:p>
    <w:p w14:paraId="07FA9CC1">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3.噪音值：46dB。</w:t>
      </w:r>
    </w:p>
    <w:p w14:paraId="7A3352F3">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4.气候类型：</w:t>
      </w:r>
      <w:r>
        <w:rPr>
          <w:rFonts w:hint="eastAsia" w:ascii="宋体" w:hAnsi="宋体" w:cs="宋体"/>
          <w:color w:val="000000"/>
          <w:kern w:val="0"/>
          <w:sz w:val="24"/>
          <w:highlight w:val="none"/>
        </w:rPr>
        <w:t>SN/N。</w:t>
      </w:r>
      <w:r>
        <w:rPr>
          <w:rFonts w:hint="eastAsia" w:ascii="宋体" w:hAnsi="宋体" w:cs="宋体"/>
          <w:color w:val="000000"/>
          <w:sz w:val="24"/>
          <w:highlight w:val="none"/>
        </w:rPr>
        <w:t xml:space="preserve"> </w:t>
      </w:r>
    </w:p>
    <w:p w14:paraId="55ADDD3C">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5.</w:t>
      </w:r>
      <w:r>
        <w:rPr>
          <w:rFonts w:hint="eastAsia" w:ascii="宋体" w:hAnsi="宋体" w:cs="宋体"/>
          <w:bCs/>
          <w:color w:val="000000"/>
          <w:sz w:val="24"/>
          <w:highlight w:val="none"/>
        </w:rPr>
        <w:t>制冷方式</w:t>
      </w:r>
      <w:r>
        <w:rPr>
          <w:rFonts w:hint="eastAsia" w:ascii="宋体" w:hAnsi="宋体" w:cs="宋体"/>
          <w:color w:val="000000"/>
          <w:sz w:val="24"/>
          <w:highlight w:val="none"/>
        </w:rPr>
        <w:t>：直冷。</w:t>
      </w:r>
    </w:p>
    <w:p w14:paraId="0A503BD7">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6.温度范围：-10℃～-25℃。</w:t>
      </w:r>
    </w:p>
    <w:p w14:paraId="5063578C">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7.隔热层：无CFC高密度聚氨酯发泡。</w:t>
      </w:r>
    </w:p>
    <w:p w14:paraId="191045F0">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8.外门：1扇。</w:t>
      </w:r>
    </w:p>
    <w:p w14:paraId="2B3EBAAF">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9.抽屉：数量≥5个，材质为PS。</w:t>
      </w:r>
    </w:p>
    <w:p w14:paraId="784E4078">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10.脚轮：4个；其中2个万向脚轮带琐止设计，用户可根据需要移动箱体。</w:t>
      </w:r>
    </w:p>
    <w:p w14:paraId="6071AC04">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11.压缩机：国际知名品牌压缩机，数量1个。</w:t>
      </w:r>
    </w:p>
    <w:p w14:paraId="54A25587">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12.显示方式：LED数码显示屏，可显示箱内温度及各种报警信息。</w:t>
      </w:r>
    </w:p>
    <w:p w14:paraId="22695CD6">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13.温度控制：</w:t>
      </w:r>
      <w:r>
        <w:rPr>
          <w:rFonts w:hint="eastAsia" w:ascii="宋体" w:hAnsi="宋体" w:cs="宋体"/>
          <w:color w:val="000000"/>
          <w:kern w:val="0"/>
          <w:sz w:val="24"/>
          <w:highlight w:val="none"/>
        </w:rPr>
        <w:t>采用微电脑控制系统，可确保精确稳定的运行；精准的电子温度控制及显示，精度达到0.1℃。</w:t>
      </w:r>
    </w:p>
    <w:p w14:paraId="517CAF06">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14.报警系统：多种报警系统。</w:t>
      </w:r>
    </w:p>
    <w:p w14:paraId="2A1B1F2C">
      <w:pPr>
        <w:spacing w:line="360" w:lineRule="auto"/>
        <w:rPr>
          <w:rFonts w:hint="eastAsia" w:ascii="宋体" w:hAnsi="宋体" w:cs="宋体"/>
          <w:color w:val="000000"/>
          <w:sz w:val="24"/>
          <w:highlight w:val="none"/>
        </w:rPr>
      </w:pPr>
    </w:p>
    <w:p w14:paraId="1208715A">
      <w:pPr>
        <w:jc w:val="center"/>
        <w:rPr>
          <w:rFonts w:hint="eastAsia" w:ascii="宋体" w:hAnsi="宋体" w:cs="宋体"/>
          <w:b/>
          <w:bCs/>
          <w:sz w:val="32"/>
          <w:szCs w:val="32"/>
          <w:highlight w:val="none"/>
        </w:rPr>
      </w:pPr>
      <w:r>
        <w:rPr>
          <w:rFonts w:hint="eastAsia" w:ascii="宋体" w:hAnsi="宋体" w:cs="宋体"/>
          <w:b/>
          <w:bCs/>
          <w:sz w:val="32"/>
          <w:szCs w:val="32"/>
          <w:highlight w:val="none"/>
        </w:rPr>
        <w:t>设备92.饮水机</w:t>
      </w:r>
    </w:p>
    <w:p w14:paraId="2058F5B2">
      <w:pPr>
        <w:jc w:val="left"/>
        <w:rPr>
          <w:rFonts w:ascii="宋体" w:hAnsi="宋体" w:cs="宋体"/>
          <w:b/>
          <w:bCs/>
          <w:sz w:val="32"/>
          <w:szCs w:val="32"/>
          <w:highlight w:val="none"/>
        </w:rPr>
      </w:pPr>
      <w:r>
        <w:rPr>
          <w:rFonts w:hint="eastAsia" w:ascii="宋体" w:hAnsi="宋体" w:cs="宋体"/>
          <w:b/>
          <w:bCs/>
          <w:sz w:val="32"/>
          <w:szCs w:val="32"/>
          <w:highlight w:val="none"/>
        </w:rPr>
        <w:t>数量： 4台</w:t>
      </w:r>
    </w:p>
    <w:p w14:paraId="4F4D56BC">
      <w:pPr>
        <w:spacing w:line="360" w:lineRule="auto"/>
        <w:rPr>
          <w:rFonts w:hint="eastAsia" w:ascii="宋体" w:hAnsi="宋体" w:cs="宋体"/>
          <w:sz w:val="24"/>
          <w:highlight w:val="none"/>
        </w:rPr>
      </w:pPr>
      <w:r>
        <w:rPr>
          <w:rFonts w:hint="eastAsia" w:ascii="宋体" w:hAnsi="宋体" w:cs="宋体"/>
          <w:sz w:val="24"/>
          <w:highlight w:val="none"/>
        </w:rPr>
        <w:t>1.背板式节能饮水机</w:t>
      </w:r>
    </w:p>
    <w:p w14:paraId="54365F31">
      <w:pPr>
        <w:spacing w:line="360" w:lineRule="auto"/>
        <w:rPr>
          <w:rFonts w:hint="eastAsia" w:ascii="宋体" w:hAnsi="宋体" w:cs="宋体"/>
          <w:sz w:val="24"/>
          <w:highlight w:val="none"/>
        </w:rPr>
      </w:pPr>
      <w:r>
        <w:rPr>
          <w:rFonts w:hint="eastAsia" w:ascii="宋体" w:hAnsi="宋体" w:cs="宋体"/>
          <w:sz w:val="24"/>
          <w:highlight w:val="none"/>
        </w:rPr>
        <w:t>2.容量 ≥10L</w:t>
      </w:r>
    </w:p>
    <w:p w14:paraId="22A5AB58">
      <w:pPr>
        <w:spacing w:line="360" w:lineRule="auto"/>
        <w:rPr>
          <w:rFonts w:hint="eastAsia" w:ascii="宋体" w:hAnsi="宋体" w:cs="宋体"/>
          <w:sz w:val="24"/>
          <w:highlight w:val="none"/>
        </w:rPr>
      </w:pPr>
      <w:r>
        <w:rPr>
          <w:rFonts w:hint="eastAsia" w:ascii="宋体" w:hAnsi="宋体" w:cs="宋体"/>
          <w:sz w:val="24"/>
          <w:highlight w:val="none"/>
        </w:rPr>
        <w:t xml:space="preserve">3.产水 开水20L/H或温开水60L/H </w:t>
      </w:r>
    </w:p>
    <w:p w14:paraId="43A52811">
      <w:pPr>
        <w:spacing w:line="360" w:lineRule="auto"/>
        <w:rPr>
          <w:rFonts w:hint="eastAsia" w:ascii="宋体" w:hAnsi="宋体" w:cs="宋体"/>
          <w:sz w:val="24"/>
          <w:highlight w:val="none"/>
        </w:rPr>
      </w:pPr>
      <w:r>
        <w:rPr>
          <w:rFonts w:hint="eastAsia" w:ascii="宋体" w:hAnsi="宋体" w:cs="宋体"/>
          <w:sz w:val="24"/>
          <w:highlight w:val="none"/>
        </w:rPr>
        <w:t xml:space="preserve">4.龙头 一开一温 </w:t>
      </w:r>
    </w:p>
    <w:p w14:paraId="1DD9126A">
      <w:pPr>
        <w:spacing w:line="360" w:lineRule="auto"/>
        <w:rPr>
          <w:rFonts w:hint="eastAsia" w:ascii="宋体" w:hAnsi="宋体" w:cs="宋体"/>
          <w:sz w:val="24"/>
          <w:highlight w:val="none"/>
        </w:rPr>
      </w:pPr>
      <w:r>
        <w:rPr>
          <w:rFonts w:hint="eastAsia" w:ascii="宋体" w:hAnsi="宋体" w:cs="宋体"/>
          <w:sz w:val="24"/>
          <w:highlight w:val="none"/>
        </w:rPr>
        <w:t xml:space="preserve">5.过滤 PP棉+颗粒活性炭+成型活性炭 </w:t>
      </w:r>
    </w:p>
    <w:p w14:paraId="756814DB">
      <w:pPr>
        <w:spacing w:line="360" w:lineRule="auto"/>
        <w:rPr>
          <w:rFonts w:hint="eastAsia" w:ascii="宋体" w:hAnsi="宋体" w:cs="宋体"/>
          <w:sz w:val="24"/>
          <w:highlight w:val="none"/>
        </w:rPr>
      </w:pPr>
      <w:r>
        <w:rPr>
          <w:rFonts w:hint="eastAsia" w:ascii="宋体" w:hAnsi="宋体" w:cs="宋体"/>
          <w:sz w:val="24"/>
          <w:highlight w:val="none"/>
        </w:rPr>
        <w:t xml:space="preserve">6.显示 微电脑液晶显示 </w:t>
      </w:r>
    </w:p>
    <w:p w14:paraId="6E93EB88">
      <w:pPr>
        <w:spacing w:line="360" w:lineRule="auto"/>
        <w:rPr>
          <w:rFonts w:hint="eastAsia" w:ascii="宋体" w:hAnsi="宋体" w:cs="宋体"/>
          <w:sz w:val="24"/>
          <w:highlight w:val="none"/>
        </w:rPr>
      </w:pPr>
      <w:r>
        <w:rPr>
          <w:rFonts w:hint="eastAsia" w:ascii="宋体" w:hAnsi="宋体" w:cs="宋体"/>
          <w:sz w:val="24"/>
          <w:highlight w:val="none"/>
        </w:rPr>
        <w:t xml:space="preserve">7.水压 0.1MPa-0.8MPa </w:t>
      </w:r>
    </w:p>
    <w:p w14:paraId="34E79F17">
      <w:pPr>
        <w:spacing w:line="360" w:lineRule="auto"/>
        <w:rPr>
          <w:rFonts w:hint="eastAsia" w:ascii="宋体" w:hAnsi="宋体" w:cs="宋体"/>
          <w:sz w:val="24"/>
          <w:highlight w:val="none"/>
        </w:rPr>
      </w:pPr>
      <w:r>
        <w:rPr>
          <w:rFonts w:hint="eastAsia" w:ascii="宋体" w:hAnsi="宋体" w:cs="宋体"/>
          <w:sz w:val="24"/>
          <w:highlight w:val="none"/>
        </w:rPr>
        <w:t xml:space="preserve">8.适用 ≥50人 </w:t>
      </w:r>
    </w:p>
    <w:p w14:paraId="6239F531">
      <w:pPr>
        <w:pStyle w:val="13"/>
        <w:rPr>
          <w:rFonts w:hint="eastAsia" w:ascii="宋体" w:hAnsi="宋体" w:cs="宋体"/>
          <w:highlight w:val="none"/>
        </w:rPr>
      </w:pPr>
    </w:p>
    <w:p w14:paraId="52C922BC">
      <w:pPr>
        <w:jc w:val="center"/>
        <w:rPr>
          <w:rFonts w:hint="eastAsia" w:ascii="宋体" w:hAnsi="宋体" w:cs="宋体"/>
          <w:b/>
          <w:bCs/>
          <w:sz w:val="32"/>
          <w:szCs w:val="32"/>
          <w:highlight w:val="none"/>
        </w:rPr>
      </w:pPr>
      <w:r>
        <w:rPr>
          <w:rFonts w:hint="eastAsia" w:ascii="宋体" w:hAnsi="宋体" w:cs="宋体"/>
          <w:b/>
          <w:bCs/>
          <w:sz w:val="32"/>
          <w:szCs w:val="32"/>
          <w:highlight w:val="none"/>
        </w:rPr>
        <w:t>设备93.诊床</w:t>
      </w:r>
    </w:p>
    <w:p w14:paraId="5A652C2B">
      <w:pPr>
        <w:jc w:val="left"/>
        <w:rPr>
          <w:rFonts w:ascii="宋体" w:hAnsi="宋体" w:cs="宋体"/>
          <w:b/>
          <w:bCs/>
          <w:sz w:val="32"/>
          <w:szCs w:val="32"/>
          <w:highlight w:val="none"/>
        </w:rPr>
      </w:pPr>
      <w:r>
        <w:rPr>
          <w:rFonts w:hint="eastAsia" w:ascii="宋体" w:hAnsi="宋体" w:cs="宋体"/>
          <w:b/>
          <w:bCs/>
          <w:sz w:val="32"/>
          <w:szCs w:val="32"/>
          <w:highlight w:val="none"/>
        </w:rPr>
        <w:t>数量：4台</w:t>
      </w:r>
    </w:p>
    <w:p w14:paraId="2F10391C">
      <w:pPr>
        <w:spacing w:line="360" w:lineRule="auto"/>
        <w:rPr>
          <w:rFonts w:hint="eastAsia" w:ascii="宋体" w:hAnsi="宋体" w:cs="宋体"/>
          <w:sz w:val="24"/>
          <w:highlight w:val="none"/>
        </w:rPr>
      </w:pPr>
      <w:r>
        <w:rPr>
          <w:rFonts w:hint="eastAsia" w:ascii="宋体" w:hAnsi="宋体" w:cs="宋体"/>
          <w:sz w:val="24"/>
          <w:highlight w:val="none"/>
        </w:rPr>
        <w:t>1.材质：主体采用优质不锈钢方管焊接而成。</w:t>
      </w:r>
    </w:p>
    <w:p w14:paraId="11AF9669">
      <w:pPr>
        <w:spacing w:line="360" w:lineRule="auto"/>
        <w:rPr>
          <w:rFonts w:hint="eastAsia" w:ascii="宋体" w:hAnsi="宋体" w:cs="宋体"/>
          <w:sz w:val="24"/>
          <w:highlight w:val="none"/>
        </w:rPr>
      </w:pPr>
      <w:r>
        <w:rPr>
          <w:rFonts w:hint="eastAsia" w:ascii="宋体" w:hAnsi="宋体" w:cs="宋体"/>
          <w:sz w:val="24"/>
          <w:highlight w:val="none"/>
        </w:rPr>
        <w:t>2.整体使用氩弧焊工艺，焊接而成，焊缝均匀，结合牢固，经过加细抛光处理，表面光滑，平整、无毛刺，易清洁消毒，有效防止细菌滋生</w:t>
      </w:r>
    </w:p>
    <w:p w14:paraId="543A94CF">
      <w:pPr>
        <w:pStyle w:val="13"/>
        <w:jc w:val="center"/>
        <w:rPr>
          <w:rFonts w:hint="eastAsia" w:ascii="宋体" w:hAnsi="宋体" w:cs="宋体"/>
          <w:b/>
          <w:bCs/>
          <w:sz w:val="32"/>
          <w:szCs w:val="32"/>
          <w:highlight w:val="none"/>
        </w:rPr>
      </w:pPr>
    </w:p>
    <w:p w14:paraId="40CBEA60">
      <w:pPr>
        <w:pStyle w:val="13"/>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设备94.氧气瓶 </w:t>
      </w:r>
    </w:p>
    <w:p w14:paraId="44F7EB56">
      <w:pPr>
        <w:pStyle w:val="13"/>
        <w:jc w:val="left"/>
        <w:rPr>
          <w:rFonts w:ascii="宋体" w:hAnsi="宋体" w:cs="宋体"/>
          <w:b/>
          <w:bCs/>
          <w:sz w:val="32"/>
          <w:szCs w:val="32"/>
          <w:highlight w:val="none"/>
        </w:rPr>
      </w:pPr>
      <w:r>
        <w:rPr>
          <w:rFonts w:hint="eastAsia" w:ascii="宋体" w:hAnsi="宋体" w:cs="宋体"/>
          <w:b/>
          <w:bCs/>
          <w:sz w:val="32"/>
          <w:szCs w:val="32"/>
          <w:highlight w:val="none"/>
        </w:rPr>
        <w:t>数量：4个</w:t>
      </w:r>
    </w:p>
    <w:p w14:paraId="00C1ACF1">
      <w:pPr>
        <w:spacing w:line="360" w:lineRule="auto"/>
        <w:rPr>
          <w:sz w:val="24"/>
          <w:highlight w:val="none"/>
        </w:rPr>
      </w:pPr>
      <w:r>
        <w:rPr>
          <w:sz w:val="24"/>
          <w:highlight w:val="none"/>
        </w:rPr>
        <w:t>1、圆柱形</w:t>
      </w:r>
    </w:p>
    <w:p w14:paraId="6CD812F2">
      <w:pPr>
        <w:spacing w:line="360" w:lineRule="auto"/>
        <w:rPr>
          <w:sz w:val="24"/>
          <w:highlight w:val="none"/>
        </w:rPr>
      </w:pPr>
      <w:r>
        <w:rPr>
          <w:sz w:val="24"/>
          <w:highlight w:val="none"/>
        </w:rPr>
        <w:t>2、应用于医院、急救站。养老院</w:t>
      </w:r>
    </w:p>
    <w:p w14:paraId="0172B029">
      <w:pPr>
        <w:spacing w:line="360" w:lineRule="auto"/>
        <w:rPr>
          <w:sz w:val="24"/>
          <w:highlight w:val="none"/>
        </w:rPr>
      </w:pPr>
      <w:r>
        <w:rPr>
          <w:sz w:val="24"/>
          <w:highlight w:val="none"/>
        </w:rPr>
        <w:t>3、瓶身标有氧气字样</w:t>
      </w:r>
    </w:p>
    <w:p w14:paraId="24A19052">
      <w:pPr>
        <w:spacing w:line="360" w:lineRule="auto"/>
        <w:rPr>
          <w:sz w:val="24"/>
          <w:highlight w:val="none"/>
        </w:rPr>
      </w:pPr>
      <w:r>
        <w:rPr>
          <w:sz w:val="24"/>
          <w:highlight w:val="none"/>
        </w:rPr>
        <w:t>4、充装的钢瓶内压力应在12~15Mp左右</w:t>
      </w:r>
    </w:p>
    <w:p w14:paraId="26D1653A">
      <w:pPr>
        <w:spacing w:line="360" w:lineRule="auto"/>
        <w:rPr>
          <w:sz w:val="24"/>
          <w:highlight w:val="none"/>
        </w:rPr>
      </w:pPr>
      <w:r>
        <w:rPr>
          <w:sz w:val="24"/>
          <w:highlight w:val="none"/>
        </w:rPr>
        <w:t>5、由瓶体、瓶箍、瓶阀和瓶帽4部分组成</w:t>
      </w:r>
    </w:p>
    <w:p w14:paraId="2CEAF5D4">
      <w:pPr>
        <w:rPr>
          <w:highlight w:val="none"/>
        </w:rPr>
      </w:pPr>
    </w:p>
    <w:p w14:paraId="30CAD82E">
      <w:pPr>
        <w:rPr>
          <w:rFonts w:hint="eastAsia"/>
          <w:highlight w:val="none"/>
        </w:rPr>
      </w:pPr>
    </w:p>
    <w:p w14:paraId="1AC2A8D6">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设备95.紫外线消毒车 </w:t>
      </w:r>
    </w:p>
    <w:p w14:paraId="78256402">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数量：4个</w:t>
      </w:r>
    </w:p>
    <w:p w14:paraId="3C6EE958">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1.</w:t>
      </w:r>
      <w:r>
        <w:rPr>
          <w:rFonts w:hint="eastAsia" w:ascii="宋体" w:hAnsi="宋体" w:cs="宋体"/>
          <w:sz w:val="24"/>
          <w:szCs w:val="32"/>
          <w:highlight w:val="none"/>
        </w:rPr>
        <w:t>电源压力：220V±20%50HZ</w:t>
      </w:r>
    </w:p>
    <w:p w14:paraId="6ADED1F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2.</w:t>
      </w:r>
      <w:r>
        <w:rPr>
          <w:rFonts w:hint="eastAsia" w:ascii="宋体" w:hAnsi="宋体" w:cs="宋体"/>
          <w:sz w:val="24"/>
          <w:szCs w:val="32"/>
          <w:highlight w:val="none"/>
        </w:rPr>
        <w:t>灯管功率：≥30W</w:t>
      </w:r>
    </w:p>
    <w:p w14:paraId="2F074363">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3.</w:t>
      </w:r>
      <w:r>
        <w:rPr>
          <w:rFonts w:hint="eastAsia" w:ascii="宋体" w:hAnsi="宋体" w:cs="宋体"/>
          <w:sz w:val="24"/>
          <w:szCs w:val="32"/>
          <w:highlight w:val="none"/>
        </w:rPr>
        <w:t>紫外线波长：≥253NM</w:t>
      </w:r>
    </w:p>
    <w:p w14:paraId="7E768687">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4.</w:t>
      </w:r>
      <w:r>
        <w:rPr>
          <w:rFonts w:hint="eastAsia" w:ascii="宋体" w:hAnsi="宋体" w:cs="宋体"/>
          <w:sz w:val="24"/>
          <w:szCs w:val="32"/>
          <w:highlight w:val="none"/>
        </w:rPr>
        <w:t>紫外线辐射度：≥107UW/cm²</w:t>
      </w:r>
    </w:p>
    <w:p w14:paraId="3FCF62A1">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5.</w:t>
      </w:r>
      <w:r>
        <w:rPr>
          <w:rFonts w:hint="eastAsia" w:ascii="宋体" w:hAnsi="宋体" w:cs="宋体"/>
          <w:sz w:val="24"/>
          <w:szCs w:val="32"/>
          <w:highlight w:val="none"/>
        </w:rPr>
        <w:t>灯管可调节角度：≥160度</w:t>
      </w:r>
    </w:p>
    <w:p w14:paraId="4807AE45">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6.</w:t>
      </w:r>
      <w:r>
        <w:rPr>
          <w:rFonts w:hint="eastAsia" w:ascii="宋体" w:hAnsi="宋体" w:cs="宋体"/>
          <w:sz w:val="24"/>
          <w:szCs w:val="32"/>
          <w:highlight w:val="none"/>
        </w:rPr>
        <w:t>消毒定时时间：15分钟/30分钟/60分钟</w:t>
      </w:r>
    </w:p>
    <w:p w14:paraId="22CAB737">
      <w:pPr>
        <w:numPr>
          <w:ilvl w:val="0"/>
          <w:numId w:val="0"/>
        </w:numPr>
        <w:spacing w:line="360" w:lineRule="auto"/>
        <w:ind w:firstLine="0" w:firstLineChars="0"/>
        <w:rPr>
          <w:rFonts w:hint="eastAsia" w:ascii="宋体" w:hAnsi="宋体" w:cs="宋体"/>
          <w:sz w:val="24"/>
          <w:szCs w:val="32"/>
          <w:highlight w:val="none"/>
        </w:rPr>
      </w:pPr>
    </w:p>
    <w:p w14:paraId="2D08D5AB">
      <w:pPr>
        <w:rPr>
          <w:rFonts w:hint="eastAsia" w:ascii="宋体" w:hAnsi="宋体" w:cs="宋体"/>
          <w:b/>
          <w:bCs/>
          <w:sz w:val="32"/>
          <w:szCs w:val="32"/>
          <w:highlight w:val="none"/>
        </w:rPr>
      </w:pPr>
      <w:r>
        <w:rPr>
          <w:rFonts w:hint="eastAsia" w:ascii="宋体" w:hAnsi="宋体" w:cs="宋体"/>
          <w:b/>
          <w:bCs/>
          <w:sz w:val="32"/>
          <w:szCs w:val="32"/>
          <w:highlight w:val="none"/>
        </w:rPr>
        <w:br w:type="page"/>
      </w:r>
    </w:p>
    <w:p w14:paraId="19D00859">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设备96.急救包 </w:t>
      </w:r>
    </w:p>
    <w:p w14:paraId="0B50B713">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数量：4个</w:t>
      </w:r>
    </w:p>
    <w:p w14:paraId="47DF238F">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1.</w:t>
      </w:r>
      <w:r>
        <w:rPr>
          <w:rFonts w:hint="eastAsia" w:ascii="宋体" w:hAnsi="宋体" w:cs="宋体"/>
          <w:sz w:val="24"/>
          <w:szCs w:val="32"/>
          <w:highlight w:val="none"/>
        </w:rPr>
        <w:t>形状：手包式</w:t>
      </w:r>
    </w:p>
    <w:p w14:paraId="1377EBDF">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2.</w:t>
      </w:r>
      <w:r>
        <w:rPr>
          <w:rFonts w:hint="eastAsia" w:ascii="宋体" w:hAnsi="宋体" w:cs="宋体"/>
          <w:sz w:val="24"/>
          <w:szCs w:val="32"/>
          <w:highlight w:val="none"/>
        </w:rPr>
        <w:t>材质：牛津布</w:t>
      </w:r>
    </w:p>
    <w:p w14:paraId="172C27D6">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设备97.氧气袋 </w:t>
      </w:r>
    </w:p>
    <w:p w14:paraId="55D10D2F">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数量：4个</w:t>
      </w:r>
    </w:p>
    <w:p w14:paraId="6AB1A9C6">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1.</w:t>
      </w:r>
      <w:r>
        <w:rPr>
          <w:rFonts w:hint="eastAsia" w:ascii="宋体" w:hAnsi="宋体" w:cs="宋体"/>
          <w:sz w:val="24"/>
          <w:szCs w:val="32"/>
          <w:highlight w:val="none"/>
        </w:rPr>
        <w:t>主体材质：塑料尼龙绸气袋</w:t>
      </w:r>
    </w:p>
    <w:p w14:paraId="228916C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2.</w:t>
      </w:r>
      <w:r>
        <w:rPr>
          <w:rFonts w:hint="eastAsia" w:ascii="宋体" w:hAnsi="宋体" w:cs="宋体"/>
          <w:sz w:val="24"/>
          <w:szCs w:val="32"/>
          <w:highlight w:val="none"/>
        </w:rPr>
        <w:t>附件：橡胶导管、止气阀、气堵</w:t>
      </w:r>
    </w:p>
    <w:p w14:paraId="3C316102">
      <w:pPr>
        <w:numPr>
          <w:ilvl w:val="0"/>
          <w:numId w:val="0"/>
        </w:numPr>
        <w:spacing w:line="360" w:lineRule="auto"/>
        <w:rPr>
          <w:rFonts w:hint="eastAsia" w:ascii="宋体" w:hAnsi="宋体" w:cs="宋体"/>
          <w:sz w:val="24"/>
          <w:szCs w:val="32"/>
          <w:highlight w:val="none"/>
        </w:rPr>
      </w:pPr>
    </w:p>
    <w:p w14:paraId="57DBC5AD">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设备98.穿衣柜</w:t>
      </w:r>
    </w:p>
    <w:p w14:paraId="0295089F">
      <w:pPr>
        <w:spacing w:line="360" w:lineRule="auto"/>
        <w:jc w:val="left"/>
        <w:rPr>
          <w:rFonts w:ascii="宋体" w:hAnsi="宋体" w:cs="宋体"/>
          <w:b/>
          <w:bCs/>
          <w:sz w:val="32"/>
          <w:szCs w:val="32"/>
          <w:highlight w:val="none"/>
        </w:rPr>
      </w:pPr>
      <w:r>
        <w:rPr>
          <w:rFonts w:hint="eastAsia" w:ascii="宋体" w:hAnsi="宋体" w:cs="宋体"/>
          <w:b/>
          <w:bCs/>
          <w:sz w:val="32"/>
          <w:szCs w:val="32"/>
          <w:highlight w:val="none"/>
        </w:rPr>
        <w:t>数量：2组</w:t>
      </w:r>
    </w:p>
    <w:p w14:paraId="593F7D6F">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1.</w:t>
      </w:r>
      <w:r>
        <w:rPr>
          <w:rFonts w:hint="eastAsia" w:ascii="宋体" w:hAnsi="宋体" w:cs="宋体"/>
          <w:sz w:val="24"/>
          <w:szCs w:val="32"/>
          <w:highlight w:val="none"/>
        </w:rPr>
        <w:t>执行标准：严格按照GB/T3325-2008金属家具通用技术条件。</w:t>
      </w:r>
    </w:p>
    <w:p w14:paraId="47D1E403">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2.</w:t>
      </w:r>
      <w:r>
        <w:rPr>
          <w:rFonts w:hint="eastAsia" w:ascii="宋体" w:hAnsi="宋体" w:cs="宋体"/>
          <w:sz w:val="24"/>
          <w:szCs w:val="32"/>
          <w:highlight w:val="none"/>
        </w:rPr>
        <w:t>结构：通体对开门或上下各对开门，柜门为内厢式使其更加防撬，内部两层活动隔板，可自由间隔</w:t>
      </w:r>
    </w:p>
    <w:p w14:paraId="24D553B4">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3.</w:t>
      </w:r>
      <w:r>
        <w:rPr>
          <w:rFonts w:hint="eastAsia" w:ascii="宋体" w:hAnsi="宋体" w:cs="宋体"/>
          <w:sz w:val="24"/>
          <w:szCs w:val="32"/>
          <w:highlight w:val="none"/>
        </w:rPr>
        <w:t>板材：采用优质冷轧钢板，符合GB/T708-2007标准，裸板厚度≥0.8mm</w:t>
      </w:r>
    </w:p>
    <w:p w14:paraId="5CCDDCB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4.</w:t>
      </w:r>
      <w:r>
        <w:rPr>
          <w:rFonts w:hint="eastAsia" w:ascii="宋体" w:hAnsi="宋体" w:cs="宋体"/>
          <w:sz w:val="24"/>
          <w:szCs w:val="32"/>
          <w:highlight w:val="none"/>
        </w:rPr>
        <w:t>工艺：金属架体及附件经酸洗、磷化、除锈处理，环保无毒害、无气味</w:t>
      </w:r>
    </w:p>
    <w:p w14:paraId="69A1F6FF">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eastAsia="仿宋" w:cs="宋体"/>
          <w:kern w:val="2"/>
          <w:sz w:val="24"/>
          <w:szCs w:val="32"/>
          <w:highlight w:val="none"/>
          <w:lang w:val="en-US" w:eastAsia="zh-CN" w:bidi="ar-SA"/>
        </w:rPr>
        <w:t>5.</w:t>
      </w:r>
      <w:r>
        <w:rPr>
          <w:rFonts w:hint="eastAsia" w:ascii="宋体" w:hAnsi="宋体" w:cs="宋体"/>
          <w:sz w:val="24"/>
          <w:szCs w:val="32"/>
          <w:highlight w:val="none"/>
        </w:rPr>
        <w:t>五金件：采用优质五金件，铝合金拉手。</w:t>
      </w:r>
    </w:p>
    <w:p w14:paraId="3C420533">
      <w:pPr>
        <w:pStyle w:val="13"/>
        <w:jc w:val="center"/>
        <w:rPr>
          <w:rFonts w:hint="eastAsia" w:ascii="宋体" w:hAnsi="宋体" w:cs="宋体"/>
          <w:b/>
          <w:bCs/>
          <w:sz w:val="32"/>
          <w:szCs w:val="32"/>
          <w:highlight w:val="none"/>
        </w:rPr>
      </w:pPr>
    </w:p>
    <w:p w14:paraId="153D085F">
      <w:pPr>
        <w:pStyle w:val="13"/>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设备99.单人功能输液椅 </w:t>
      </w:r>
    </w:p>
    <w:p w14:paraId="1B42DD9F">
      <w:pPr>
        <w:pStyle w:val="13"/>
        <w:jc w:val="left"/>
        <w:rPr>
          <w:b/>
          <w:bCs/>
          <w:sz w:val="32"/>
          <w:szCs w:val="32"/>
          <w:highlight w:val="none"/>
        </w:rPr>
      </w:pPr>
      <w:r>
        <w:rPr>
          <w:rFonts w:hint="eastAsia" w:ascii="宋体" w:hAnsi="宋体" w:cs="宋体"/>
          <w:b/>
          <w:bCs/>
          <w:sz w:val="32"/>
          <w:szCs w:val="32"/>
          <w:highlight w:val="none"/>
        </w:rPr>
        <w:t>数量：30套</w:t>
      </w:r>
    </w:p>
    <w:p w14:paraId="077DFD85">
      <w:pPr>
        <w:numPr>
          <w:ilvl w:val="0"/>
          <w:numId w:val="0"/>
        </w:numPr>
        <w:spacing w:line="360" w:lineRule="auto"/>
        <w:ind w:firstLine="0" w:firstLineChars="0"/>
        <w:rPr>
          <w:rFonts w:hint="eastAsia" w:ascii="宋体" w:hAnsi="宋体" w:cs="宋体"/>
          <w:sz w:val="24"/>
          <w:szCs w:val="32"/>
          <w:highlight w:val="none"/>
          <w:lang w:val="en-US" w:eastAsia="zh-CN"/>
        </w:rPr>
      </w:pPr>
      <w:r>
        <w:rPr>
          <w:rFonts w:hint="eastAsia" w:ascii="宋体" w:hAnsi="宋体" w:cs="宋体"/>
          <w:sz w:val="24"/>
          <w:szCs w:val="32"/>
          <w:highlight w:val="none"/>
          <w:lang w:val="en-US" w:eastAsia="zh-CN"/>
        </w:rPr>
        <w:t>1.可选功能：手动坐躺/电动座椅。</w:t>
      </w:r>
    </w:p>
    <w:p w14:paraId="7361FFC5">
      <w:pPr>
        <w:numPr>
          <w:ilvl w:val="0"/>
          <w:numId w:val="0"/>
        </w:numPr>
        <w:spacing w:line="360" w:lineRule="auto"/>
        <w:ind w:firstLine="0" w:firstLineChars="0"/>
        <w:rPr>
          <w:rFonts w:hint="eastAsia" w:ascii="宋体" w:hAnsi="宋体" w:cs="宋体"/>
          <w:sz w:val="24"/>
          <w:szCs w:val="32"/>
          <w:highlight w:val="none"/>
          <w:lang w:val="en-US" w:eastAsia="zh-CN"/>
        </w:rPr>
      </w:pPr>
      <w:r>
        <w:rPr>
          <w:rFonts w:hint="eastAsia" w:ascii="宋体" w:hAnsi="宋体" w:cs="宋体"/>
          <w:sz w:val="24"/>
          <w:szCs w:val="32"/>
          <w:highlight w:val="none"/>
          <w:lang w:val="en-US" w:eastAsia="zh-CN"/>
        </w:rPr>
        <w:t>2.触感：柔然舒适。</w:t>
      </w:r>
    </w:p>
    <w:p w14:paraId="3FB09F87">
      <w:pPr>
        <w:numPr>
          <w:ilvl w:val="0"/>
          <w:numId w:val="0"/>
        </w:numPr>
        <w:spacing w:line="360" w:lineRule="auto"/>
        <w:ind w:firstLine="0" w:firstLineChars="0"/>
        <w:rPr>
          <w:rFonts w:hint="eastAsia" w:ascii="宋体" w:hAnsi="宋体" w:cs="宋体"/>
          <w:sz w:val="24"/>
          <w:szCs w:val="32"/>
          <w:highlight w:val="none"/>
          <w:lang w:val="en-US" w:eastAsia="zh-CN"/>
        </w:rPr>
      </w:pPr>
      <w:r>
        <w:rPr>
          <w:rFonts w:hint="eastAsia" w:ascii="宋体" w:hAnsi="宋体" w:cs="宋体"/>
          <w:sz w:val="24"/>
          <w:szCs w:val="32"/>
          <w:highlight w:val="none"/>
          <w:lang w:val="en-US" w:eastAsia="zh-CN"/>
        </w:rPr>
        <w:t>3.表面面料：耐磨PU。</w:t>
      </w:r>
    </w:p>
    <w:p w14:paraId="32D49ADE">
      <w:pPr>
        <w:numPr>
          <w:ilvl w:val="0"/>
          <w:numId w:val="0"/>
        </w:numPr>
        <w:spacing w:line="360" w:lineRule="auto"/>
        <w:ind w:firstLine="0" w:firstLineChars="0"/>
        <w:rPr>
          <w:rFonts w:hint="eastAsia" w:ascii="宋体" w:hAnsi="宋体" w:cs="宋体"/>
          <w:sz w:val="24"/>
          <w:szCs w:val="32"/>
          <w:highlight w:val="none"/>
          <w:lang w:val="en-US" w:eastAsia="zh-CN"/>
        </w:rPr>
      </w:pPr>
      <w:r>
        <w:rPr>
          <w:rFonts w:hint="eastAsia" w:ascii="宋体" w:hAnsi="宋体" w:cs="宋体"/>
          <w:sz w:val="24"/>
          <w:szCs w:val="32"/>
          <w:highlight w:val="none"/>
          <w:lang w:val="en-US" w:eastAsia="zh-CN"/>
        </w:rPr>
        <w:t>4.海绵：高密度回弹海绵。</w:t>
      </w:r>
    </w:p>
    <w:p w14:paraId="38108216">
      <w:pPr>
        <w:numPr>
          <w:ilvl w:val="0"/>
          <w:numId w:val="0"/>
        </w:numPr>
        <w:rPr>
          <w:rFonts w:hint="eastAsia"/>
          <w:highlight w:val="none"/>
        </w:rPr>
      </w:pPr>
    </w:p>
    <w:p w14:paraId="7259C67D">
      <w:pPr>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设备100.测温门  </w:t>
      </w:r>
    </w:p>
    <w:p w14:paraId="3207D1D3">
      <w:pPr>
        <w:spacing w:line="360" w:lineRule="auto"/>
        <w:rPr>
          <w:rFonts w:hint="eastAsia" w:ascii="宋体" w:hAnsi="宋体" w:cs="宋体"/>
          <w:sz w:val="32"/>
          <w:szCs w:val="32"/>
          <w:highlight w:val="none"/>
        </w:rPr>
      </w:pPr>
      <w:r>
        <w:rPr>
          <w:rFonts w:hint="eastAsia" w:ascii="宋体" w:hAnsi="宋体" w:cs="宋体"/>
          <w:b/>
          <w:bCs/>
          <w:sz w:val="32"/>
          <w:szCs w:val="32"/>
          <w:highlight w:val="none"/>
        </w:rPr>
        <w:t>数量：2台</w:t>
      </w:r>
    </w:p>
    <w:p w14:paraId="38A3AF1D">
      <w:pPr>
        <w:widowControl/>
        <w:spacing w:before="75" w:after="75" w:line="360" w:lineRule="auto"/>
        <w:ind w:left="1176" w:hanging="1176" w:hangingChars="49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1.无感测温：可对通过测温探测门的人员进行温度监测。</w:t>
      </w:r>
    </w:p>
    <w:p w14:paraId="02019EA9">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2.人体温度筛查：内置高精度微型24小时动态热成像体温监测仪,全天候、不间断对通行人员进行体温扫描筛查。</w:t>
      </w:r>
    </w:p>
    <w:p w14:paraId="487B22A0">
      <w:pPr>
        <w:widowControl/>
        <w:spacing w:before="75" w:after="75" w:line="36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3.语音播报：具备语音播报功能</w:t>
      </w:r>
    </w:p>
    <w:p w14:paraId="6AE62FBF">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4.超高检测灵敏度：可检测到1元硬币大小的金属，不会漏报和串报。</w:t>
      </w:r>
    </w:p>
    <w:p w14:paraId="01804527">
      <w:pPr>
        <w:widowControl/>
        <w:spacing w:before="75" w:after="12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5.独创飞物报警功能：金属物体从门中间抛过也会准确报警。</w:t>
      </w:r>
    </w:p>
    <w:p w14:paraId="6DD52824">
      <w:pPr>
        <w:widowControl/>
        <w:spacing w:before="75" w:after="12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6.智能分辨：能区分铁磁质和非铁磁质金属物品。</w:t>
      </w:r>
    </w:p>
    <w:p w14:paraId="451ED6F5">
      <w:pPr>
        <w:widowControl/>
        <w:spacing w:before="75" w:after="12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7.超低探测高度：离地2CM以上的金属物体进入检测区域均可报警。</w:t>
      </w:r>
    </w:p>
    <w:p w14:paraId="76FB347A">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8.多区位报警功能：人体不同位置的多个金属通过安检门时同时报警，并可以指示多个金属的位置。</w:t>
      </w:r>
    </w:p>
    <w:p w14:paraId="7C51BAC6">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9.金属大小显示：报警时强度指示灯会显示金属量的大小。</w:t>
      </w:r>
    </w:p>
    <w:p w14:paraId="559C12B6">
      <w:pPr>
        <w:widowControl/>
        <w:spacing w:before="75" w:after="12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10.开机自诊断功能：开机时对系统进行自检，并显示检测结果。</w:t>
      </w:r>
    </w:p>
    <w:p w14:paraId="794B11B2">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11.模块化组件设计：运输、维护方便快捷。</w:t>
      </w:r>
    </w:p>
    <w:p w14:paraId="50D6CEBE">
      <w:pPr>
        <w:widowControl/>
        <w:spacing w:before="75" w:after="12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12.抗干扰设计：根据周围环境，开机自动设置频率避开干扰，多台门并排工作时相互靠拢，对探测性能也无明显影响。</w:t>
      </w:r>
    </w:p>
    <w:p w14:paraId="3CC35C97">
      <w:pPr>
        <w:widowControl/>
        <w:spacing w:before="75" w:after="12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13.区位显示：产品分成12防区，可疑物能在每个区域准确显示。</w:t>
      </w:r>
    </w:p>
    <w:p w14:paraId="549A5FDF">
      <w:pPr>
        <w:widowControl/>
        <w:spacing w:before="75" w:after="120"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14.频率设置：可自动设11种频率，不同频率可设定不同铃声，也可进行手动设频，7000-8999Hz任意设置。</w:t>
      </w:r>
    </w:p>
    <w:p w14:paraId="477DC940">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15.灵敏度调节：灵敏度可以根据需要调整。</w:t>
      </w:r>
    </w:p>
    <w:p w14:paraId="63C66FB5">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16.统计人数：双侧对射热成像可以准确检测到通过人数和报警人数。</w:t>
      </w:r>
    </w:p>
    <w:p w14:paraId="3272ED83">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17.三侧定位灯：门体三侧均带有LED灯，能直观地通过定位灯显示违禁物品所在区域，视角可达360°</w:t>
      </w:r>
    </w:p>
    <w:p w14:paraId="3BAD1050">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18.声光报警： 9款可选择报警声音，每款均有8级音调可调，报警时间长短可调。</w:t>
      </w:r>
    </w:p>
    <w:p w14:paraId="7377720A">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19.面板显示：采用液晶（LCD）显示，中文、英文菜单相互切换。</w:t>
      </w:r>
    </w:p>
    <w:p w14:paraId="588F9F87">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20.防震设计：全球独创防震设计，在刮风或人为晃动下不会误报。</w:t>
      </w:r>
    </w:p>
    <w:p w14:paraId="6240680D">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21.一键设置：内置智能芯片，储存多种场所推荐探测灵敏度设定值，方便用户快速选择。</w:t>
      </w:r>
    </w:p>
    <w:p w14:paraId="3F128C8F">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22.门体材质：外表采用HPL材质,与进口品牌材质完全相同，美观、大方、防火、防腐蚀、防潮和防撞，不变形。</w:t>
      </w:r>
    </w:p>
    <w:p w14:paraId="0AB3069A">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23.网络管理（选配）：预留通讯接口，可以与电脑、摄像头、三轧辊等连接，监控、统计探测情况，调整安检门参数。</w:t>
      </w:r>
    </w:p>
    <w:p w14:paraId="4A6DAB7D">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24.安全保护：对心脏起博器佩带者、孕妇、磁性介质等无害。</w:t>
      </w:r>
    </w:p>
    <w:p w14:paraId="60EB5890">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25.热成像定焦镜头6mm</w:t>
      </w:r>
    </w:p>
    <w:p w14:paraId="6182F195">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26.适用环境：室内0℃~35℃</w:t>
      </w:r>
    </w:p>
    <w:p w14:paraId="3C3F120A">
      <w:pPr>
        <w:pStyle w:val="44"/>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27.支持SD卡存储数据记录，可联网导出数据</w:t>
      </w:r>
    </w:p>
    <w:p w14:paraId="56CE4F46">
      <w:pPr>
        <w:pStyle w:val="44"/>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28.支持可见光、红外光图像显示</w:t>
      </w:r>
    </w:p>
    <w:p w14:paraId="38B61448">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29.精度:±0.3℃</w:t>
      </w:r>
    </w:p>
    <w:p w14:paraId="2B5D307E">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30.工作温度：-10℃~40℃</w:t>
      </w:r>
    </w:p>
    <w:p w14:paraId="7708B230">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31.工作湿度：95%,无冷凝</w:t>
      </w:r>
    </w:p>
    <w:p w14:paraId="56B33BDB">
      <w:pPr>
        <w:widowControl/>
        <w:spacing w:before="75" w:after="75" w:line="36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32.工作频率：根据安装环境自行调节</w:t>
      </w:r>
    </w:p>
    <w:p w14:paraId="37EA10A3">
      <w:pPr>
        <w:widowControl/>
        <w:spacing w:before="75" w:after="75" w:line="360" w:lineRule="auto"/>
        <w:jc w:val="left"/>
        <w:rPr>
          <w:rFonts w:hint="eastAsia" w:ascii="宋体" w:hAnsi="宋体" w:cs="宋体"/>
          <w:color w:val="000000"/>
          <w:kern w:val="0"/>
          <w:sz w:val="24"/>
          <w:highlight w:val="none"/>
        </w:rPr>
      </w:pPr>
    </w:p>
    <w:p w14:paraId="7ACA03DD">
      <w:pPr>
        <w:spacing w:line="439" w:lineRule="exact"/>
        <w:jc w:val="center"/>
        <w:rPr>
          <w:rFonts w:ascii="宋体" w:hAnsi="宋体" w:cs="宋体"/>
          <w:b/>
          <w:bCs/>
          <w:sz w:val="32"/>
          <w:szCs w:val="32"/>
          <w:highlight w:val="none"/>
        </w:rPr>
      </w:pPr>
      <w:r>
        <w:rPr>
          <w:rFonts w:hint="eastAsia" w:ascii="宋体" w:hAnsi="宋体" w:cs="宋体"/>
          <w:b/>
          <w:bCs/>
          <w:sz w:val="32"/>
          <w:szCs w:val="32"/>
          <w:highlight w:val="none"/>
        </w:rPr>
        <w:t>设备101.臂式电子血压计</w:t>
      </w:r>
    </w:p>
    <w:p w14:paraId="79E79348">
      <w:pPr>
        <w:pStyle w:val="13"/>
        <w:rPr>
          <w:rFonts w:hint="eastAsia" w:ascii="宋体" w:hAnsi="宋体" w:cs="宋体"/>
          <w:b/>
          <w:bCs/>
          <w:sz w:val="32"/>
          <w:szCs w:val="32"/>
          <w:highlight w:val="none"/>
        </w:rPr>
      </w:pPr>
      <w:r>
        <w:rPr>
          <w:rFonts w:hint="eastAsia" w:ascii="宋体" w:hAnsi="宋体" w:cs="宋体"/>
          <w:b/>
          <w:bCs/>
          <w:sz w:val="32"/>
          <w:szCs w:val="32"/>
          <w:highlight w:val="none"/>
        </w:rPr>
        <w:t>数量：20台</w:t>
      </w:r>
    </w:p>
    <w:p w14:paraId="64A64C48">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1.显示方式：LCD数字显示；</w:t>
      </w:r>
    </w:p>
    <w:p w14:paraId="525535E2">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2.脉搏测量范围：40~200次/分钟；</w:t>
      </w:r>
    </w:p>
    <w:p w14:paraId="20366A03">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3.压力测量范围：0~300mmHg(0-40.0kPa)；</w:t>
      </w:r>
    </w:p>
    <w:p w14:paraId="25F2CF65">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4.记忆组数：≥70组；</w:t>
      </w:r>
    </w:p>
    <w:p w14:paraId="2A7B8B81">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5.压力精度：±3mmHg(±0.4kPa)以内；</w:t>
      </w:r>
    </w:p>
    <w:p w14:paraId="0EB6883C">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6.测量方式：一键测量，一键全自动、智能加压，操作简单。</w:t>
      </w:r>
    </w:p>
    <w:p w14:paraId="51285F46">
      <w:pPr>
        <w:pStyle w:val="44"/>
        <w:spacing w:line="360" w:lineRule="auto"/>
        <w:rPr>
          <w:rFonts w:hint="eastAsia" w:ascii="宋体" w:hAnsi="宋体" w:cs="宋体"/>
          <w:color w:val="000000"/>
          <w:sz w:val="24"/>
          <w:szCs w:val="24"/>
          <w:highlight w:val="none"/>
        </w:rPr>
      </w:pPr>
    </w:p>
    <w:p w14:paraId="6F87200D">
      <w:pPr>
        <w:tabs>
          <w:tab w:val="left" w:pos="615"/>
        </w:tabs>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 xml:space="preserve">设备102.血压计（水银）   </w:t>
      </w:r>
    </w:p>
    <w:p w14:paraId="093F1913">
      <w:pPr>
        <w:tabs>
          <w:tab w:val="left" w:pos="615"/>
        </w:tabs>
        <w:spacing w:line="360" w:lineRule="auto"/>
        <w:rPr>
          <w:rFonts w:hint="eastAsia" w:ascii="宋体" w:hAnsi="宋体" w:cs="宋体"/>
          <w:b/>
          <w:bCs/>
          <w:sz w:val="32"/>
          <w:szCs w:val="32"/>
          <w:highlight w:val="none"/>
        </w:rPr>
      </w:pPr>
      <w:r>
        <w:rPr>
          <w:rFonts w:hint="eastAsia" w:ascii="宋体" w:hAnsi="宋体" w:cs="宋体"/>
          <w:b/>
          <w:bCs/>
          <w:sz w:val="32"/>
          <w:szCs w:val="32"/>
          <w:highlight w:val="none"/>
        </w:rPr>
        <w:t>数量：10台</w:t>
      </w:r>
    </w:p>
    <w:p w14:paraId="2194DB6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1.测量耐用，双刻度显示，测量显示；</w:t>
      </w:r>
    </w:p>
    <w:p w14:paraId="54ADAF3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2.结实耐用，表面喷塑处理，防腐，耐磨，美观；</w:t>
      </w:r>
    </w:p>
    <w:p w14:paraId="32FADBE1">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3.放漏出，试管顶部加阻汞纸，防止使用不当水银流出；</w:t>
      </w:r>
    </w:p>
    <w:p w14:paraId="03E2A51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4.手动水银开关。</w:t>
      </w:r>
    </w:p>
    <w:p w14:paraId="322F8803">
      <w:pPr>
        <w:pStyle w:val="44"/>
        <w:spacing w:line="360" w:lineRule="auto"/>
        <w:rPr>
          <w:rFonts w:hint="eastAsia" w:ascii="宋体" w:hAnsi="宋体" w:cs="宋体"/>
          <w:color w:val="000000"/>
          <w:sz w:val="24"/>
          <w:szCs w:val="24"/>
          <w:highlight w:val="none"/>
        </w:rPr>
      </w:pPr>
    </w:p>
    <w:p w14:paraId="7C63E700">
      <w:pPr>
        <w:pStyle w:val="44"/>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设备103.身高体重计</w:t>
      </w:r>
    </w:p>
    <w:p w14:paraId="6F442ADA">
      <w:pPr>
        <w:pStyle w:val="44"/>
        <w:spacing w:line="360" w:lineRule="auto"/>
        <w:rPr>
          <w:rFonts w:hint="eastAsia" w:ascii="宋体" w:hAnsi="宋体" w:cs="宋体"/>
          <w:b/>
          <w:bCs/>
          <w:sz w:val="32"/>
          <w:szCs w:val="32"/>
          <w:highlight w:val="none"/>
        </w:rPr>
      </w:pPr>
      <w:r>
        <w:rPr>
          <w:rFonts w:hint="eastAsia" w:ascii="宋体" w:hAnsi="宋体" w:cs="宋体"/>
          <w:b/>
          <w:bCs/>
          <w:sz w:val="32"/>
          <w:szCs w:val="32"/>
          <w:highlight w:val="none"/>
        </w:rPr>
        <w:t>数量：1台</w:t>
      </w:r>
    </w:p>
    <w:p w14:paraId="15E480B3">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1.身高参数</w:t>
      </w:r>
    </w:p>
    <w:p w14:paraId="3334809F">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1.1.量程：90-210cm</w:t>
      </w:r>
    </w:p>
    <w:p w14:paraId="72F5013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1.2.分度值：2.5px</w:t>
      </w:r>
    </w:p>
    <w:p w14:paraId="51B2D631">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1.3.误差%：±0.1</w:t>
      </w:r>
    </w:p>
    <w:p w14:paraId="2998ECA0">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2.体重参数</w:t>
      </w:r>
    </w:p>
    <w:p w14:paraId="01957280">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2.1.量程：5.0~150KG</w:t>
      </w:r>
    </w:p>
    <w:p w14:paraId="3F4B0628">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2.2.分度值：0.1kg</w:t>
      </w:r>
    </w:p>
    <w:p w14:paraId="468BC447">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2.3.误差%：±0.2</w:t>
      </w:r>
    </w:p>
    <w:p w14:paraId="15196BD9">
      <w:pPr>
        <w:pStyle w:val="44"/>
        <w:spacing w:line="360" w:lineRule="auto"/>
        <w:rPr>
          <w:rFonts w:hint="eastAsia" w:ascii="宋体" w:hAnsi="宋体" w:cs="宋体"/>
          <w:color w:val="000000"/>
          <w:sz w:val="24"/>
          <w:szCs w:val="24"/>
          <w:highlight w:val="none"/>
        </w:rPr>
      </w:pPr>
    </w:p>
    <w:p w14:paraId="095BDF6F">
      <w:pPr>
        <w:pStyle w:val="44"/>
        <w:spacing w:line="360" w:lineRule="auto"/>
        <w:rPr>
          <w:rFonts w:hint="eastAsia" w:ascii="宋体" w:hAnsi="宋体" w:cs="宋体"/>
          <w:color w:val="000000"/>
          <w:sz w:val="24"/>
          <w:szCs w:val="24"/>
          <w:highlight w:val="none"/>
        </w:rPr>
      </w:pPr>
    </w:p>
    <w:p w14:paraId="0C4AF8C6">
      <w:pPr>
        <w:pStyle w:val="44"/>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设备104.商务投影机</w:t>
      </w:r>
    </w:p>
    <w:p w14:paraId="7FA2B1E7">
      <w:pPr>
        <w:pStyle w:val="44"/>
        <w:spacing w:line="360" w:lineRule="auto"/>
        <w:jc w:val="left"/>
        <w:rPr>
          <w:rFonts w:hint="eastAsia" w:ascii="宋体" w:hAnsi="宋体" w:cs="宋体"/>
          <w:b/>
          <w:bCs/>
          <w:sz w:val="32"/>
          <w:szCs w:val="32"/>
          <w:highlight w:val="none"/>
        </w:rPr>
      </w:pPr>
      <w:r>
        <w:rPr>
          <w:rFonts w:hint="eastAsia" w:ascii="宋体" w:hAnsi="宋体" w:cs="宋体"/>
          <w:b/>
          <w:bCs/>
          <w:sz w:val="32"/>
          <w:szCs w:val="32"/>
          <w:highlight w:val="none"/>
        </w:rPr>
        <w:t>数量：3台</w:t>
      </w:r>
    </w:p>
    <w:p w14:paraId="5DABC78A">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1.亮度：3600流明</w:t>
      </w:r>
    </w:p>
    <w:p w14:paraId="0190FDB7">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2.对比度：16000:1</w:t>
      </w:r>
    </w:p>
    <w:p w14:paraId="112A5DA9">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3.屏幕比例：4:3</w:t>
      </w:r>
    </w:p>
    <w:p w14:paraId="1E87C812">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4.投影尺寸：30-300英寸</w:t>
      </w:r>
    </w:p>
    <w:p w14:paraId="64E6BE38">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5.输入接口：2×D-sub 15p 1×RCA 1×HDMI 2×Stereo mimi 1×2RCA</w:t>
      </w:r>
    </w:p>
    <w:p w14:paraId="77F48382">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6.输出接口：1×D-sub 15p 1×Stereo mimi</w:t>
      </w:r>
    </w:p>
    <w:p w14:paraId="713E337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7.控制接口：1×USB A 1×USB B 1×RJ45 1×RS-232C</w:t>
      </w:r>
    </w:p>
    <w:p w14:paraId="50047E88">
      <w:pPr>
        <w:pStyle w:val="44"/>
        <w:spacing w:line="360" w:lineRule="auto"/>
        <w:rPr>
          <w:rFonts w:hint="eastAsia" w:ascii="宋体" w:hAnsi="宋体" w:cs="宋体"/>
          <w:color w:val="000000"/>
          <w:sz w:val="24"/>
          <w:szCs w:val="24"/>
          <w:highlight w:val="none"/>
        </w:rPr>
      </w:pPr>
    </w:p>
    <w:p w14:paraId="05F7F6D1">
      <w:pPr>
        <w:pStyle w:val="44"/>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设备105.屈光筛查仪</w:t>
      </w:r>
    </w:p>
    <w:p w14:paraId="06C7F2CE">
      <w:pPr>
        <w:pStyle w:val="44"/>
        <w:spacing w:line="360" w:lineRule="auto"/>
        <w:rPr>
          <w:rFonts w:hint="eastAsia" w:ascii="宋体" w:hAnsi="宋体" w:cs="宋体"/>
          <w:b/>
          <w:bCs/>
          <w:sz w:val="32"/>
          <w:szCs w:val="32"/>
          <w:highlight w:val="none"/>
        </w:rPr>
      </w:pPr>
      <w:r>
        <w:rPr>
          <w:rFonts w:hint="eastAsia" w:ascii="宋体" w:hAnsi="宋体" w:cs="宋体"/>
          <w:b/>
          <w:bCs/>
          <w:sz w:val="32"/>
          <w:szCs w:val="32"/>
          <w:highlight w:val="none"/>
        </w:rPr>
        <w:t>数量：1台</w:t>
      </w:r>
    </w:p>
    <w:p w14:paraId="3B8709B1">
      <w:pPr>
        <w:numPr>
          <w:ilvl w:val="0"/>
          <w:numId w:val="0"/>
        </w:numPr>
        <w:spacing w:line="360" w:lineRule="auto"/>
        <w:ind w:firstLine="0" w:firstLineChars="0"/>
        <w:rPr>
          <w:rFonts w:hint="eastAsia" w:ascii="宋体" w:hAnsi="宋体" w:cs="宋体"/>
          <w:sz w:val="21"/>
          <w:szCs w:val="21"/>
          <w:highlight w:val="none"/>
          <w:lang w:val="zh-CN"/>
        </w:rPr>
      </w:pPr>
      <w:r>
        <w:rPr>
          <w:rFonts w:hint="eastAsia" w:ascii="宋体" w:hAnsi="宋体" w:cs="宋体"/>
          <w:sz w:val="21"/>
          <w:szCs w:val="21"/>
          <w:highlight w:val="none"/>
        </w:rPr>
        <w:t>1.</w:t>
      </w:r>
      <w:r>
        <w:rPr>
          <w:rFonts w:hint="eastAsia" w:ascii="宋体" w:hAnsi="宋体" w:cs="宋体"/>
          <w:sz w:val="21"/>
          <w:szCs w:val="21"/>
          <w:highlight w:val="none"/>
          <w:lang w:val="zh-CN"/>
        </w:rPr>
        <w:t>操作模式：双眼/单眼</w:t>
      </w:r>
    </w:p>
    <w:p w14:paraId="17CD6C66">
      <w:pPr>
        <w:numPr>
          <w:ilvl w:val="0"/>
          <w:numId w:val="0"/>
        </w:numPr>
        <w:spacing w:line="360" w:lineRule="auto"/>
        <w:ind w:firstLine="0" w:firstLineChars="0"/>
        <w:rPr>
          <w:rFonts w:hint="eastAsia" w:ascii="宋体" w:hAnsi="宋体" w:cs="宋体"/>
          <w:sz w:val="21"/>
          <w:szCs w:val="21"/>
          <w:highlight w:val="none"/>
          <w:lang w:val="zh-CN"/>
        </w:rPr>
      </w:pPr>
      <w:r>
        <w:rPr>
          <w:rFonts w:hint="eastAsia" w:ascii="宋体" w:hAnsi="宋体" w:cs="宋体"/>
          <w:sz w:val="21"/>
          <w:szCs w:val="21"/>
          <w:highlight w:val="none"/>
        </w:rPr>
        <w:t>2.</w:t>
      </w:r>
      <w:r>
        <w:rPr>
          <w:rFonts w:hint="eastAsia" w:ascii="宋体" w:hAnsi="宋体" w:cs="宋体"/>
          <w:sz w:val="21"/>
          <w:szCs w:val="21"/>
          <w:highlight w:val="none"/>
          <w:lang w:val="zh-CN"/>
        </w:rPr>
        <w:t>屈光检测：全自动</w:t>
      </w:r>
    </w:p>
    <w:p w14:paraId="6C932ADB">
      <w:pPr>
        <w:numPr>
          <w:ilvl w:val="0"/>
          <w:numId w:val="0"/>
        </w:numPr>
        <w:spacing w:line="360" w:lineRule="auto"/>
        <w:ind w:firstLine="0" w:firstLineChars="0"/>
        <w:rPr>
          <w:rFonts w:hint="eastAsia" w:ascii="宋体" w:hAnsi="宋体" w:cs="宋体"/>
          <w:sz w:val="21"/>
          <w:szCs w:val="21"/>
          <w:highlight w:val="none"/>
          <w:lang w:val="zh-CN"/>
        </w:rPr>
      </w:pPr>
      <w:r>
        <w:rPr>
          <w:rFonts w:hint="eastAsia" w:ascii="宋体" w:hAnsi="宋体" w:cs="宋体"/>
          <w:sz w:val="21"/>
          <w:szCs w:val="21"/>
          <w:highlight w:val="none"/>
        </w:rPr>
        <w:t>3.</w:t>
      </w:r>
      <w:r>
        <w:rPr>
          <w:rFonts w:hint="eastAsia" w:ascii="宋体" w:hAnsi="宋体" w:cs="宋体"/>
          <w:sz w:val="21"/>
          <w:szCs w:val="21"/>
          <w:highlight w:val="none"/>
          <w:lang w:val="zh-CN"/>
        </w:rPr>
        <w:t>球面度DS：范围-7.5OD~+</w:t>
      </w:r>
      <w:r>
        <w:rPr>
          <w:rFonts w:hint="eastAsia" w:ascii="宋体" w:hAnsi="宋体" w:cs="宋体"/>
          <w:sz w:val="21"/>
          <w:szCs w:val="21"/>
          <w:highlight w:val="none"/>
        </w:rPr>
        <w:t>7</w:t>
      </w:r>
      <w:r>
        <w:rPr>
          <w:rFonts w:hint="eastAsia" w:ascii="宋体" w:hAnsi="宋体" w:cs="宋体"/>
          <w:sz w:val="21"/>
          <w:szCs w:val="21"/>
          <w:highlight w:val="none"/>
          <w:lang w:val="zh-CN"/>
        </w:rPr>
        <w:t>.5OD</w:t>
      </w:r>
    </w:p>
    <w:p w14:paraId="7291A200">
      <w:pPr>
        <w:numPr>
          <w:ilvl w:val="0"/>
          <w:numId w:val="0"/>
        </w:numPr>
        <w:spacing w:line="360" w:lineRule="auto"/>
        <w:ind w:firstLine="0" w:firstLineChars="0"/>
        <w:rPr>
          <w:rFonts w:hint="eastAsia" w:ascii="宋体" w:hAnsi="宋体" w:cs="宋体"/>
          <w:sz w:val="21"/>
          <w:szCs w:val="21"/>
          <w:highlight w:val="none"/>
          <w:lang w:val="zh-CN"/>
        </w:rPr>
      </w:pPr>
      <w:r>
        <w:rPr>
          <w:rFonts w:hint="eastAsia" w:ascii="宋体" w:hAnsi="宋体" w:cs="宋体"/>
          <w:sz w:val="21"/>
          <w:szCs w:val="21"/>
          <w:highlight w:val="none"/>
          <w:lang w:val="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zh-CN"/>
        </w:rPr>
        <w:t xml:space="preserve"> 分辨率0.25D/0.01D</w:t>
      </w:r>
    </w:p>
    <w:p w14:paraId="7BE837CA">
      <w:pPr>
        <w:numPr>
          <w:ilvl w:val="0"/>
          <w:numId w:val="0"/>
        </w:numPr>
        <w:spacing w:line="360" w:lineRule="auto"/>
        <w:ind w:firstLine="0" w:firstLineChars="0"/>
        <w:rPr>
          <w:rFonts w:hint="eastAsia" w:ascii="宋体" w:hAnsi="宋体" w:cs="宋体"/>
          <w:sz w:val="21"/>
          <w:szCs w:val="21"/>
          <w:highlight w:val="none"/>
          <w:lang w:val="zh-CN"/>
        </w:rPr>
      </w:pPr>
      <w:r>
        <w:rPr>
          <w:rFonts w:hint="eastAsia" w:ascii="宋体" w:hAnsi="宋体" w:cs="宋体"/>
          <w:sz w:val="21"/>
          <w:szCs w:val="21"/>
          <w:highlight w:val="none"/>
          <w:lang w:val="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zh-CN"/>
        </w:rPr>
        <w:t>精度 ±0.5OD</w:t>
      </w:r>
    </w:p>
    <w:p w14:paraId="590AB6BC">
      <w:pPr>
        <w:numPr>
          <w:ilvl w:val="0"/>
          <w:numId w:val="0"/>
        </w:numPr>
        <w:spacing w:line="360" w:lineRule="auto"/>
        <w:ind w:firstLine="0" w:firstLineChars="0"/>
        <w:rPr>
          <w:rFonts w:hint="eastAsia" w:ascii="宋体" w:hAnsi="宋体" w:cs="宋体"/>
          <w:sz w:val="21"/>
          <w:szCs w:val="21"/>
          <w:highlight w:val="none"/>
          <w:lang w:val="zh-CN"/>
        </w:rPr>
      </w:pPr>
      <w:r>
        <w:rPr>
          <w:rFonts w:hint="eastAsia" w:ascii="宋体" w:hAnsi="宋体" w:cs="宋体"/>
          <w:sz w:val="21"/>
          <w:szCs w:val="21"/>
          <w:highlight w:val="none"/>
        </w:rPr>
        <w:t>4.</w:t>
      </w:r>
      <w:r>
        <w:rPr>
          <w:rFonts w:hint="eastAsia" w:ascii="宋体" w:hAnsi="宋体" w:cs="宋体"/>
          <w:sz w:val="21"/>
          <w:szCs w:val="21"/>
          <w:highlight w:val="none"/>
          <w:lang w:val="zh-CN"/>
        </w:rPr>
        <w:t>柱面度：</w:t>
      </w:r>
      <w:r>
        <w:rPr>
          <w:rFonts w:hint="eastAsia" w:ascii="宋体" w:hAnsi="宋体" w:cs="宋体"/>
          <w:sz w:val="21"/>
          <w:szCs w:val="21"/>
          <w:highlight w:val="none"/>
        </w:rPr>
        <w:t xml:space="preserve"> </w:t>
      </w:r>
      <w:r>
        <w:rPr>
          <w:rFonts w:hint="eastAsia" w:ascii="宋体" w:hAnsi="宋体" w:cs="宋体"/>
          <w:sz w:val="21"/>
          <w:szCs w:val="21"/>
          <w:highlight w:val="none"/>
          <w:lang w:val="zh-CN"/>
        </w:rPr>
        <w:t>范围0.00D~3.00D</w:t>
      </w:r>
    </w:p>
    <w:p w14:paraId="71A3CAAA">
      <w:pPr>
        <w:numPr>
          <w:ilvl w:val="0"/>
          <w:numId w:val="0"/>
        </w:numPr>
        <w:spacing w:line="360" w:lineRule="auto"/>
        <w:ind w:firstLine="0" w:firstLineChars="0"/>
        <w:rPr>
          <w:rFonts w:hint="eastAsia" w:ascii="宋体" w:hAnsi="宋体" w:cs="宋体"/>
          <w:sz w:val="21"/>
          <w:szCs w:val="21"/>
          <w:highlight w:val="none"/>
          <w:lang w:val="zh-CN"/>
        </w:rPr>
      </w:pPr>
      <w:r>
        <w:rPr>
          <w:rFonts w:hint="eastAsia" w:ascii="宋体" w:hAnsi="宋体" w:cs="宋体"/>
          <w:sz w:val="21"/>
          <w:szCs w:val="21"/>
          <w:highlight w:val="none"/>
          <w:lang w:val="zh-CN"/>
        </w:rPr>
        <w:t xml:space="preserve">           分辨率0.25D/0.01D</w:t>
      </w:r>
    </w:p>
    <w:p w14:paraId="2ECAB385">
      <w:pPr>
        <w:numPr>
          <w:ilvl w:val="0"/>
          <w:numId w:val="0"/>
        </w:numPr>
        <w:spacing w:line="360" w:lineRule="auto"/>
        <w:ind w:firstLine="0" w:firstLineChars="0"/>
        <w:rPr>
          <w:rFonts w:hint="eastAsia" w:ascii="宋体" w:hAnsi="宋体" w:cs="宋体"/>
          <w:sz w:val="21"/>
          <w:szCs w:val="21"/>
          <w:highlight w:val="none"/>
          <w:lang w:val="zh-CN"/>
        </w:rPr>
      </w:pPr>
      <w:r>
        <w:rPr>
          <w:rFonts w:hint="eastAsia" w:ascii="宋体" w:hAnsi="宋体" w:cs="宋体"/>
          <w:sz w:val="21"/>
          <w:szCs w:val="21"/>
          <w:highlight w:val="none"/>
          <w:lang w:val="zh-CN"/>
        </w:rPr>
        <w:t xml:space="preserve">          </w:t>
      </w:r>
      <w:r>
        <w:rPr>
          <w:rFonts w:hint="eastAsia" w:ascii="宋体" w:hAnsi="宋体" w:cs="宋体"/>
          <w:sz w:val="21"/>
          <w:szCs w:val="21"/>
          <w:highlight w:val="none"/>
        </w:rPr>
        <w:t xml:space="preserve"> </w:t>
      </w:r>
      <w:r>
        <w:rPr>
          <w:rFonts w:hint="eastAsia" w:ascii="宋体" w:hAnsi="宋体" w:cs="宋体"/>
          <w:sz w:val="21"/>
          <w:szCs w:val="21"/>
          <w:highlight w:val="none"/>
          <w:lang w:val="zh-CN"/>
        </w:rPr>
        <w:t>精度±0.50D</w:t>
      </w:r>
    </w:p>
    <w:p w14:paraId="472BE539">
      <w:pPr>
        <w:numPr>
          <w:ilvl w:val="0"/>
          <w:numId w:val="0"/>
        </w:numPr>
        <w:spacing w:line="360" w:lineRule="auto"/>
        <w:ind w:firstLine="0" w:firstLineChars="0"/>
        <w:rPr>
          <w:rFonts w:hint="eastAsia" w:ascii="宋体" w:hAnsi="宋体" w:cs="宋体"/>
          <w:sz w:val="21"/>
          <w:szCs w:val="21"/>
          <w:highlight w:val="none"/>
          <w:lang w:val="zh-CN"/>
        </w:rPr>
      </w:pPr>
      <w:r>
        <w:rPr>
          <w:rFonts w:hint="eastAsia" w:ascii="宋体" w:hAnsi="宋体" w:cs="宋体"/>
          <w:sz w:val="21"/>
          <w:szCs w:val="21"/>
          <w:highlight w:val="none"/>
        </w:rPr>
        <w:t>5.</w:t>
      </w:r>
      <w:r>
        <w:rPr>
          <w:rFonts w:hint="eastAsia" w:ascii="宋体" w:hAnsi="宋体" w:cs="宋体"/>
          <w:sz w:val="21"/>
          <w:szCs w:val="21"/>
          <w:highlight w:val="none"/>
          <w:lang w:val="zh-CN"/>
        </w:rPr>
        <w:t>轴位:范围</w:t>
      </w:r>
      <w:r>
        <w:rPr>
          <w:rFonts w:hint="eastAsia" w:ascii="宋体" w:hAnsi="宋体" w:cs="宋体"/>
          <w:sz w:val="21"/>
          <w:szCs w:val="21"/>
          <w:highlight w:val="none"/>
        </w:rPr>
        <w:t>0</w:t>
      </w:r>
      <w:r>
        <w:rPr>
          <w:rFonts w:hint="eastAsia" w:ascii="宋体" w:hAnsi="宋体" w:cs="宋体"/>
          <w:sz w:val="21"/>
          <w:szCs w:val="21"/>
          <w:highlight w:val="none"/>
          <w:lang w:val="zh-CN"/>
        </w:rPr>
        <w:t>°~180°</w:t>
      </w:r>
    </w:p>
    <w:p w14:paraId="6C3A6220">
      <w:pPr>
        <w:numPr>
          <w:ilvl w:val="0"/>
          <w:numId w:val="0"/>
        </w:numPr>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 xml:space="preserve">       </w:t>
      </w:r>
      <w:r>
        <w:rPr>
          <w:rFonts w:hint="eastAsia" w:ascii="宋体" w:hAnsi="宋体" w:cs="宋体"/>
          <w:sz w:val="21"/>
          <w:szCs w:val="21"/>
          <w:highlight w:val="none"/>
          <w:lang w:val="zh-CN"/>
        </w:rPr>
        <w:t>分辨率</w:t>
      </w:r>
      <w:r>
        <w:rPr>
          <w:rFonts w:hint="eastAsia" w:ascii="宋体" w:hAnsi="宋体" w:cs="宋体"/>
          <w:sz w:val="21"/>
          <w:szCs w:val="21"/>
          <w:highlight w:val="none"/>
        </w:rPr>
        <w:t>：1°</w:t>
      </w:r>
    </w:p>
    <w:p w14:paraId="36F186C1">
      <w:pPr>
        <w:numPr>
          <w:ilvl w:val="0"/>
          <w:numId w:val="0"/>
        </w:numPr>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 xml:space="preserve">       </w:t>
      </w:r>
      <w:r>
        <w:rPr>
          <w:rFonts w:hint="eastAsia" w:ascii="宋体" w:hAnsi="宋体" w:cs="宋体"/>
          <w:sz w:val="21"/>
          <w:szCs w:val="21"/>
          <w:highlight w:val="none"/>
          <w:lang w:val="zh-CN"/>
        </w:rPr>
        <w:t>精度</w:t>
      </w:r>
      <w:r>
        <w:rPr>
          <w:rFonts w:hint="eastAsia" w:ascii="宋体" w:hAnsi="宋体" w:cs="宋体"/>
          <w:sz w:val="21"/>
          <w:szCs w:val="21"/>
          <w:highlight w:val="none"/>
        </w:rPr>
        <w:t>：±5°</w:t>
      </w:r>
    </w:p>
    <w:p w14:paraId="2EBEA225">
      <w:pPr>
        <w:numPr>
          <w:ilvl w:val="0"/>
          <w:numId w:val="0"/>
        </w:numPr>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6.</w:t>
      </w:r>
      <w:r>
        <w:rPr>
          <w:rFonts w:hint="eastAsia" w:ascii="宋体" w:hAnsi="宋体" w:cs="宋体"/>
          <w:sz w:val="21"/>
          <w:szCs w:val="21"/>
          <w:highlight w:val="none"/>
          <w:lang w:val="zh-CN"/>
        </w:rPr>
        <w:t>瞳孔直径</w:t>
      </w:r>
      <w:r>
        <w:rPr>
          <w:rFonts w:hint="eastAsia" w:ascii="宋体" w:hAnsi="宋体" w:cs="宋体"/>
          <w:sz w:val="21"/>
          <w:szCs w:val="21"/>
          <w:highlight w:val="none"/>
        </w:rPr>
        <w:t>：</w:t>
      </w:r>
      <w:r>
        <w:rPr>
          <w:rFonts w:hint="eastAsia" w:ascii="宋体" w:hAnsi="宋体" w:cs="宋体"/>
          <w:sz w:val="21"/>
          <w:szCs w:val="21"/>
          <w:highlight w:val="none"/>
          <w:lang w:val="zh-CN"/>
        </w:rPr>
        <w:t>范围</w:t>
      </w:r>
      <w:r>
        <w:rPr>
          <w:rFonts w:hint="eastAsia" w:ascii="宋体" w:hAnsi="宋体" w:cs="宋体"/>
          <w:sz w:val="21"/>
          <w:szCs w:val="21"/>
          <w:highlight w:val="none"/>
        </w:rPr>
        <w:t>4.0mm~9.0mm</w:t>
      </w:r>
    </w:p>
    <w:p w14:paraId="0CB076E6">
      <w:pPr>
        <w:numPr>
          <w:ilvl w:val="0"/>
          <w:numId w:val="0"/>
        </w:numPr>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 xml:space="preserve">            </w:t>
      </w:r>
      <w:r>
        <w:rPr>
          <w:rFonts w:hint="eastAsia" w:ascii="宋体" w:hAnsi="宋体" w:cs="宋体"/>
          <w:sz w:val="21"/>
          <w:szCs w:val="21"/>
          <w:highlight w:val="none"/>
          <w:lang w:val="zh-CN"/>
        </w:rPr>
        <w:t>分辨率</w:t>
      </w:r>
      <w:r>
        <w:rPr>
          <w:rFonts w:hint="eastAsia" w:ascii="宋体" w:hAnsi="宋体" w:cs="宋体"/>
          <w:sz w:val="21"/>
          <w:szCs w:val="21"/>
          <w:highlight w:val="none"/>
        </w:rPr>
        <w:t>：0.1mm</w:t>
      </w:r>
    </w:p>
    <w:p w14:paraId="1312E1E7">
      <w:pPr>
        <w:numPr>
          <w:ilvl w:val="0"/>
          <w:numId w:val="0"/>
        </w:numPr>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 xml:space="preserve">            </w:t>
      </w:r>
      <w:r>
        <w:rPr>
          <w:rFonts w:hint="eastAsia" w:ascii="宋体" w:hAnsi="宋体" w:cs="宋体"/>
          <w:sz w:val="21"/>
          <w:szCs w:val="21"/>
          <w:highlight w:val="none"/>
          <w:lang w:val="zh-CN"/>
        </w:rPr>
        <w:t>精度</w:t>
      </w:r>
      <w:r>
        <w:rPr>
          <w:rFonts w:hint="eastAsia" w:ascii="宋体" w:hAnsi="宋体" w:cs="宋体"/>
          <w:sz w:val="21"/>
          <w:szCs w:val="21"/>
          <w:highlight w:val="none"/>
        </w:rPr>
        <w:t>：±0.1mm</w:t>
      </w:r>
    </w:p>
    <w:p w14:paraId="256786EB">
      <w:pPr>
        <w:numPr>
          <w:ilvl w:val="0"/>
          <w:numId w:val="0"/>
        </w:numPr>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7.</w:t>
      </w:r>
      <w:r>
        <w:rPr>
          <w:rFonts w:hint="eastAsia" w:ascii="宋体" w:hAnsi="宋体" w:cs="宋体"/>
          <w:sz w:val="21"/>
          <w:szCs w:val="21"/>
          <w:highlight w:val="none"/>
          <w:lang w:val="zh-CN"/>
        </w:rPr>
        <w:t>瞳距</w:t>
      </w:r>
      <w:r>
        <w:rPr>
          <w:rFonts w:hint="eastAsia" w:ascii="宋体" w:hAnsi="宋体" w:cs="宋体"/>
          <w:sz w:val="21"/>
          <w:szCs w:val="21"/>
          <w:highlight w:val="none"/>
        </w:rPr>
        <w:t>:</w:t>
      </w:r>
      <w:r>
        <w:rPr>
          <w:rFonts w:hint="eastAsia" w:ascii="宋体" w:hAnsi="宋体" w:cs="宋体"/>
          <w:sz w:val="21"/>
          <w:szCs w:val="21"/>
          <w:highlight w:val="none"/>
          <w:lang w:val="zh-CN"/>
        </w:rPr>
        <w:t>范围</w:t>
      </w:r>
      <w:r>
        <w:rPr>
          <w:rFonts w:hint="eastAsia" w:ascii="宋体" w:hAnsi="宋体" w:cs="宋体"/>
          <w:sz w:val="21"/>
          <w:szCs w:val="21"/>
          <w:highlight w:val="none"/>
        </w:rPr>
        <w:t>35mm~80mm</w:t>
      </w:r>
    </w:p>
    <w:p w14:paraId="2423FE4B">
      <w:pPr>
        <w:numPr>
          <w:ilvl w:val="0"/>
          <w:numId w:val="0"/>
        </w:numPr>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 xml:space="preserve">       </w:t>
      </w:r>
      <w:r>
        <w:rPr>
          <w:rFonts w:hint="eastAsia" w:ascii="宋体" w:hAnsi="宋体" w:cs="宋体"/>
          <w:sz w:val="21"/>
          <w:szCs w:val="21"/>
          <w:highlight w:val="none"/>
          <w:lang w:val="zh-CN"/>
        </w:rPr>
        <w:t>分辨率</w:t>
      </w:r>
      <w:r>
        <w:rPr>
          <w:rFonts w:hint="eastAsia" w:ascii="宋体" w:hAnsi="宋体" w:cs="宋体"/>
          <w:sz w:val="21"/>
          <w:szCs w:val="21"/>
          <w:highlight w:val="none"/>
        </w:rPr>
        <w:t>：1mm</w:t>
      </w:r>
    </w:p>
    <w:p w14:paraId="0D6798B4">
      <w:pPr>
        <w:numPr>
          <w:ilvl w:val="0"/>
          <w:numId w:val="0"/>
        </w:numPr>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 xml:space="preserve">       </w:t>
      </w:r>
      <w:r>
        <w:rPr>
          <w:rFonts w:hint="eastAsia" w:ascii="宋体" w:hAnsi="宋体" w:cs="宋体"/>
          <w:sz w:val="21"/>
          <w:szCs w:val="21"/>
          <w:highlight w:val="none"/>
          <w:lang w:val="zh-CN"/>
        </w:rPr>
        <w:t>精度</w:t>
      </w:r>
      <w:r>
        <w:rPr>
          <w:rFonts w:hint="eastAsia" w:ascii="宋体" w:hAnsi="宋体" w:cs="宋体"/>
          <w:sz w:val="21"/>
          <w:szCs w:val="21"/>
          <w:highlight w:val="none"/>
        </w:rPr>
        <w:t>：±1mm</w:t>
      </w:r>
    </w:p>
    <w:p w14:paraId="1C72C39B">
      <w:pPr>
        <w:numPr>
          <w:ilvl w:val="0"/>
          <w:numId w:val="0"/>
        </w:numPr>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8.工作距离:1m左右</w:t>
      </w:r>
    </w:p>
    <w:p w14:paraId="5E434F50">
      <w:pPr>
        <w:numPr>
          <w:ilvl w:val="0"/>
          <w:numId w:val="0"/>
        </w:numPr>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9.测量时间:~1s</w:t>
      </w:r>
    </w:p>
    <w:p w14:paraId="551E575F">
      <w:pPr>
        <w:numPr>
          <w:ilvl w:val="0"/>
          <w:numId w:val="0"/>
        </w:numPr>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10.数据接口：Wi-Fi,USB</w:t>
      </w:r>
    </w:p>
    <w:p w14:paraId="27A061C0">
      <w:pPr>
        <w:numPr>
          <w:ilvl w:val="0"/>
          <w:numId w:val="0"/>
        </w:numPr>
        <w:spacing w:line="360" w:lineRule="auto"/>
        <w:ind w:firstLine="0" w:firstLineChars="0"/>
        <w:rPr>
          <w:rFonts w:hint="eastAsia" w:ascii="宋体" w:hAnsi="宋体" w:cs="宋体"/>
          <w:sz w:val="21"/>
          <w:szCs w:val="21"/>
          <w:highlight w:val="none"/>
        </w:rPr>
      </w:pPr>
      <w:r>
        <w:rPr>
          <w:rFonts w:hint="eastAsia" w:ascii="宋体" w:hAnsi="宋体" w:cs="宋体"/>
          <w:sz w:val="21"/>
          <w:szCs w:val="21"/>
          <w:highlight w:val="none"/>
        </w:rPr>
        <w:t>11.显示器：≥5寸触摸显示屏</w:t>
      </w:r>
    </w:p>
    <w:p w14:paraId="04F997F6">
      <w:pPr>
        <w:spacing w:line="360" w:lineRule="auto"/>
        <w:rPr>
          <w:rFonts w:hint="eastAsia" w:ascii="宋体" w:hAnsi="宋体" w:cs="宋体"/>
          <w:sz w:val="24"/>
          <w:highlight w:val="none"/>
        </w:rPr>
      </w:pPr>
    </w:p>
    <w:p w14:paraId="7CA8864D">
      <w:pPr>
        <w:pStyle w:val="13"/>
        <w:jc w:val="center"/>
        <w:rPr>
          <w:rFonts w:hint="eastAsia" w:ascii="宋体" w:hAnsi="宋体" w:cs="宋体"/>
          <w:b/>
          <w:bCs/>
          <w:sz w:val="32"/>
          <w:szCs w:val="32"/>
          <w:highlight w:val="none"/>
        </w:rPr>
      </w:pPr>
      <w:r>
        <w:rPr>
          <w:rFonts w:hint="eastAsia" w:ascii="宋体" w:hAnsi="宋体" w:cs="宋体"/>
          <w:b/>
          <w:bCs/>
          <w:sz w:val="32"/>
          <w:szCs w:val="32"/>
          <w:highlight w:val="none"/>
        </w:rPr>
        <w:t>设备106.铸铁捣药罐+捣药棒</w:t>
      </w:r>
    </w:p>
    <w:p w14:paraId="6ED0DFCF">
      <w:pPr>
        <w:rPr>
          <w:rFonts w:hint="eastAsia" w:ascii="宋体" w:hAnsi="宋体" w:cs="宋体"/>
          <w:b/>
          <w:bCs/>
          <w:sz w:val="32"/>
          <w:szCs w:val="32"/>
          <w:highlight w:val="none"/>
        </w:rPr>
      </w:pPr>
      <w:r>
        <w:rPr>
          <w:rFonts w:hint="eastAsia" w:ascii="宋体" w:hAnsi="宋体" w:cs="宋体"/>
          <w:b/>
          <w:bCs/>
          <w:sz w:val="32"/>
          <w:szCs w:val="32"/>
          <w:highlight w:val="none"/>
        </w:rPr>
        <w:t>数量：1套</w:t>
      </w:r>
    </w:p>
    <w:p w14:paraId="17FF0339">
      <w:pPr>
        <w:spacing w:line="360" w:lineRule="auto"/>
        <w:rPr>
          <w:rFonts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1.长的捣药棒，贴合手掌设计</w:t>
      </w:r>
    </w:p>
    <w:p w14:paraId="1592357B">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2.防溅盖：有</w:t>
      </w:r>
    </w:p>
    <w:p w14:paraId="5990A422">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3.不锈钢材质耐腐，不生锈</w:t>
      </w:r>
    </w:p>
    <w:p w14:paraId="6C83C517">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4.材质：生铁</w:t>
      </w:r>
    </w:p>
    <w:p w14:paraId="2299FD2C">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5.产品工艺：抛光电镀</w:t>
      </w:r>
    </w:p>
    <w:p w14:paraId="422E218E">
      <w:pPr>
        <w:spacing w:line="360" w:lineRule="auto"/>
        <w:rPr>
          <w:rFonts w:hint="eastAsia" w:ascii="宋体" w:hAnsi="宋体" w:cs="宋体"/>
          <w:color w:val="333333"/>
          <w:sz w:val="24"/>
          <w:highlight w:val="none"/>
          <w:shd w:val="clear" w:color="auto" w:fill="FFFFFF"/>
        </w:rPr>
      </w:pPr>
    </w:p>
    <w:p w14:paraId="26B5A1A7">
      <w:pPr>
        <w:pStyle w:val="44"/>
        <w:spacing w:line="36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设备107.中药小铜秤</w:t>
      </w:r>
    </w:p>
    <w:p w14:paraId="6218FE14">
      <w:pPr>
        <w:pStyle w:val="44"/>
        <w:spacing w:line="360" w:lineRule="auto"/>
        <w:rPr>
          <w:rFonts w:hint="eastAsia" w:ascii="宋体" w:hAnsi="宋体" w:cs="宋体"/>
          <w:b/>
          <w:bCs/>
          <w:sz w:val="32"/>
          <w:szCs w:val="32"/>
          <w:highlight w:val="none"/>
        </w:rPr>
      </w:pPr>
      <w:r>
        <w:rPr>
          <w:rFonts w:hint="eastAsia" w:ascii="宋体" w:hAnsi="宋体" w:cs="宋体"/>
          <w:b/>
          <w:bCs/>
          <w:sz w:val="32"/>
          <w:szCs w:val="32"/>
          <w:highlight w:val="none"/>
        </w:rPr>
        <w:t>数量：1套</w:t>
      </w:r>
    </w:p>
    <w:p w14:paraId="3C575AF0">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1.方盘，盘大，厚度很厚实，</w:t>
      </w:r>
    </w:p>
    <w:p w14:paraId="3EFF5F9B">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2.秤杆更粗更长，质量上乘，材料很足，价值高端。</w:t>
      </w:r>
    </w:p>
    <w:p w14:paraId="6CC1DCCC">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3.主要适合医院药房，要求秤厚实的药店诊所、个人</w:t>
      </w:r>
    </w:p>
    <w:p w14:paraId="05F8A6F2">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4.其中秤砣重量:250g:37.5g，500g:75g，1000g:100g</w:t>
      </w:r>
    </w:p>
    <w:p w14:paraId="6CD37C30">
      <w:pPr>
        <w:spacing w:line="360" w:lineRule="auto"/>
        <w:rPr>
          <w:rFonts w:hint="eastAsia" w:ascii="宋体" w:hAnsi="宋体" w:cs="宋体"/>
          <w:color w:val="333333"/>
          <w:sz w:val="24"/>
          <w:highlight w:val="none"/>
          <w:shd w:val="clear" w:color="auto" w:fill="FFFFFF"/>
        </w:rPr>
      </w:pPr>
    </w:p>
    <w:p w14:paraId="03F1B814">
      <w:pPr>
        <w:pStyle w:val="13"/>
        <w:jc w:val="center"/>
        <w:rPr>
          <w:rFonts w:hint="eastAsia" w:ascii="宋体" w:hAnsi="宋体" w:cs="宋体"/>
          <w:b/>
          <w:bCs/>
          <w:sz w:val="32"/>
          <w:szCs w:val="32"/>
          <w:highlight w:val="none"/>
        </w:rPr>
      </w:pPr>
      <w:r>
        <w:rPr>
          <w:rFonts w:hint="eastAsia" w:ascii="宋体" w:hAnsi="宋体" w:cs="宋体"/>
          <w:b/>
          <w:bCs/>
          <w:sz w:val="32"/>
          <w:szCs w:val="32"/>
          <w:highlight w:val="none"/>
        </w:rPr>
        <w:t>设备108.盘秤</w:t>
      </w:r>
    </w:p>
    <w:p w14:paraId="5BD70625">
      <w:pPr>
        <w:rPr>
          <w:highlight w:val="none"/>
        </w:rPr>
      </w:pPr>
      <w:r>
        <w:rPr>
          <w:rFonts w:hint="eastAsia" w:ascii="宋体" w:hAnsi="宋体" w:cs="宋体"/>
          <w:b/>
          <w:bCs/>
          <w:sz w:val="32"/>
          <w:szCs w:val="32"/>
          <w:highlight w:val="none"/>
        </w:rPr>
        <w:t>数量：1套</w:t>
      </w:r>
    </w:p>
    <w:p w14:paraId="79040A7D">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1.纯机械，不用电；</w:t>
      </w:r>
    </w:p>
    <w:p w14:paraId="50A0A8D8">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2.坚固耐用，操作简单；</w:t>
      </w:r>
    </w:p>
    <w:p w14:paraId="6A56ED08">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3.弹力机械，高精度；</w:t>
      </w:r>
    </w:p>
    <w:p w14:paraId="4CA86A1D">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4.高清大表盘。</w:t>
      </w:r>
    </w:p>
    <w:p w14:paraId="62C4F041">
      <w:pPr>
        <w:pStyle w:val="13"/>
        <w:jc w:val="center"/>
        <w:rPr>
          <w:rFonts w:hint="eastAsia" w:ascii="宋体" w:hAnsi="宋体" w:cs="宋体"/>
          <w:b/>
          <w:bCs/>
          <w:sz w:val="32"/>
          <w:szCs w:val="32"/>
          <w:highlight w:val="none"/>
        </w:rPr>
      </w:pPr>
      <w:r>
        <w:rPr>
          <w:rFonts w:hint="eastAsia" w:ascii="宋体" w:hAnsi="宋体" w:cs="宋体"/>
          <w:b/>
          <w:bCs/>
          <w:sz w:val="32"/>
          <w:szCs w:val="32"/>
          <w:highlight w:val="none"/>
        </w:rPr>
        <w:t>设备109.不锈钢53抽中药柜</w:t>
      </w:r>
    </w:p>
    <w:p w14:paraId="434648E5">
      <w:pPr>
        <w:rPr>
          <w:rFonts w:hint="eastAsia" w:ascii="宋体" w:hAnsi="宋体" w:cs="宋体"/>
          <w:b/>
          <w:bCs/>
          <w:sz w:val="32"/>
          <w:szCs w:val="32"/>
          <w:highlight w:val="none"/>
        </w:rPr>
      </w:pPr>
      <w:r>
        <w:rPr>
          <w:rFonts w:hint="eastAsia" w:ascii="宋体" w:hAnsi="宋体" w:cs="宋体"/>
          <w:b/>
          <w:bCs/>
          <w:sz w:val="32"/>
          <w:szCs w:val="32"/>
          <w:highlight w:val="none"/>
        </w:rPr>
        <w:t>数量：1组</w:t>
      </w:r>
    </w:p>
    <w:p w14:paraId="2FB6BC38">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1.材质：整体采用优质不锈钢，抽屉面采用优质不锈钢冲压成型，框架采用优质不锈钢方管，不锈钢板封衬。抽屉内部全封闭防鼠、防窜药。</w:t>
      </w:r>
    </w:p>
    <w:p w14:paraId="5AB180A5">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2.每个抽屉内部配有3个ABS活动药盒，中药柜上面配有2个可装大包药品的柜且配有气动支杆，其中有49个抽屉每个抽屉内部配有3个ABS活动药盒，最下一排为4个大抽屉，内部有一隔断可放大包草药。</w:t>
      </w:r>
    </w:p>
    <w:p w14:paraId="3147F292">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3.共53个抽屉能装配155味中药，进门金属优质双层轨道轴承3折静音滑道可载重≥80公斤，中间配有不锈钢调剂台，抽拉自如且承重，下面配有可承重的脚轮。</w:t>
      </w:r>
    </w:p>
    <w:p w14:paraId="00809475">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4.整体使用氩弧焊工艺，焊接而成，焊缝均匀，结合牢固，经过加细抛光处理，表面光滑，平整、无毛刺，易清洁消毒；</w:t>
      </w:r>
    </w:p>
    <w:p w14:paraId="24B3D552">
      <w:pPr>
        <w:spacing w:line="360" w:lineRule="auto"/>
        <w:rPr>
          <w:rFonts w:hint="eastAsia" w:ascii="宋体" w:hAnsi="宋体" w:cs="宋体"/>
          <w:color w:val="333333"/>
          <w:sz w:val="24"/>
          <w:highlight w:val="none"/>
          <w:shd w:val="clear" w:color="auto" w:fill="FFFFFF"/>
        </w:rPr>
      </w:pPr>
    </w:p>
    <w:p w14:paraId="2147895A">
      <w:pPr>
        <w:pStyle w:val="13"/>
        <w:jc w:val="center"/>
        <w:rPr>
          <w:rFonts w:hint="eastAsia" w:ascii="宋体" w:hAnsi="宋体" w:cs="宋体"/>
          <w:b/>
          <w:bCs/>
          <w:sz w:val="32"/>
          <w:szCs w:val="32"/>
          <w:highlight w:val="none"/>
        </w:rPr>
      </w:pPr>
      <w:r>
        <w:rPr>
          <w:rFonts w:hint="eastAsia" w:ascii="宋体" w:hAnsi="宋体" w:cs="宋体"/>
          <w:b/>
          <w:bCs/>
          <w:sz w:val="32"/>
          <w:szCs w:val="32"/>
          <w:highlight w:val="none"/>
        </w:rPr>
        <w:t>设备110.金属折叠西药柜</w:t>
      </w:r>
    </w:p>
    <w:p w14:paraId="499AB2F5">
      <w:pPr>
        <w:rPr>
          <w:rFonts w:hint="eastAsia" w:ascii="宋体" w:hAnsi="宋体" w:cs="宋体"/>
          <w:b/>
          <w:bCs/>
          <w:sz w:val="32"/>
          <w:szCs w:val="32"/>
          <w:highlight w:val="none"/>
        </w:rPr>
      </w:pPr>
      <w:r>
        <w:rPr>
          <w:rFonts w:hint="eastAsia" w:ascii="宋体" w:hAnsi="宋体" w:cs="宋体"/>
          <w:b/>
          <w:bCs/>
          <w:sz w:val="32"/>
          <w:szCs w:val="32"/>
          <w:highlight w:val="none"/>
        </w:rPr>
        <w:t>数量：2组</w:t>
      </w:r>
    </w:p>
    <w:p w14:paraId="03C1D816">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1.材质：整体框架采用优质冷轧钢管焊接成型,冷轧钢板封趁,柜体对折设计，</w:t>
      </w:r>
    </w:p>
    <w:p w14:paraId="2360AE89">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2.2侧柜体均配有7层隔板，每层配有分段隔断板，可放置各种药品，左侧配有一个对开门，右边下体放置隔板，配有脚轮移动方便，</w:t>
      </w:r>
    </w:p>
    <w:p w14:paraId="3891C60B">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3.整体使用焊接工艺焊接而成，焊缝均匀，结合牢固，</w:t>
      </w:r>
    </w:p>
    <w:p w14:paraId="64C8D68A">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4.表面涂层采用双重涂层技术，经去油除锈、磷化和电泳底漆处理，使用环氧树脂粉末涂料，全静电吸附粉末，高温固化，涂层附着力高，保光性好，耐腐蚀，无毒环保。</w:t>
      </w:r>
    </w:p>
    <w:p w14:paraId="4A034A61">
      <w:pPr>
        <w:pStyle w:val="13"/>
        <w:jc w:val="center"/>
        <w:rPr>
          <w:rFonts w:hint="eastAsia" w:ascii="宋体" w:hAnsi="宋体" w:cs="宋体"/>
          <w:b/>
          <w:bCs/>
          <w:sz w:val="32"/>
          <w:szCs w:val="32"/>
          <w:highlight w:val="none"/>
        </w:rPr>
      </w:pPr>
      <w:r>
        <w:rPr>
          <w:rFonts w:hint="eastAsia" w:ascii="宋体" w:hAnsi="宋体" w:cs="宋体"/>
          <w:b/>
          <w:bCs/>
          <w:sz w:val="32"/>
          <w:szCs w:val="32"/>
          <w:highlight w:val="none"/>
        </w:rPr>
        <w:t>设备111.药品冷藏箱</w:t>
      </w:r>
    </w:p>
    <w:p w14:paraId="0C2D01C6">
      <w:pPr>
        <w:rPr>
          <w:rFonts w:hint="eastAsia" w:ascii="宋体" w:hAnsi="宋体" w:cs="宋体"/>
          <w:b/>
          <w:bCs/>
          <w:sz w:val="32"/>
          <w:szCs w:val="32"/>
          <w:highlight w:val="none"/>
        </w:rPr>
      </w:pPr>
      <w:r>
        <w:rPr>
          <w:rFonts w:hint="eastAsia" w:ascii="宋体" w:hAnsi="宋体" w:cs="宋体"/>
          <w:b/>
          <w:bCs/>
          <w:sz w:val="32"/>
          <w:szCs w:val="32"/>
          <w:highlight w:val="none"/>
        </w:rPr>
        <w:t>数量：2台</w:t>
      </w:r>
    </w:p>
    <w:p w14:paraId="080AEB0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1.制冷方式：风冷</w:t>
      </w:r>
    </w:p>
    <w:p w14:paraId="6F65D048">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2.冷藏2-8℃</w:t>
      </w:r>
    </w:p>
    <w:p w14:paraId="3AC3D5AB">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3.门数：双门</w:t>
      </w:r>
    </w:p>
    <w:p w14:paraId="4D3291F4">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4.是否带锁，带锁</w:t>
      </w:r>
    </w:p>
    <w:p w14:paraId="535E30D6">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5.是否带脚轮：带脚轮</w:t>
      </w:r>
    </w:p>
    <w:p w14:paraId="53DE48E5">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6.品牌压缩机</w:t>
      </w:r>
    </w:p>
    <w:p w14:paraId="6DB1B2E9">
      <w:pPr>
        <w:numPr>
          <w:ilvl w:val="0"/>
          <w:numId w:val="0"/>
        </w:numPr>
        <w:spacing w:line="360" w:lineRule="auto"/>
        <w:ind w:firstLine="0" w:firstLineChars="0"/>
        <w:rPr>
          <w:rFonts w:hint="eastAsia" w:ascii="宋体" w:hAnsi="宋体" w:cs="宋体"/>
          <w:sz w:val="24"/>
          <w:szCs w:val="32"/>
          <w:highlight w:val="none"/>
        </w:rPr>
      </w:pPr>
    </w:p>
    <w:p w14:paraId="09FF2BD2">
      <w:pPr>
        <w:jc w:val="center"/>
        <w:rPr>
          <w:rFonts w:hint="eastAsia" w:ascii="宋体" w:hAnsi="宋体" w:cs="宋体"/>
          <w:b/>
          <w:bCs/>
          <w:sz w:val="32"/>
          <w:szCs w:val="32"/>
          <w:highlight w:val="none"/>
        </w:rPr>
      </w:pPr>
      <w:r>
        <w:rPr>
          <w:rFonts w:hint="eastAsia" w:ascii="宋体" w:hAnsi="宋体" w:cs="宋体"/>
          <w:b/>
          <w:bCs/>
          <w:sz w:val="32"/>
          <w:szCs w:val="32"/>
          <w:highlight w:val="none"/>
        </w:rPr>
        <w:t>设备112.不锈钢面、座药品柜</w:t>
      </w:r>
    </w:p>
    <w:p w14:paraId="170FC28E">
      <w:pPr>
        <w:pStyle w:val="13"/>
        <w:rPr>
          <w:rFonts w:hint="eastAsia" w:ascii="宋体" w:hAnsi="宋体" w:cs="宋体"/>
          <w:b/>
          <w:bCs/>
          <w:sz w:val="32"/>
          <w:szCs w:val="32"/>
          <w:highlight w:val="none"/>
        </w:rPr>
      </w:pPr>
      <w:r>
        <w:rPr>
          <w:rFonts w:hint="eastAsia" w:ascii="宋体" w:hAnsi="宋体" w:cs="宋体"/>
          <w:b/>
          <w:bCs/>
          <w:sz w:val="32"/>
          <w:szCs w:val="32"/>
          <w:highlight w:val="none"/>
        </w:rPr>
        <w:t>数量:1组</w:t>
      </w:r>
    </w:p>
    <w:p w14:paraId="09346AD4">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1.整体采用优质冷轧钢板焊接成型,台面与底座均采用不锈钢</w:t>
      </w:r>
    </w:p>
    <w:p w14:paraId="21ABD310">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2.上柜采用玻璃推拉门的设计配有2层隔板，下柜配有2个抽屉及一个柜门，整体使用二氧化碳保护焊接工艺焊接而成，焊缝均匀，结合牢固，</w:t>
      </w:r>
    </w:p>
    <w:p w14:paraId="39E740E2">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3.表面涂层采用双重涂层技术，经去油除锈、磷化和电泳底漆处理，使用环氧树脂粉末涂料，全静电吸附粉末，高温固化，涂层附着力高，保光性好，耐腐蚀，无毒环保。</w:t>
      </w:r>
    </w:p>
    <w:p w14:paraId="1106EF6C">
      <w:pPr>
        <w:spacing w:line="360" w:lineRule="auto"/>
        <w:rPr>
          <w:rFonts w:hint="eastAsia" w:ascii="宋体" w:hAnsi="宋体" w:cs="宋体"/>
          <w:color w:val="333333"/>
          <w:sz w:val="24"/>
          <w:highlight w:val="none"/>
          <w:shd w:val="clear" w:color="auto" w:fill="FFFFFF"/>
        </w:rPr>
      </w:pPr>
    </w:p>
    <w:p w14:paraId="005A3F0F">
      <w:pPr>
        <w:pStyle w:val="13"/>
        <w:jc w:val="center"/>
        <w:rPr>
          <w:rFonts w:hint="eastAsia" w:ascii="宋体" w:hAnsi="宋体" w:cs="宋体"/>
          <w:b/>
          <w:bCs/>
          <w:sz w:val="32"/>
          <w:szCs w:val="32"/>
          <w:highlight w:val="none"/>
        </w:rPr>
      </w:pPr>
      <w:r>
        <w:rPr>
          <w:rFonts w:hint="eastAsia" w:ascii="宋体" w:hAnsi="宋体" w:cs="宋体"/>
          <w:b/>
          <w:bCs/>
          <w:sz w:val="32"/>
          <w:szCs w:val="32"/>
          <w:highlight w:val="none"/>
        </w:rPr>
        <w:t>设备113.电动洗胃机</w:t>
      </w:r>
    </w:p>
    <w:p w14:paraId="33A997DA">
      <w:pPr>
        <w:rPr>
          <w:rFonts w:hint="eastAsia" w:ascii="宋体" w:hAnsi="宋体" w:cs="宋体"/>
          <w:b/>
          <w:bCs/>
          <w:sz w:val="32"/>
          <w:szCs w:val="32"/>
          <w:highlight w:val="none"/>
        </w:rPr>
      </w:pPr>
      <w:r>
        <w:rPr>
          <w:rFonts w:hint="eastAsia" w:ascii="宋体" w:hAnsi="宋体" w:cs="宋体"/>
          <w:b/>
          <w:bCs/>
          <w:sz w:val="32"/>
          <w:szCs w:val="32"/>
          <w:highlight w:val="none"/>
        </w:rPr>
        <w:t>数量:1台</w:t>
      </w:r>
    </w:p>
    <w:p w14:paraId="02EDDF4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1.采用电磁水泵作为冲液和吸液的动力源。</w:t>
      </w:r>
    </w:p>
    <w:p w14:paraId="49943347">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2.进胃和出胃管路彻底分开，能够有效阻止交叉感染。</w:t>
      </w:r>
    </w:p>
    <w:p w14:paraId="5AF9ACE3">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3.设有故障声光提示装置，便于故障的排除和设备维修</w:t>
      </w:r>
    </w:p>
    <w:p w14:paraId="1344F482">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4.整机均有圆弧光滑过度，易于清洁和保养。</w:t>
      </w:r>
    </w:p>
    <w:p w14:paraId="62792AF1">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5.自控：冲液量为250～350ml/次 吸液量为300～450ml/次 </w:t>
      </w:r>
      <w:r>
        <w:rPr>
          <w:rFonts w:hint="eastAsia" w:ascii="宋体" w:hAnsi="宋体" w:cs="宋体"/>
          <w:sz w:val="24"/>
          <w:szCs w:val="32"/>
          <w:highlight w:val="none"/>
        </w:rPr>
        <w:br w:type="textWrapping"/>
      </w:r>
      <w:r>
        <w:rPr>
          <w:rFonts w:hint="eastAsia" w:ascii="宋体" w:hAnsi="宋体" w:cs="宋体"/>
          <w:sz w:val="24"/>
          <w:szCs w:val="32"/>
          <w:highlight w:val="none"/>
        </w:rPr>
        <w:t>6.压力控制：冲、吸压力设定为0.047MPa～0.067MPa</w:t>
      </w:r>
      <w:r>
        <w:rPr>
          <w:rFonts w:hint="eastAsia" w:ascii="宋体" w:hAnsi="宋体" w:cs="宋体"/>
          <w:sz w:val="24"/>
          <w:szCs w:val="32"/>
          <w:highlight w:val="none"/>
        </w:rPr>
        <w:br w:type="textWrapping"/>
      </w:r>
      <w:r>
        <w:rPr>
          <w:rFonts w:hint="eastAsia" w:ascii="宋体" w:hAnsi="宋体" w:cs="宋体"/>
          <w:sz w:val="24"/>
          <w:szCs w:val="32"/>
          <w:highlight w:val="none"/>
        </w:rPr>
        <w:t>7.噪声:≤65dB(A)</w:t>
      </w:r>
    </w:p>
    <w:p w14:paraId="6443084C">
      <w:pPr>
        <w:pStyle w:val="13"/>
        <w:jc w:val="center"/>
        <w:rPr>
          <w:rFonts w:hint="eastAsia" w:ascii="宋体" w:hAnsi="宋体" w:cs="宋体"/>
          <w:b/>
          <w:bCs/>
          <w:sz w:val="32"/>
          <w:szCs w:val="32"/>
          <w:highlight w:val="none"/>
        </w:rPr>
      </w:pPr>
    </w:p>
    <w:p w14:paraId="60FB5B6D">
      <w:pPr>
        <w:pStyle w:val="13"/>
        <w:jc w:val="center"/>
        <w:rPr>
          <w:rFonts w:hint="eastAsia" w:ascii="宋体" w:hAnsi="宋体" w:cs="宋体"/>
          <w:b/>
          <w:bCs/>
          <w:sz w:val="32"/>
          <w:szCs w:val="32"/>
          <w:highlight w:val="none"/>
        </w:rPr>
      </w:pPr>
      <w:r>
        <w:rPr>
          <w:rFonts w:hint="eastAsia" w:ascii="宋体" w:hAnsi="宋体" w:cs="宋体"/>
          <w:b/>
          <w:bCs/>
          <w:sz w:val="32"/>
          <w:szCs w:val="32"/>
          <w:highlight w:val="none"/>
        </w:rPr>
        <w:t>设备114.LED光固化机</w:t>
      </w:r>
    </w:p>
    <w:p w14:paraId="5BC74B3D">
      <w:pPr>
        <w:rPr>
          <w:rFonts w:hint="eastAsia" w:ascii="宋体" w:hAnsi="宋体" w:cs="宋体"/>
          <w:b/>
          <w:bCs/>
          <w:sz w:val="32"/>
          <w:szCs w:val="32"/>
          <w:highlight w:val="none"/>
        </w:rPr>
      </w:pPr>
      <w:r>
        <w:rPr>
          <w:rFonts w:hint="eastAsia" w:ascii="宋体" w:hAnsi="宋体" w:cs="宋体"/>
          <w:b/>
          <w:bCs/>
          <w:sz w:val="32"/>
          <w:szCs w:val="32"/>
          <w:highlight w:val="none"/>
        </w:rPr>
        <w:t>数量:1台</w:t>
      </w:r>
    </w:p>
    <w:p w14:paraId="155BC2A4">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1、电池:ICR18490 3.7V/2000mAh3 光照强度:400~1800mW/cm</w:t>
      </w:r>
    </w:p>
    <w:p w14:paraId="756BC507">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2、导光棒光学有效面积:≥50mm</w:t>
      </w:r>
    </w:p>
    <w:p w14:paraId="014BCDA0">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3、波长:420nm-480nm</w:t>
      </w:r>
    </w:p>
    <w:p w14:paraId="114D2E82">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4、运行模式:短时运行设备</w:t>
      </w:r>
    </w:p>
    <w:p w14:paraId="66F38969">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5、工作模式:低功率、中功率、高功率模式。</w:t>
      </w:r>
    </w:p>
    <w:p w14:paraId="653F0D55">
      <w:pPr>
        <w:pStyle w:val="13"/>
        <w:rPr>
          <w:rFonts w:eastAsia="AdobeSongStd-Light"/>
          <w:highlight w:val="none"/>
        </w:rPr>
      </w:pPr>
    </w:p>
    <w:p w14:paraId="270502B0">
      <w:pPr>
        <w:pStyle w:val="13"/>
        <w:jc w:val="center"/>
        <w:rPr>
          <w:rFonts w:ascii="宋体" w:hAnsi="宋体" w:cs="宋体"/>
          <w:b/>
          <w:bCs/>
          <w:sz w:val="32"/>
          <w:szCs w:val="32"/>
          <w:highlight w:val="none"/>
        </w:rPr>
      </w:pPr>
      <w:r>
        <w:rPr>
          <w:rFonts w:hint="eastAsia" w:ascii="宋体" w:hAnsi="宋体" w:cs="宋体"/>
          <w:b/>
          <w:bCs/>
          <w:sz w:val="32"/>
          <w:szCs w:val="32"/>
          <w:highlight w:val="none"/>
        </w:rPr>
        <w:t>设备115.弯钳</w:t>
      </w:r>
    </w:p>
    <w:p w14:paraId="19FBCF73">
      <w:pPr>
        <w:rPr>
          <w:rFonts w:hint="eastAsia" w:ascii="宋体" w:hAnsi="宋体" w:cs="宋体"/>
          <w:b/>
          <w:bCs/>
          <w:sz w:val="32"/>
          <w:szCs w:val="32"/>
          <w:highlight w:val="none"/>
        </w:rPr>
      </w:pPr>
      <w:r>
        <w:rPr>
          <w:rFonts w:hint="eastAsia" w:ascii="宋体" w:hAnsi="宋体" w:cs="宋体"/>
          <w:b/>
          <w:bCs/>
          <w:sz w:val="32"/>
          <w:szCs w:val="32"/>
          <w:highlight w:val="none"/>
        </w:rPr>
        <w:t>数量：20把</w:t>
      </w:r>
    </w:p>
    <w:p w14:paraId="33AF7891">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1、由钳头、钳柄、锁齿组成</w:t>
      </w:r>
    </w:p>
    <w:p w14:paraId="6AB7F218">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2、材质为不锈钢</w:t>
      </w:r>
    </w:p>
    <w:p w14:paraId="2208C8F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3、非无菌提供</w:t>
      </w:r>
    </w:p>
    <w:p w14:paraId="3F33D2EB">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4、用途：用于清除、分离、夹持、固定、牵拉组织及夹持敷料</w:t>
      </w:r>
    </w:p>
    <w:p w14:paraId="59F77EC2">
      <w:pPr>
        <w:pStyle w:val="13"/>
        <w:rPr>
          <w:highlight w:val="none"/>
        </w:rPr>
      </w:pPr>
    </w:p>
    <w:p w14:paraId="361B5C00">
      <w:pPr>
        <w:pStyle w:val="13"/>
        <w:jc w:val="center"/>
        <w:rPr>
          <w:rFonts w:hint="eastAsia" w:ascii="宋体" w:hAnsi="宋体" w:cs="宋体"/>
          <w:b/>
          <w:bCs/>
          <w:sz w:val="32"/>
          <w:szCs w:val="32"/>
          <w:highlight w:val="none"/>
        </w:rPr>
      </w:pPr>
      <w:r>
        <w:rPr>
          <w:rFonts w:hint="eastAsia" w:ascii="宋体" w:hAnsi="宋体" w:cs="宋体"/>
          <w:b/>
          <w:bCs/>
          <w:sz w:val="32"/>
          <w:szCs w:val="32"/>
          <w:highlight w:val="none"/>
        </w:rPr>
        <w:t>设备116.直钳</w:t>
      </w:r>
    </w:p>
    <w:p w14:paraId="674BF10C">
      <w:pPr>
        <w:rPr>
          <w:rFonts w:hint="eastAsia" w:ascii="宋体" w:hAnsi="宋体" w:cs="宋体"/>
          <w:b/>
          <w:bCs/>
          <w:sz w:val="32"/>
          <w:szCs w:val="32"/>
          <w:highlight w:val="none"/>
        </w:rPr>
      </w:pPr>
      <w:r>
        <w:rPr>
          <w:rFonts w:hint="eastAsia" w:ascii="宋体" w:hAnsi="宋体" w:cs="宋体"/>
          <w:b/>
          <w:bCs/>
          <w:sz w:val="32"/>
          <w:szCs w:val="32"/>
          <w:highlight w:val="none"/>
        </w:rPr>
        <w:t>数量：10把</w:t>
      </w:r>
    </w:p>
    <w:p w14:paraId="61E44542">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1、材质为不锈钢</w:t>
      </w:r>
    </w:p>
    <w:p w14:paraId="0DE045A2">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2、非无菌提供</w:t>
      </w:r>
    </w:p>
    <w:p w14:paraId="0508F5B4">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3、用途：用于清除、分离、夹持、固定、牵拉组织及夹持敷料</w:t>
      </w:r>
    </w:p>
    <w:p w14:paraId="258F941E">
      <w:pPr>
        <w:spacing w:line="360" w:lineRule="auto"/>
        <w:rPr>
          <w:rFonts w:hint="eastAsia" w:ascii="宋体" w:hAnsi="宋体" w:cs="宋体"/>
          <w:color w:val="333333"/>
          <w:sz w:val="24"/>
          <w:highlight w:val="none"/>
          <w:shd w:val="clear" w:color="auto" w:fill="FFFFFF"/>
        </w:rPr>
      </w:pPr>
    </w:p>
    <w:p w14:paraId="0C4618C9">
      <w:pPr>
        <w:jc w:val="center"/>
        <w:rPr>
          <w:rFonts w:hint="eastAsia" w:ascii="宋体" w:hAnsi="宋体" w:cs="宋体"/>
          <w:b/>
          <w:bCs/>
          <w:sz w:val="32"/>
          <w:szCs w:val="32"/>
          <w:highlight w:val="none"/>
        </w:rPr>
      </w:pPr>
      <w:r>
        <w:rPr>
          <w:rFonts w:hint="eastAsia" w:ascii="宋体" w:hAnsi="宋体" w:cs="宋体"/>
          <w:b/>
          <w:bCs/>
          <w:sz w:val="32"/>
          <w:szCs w:val="32"/>
          <w:highlight w:val="none"/>
        </w:rPr>
        <w:t>设备117.持针钳</w:t>
      </w:r>
    </w:p>
    <w:p w14:paraId="0F0BF9A5">
      <w:pPr>
        <w:pStyle w:val="13"/>
        <w:rPr>
          <w:rFonts w:hint="eastAsia" w:ascii="宋体" w:hAnsi="宋体" w:cs="宋体"/>
          <w:b/>
          <w:bCs/>
          <w:sz w:val="32"/>
          <w:szCs w:val="32"/>
          <w:highlight w:val="none"/>
        </w:rPr>
      </w:pPr>
      <w:r>
        <w:rPr>
          <w:rFonts w:hint="eastAsia" w:ascii="宋体" w:hAnsi="宋体" w:cs="宋体"/>
          <w:b/>
          <w:bCs/>
          <w:sz w:val="32"/>
          <w:szCs w:val="32"/>
          <w:highlight w:val="none"/>
        </w:rPr>
        <w:t>数量：20把</w:t>
      </w:r>
    </w:p>
    <w:p w14:paraId="752E7393">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1、材质为不锈钢</w:t>
      </w:r>
    </w:p>
    <w:p w14:paraId="620DA893">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2、抗腐蚀性强</w:t>
      </w:r>
    </w:p>
    <w:p w14:paraId="646AC477">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3、舒适手柄，久持不累</w:t>
      </w:r>
    </w:p>
    <w:p w14:paraId="7522E54C">
      <w:pPr>
        <w:spacing w:line="360" w:lineRule="auto"/>
        <w:rPr>
          <w:rFonts w:hint="eastAsia" w:ascii="宋体" w:hAnsi="宋体" w:cs="宋体"/>
          <w:color w:val="333333"/>
          <w:sz w:val="24"/>
          <w:highlight w:val="none"/>
          <w:shd w:val="clear" w:color="auto" w:fill="FFFFFF"/>
        </w:rPr>
      </w:pPr>
    </w:p>
    <w:p w14:paraId="2C8083B8">
      <w:pPr>
        <w:jc w:val="center"/>
        <w:rPr>
          <w:rFonts w:ascii="宋体" w:hAnsi="宋体" w:cs="宋体"/>
          <w:b/>
          <w:bCs/>
          <w:sz w:val="32"/>
          <w:szCs w:val="32"/>
          <w:highlight w:val="none"/>
        </w:rPr>
      </w:pPr>
      <w:r>
        <w:rPr>
          <w:rFonts w:hint="eastAsia" w:ascii="宋体" w:hAnsi="宋体" w:cs="宋体"/>
          <w:b/>
          <w:bCs/>
          <w:sz w:val="32"/>
          <w:szCs w:val="32"/>
          <w:highlight w:val="none"/>
        </w:rPr>
        <w:t>设备118.流产吸引器</w:t>
      </w:r>
    </w:p>
    <w:p w14:paraId="4CE62AEB">
      <w:pPr>
        <w:pStyle w:val="13"/>
        <w:rPr>
          <w:rFonts w:hint="eastAsia" w:ascii="宋体" w:hAnsi="宋体" w:cs="宋体"/>
          <w:b/>
          <w:bCs/>
          <w:sz w:val="32"/>
          <w:szCs w:val="32"/>
          <w:highlight w:val="none"/>
        </w:rPr>
      </w:pPr>
      <w:r>
        <w:rPr>
          <w:rFonts w:hint="eastAsia" w:ascii="宋体" w:hAnsi="宋体" w:cs="宋体"/>
          <w:b/>
          <w:bCs/>
          <w:sz w:val="32"/>
          <w:szCs w:val="32"/>
          <w:highlight w:val="none"/>
        </w:rPr>
        <w:t>数量：30根</w:t>
      </w:r>
    </w:p>
    <w:p w14:paraId="3B726C4F">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1、材质为不锈钢</w:t>
      </w:r>
    </w:p>
    <w:p w14:paraId="6804CC7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2、由管身和接头组成</w:t>
      </w:r>
    </w:p>
    <w:p w14:paraId="70CD56B0">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3、非灭菌提供</w:t>
      </w:r>
    </w:p>
    <w:p w14:paraId="4E7F65DB">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4、用于供早期妊娠的孕妇施行人工流产手术</w:t>
      </w:r>
    </w:p>
    <w:p w14:paraId="7F9BD53D">
      <w:pPr>
        <w:rPr>
          <w:rFonts w:hint="eastAsia"/>
          <w:highlight w:val="none"/>
        </w:rPr>
      </w:pPr>
    </w:p>
    <w:p w14:paraId="1ED5D7BD">
      <w:pPr>
        <w:jc w:val="center"/>
        <w:rPr>
          <w:rFonts w:ascii="宋体" w:hAnsi="宋体" w:cs="宋体"/>
          <w:b/>
          <w:bCs/>
          <w:sz w:val="32"/>
          <w:szCs w:val="32"/>
          <w:highlight w:val="none"/>
        </w:rPr>
      </w:pPr>
      <w:r>
        <w:rPr>
          <w:rFonts w:hint="eastAsia" w:ascii="宋体" w:hAnsi="宋体" w:cs="宋体"/>
          <w:b/>
          <w:bCs/>
          <w:sz w:val="32"/>
          <w:szCs w:val="32"/>
          <w:highlight w:val="none"/>
        </w:rPr>
        <w:t>设备119.子宫探针</w:t>
      </w:r>
    </w:p>
    <w:p w14:paraId="120FF3FD">
      <w:pPr>
        <w:pStyle w:val="13"/>
        <w:rPr>
          <w:rFonts w:hint="eastAsia" w:ascii="宋体" w:hAnsi="宋体" w:cs="宋体"/>
          <w:b/>
          <w:bCs/>
          <w:sz w:val="32"/>
          <w:szCs w:val="32"/>
          <w:highlight w:val="none"/>
        </w:rPr>
      </w:pPr>
      <w:r>
        <w:rPr>
          <w:rFonts w:hint="eastAsia" w:ascii="宋体" w:hAnsi="宋体" w:cs="宋体"/>
          <w:b/>
          <w:bCs/>
          <w:sz w:val="32"/>
          <w:szCs w:val="32"/>
          <w:highlight w:val="none"/>
        </w:rPr>
        <w:t>数量：20根</w:t>
      </w:r>
    </w:p>
    <w:p w14:paraId="2BB471D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1、材质为不锈钢</w:t>
      </w:r>
    </w:p>
    <w:p w14:paraId="23122D3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2、器械上面标有刻度</w:t>
      </w:r>
    </w:p>
    <w:p w14:paraId="5E8E1414">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3、用于放置叉取环钩取放节育环</w:t>
      </w:r>
    </w:p>
    <w:p w14:paraId="296BE43B">
      <w:pPr>
        <w:spacing w:line="360" w:lineRule="auto"/>
        <w:rPr>
          <w:rFonts w:hint="eastAsia" w:ascii="宋体" w:hAnsi="宋体" w:cs="宋体"/>
          <w:color w:val="333333"/>
          <w:sz w:val="24"/>
          <w:highlight w:val="none"/>
          <w:shd w:val="clear" w:color="auto" w:fill="FFFFFF"/>
        </w:rPr>
      </w:pPr>
    </w:p>
    <w:p w14:paraId="12BBC75E">
      <w:pPr>
        <w:jc w:val="center"/>
        <w:rPr>
          <w:rFonts w:ascii="宋体" w:hAnsi="宋体" w:cs="宋体"/>
          <w:b/>
          <w:bCs/>
          <w:sz w:val="32"/>
          <w:szCs w:val="32"/>
          <w:highlight w:val="none"/>
        </w:rPr>
      </w:pPr>
      <w:r>
        <w:rPr>
          <w:rFonts w:hint="eastAsia" w:ascii="宋体" w:hAnsi="宋体" w:cs="宋体"/>
          <w:b/>
          <w:bCs/>
          <w:sz w:val="32"/>
          <w:szCs w:val="32"/>
          <w:highlight w:val="none"/>
        </w:rPr>
        <w:t>设备120.子宫刮</w:t>
      </w:r>
    </w:p>
    <w:p w14:paraId="7F99D5A9">
      <w:pPr>
        <w:pStyle w:val="13"/>
        <w:rPr>
          <w:rFonts w:hint="eastAsia" w:ascii="宋体" w:hAnsi="宋体" w:cs="宋体"/>
          <w:b/>
          <w:bCs/>
          <w:sz w:val="32"/>
          <w:szCs w:val="32"/>
          <w:highlight w:val="none"/>
        </w:rPr>
      </w:pPr>
      <w:r>
        <w:rPr>
          <w:rFonts w:hint="eastAsia" w:ascii="宋体" w:hAnsi="宋体" w:cs="宋体"/>
          <w:b/>
          <w:bCs/>
          <w:sz w:val="32"/>
          <w:szCs w:val="32"/>
          <w:highlight w:val="none"/>
        </w:rPr>
        <w:t>数量：10把</w:t>
      </w:r>
    </w:p>
    <w:p w14:paraId="6A4A4D83">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1、材质为不锈钢</w:t>
      </w:r>
    </w:p>
    <w:p w14:paraId="1BF2FF78">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2、抗酸耐腐、做工优良</w:t>
      </w:r>
    </w:p>
    <w:p w14:paraId="40A4788E">
      <w:pPr>
        <w:spacing w:line="360" w:lineRule="auto"/>
        <w:rPr>
          <w:rFonts w:hint="eastAsia" w:ascii="宋体" w:hAnsi="宋体" w:cs="宋体"/>
          <w:color w:val="333333"/>
          <w:sz w:val="24"/>
          <w:highlight w:val="none"/>
          <w:shd w:val="clear" w:color="auto" w:fill="FFFFFF"/>
        </w:rPr>
      </w:pPr>
    </w:p>
    <w:p w14:paraId="01444107">
      <w:pPr>
        <w:jc w:val="center"/>
        <w:rPr>
          <w:rFonts w:ascii="宋体" w:hAnsi="宋体" w:cs="宋体"/>
          <w:b/>
          <w:bCs/>
          <w:sz w:val="32"/>
          <w:szCs w:val="32"/>
          <w:highlight w:val="none"/>
        </w:rPr>
      </w:pPr>
      <w:r>
        <w:rPr>
          <w:rFonts w:hint="eastAsia" w:ascii="宋体" w:hAnsi="宋体" w:cs="宋体"/>
          <w:b/>
          <w:bCs/>
          <w:sz w:val="32"/>
          <w:szCs w:val="32"/>
          <w:highlight w:val="none"/>
        </w:rPr>
        <w:t>设备121.宫内节育器取出钩</w:t>
      </w:r>
    </w:p>
    <w:p w14:paraId="4ABBD439">
      <w:pPr>
        <w:pStyle w:val="13"/>
        <w:rPr>
          <w:rFonts w:hint="eastAsia" w:ascii="宋体" w:hAnsi="宋体" w:cs="宋体"/>
          <w:b/>
          <w:bCs/>
          <w:sz w:val="32"/>
          <w:szCs w:val="32"/>
          <w:highlight w:val="none"/>
        </w:rPr>
      </w:pPr>
      <w:r>
        <w:rPr>
          <w:rFonts w:hint="eastAsia" w:ascii="宋体" w:hAnsi="宋体" w:cs="宋体"/>
          <w:b/>
          <w:bCs/>
          <w:sz w:val="32"/>
          <w:szCs w:val="32"/>
          <w:highlight w:val="none"/>
        </w:rPr>
        <w:t>数量：20根</w:t>
      </w:r>
    </w:p>
    <w:p w14:paraId="5655E67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1、材质为不锈钢</w:t>
      </w:r>
    </w:p>
    <w:p w14:paraId="3148EB84">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2、抗酸耐腐、做工优良</w:t>
      </w:r>
    </w:p>
    <w:p w14:paraId="6E3F7818">
      <w:pPr>
        <w:spacing w:line="360" w:lineRule="auto"/>
        <w:rPr>
          <w:rFonts w:hint="eastAsia" w:ascii="宋体" w:hAnsi="宋体" w:cs="宋体"/>
          <w:color w:val="333333"/>
          <w:sz w:val="24"/>
          <w:highlight w:val="none"/>
          <w:shd w:val="clear" w:color="auto" w:fill="FFFFFF"/>
        </w:rPr>
      </w:pPr>
    </w:p>
    <w:p w14:paraId="07EE8265">
      <w:pPr>
        <w:jc w:val="center"/>
        <w:rPr>
          <w:rFonts w:ascii="宋体" w:hAnsi="宋体" w:cs="宋体"/>
          <w:b/>
          <w:bCs/>
          <w:sz w:val="32"/>
          <w:szCs w:val="32"/>
          <w:highlight w:val="none"/>
        </w:rPr>
      </w:pPr>
      <w:r>
        <w:rPr>
          <w:rFonts w:hint="eastAsia" w:ascii="宋体" w:hAnsi="宋体" w:cs="宋体"/>
          <w:b/>
          <w:bCs/>
          <w:sz w:val="32"/>
          <w:szCs w:val="32"/>
          <w:highlight w:val="none"/>
        </w:rPr>
        <w:t>设备122.子宫扩张器</w:t>
      </w:r>
    </w:p>
    <w:p w14:paraId="78E10A85">
      <w:pPr>
        <w:pStyle w:val="13"/>
        <w:rPr>
          <w:rFonts w:hint="eastAsia" w:ascii="宋体" w:hAnsi="宋体" w:cs="宋体"/>
          <w:b/>
          <w:bCs/>
          <w:sz w:val="32"/>
          <w:szCs w:val="32"/>
          <w:highlight w:val="none"/>
        </w:rPr>
      </w:pPr>
      <w:r>
        <w:rPr>
          <w:rFonts w:hint="eastAsia" w:ascii="宋体" w:hAnsi="宋体" w:cs="宋体"/>
          <w:b/>
          <w:bCs/>
          <w:sz w:val="32"/>
          <w:szCs w:val="32"/>
          <w:highlight w:val="none"/>
        </w:rPr>
        <w:t>数量：110根</w:t>
      </w:r>
    </w:p>
    <w:p w14:paraId="3ECAD14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1、材质为不锈钢</w:t>
      </w:r>
    </w:p>
    <w:p w14:paraId="4D5A5798">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2、抛光圆润、无毛刺</w:t>
      </w:r>
    </w:p>
    <w:p w14:paraId="1F4BC23B">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3、单独独立包装</w:t>
      </w:r>
    </w:p>
    <w:p w14:paraId="38CF0797">
      <w:pPr>
        <w:spacing w:line="360" w:lineRule="auto"/>
        <w:rPr>
          <w:rFonts w:hint="eastAsia" w:ascii="宋体" w:hAnsi="宋体" w:cs="宋体"/>
          <w:color w:val="333333"/>
          <w:sz w:val="24"/>
          <w:highlight w:val="none"/>
          <w:shd w:val="clear" w:color="auto" w:fill="FFFFFF"/>
        </w:rPr>
      </w:pPr>
    </w:p>
    <w:p w14:paraId="66AE8A9F">
      <w:pPr>
        <w:jc w:val="center"/>
        <w:rPr>
          <w:rFonts w:ascii="宋体" w:hAnsi="宋体" w:cs="宋体"/>
          <w:b/>
          <w:bCs/>
          <w:sz w:val="32"/>
          <w:szCs w:val="32"/>
          <w:highlight w:val="none"/>
        </w:rPr>
      </w:pPr>
      <w:r>
        <w:rPr>
          <w:rFonts w:hint="eastAsia" w:ascii="宋体" w:hAnsi="宋体" w:cs="宋体"/>
          <w:b/>
          <w:bCs/>
          <w:sz w:val="32"/>
          <w:szCs w:val="32"/>
          <w:highlight w:val="none"/>
        </w:rPr>
        <w:t>设备123.宫内节育器取出钳</w:t>
      </w:r>
    </w:p>
    <w:p w14:paraId="31B78CB1">
      <w:pPr>
        <w:pStyle w:val="13"/>
        <w:rPr>
          <w:rFonts w:hint="eastAsia" w:ascii="宋体" w:hAnsi="宋体" w:cs="宋体"/>
          <w:b/>
          <w:bCs/>
          <w:sz w:val="32"/>
          <w:szCs w:val="32"/>
          <w:highlight w:val="none"/>
        </w:rPr>
      </w:pPr>
      <w:r>
        <w:rPr>
          <w:rFonts w:hint="eastAsia" w:ascii="宋体" w:hAnsi="宋体" w:cs="宋体"/>
          <w:b/>
          <w:bCs/>
          <w:sz w:val="32"/>
          <w:szCs w:val="32"/>
          <w:highlight w:val="none"/>
        </w:rPr>
        <w:t>数量：10把</w:t>
      </w:r>
    </w:p>
    <w:p w14:paraId="7B673546">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1、材质为不锈钢</w:t>
      </w:r>
    </w:p>
    <w:p w14:paraId="206BCDAA">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2、样式：剪刀式、抢式</w:t>
      </w:r>
    </w:p>
    <w:p w14:paraId="1CCEEA62">
      <w:pPr>
        <w:spacing w:line="360" w:lineRule="auto"/>
        <w:rPr>
          <w:rFonts w:hint="eastAsia" w:ascii="宋体" w:hAnsi="宋体" w:cs="宋体"/>
          <w:color w:val="333333"/>
          <w:sz w:val="24"/>
          <w:highlight w:val="none"/>
          <w:shd w:val="clear" w:color="auto" w:fill="FFFFFF"/>
        </w:rPr>
      </w:pPr>
    </w:p>
    <w:p w14:paraId="532102AC">
      <w:pPr>
        <w:jc w:val="center"/>
        <w:rPr>
          <w:rFonts w:ascii="宋体" w:hAnsi="宋体" w:cs="宋体"/>
          <w:b/>
          <w:bCs/>
          <w:sz w:val="32"/>
          <w:szCs w:val="32"/>
          <w:highlight w:val="none"/>
        </w:rPr>
      </w:pPr>
      <w:r>
        <w:rPr>
          <w:rFonts w:hint="eastAsia" w:ascii="宋体" w:hAnsi="宋体" w:cs="宋体"/>
          <w:b/>
          <w:bCs/>
          <w:sz w:val="32"/>
          <w:szCs w:val="32"/>
          <w:highlight w:val="none"/>
        </w:rPr>
        <w:t>设备124.双翼阴道扩张器</w:t>
      </w:r>
    </w:p>
    <w:p w14:paraId="49924A90">
      <w:pPr>
        <w:pStyle w:val="13"/>
        <w:rPr>
          <w:rFonts w:hint="eastAsia" w:ascii="宋体" w:hAnsi="宋体" w:cs="宋体"/>
          <w:b/>
          <w:bCs/>
          <w:sz w:val="32"/>
          <w:szCs w:val="32"/>
          <w:highlight w:val="none"/>
        </w:rPr>
      </w:pPr>
      <w:r>
        <w:rPr>
          <w:rFonts w:hint="eastAsia" w:ascii="宋体" w:hAnsi="宋体" w:cs="宋体"/>
          <w:b/>
          <w:bCs/>
          <w:sz w:val="32"/>
          <w:szCs w:val="32"/>
          <w:highlight w:val="none"/>
        </w:rPr>
        <w:t>数量：50个</w:t>
      </w:r>
    </w:p>
    <w:p w14:paraId="0E040ECC">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1、材质为不锈钢</w:t>
      </w:r>
    </w:p>
    <w:p w14:paraId="230CF528">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2、抗酸耐腐，经久耐用</w:t>
      </w:r>
    </w:p>
    <w:p w14:paraId="5A320937">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3、表面光滑、无棱刺，使用舒适</w:t>
      </w:r>
    </w:p>
    <w:p w14:paraId="3F5A5DBB">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4、品质铸造、精细做工</w:t>
      </w:r>
    </w:p>
    <w:p w14:paraId="0EF413F8">
      <w:pPr>
        <w:spacing w:line="360" w:lineRule="auto"/>
        <w:rPr>
          <w:rFonts w:hint="eastAsia" w:ascii="宋体" w:hAnsi="宋体" w:cs="宋体"/>
          <w:color w:val="333333"/>
          <w:sz w:val="24"/>
          <w:highlight w:val="none"/>
          <w:shd w:val="clear" w:color="auto" w:fill="FFFFFF"/>
        </w:rPr>
      </w:pPr>
    </w:p>
    <w:p w14:paraId="1A70756A">
      <w:pPr>
        <w:jc w:val="center"/>
        <w:rPr>
          <w:rFonts w:ascii="宋体" w:hAnsi="宋体" w:cs="宋体"/>
          <w:b/>
          <w:bCs/>
          <w:sz w:val="32"/>
          <w:szCs w:val="32"/>
          <w:highlight w:val="none"/>
        </w:rPr>
      </w:pPr>
      <w:r>
        <w:rPr>
          <w:rFonts w:hint="eastAsia" w:ascii="宋体" w:hAnsi="宋体" w:cs="宋体"/>
          <w:b/>
          <w:bCs/>
          <w:sz w:val="32"/>
          <w:szCs w:val="32"/>
          <w:highlight w:val="none"/>
        </w:rPr>
        <w:t>设备125.敷料罐</w:t>
      </w:r>
    </w:p>
    <w:p w14:paraId="5474BC0E">
      <w:pPr>
        <w:pStyle w:val="13"/>
        <w:rPr>
          <w:rFonts w:hint="eastAsia" w:ascii="宋体" w:hAnsi="宋体" w:cs="宋体"/>
          <w:b/>
          <w:bCs/>
          <w:sz w:val="32"/>
          <w:szCs w:val="32"/>
          <w:highlight w:val="none"/>
        </w:rPr>
      </w:pPr>
      <w:r>
        <w:rPr>
          <w:rFonts w:hint="eastAsia" w:ascii="宋体" w:hAnsi="宋体" w:cs="宋体"/>
          <w:b/>
          <w:bCs/>
          <w:sz w:val="32"/>
          <w:szCs w:val="32"/>
          <w:highlight w:val="none"/>
        </w:rPr>
        <w:t>数量：5个</w:t>
      </w:r>
    </w:p>
    <w:p w14:paraId="04FBBCCB">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1、材质为不锈钢</w:t>
      </w:r>
    </w:p>
    <w:p w14:paraId="036545A5">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2、镜面抛光</w:t>
      </w:r>
    </w:p>
    <w:p w14:paraId="5E26FDF4">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3、操作方便</w:t>
      </w:r>
    </w:p>
    <w:p w14:paraId="31471E31">
      <w:pPr>
        <w:numPr>
          <w:ilvl w:val="0"/>
          <w:numId w:val="0"/>
        </w:numPr>
        <w:spacing w:line="360" w:lineRule="auto"/>
        <w:ind w:firstLine="0" w:firstLineChars="0"/>
        <w:rPr>
          <w:rFonts w:hint="eastAsia" w:ascii="宋体" w:hAnsi="宋体" w:cs="宋体"/>
          <w:sz w:val="24"/>
          <w:szCs w:val="32"/>
          <w:highlight w:val="none"/>
        </w:rPr>
      </w:pPr>
    </w:p>
    <w:p w14:paraId="41F1491A">
      <w:pPr>
        <w:jc w:val="center"/>
        <w:rPr>
          <w:rFonts w:hint="eastAsia" w:ascii="宋体" w:hAnsi="宋体" w:cs="宋体"/>
          <w:b/>
          <w:bCs/>
          <w:sz w:val="32"/>
          <w:szCs w:val="32"/>
          <w:highlight w:val="none"/>
        </w:rPr>
      </w:pPr>
      <w:r>
        <w:rPr>
          <w:rFonts w:hint="eastAsia" w:ascii="宋体" w:hAnsi="宋体" w:cs="宋体"/>
          <w:b/>
          <w:bCs/>
          <w:sz w:val="32"/>
          <w:szCs w:val="32"/>
          <w:highlight w:val="none"/>
        </w:rPr>
        <w:t>设备126.镊子</w:t>
      </w:r>
    </w:p>
    <w:p w14:paraId="14B8C630">
      <w:pPr>
        <w:pStyle w:val="13"/>
        <w:rPr>
          <w:rFonts w:hint="eastAsia" w:ascii="宋体" w:hAnsi="宋体" w:cs="宋体"/>
          <w:b/>
          <w:bCs/>
          <w:sz w:val="32"/>
          <w:szCs w:val="32"/>
          <w:highlight w:val="none"/>
        </w:rPr>
      </w:pPr>
      <w:r>
        <w:rPr>
          <w:rFonts w:hint="eastAsia" w:ascii="宋体" w:hAnsi="宋体" w:cs="宋体"/>
          <w:b/>
          <w:bCs/>
          <w:sz w:val="32"/>
          <w:szCs w:val="32"/>
          <w:highlight w:val="none"/>
        </w:rPr>
        <w:t>数量：20把</w:t>
      </w:r>
    </w:p>
    <w:p w14:paraId="5A5A5DEB">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1、材质为不锈钢</w:t>
      </w:r>
    </w:p>
    <w:p w14:paraId="7C0DF87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2、有良好的弹性</w:t>
      </w:r>
    </w:p>
    <w:p w14:paraId="62D25840">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3、镊子的二片连接应牢固</w:t>
      </w:r>
    </w:p>
    <w:p w14:paraId="0B8834E2">
      <w:pPr>
        <w:spacing w:line="360" w:lineRule="auto"/>
        <w:rPr>
          <w:rFonts w:hint="eastAsia" w:ascii="宋体" w:hAnsi="宋体" w:cs="宋体"/>
          <w:color w:val="333333"/>
          <w:sz w:val="24"/>
          <w:highlight w:val="none"/>
          <w:shd w:val="clear" w:color="auto" w:fill="FFFFFF"/>
        </w:rPr>
      </w:pPr>
    </w:p>
    <w:p w14:paraId="205B9DC5">
      <w:pPr>
        <w:jc w:val="center"/>
        <w:rPr>
          <w:rFonts w:ascii="宋体" w:hAnsi="宋体" w:cs="宋体"/>
          <w:b/>
          <w:bCs/>
          <w:sz w:val="32"/>
          <w:szCs w:val="32"/>
          <w:highlight w:val="none"/>
        </w:rPr>
      </w:pPr>
      <w:r>
        <w:rPr>
          <w:rFonts w:hint="eastAsia" w:ascii="宋体" w:hAnsi="宋体" w:cs="宋体"/>
          <w:b/>
          <w:bCs/>
          <w:sz w:val="32"/>
          <w:szCs w:val="32"/>
          <w:highlight w:val="none"/>
        </w:rPr>
        <w:t>设备127.敷料缸</w:t>
      </w:r>
    </w:p>
    <w:p w14:paraId="25F6A705">
      <w:pPr>
        <w:pStyle w:val="13"/>
        <w:rPr>
          <w:rFonts w:hint="eastAsia" w:ascii="宋体" w:hAnsi="宋体" w:cs="宋体"/>
          <w:b/>
          <w:bCs/>
          <w:sz w:val="32"/>
          <w:szCs w:val="32"/>
          <w:highlight w:val="none"/>
        </w:rPr>
      </w:pPr>
      <w:r>
        <w:rPr>
          <w:rFonts w:hint="eastAsia" w:ascii="宋体" w:hAnsi="宋体" w:cs="宋体"/>
          <w:b/>
          <w:bCs/>
          <w:sz w:val="32"/>
          <w:szCs w:val="32"/>
          <w:highlight w:val="none"/>
        </w:rPr>
        <w:t>数量：20个</w:t>
      </w:r>
    </w:p>
    <w:p w14:paraId="57A99F4C">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1、材质为不锈钢</w:t>
      </w:r>
    </w:p>
    <w:p w14:paraId="72E4191C">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2、厚实耐用，易清洗</w:t>
      </w:r>
    </w:p>
    <w:p w14:paraId="7C4CB75C">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3、表面抛光处理，不残污垢</w:t>
      </w:r>
    </w:p>
    <w:p w14:paraId="1AAD9D7F">
      <w:pPr>
        <w:spacing w:line="360" w:lineRule="auto"/>
        <w:rPr>
          <w:rFonts w:hint="eastAsia" w:ascii="宋体" w:hAnsi="宋体" w:cs="宋体"/>
          <w:color w:val="333333"/>
          <w:sz w:val="24"/>
          <w:highlight w:val="none"/>
          <w:shd w:val="clear" w:color="auto" w:fill="FFFFFF"/>
        </w:rPr>
      </w:pPr>
    </w:p>
    <w:p w14:paraId="2F579C04">
      <w:pPr>
        <w:jc w:val="center"/>
        <w:rPr>
          <w:rFonts w:ascii="宋体" w:hAnsi="宋体" w:cs="宋体"/>
          <w:b/>
          <w:bCs/>
          <w:sz w:val="32"/>
          <w:szCs w:val="32"/>
          <w:highlight w:val="none"/>
        </w:rPr>
      </w:pPr>
      <w:r>
        <w:rPr>
          <w:rFonts w:hint="eastAsia" w:ascii="宋体" w:hAnsi="宋体" w:cs="宋体"/>
          <w:b/>
          <w:bCs/>
          <w:sz w:val="32"/>
          <w:szCs w:val="32"/>
          <w:highlight w:val="none"/>
        </w:rPr>
        <w:t>设备128.宫颈钳</w:t>
      </w:r>
    </w:p>
    <w:p w14:paraId="1F62C1D6">
      <w:pPr>
        <w:pStyle w:val="13"/>
        <w:rPr>
          <w:rFonts w:hint="eastAsia" w:ascii="宋体" w:hAnsi="宋体" w:cs="宋体"/>
          <w:b/>
          <w:bCs/>
          <w:sz w:val="32"/>
          <w:szCs w:val="32"/>
          <w:highlight w:val="none"/>
        </w:rPr>
      </w:pPr>
      <w:r>
        <w:rPr>
          <w:rFonts w:hint="eastAsia" w:ascii="宋体" w:hAnsi="宋体" w:cs="宋体"/>
          <w:b/>
          <w:bCs/>
          <w:sz w:val="32"/>
          <w:szCs w:val="32"/>
          <w:highlight w:val="none"/>
        </w:rPr>
        <w:t>数量：20把</w:t>
      </w:r>
    </w:p>
    <w:p w14:paraId="00EFCB0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1、材质为不锈钢</w:t>
      </w:r>
    </w:p>
    <w:p w14:paraId="00CB0FBC">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2、外形应平整、对称，不得有锋棱、毛刺及裂纹</w:t>
      </w:r>
    </w:p>
    <w:p w14:paraId="510CBF0C">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3、应有良好的弹性和牢固性</w:t>
      </w:r>
    </w:p>
    <w:p w14:paraId="20505BD8">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4、应有良好的耐腐蚀性能</w:t>
      </w:r>
    </w:p>
    <w:p w14:paraId="37114BFA">
      <w:pPr>
        <w:rPr>
          <w:highlight w:val="none"/>
        </w:rPr>
      </w:pPr>
    </w:p>
    <w:p w14:paraId="26170D91">
      <w:pPr>
        <w:pStyle w:val="2"/>
        <w:numPr>
          <w:ilvl w:val="0"/>
          <w:numId w:val="0"/>
        </w:numPr>
        <w:jc w:val="center"/>
        <w:rPr>
          <w:rFonts w:hint="eastAsia" w:ascii="宋体" w:hAnsi="宋体"/>
          <w:b/>
          <w:sz w:val="32"/>
          <w:szCs w:val="32"/>
          <w:highlight w:val="none"/>
        </w:rPr>
      </w:pPr>
      <w:r>
        <w:rPr>
          <w:rFonts w:hint="eastAsia" w:ascii="宋体" w:hAnsi="宋体"/>
          <w:b/>
          <w:sz w:val="32"/>
          <w:szCs w:val="32"/>
          <w:highlight w:val="none"/>
        </w:rPr>
        <w:t>设备129立式灭菌器</w:t>
      </w:r>
    </w:p>
    <w:p w14:paraId="1D3568ED">
      <w:pPr>
        <w:rPr>
          <w:rFonts w:hint="eastAsia"/>
          <w:highlight w:val="none"/>
        </w:rPr>
      </w:pPr>
      <w:r>
        <w:rPr>
          <w:rFonts w:hint="eastAsia" w:ascii="宋体" w:hAnsi="宋体" w:cs="宋体"/>
          <w:b/>
          <w:bCs/>
          <w:sz w:val="32"/>
          <w:szCs w:val="32"/>
          <w:highlight w:val="none"/>
        </w:rPr>
        <w:t>数量：1台</w:t>
      </w:r>
    </w:p>
    <w:p w14:paraId="236BD3DE">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1.灭菌腔体、灭菌提篮均为优质不锈钢材质制成，内部抛光处理，汽水内循环。</w:t>
      </w:r>
    </w:p>
    <w:p w14:paraId="0165A7A4">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2.手轮式平移门结构，并具有门安全联锁装置及门检测装置，有压力时门无法打开，门关闭不到位程序不能运行。</w:t>
      </w:r>
    </w:p>
    <w:p w14:paraId="637AA733">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3.LED数字显示灭菌腔内温度、时间和故障报警代码。</w:t>
      </w:r>
    </w:p>
    <w:p w14:paraId="1AC0A637">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4.自胀式硅橡胶密封圈，密封效果好，使用寿命长。</w:t>
      </w:r>
    </w:p>
    <w:p w14:paraId="13B28DC7">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5.设备注水、升温、灭菌、排气、干燥整个流程全自动运行，灭菌完成后声光提醒。</w:t>
      </w:r>
    </w:p>
    <w:p w14:paraId="7B6C1879">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6.灭菌腔体温度均匀性：±1℃，干燥温度范围：50~120℃。</w:t>
      </w:r>
    </w:p>
    <w:p w14:paraId="4B9E3F64">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7.全防护式门罩，铰链、转轴均不外露。</w:t>
      </w:r>
    </w:p>
    <w:p w14:paraId="4D2F84D2">
      <w:pPr>
        <w:spacing w:line="360" w:lineRule="auto"/>
        <w:rPr>
          <w:rFonts w:hint="eastAsia" w:ascii="宋体" w:hAnsi="宋体" w:cs="宋体"/>
          <w:color w:val="333333"/>
          <w:sz w:val="24"/>
          <w:highlight w:val="none"/>
          <w:shd w:val="clear" w:color="auto" w:fill="FFFFFF"/>
        </w:rPr>
      </w:pPr>
      <w:r>
        <w:rPr>
          <w:rFonts w:hint="eastAsia" w:ascii="宋体" w:hAnsi="宋体" w:cs="宋体"/>
          <w:color w:val="333333"/>
          <w:sz w:val="24"/>
          <w:highlight w:val="none"/>
          <w:shd w:val="clear" w:color="auto" w:fill="FFFFFF"/>
        </w:rPr>
        <w:t>8.具有快速排气和慢速排气功能，避免灭菌液体溢出。</w:t>
      </w:r>
    </w:p>
    <w:p w14:paraId="3504D3FD">
      <w:pPr>
        <w:spacing w:line="360" w:lineRule="auto"/>
        <w:rPr>
          <w:rFonts w:hint="eastAsia" w:ascii="宋体" w:hAnsi="宋体" w:cs="宋体"/>
          <w:color w:val="333333"/>
          <w:sz w:val="24"/>
          <w:highlight w:val="none"/>
          <w:shd w:val="clear" w:color="auto" w:fill="FFFFFF"/>
        </w:rPr>
      </w:pPr>
    </w:p>
    <w:p w14:paraId="74FB891E">
      <w:pPr>
        <w:pStyle w:val="13"/>
        <w:jc w:val="center"/>
        <w:rPr>
          <w:rFonts w:ascii="宋体" w:hAnsi="宋体" w:cs="宋体"/>
          <w:b/>
          <w:bCs/>
          <w:sz w:val="32"/>
          <w:szCs w:val="32"/>
          <w:highlight w:val="none"/>
        </w:rPr>
      </w:pPr>
      <w:r>
        <w:rPr>
          <w:rFonts w:hint="eastAsia" w:ascii="宋体" w:hAnsi="宋体" w:cs="宋体"/>
          <w:b/>
          <w:bCs/>
          <w:sz w:val="32"/>
          <w:szCs w:val="32"/>
          <w:highlight w:val="none"/>
        </w:rPr>
        <w:t>设备130.</w:t>
      </w:r>
      <w:r>
        <w:rPr>
          <w:rFonts w:hint="eastAsia" w:ascii="宋体" w:hAnsi="宋体" w:cs="宋体"/>
          <w:b/>
          <w:kern w:val="0"/>
          <w:sz w:val="28"/>
          <w:szCs w:val="28"/>
          <w:highlight w:val="none"/>
        </w:rPr>
        <w:t xml:space="preserve"> 呼吸机</w:t>
      </w:r>
    </w:p>
    <w:p w14:paraId="53EB1315">
      <w:pPr>
        <w:rPr>
          <w:rFonts w:hint="eastAsia" w:ascii="宋体" w:hAnsi="宋体" w:cs="宋体"/>
          <w:b/>
          <w:bCs/>
          <w:sz w:val="32"/>
          <w:szCs w:val="32"/>
          <w:highlight w:val="none"/>
        </w:rPr>
      </w:pPr>
      <w:r>
        <w:rPr>
          <w:rFonts w:hint="eastAsia" w:ascii="宋体" w:hAnsi="宋体" w:cs="宋体"/>
          <w:b/>
          <w:bCs/>
          <w:sz w:val="32"/>
          <w:szCs w:val="32"/>
          <w:highlight w:val="none"/>
        </w:rPr>
        <w:t>数量：1台</w:t>
      </w:r>
    </w:p>
    <w:p w14:paraId="76D9FC68">
      <w:pPr>
        <w:spacing w:line="360" w:lineRule="auto"/>
        <w:rPr>
          <w:b/>
          <w:kern w:val="0"/>
          <w:sz w:val="24"/>
          <w:highlight w:val="none"/>
        </w:rPr>
      </w:pPr>
      <w:r>
        <w:rPr>
          <w:rFonts w:hint="eastAsia"/>
          <w:b/>
          <w:kern w:val="0"/>
          <w:sz w:val="24"/>
          <w:highlight w:val="none"/>
        </w:rPr>
        <w:t>一、基本特征</w:t>
      </w:r>
    </w:p>
    <w:p w14:paraId="22578939">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1.1电动电控呼吸机（涡轮驱动产生空气气源），适用于对成人、小儿、新生儿患者进行通气辅助及呼吸支持的呼吸机，提供中文操作界面；</w:t>
      </w:r>
    </w:p>
    <w:p w14:paraId="1DBE65E6">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1.2采用≥12.1英寸彩色TFT电容触摸屏，分辨率1280*800，屏幕与主机分离式设计，可实现屏机分离；</w:t>
      </w:r>
    </w:p>
    <w:p w14:paraId="7C972AFA">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1.3标配一块锂电池使用时间不小于150分钟。</w:t>
      </w:r>
    </w:p>
    <w:p w14:paraId="0923B4C0">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1.4信息互联：呼吸机支持与监护仪互联，当呼吸机连接监护仪时，可传输呼吸机监测参数、设置参数及报警等数据至监护仪；</w:t>
      </w:r>
    </w:p>
    <w:p w14:paraId="2A4FE419">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1.5病人数据、报警日志、校准表格等数据可通过U盘导出；</w:t>
      </w:r>
    </w:p>
    <w:p w14:paraId="1ABAC510">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1.6吸气安全阀组件和呼气安全阀组件可拆卸，并能高温高压蒸汽消毒（134℃），以防止交叉感染；</w:t>
      </w:r>
    </w:p>
    <w:p w14:paraId="6C4043A4">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1.7具有HDMI接口扩展显示、网络接口、USB接口、多功能接口；</w:t>
      </w:r>
    </w:p>
    <w:p w14:paraId="629C0211">
      <w:pPr>
        <w:spacing w:line="360" w:lineRule="auto"/>
        <w:rPr>
          <w:b/>
          <w:kern w:val="0"/>
          <w:sz w:val="24"/>
          <w:highlight w:val="none"/>
        </w:rPr>
      </w:pPr>
      <w:r>
        <w:rPr>
          <w:rFonts w:hint="eastAsia"/>
          <w:b/>
          <w:kern w:val="0"/>
          <w:sz w:val="24"/>
          <w:highlight w:val="none"/>
        </w:rPr>
        <w:t>二、呼吸模式及功能</w:t>
      </w:r>
    </w:p>
    <w:p w14:paraId="75D0122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2.1</w:t>
      </w:r>
      <w:bookmarkStart w:id="94" w:name="_Hlk114842169"/>
      <w:r>
        <w:rPr>
          <w:rFonts w:hint="eastAsia" w:ascii="宋体" w:hAnsi="宋体" w:cs="宋体"/>
          <w:sz w:val="24"/>
          <w:szCs w:val="32"/>
          <w:highlight w:val="none"/>
        </w:rPr>
        <w:t xml:space="preserve">配备通气模式：容量控制通气下的辅助控制通气A/C和同步间歇指令通气SIMV、压力控制通气下的A/C和SIMV、持续气道正压/压力支持通气（CPAP/PSV）、压力支持通气-自主/时控（PSV-S/T）； </w:t>
      </w:r>
    </w:p>
    <w:p w14:paraId="5339B203">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2.2 可选高级模式：双水平气道正压通气（DuoLevel或BiPAP）模式、压力调整容量控制功能（如AUTOFLOW或者PRVC等）；压力释放通气APRV和压力调节容量控制-同步间歇指令模式（PRVC-SIMV）、自适应性支持通气（AMV或ASV）、心肺复苏通气（CPRV）模式、比例压力支持通气（PPS）、容量支持通气VS</w:t>
      </w:r>
      <w:bookmarkEnd w:id="94"/>
      <w:r>
        <w:rPr>
          <w:rFonts w:hint="eastAsia" w:ascii="宋体" w:hAnsi="宋体" w:cs="宋体"/>
          <w:sz w:val="24"/>
          <w:szCs w:val="32"/>
          <w:highlight w:val="none"/>
        </w:rPr>
        <w:t>；</w:t>
      </w:r>
    </w:p>
    <w:p w14:paraId="45D6972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2.3 其他功能：手动呼吸、吸气保持、呼气保持、增氧、吸痰-、NIF、PEEPi及P0.1测定；</w:t>
      </w:r>
    </w:p>
    <w:p w14:paraId="229E5933">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2.4具有低流速P-V工具，帮助确定最佳PEEP值；</w:t>
      </w:r>
    </w:p>
    <w:p w14:paraId="6012AA59">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2.5具有自动插管阻力补偿（ATRC）功能，选择不同孔径的气管插管，呼吸机可以自动调节送气压力，使插管末端的压力与呼吸机压力设置值保持一致；</w:t>
      </w:r>
    </w:p>
    <w:p w14:paraId="289BBDC5">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2.6可配置智能同步技术，可以将吸气、呼气触发灵敏度和压力上升时间自动调节至最佳值，提高人机同步，呼气触发灵敏度可在5~85%范围内手动灵活调节；</w:t>
      </w:r>
    </w:p>
    <w:p w14:paraId="7FCBA280">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2.7可配备自主呼吸试验（SBT）脱机功能，用户可定制脱机指征，提供信息全面的脱机功能看板，一键启动SBT自主呼吸试验脱机功能，脱机失败时自动退出、可实现规范化脱机流程；</w:t>
      </w:r>
    </w:p>
    <w:p w14:paraId="406BAD0A">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2.8可配置肺复张功能，提供控制性肺膨胀法（SI）进行肺复张；</w:t>
      </w:r>
    </w:p>
    <w:p w14:paraId="6A079F2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2.9具有单位理想体重输送的潮气量 （TVe/IBW）的设置及监测功能；</w:t>
      </w:r>
    </w:p>
    <w:p w14:paraId="520F0AE9">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2.10流速类型可设置方波或递减波，递减波可调范围：0%～75%；</w:t>
      </w:r>
    </w:p>
    <w:p w14:paraId="15EC46DD">
      <w:pPr>
        <w:spacing w:line="360" w:lineRule="auto"/>
        <w:rPr>
          <w:b/>
          <w:kern w:val="0"/>
          <w:sz w:val="24"/>
          <w:highlight w:val="none"/>
        </w:rPr>
      </w:pPr>
      <w:r>
        <w:rPr>
          <w:rFonts w:hint="eastAsia"/>
          <w:b/>
          <w:kern w:val="0"/>
          <w:sz w:val="24"/>
          <w:highlight w:val="none"/>
        </w:rPr>
        <w:t>三、参数设置范围</w:t>
      </w:r>
    </w:p>
    <w:p w14:paraId="6FFE3D7F">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3.1 潮气量范围：20mL～4000mL；</w:t>
      </w:r>
    </w:p>
    <w:p w14:paraId="498B2DC5">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3.2 呼吸频率：1-100次/min；</w:t>
      </w:r>
    </w:p>
    <w:p w14:paraId="2FFA75D9">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3.3 吸/呼比：4:1-1:10；</w:t>
      </w:r>
    </w:p>
    <w:p w14:paraId="2D9B10FC">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3.4 吸气压力：1-80 cmH2O；</w:t>
      </w:r>
    </w:p>
    <w:p w14:paraId="19000FAD">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3.5 压力支持：0-80cmH2O；</w:t>
      </w:r>
    </w:p>
    <w:p w14:paraId="323BD83A">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3.6 呼末正压：0 cmH2O～50 cmH2O；</w:t>
      </w:r>
    </w:p>
    <w:p w14:paraId="0C8C985A">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3.7 分钟通气量百分比 ：25 %～350 %；</w:t>
      </w:r>
    </w:p>
    <w:p w14:paraId="5AB44A20">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3.8 压力触发灵敏度：-20.0cmH2O～-0.5cmH2O；</w:t>
      </w:r>
    </w:p>
    <w:p w14:paraId="181C08E5">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3.9 流速触发灵敏度：0.5L/min～20.0L/min；</w:t>
      </w:r>
    </w:p>
    <w:p w14:paraId="1DFC7FEA">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3.10 氧疗流量：2~80L/min，氧疗流量精度：±1L/min；</w:t>
      </w:r>
    </w:p>
    <w:p w14:paraId="153EF8EE">
      <w:pPr>
        <w:spacing w:line="360" w:lineRule="auto"/>
        <w:rPr>
          <w:b/>
          <w:kern w:val="0"/>
          <w:sz w:val="24"/>
          <w:highlight w:val="none"/>
        </w:rPr>
      </w:pPr>
      <w:r>
        <w:rPr>
          <w:rFonts w:hint="eastAsia"/>
          <w:b/>
          <w:kern w:val="0"/>
          <w:sz w:val="24"/>
          <w:highlight w:val="none"/>
        </w:rPr>
        <w:t>四、监测参数</w:t>
      </w:r>
    </w:p>
    <w:p w14:paraId="2D38C973">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4.1气道压力：PEEP、气道峰压、平台压、平均压等监测；</w:t>
      </w:r>
    </w:p>
    <w:p w14:paraId="20FF9E4C">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4.2每分钟呼出通气量：呼气分钟通气量、吸气分钟通气量、自主呼吸分钟通气量、泄漏分钟通气量的监测；</w:t>
      </w:r>
    </w:p>
    <w:p w14:paraId="7A5BE572">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4.3潮气量的监测：吸入潮气量、呼出潮气量、自主呼吸潮气量；</w:t>
      </w:r>
    </w:p>
    <w:p w14:paraId="3CD25502">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4.4呼吸频率监测：总的呼吸频率、自主呼吸频率、机控呼吸频率的监测；</w:t>
      </w:r>
    </w:p>
    <w:p w14:paraId="47F38181">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4.5波形显示：压力/时间、流速/时间、容量/时间，可选二氧化碳/时间，脉搏波/时间监测；</w:t>
      </w:r>
    </w:p>
    <w:p w14:paraId="638BF788">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4.6吸入氧浓度的监测；</w:t>
      </w:r>
    </w:p>
    <w:p w14:paraId="56EE51D9">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4.7肺的力学：吸气阻力、呼气阻力、静态顺应性、动态顺应性、时间常数、呼吸功的监测；</w:t>
      </w:r>
    </w:p>
    <w:p w14:paraId="4BD5AB09">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4.8实时监测压力-时间曲线形态，可量化为牵张指数Stress Index以提示肺损伤风险；</w:t>
      </w:r>
    </w:p>
    <w:p w14:paraId="0372582B">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4.9实时监测压力/容积环形态，可量化为肺过度膨胀系数C20/C以提示肺损伤风险；</w:t>
      </w:r>
    </w:p>
    <w:p w14:paraId="590D0BD0">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4.10具有动态肺视图界面，图形化显示阻力、顺应性和自主呼吸等生理参数变化；</w:t>
      </w:r>
    </w:p>
    <w:p w14:paraId="516716E7">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4.11 可配置主流二氧化碳及二氧化碳衍生功能，可得出呼出二氧化碳浓度，气道死腔、气道死腔与潮气量比率、肺泡潮气量、肺泡分钟通气量、肺泡平台斜率等之外，还可计算得出肺泡死腔、肺泡通气量、氧合指数等病人生理参数。</w:t>
      </w:r>
    </w:p>
    <w:p w14:paraId="06729D2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4.12 可配置血氧监测功能，可监测血氧饱和度SPO2和PI数值，可计算得出ROX 、OSI、S/F、RSS数值；</w:t>
      </w:r>
    </w:p>
    <w:p w14:paraId="71FE2670">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4.13 可配置能量代谢计算工具，帮助医护人员对患者进行营养支持和营养治疗的参考</w:t>
      </w:r>
    </w:p>
    <w:p w14:paraId="33264610">
      <w:pPr>
        <w:spacing w:line="360" w:lineRule="auto"/>
        <w:rPr>
          <w:b/>
          <w:kern w:val="0"/>
          <w:sz w:val="24"/>
          <w:highlight w:val="none"/>
        </w:rPr>
      </w:pPr>
      <w:r>
        <w:rPr>
          <w:rFonts w:hint="eastAsia"/>
          <w:b/>
          <w:kern w:val="0"/>
          <w:sz w:val="24"/>
          <w:highlight w:val="none"/>
        </w:rPr>
        <w:t>五、其他功能</w:t>
      </w:r>
    </w:p>
    <w:p w14:paraId="2812BA4B">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5.1呼吸机提供锁屏功能；</w:t>
      </w:r>
    </w:p>
    <w:p w14:paraId="25764658">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5.2主机提供截图以及录屏功能，支持至少50张截屏图片存储；</w:t>
      </w:r>
    </w:p>
    <w:p w14:paraId="71786EE7">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5.3呼吸机应支持至少10个环图存储；</w:t>
      </w:r>
    </w:p>
    <w:p w14:paraId="4142F451">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5.4趋势记录：主机可提供最多168小时的全部监测参数的趋势图、表分析；</w:t>
      </w:r>
    </w:p>
    <w:p w14:paraId="236FD2C4">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5.5日志记录：主机可提供最多6000条历史事件信息的记录；</w:t>
      </w:r>
    </w:p>
    <w:p w14:paraId="410CBAEE">
      <w:pPr>
        <w:numPr>
          <w:ilvl w:val="0"/>
          <w:numId w:val="0"/>
        </w:numPr>
        <w:spacing w:line="360" w:lineRule="auto"/>
        <w:ind w:firstLine="0" w:firstLineChars="0"/>
        <w:rPr>
          <w:rFonts w:hint="eastAsia" w:ascii="宋体" w:hAnsi="宋体" w:cs="宋体"/>
          <w:sz w:val="24"/>
          <w:szCs w:val="32"/>
          <w:highlight w:val="none"/>
        </w:rPr>
      </w:pPr>
      <w:r>
        <w:rPr>
          <w:rFonts w:hint="eastAsia" w:ascii="宋体" w:hAnsi="宋体" w:cs="宋体"/>
          <w:sz w:val="24"/>
          <w:szCs w:val="32"/>
          <w:highlight w:val="none"/>
        </w:rPr>
        <w:t>5.6具有顺应性补偿、泄漏补偿、海拔补偿、插管补偿功能；</w:t>
      </w:r>
    </w:p>
    <w:p w14:paraId="014469D1">
      <w:pPr>
        <w:numPr>
          <w:ilvl w:val="0"/>
          <w:numId w:val="0"/>
        </w:numPr>
        <w:spacing w:line="360" w:lineRule="auto"/>
        <w:ind w:firstLine="0" w:firstLineChars="0"/>
        <w:rPr>
          <w:rFonts w:hint="eastAsia" w:ascii="宋体" w:hAnsi="宋体" w:cs="宋体"/>
          <w:sz w:val="24"/>
          <w:szCs w:val="32"/>
          <w:highlight w:val="none"/>
          <w:lang w:val="en-US" w:eastAsia="zh-CN"/>
        </w:rPr>
      </w:pPr>
      <w:r>
        <w:rPr>
          <w:rFonts w:hint="eastAsia" w:ascii="宋体" w:hAnsi="宋体" w:cs="宋体"/>
          <w:sz w:val="24"/>
          <w:szCs w:val="32"/>
          <w:highlight w:val="none"/>
        </w:rPr>
        <w:t>5.7提供高压氧气气源和低压氧气气源两种方式；</w:t>
      </w:r>
    </w:p>
    <w:p w14:paraId="5033215A">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br w:type="page"/>
      </w:r>
    </w:p>
    <w:p w14:paraId="24C66AA7">
      <w:pPr>
        <w:pStyle w:val="2"/>
        <w:numPr>
          <w:ilvl w:val="0"/>
          <w:numId w:val="0"/>
        </w:numPr>
        <w:ind w:leftChars="0"/>
        <w:jc w:val="center"/>
        <w:rPr>
          <w:rFonts w:hint="eastAsia" w:ascii="仿宋" w:hAnsi="仿宋" w:eastAsia="仿宋" w:cs="仿宋"/>
          <w:color w:val="auto"/>
          <w:highlight w:val="none"/>
        </w:rPr>
      </w:pPr>
      <w:r>
        <w:rPr>
          <w:rFonts w:hint="eastAsia" w:ascii="仿宋" w:hAnsi="仿宋" w:eastAsia="仿宋" w:cs="仿宋"/>
          <w:color w:val="auto"/>
          <w:szCs w:val="21"/>
          <w:highlight w:val="none"/>
          <w:lang w:val="en-US" w:eastAsia="zh-CN"/>
        </w:rPr>
        <w:t>第</w:t>
      </w:r>
      <w:r>
        <w:rPr>
          <w:rFonts w:hint="eastAsia" w:cs="仿宋"/>
          <w:color w:val="auto"/>
          <w:szCs w:val="21"/>
          <w:highlight w:val="none"/>
          <w:lang w:val="en-US" w:eastAsia="zh-CN"/>
        </w:rPr>
        <w:t>六</w:t>
      </w:r>
      <w:r>
        <w:rPr>
          <w:rFonts w:hint="eastAsia" w:ascii="仿宋" w:hAnsi="仿宋" w:eastAsia="仿宋" w:cs="仿宋"/>
          <w:color w:val="auto"/>
          <w:szCs w:val="21"/>
          <w:highlight w:val="none"/>
          <w:lang w:val="en-US" w:eastAsia="zh-CN"/>
        </w:rPr>
        <w:t>章</w:t>
      </w:r>
      <w:r>
        <w:rPr>
          <w:rFonts w:hint="eastAsia" w:cs="仿宋"/>
          <w:color w:val="auto"/>
          <w:szCs w:val="44"/>
          <w:highlight w:val="none"/>
          <w:lang w:eastAsia="zh-CN"/>
        </w:rPr>
        <w:t>投标文件格式</w:t>
      </w:r>
      <w:bookmarkEnd w:id="70"/>
    </w:p>
    <w:p w14:paraId="4CBFB0E7">
      <w:pPr>
        <w:wordWrap w:val="0"/>
        <w:jc w:val="center"/>
        <w:rPr>
          <w:rFonts w:hint="eastAsia" w:ascii="仿宋" w:hAnsi="仿宋" w:eastAsia="仿宋" w:cs="仿宋"/>
          <w:color w:val="auto"/>
          <w:highlight w:val="none"/>
        </w:rPr>
      </w:pPr>
    </w:p>
    <w:p w14:paraId="15D66D0B">
      <w:pPr>
        <w:keepNext w:val="0"/>
        <w:keepLines w:val="0"/>
        <w:widowControl w:val="0"/>
        <w:suppressLineNumbers w:val="0"/>
        <w:autoSpaceDE w:val="0"/>
        <w:autoSpaceDN w:val="0"/>
        <w:adjustRightInd w:val="0"/>
        <w:spacing w:before="0" w:beforeAutospacing="0" w:after="0" w:afterAutospacing="0"/>
        <w:ind w:left="0" w:right="0"/>
        <w:jc w:val="right"/>
        <w:rPr>
          <w:rFonts w:hint="eastAsia" w:ascii="仿宋" w:hAnsi="仿宋" w:eastAsia="仿宋" w:cs="仿宋"/>
          <w:b/>
          <w:bCs w:val="0"/>
          <w:color w:val="auto"/>
          <w:kern w:val="0"/>
          <w:sz w:val="32"/>
          <w:szCs w:val="32"/>
          <w:highlight w:val="none"/>
          <w:lang w:val="en-US"/>
        </w:rPr>
      </w:pPr>
      <w:r>
        <w:rPr>
          <w:rFonts w:hint="eastAsia" w:ascii="仿宋" w:hAnsi="仿宋" w:eastAsia="仿宋" w:cs="仿宋"/>
          <w:b/>
          <w:bCs w:val="0"/>
          <w:color w:val="auto"/>
          <w:kern w:val="0"/>
          <w:sz w:val="32"/>
          <w:szCs w:val="32"/>
          <w:highlight w:val="none"/>
          <w:bdr w:val="single" w:color="auto" w:sz="4" w:space="0"/>
          <w:lang w:val="en-US" w:eastAsia="zh-CN" w:bidi="ar"/>
        </w:rPr>
        <w:t>正本或副本</w:t>
      </w:r>
    </w:p>
    <w:p w14:paraId="35939F49">
      <w:pPr>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b/>
          <w:bCs w:val="0"/>
          <w:color w:val="auto"/>
          <w:kern w:val="0"/>
          <w:sz w:val="48"/>
          <w:szCs w:val="48"/>
          <w:highlight w:val="none"/>
          <w:lang w:val="en-US"/>
        </w:rPr>
      </w:pPr>
    </w:p>
    <w:p w14:paraId="5C559C5E">
      <w:pPr>
        <w:keepNext w:val="0"/>
        <w:keepLines w:val="0"/>
        <w:widowControl w:val="0"/>
        <w:suppressLineNumbers w:val="0"/>
        <w:spacing w:before="0" w:beforeAutospacing="0" w:after="0" w:afterAutospacing="0"/>
        <w:ind w:left="0" w:leftChars="0" w:right="0" w:firstLine="5400" w:firstLineChars="1500"/>
        <w:jc w:val="both"/>
        <w:rPr>
          <w:rFonts w:hint="eastAsia" w:ascii="仿宋" w:hAnsi="仿宋" w:eastAsia="仿宋" w:cs="仿宋"/>
          <w:color w:val="auto"/>
          <w:sz w:val="36"/>
          <w:szCs w:val="36"/>
          <w:highlight w:val="none"/>
          <w:lang w:val="en-US"/>
        </w:rPr>
      </w:pPr>
      <w:r>
        <w:rPr>
          <w:rFonts w:hint="eastAsia" w:ascii="仿宋" w:hAnsi="仿宋" w:eastAsia="仿宋" w:cs="仿宋"/>
          <w:color w:val="auto"/>
          <w:kern w:val="2"/>
          <w:sz w:val="36"/>
          <w:szCs w:val="36"/>
          <w:highlight w:val="none"/>
          <w:lang w:val="en-US" w:eastAsia="zh-CN" w:bidi="ar"/>
        </w:rPr>
        <w:t>（项目名称）</w:t>
      </w:r>
    </w:p>
    <w:p w14:paraId="053634E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32"/>
          <w:szCs w:val="32"/>
          <w:highlight w:val="none"/>
          <w:lang w:val="en-US"/>
        </w:rPr>
      </w:pPr>
    </w:p>
    <w:p w14:paraId="3F9A3249">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14:paraId="3AA390C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color w:val="auto"/>
          <w:sz w:val="18"/>
          <w:szCs w:val="18"/>
          <w:highlight w:val="none"/>
          <w:lang w:val="en-US"/>
        </w:rPr>
      </w:pPr>
    </w:p>
    <w:p w14:paraId="589DC577">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color w:val="auto"/>
          <w:sz w:val="84"/>
          <w:szCs w:val="84"/>
          <w:highlight w:val="none"/>
          <w:lang w:val="en-US"/>
        </w:rPr>
      </w:pPr>
      <w:r>
        <w:rPr>
          <w:rFonts w:hint="eastAsia" w:ascii="仿宋" w:hAnsi="仿宋" w:eastAsia="仿宋" w:cs="仿宋"/>
          <w:b/>
          <w:color w:val="auto"/>
          <w:w w:val="80"/>
          <w:sz w:val="84"/>
          <w:szCs w:val="84"/>
          <w:highlight w:val="none"/>
        </w:rPr>
        <w:t>响应文件</w:t>
      </w:r>
    </w:p>
    <w:p w14:paraId="24CC5EC9">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center"/>
        <w:rPr>
          <w:rFonts w:hint="eastAsia" w:ascii="仿宋" w:hAnsi="仿宋" w:eastAsia="仿宋" w:cs="仿宋"/>
          <w:color w:val="auto"/>
          <w:kern w:val="0"/>
          <w:sz w:val="28"/>
          <w:szCs w:val="28"/>
          <w:highlight w:val="none"/>
          <w:u w:val="single"/>
          <w:lang w:val="en-US"/>
        </w:rPr>
      </w:pPr>
      <w:r>
        <w:rPr>
          <w:rFonts w:hint="eastAsia" w:ascii="仿宋" w:hAnsi="仿宋" w:eastAsia="仿宋" w:cs="仿宋"/>
          <w:b/>
          <w:color w:val="auto"/>
          <w:kern w:val="2"/>
          <w:sz w:val="30"/>
          <w:szCs w:val="30"/>
          <w:highlight w:val="none"/>
          <w:lang w:val="en-US" w:eastAsia="zh-CN" w:bidi="ar"/>
        </w:rPr>
        <w:t>项目编号：</w:t>
      </w:r>
    </w:p>
    <w:p w14:paraId="2BD8B001">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1F95FED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565C11F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38283915">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689E63C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2E00017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17D11A64">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1CBC8E8C">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投标人：</w:t>
      </w:r>
      <w:r>
        <w:rPr>
          <w:rFonts w:hint="eastAsia" w:ascii="仿宋" w:hAnsi="仿宋" w:eastAsia="仿宋" w:cs="仿宋"/>
          <w:color w:val="auto"/>
          <w:kern w:val="0"/>
          <w:sz w:val="28"/>
          <w:szCs w:val="28"/>
          <w:highlight w:val="none"/>
          <w:u w:val="single"/>
          <w:lang w:val="en-US" w:eastAsia="zh-CN" w:bidi="ar"/>
        </w:rPr>
        <w:t>(盖章)</w:t>
      </w:r>
    </w:p>
    <w:p w14:paraId="022AC543">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lang w:val="en-US" w:eastAsia="zh-CN" w:bidi="ar"/>
        </w:rPr>
        <w:t>法定代表人或</w:t>
      </w:r>
    </w:p>
    <w:p w14:paraId="657AD6FB">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28"/>
          <w:szCs w:val="28"/>
          <w:highlight w:val="none"/>
          <w:u w:val="single"/>
          <w:lang w:val="en-US"/>
        </w:rPr>
      </w:pPr>
      <w:r>
        <w:rPr>
          <w:rFonts w:hint="eastAsia" w:ascii="仿宋" w:hAnsi="仿宋" w:eastAsia="仿宋" w:cs="仿宋"/>
          <w:color w:val="auto"/>
          <w:kern w:val="0"/>
          <w:sz w:val="28"/>
          <w:szCs w:val="28"/>
          <w:highlight w:val="none"/>
          <w:lang w:val="en-US" w:eastAsia="zh-CN" w:bidi="ar"/>
        </w:rPr>
        <w:t>其委托代理人：</w:t>
      </w:r>
      <w:r>
        <w:rPr>
          <w:rFonts w:hint="eastAsia" w:ascii="仿宋" w:hAnsi="仿宋" w:eastAsia="仿宋" w:cs="仿宋"/>
          <w:color w:val="auto"/>
          <w:kern w:val="0"/>
          <w:sz w:val="28"/>
          <w:szCs w:val="28"/>
          <w:highlight w:val="none"/>
          <w:u w:val="single"/>
          <w:lang w:val="en-US" w:eastAsia="zh-CN" w:bidi="ar"/>
        </w:rPr>
        <w:t>(签字或盖章)</w:t>
      </w:r>
    </w:p>
    <w:p w14:paraId="7A8AC9D6">
      <w:pPr>
        <w:keepNext w:val="0"/>
        <w:keepLines w:val="0"/>
        <w:widowControl w:val="0"/>
        <w:suppressLineNumbers w:val="0"/>
        <w:autoSpaceDE w:val="0"/>
        <w:autoSpaceDN w:val="0"/>
        <w:adjustRightInd w:val="0"/>
        <w:spacing w:before="0" w:beforeAutospacing="0" w:after="0" w:afterAutospacing="0"/>
        <w:ind w:left="0" w:leftChars="0" w:right="0" w:firstLine="0" w:firstLineChars="0"/>
        <w:jc w:val="both"/>
        <w:rPr>
          <w:rFonts w:hint="eastAsia" w:ascii="仿宋" w:hAnsi="仿宋" w:eastAsia="仿宋" w:cs="仿宋"/>
          <w:color w:val="auto"/>
          <w:kern w:val="0"/>
          <w:sz w:val="36"/>
          <w:szCs w:val="36"/>
          <w:highlight w:val="none"/>
          <w:lang w:val="en-US"/>
        </w:rPr>
      </w:pPr>
      <w:r>
        <w:rPr>
          <w:rFonts w:hint="eastAsia" w:ascii="仿宋" w:hAnsi="仿宋" w:eastAsia="仿宋" w:cs="仿宋"/>
          <w:color w:val="auto"/>
          <w:kern w:val="0"/>
          <w:sz w:val="28"/>
          <w:szCs w:val="28"/>
          <w:highlight w:val="none"/>
          <w:lang w:val="en-US" w:eastAsia="zh-CN" w:bidi="ar"/>
        </w:rPr>
        <w:t>日期：</w:t>
      </w:r>
      <w:r>
        <w:rPr>
          <w:rFonts w:hint="eastAsia" w:ascii="仿宋" w:hAnsi="仿宋" w:eastAsia="仿宋" w:cs="仿宋"/>
          <w:color w:val="auto"/>
          <w:kern w:val="0"/>
          <w:sz w:val="28"/>
          <w:szCs w:val="28"/>
          <w:highlight w:val="none"/>
          <w:u w:val="single"/>
          <w:lang w:val="en-US" w:eastAsia="zh-CN" w:bidi="ar"/>
        </w:rPr>
        <w:t>年月日</w:t>
      </w:r>
    </w:p>
    <w:p w14:paraId="4C6673D4">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highlight w:val="none"/>
          <w:lang w:val="en-US"/>
        </w:rPr>
      </w:pPr>
    </w:p>
    <w:p w14:paraId="5C160701">
      <w:pPr>
        <w:tabs>
          <w:tab w:val="left" w:pos="1365"/>
        </w:tabs>
        <w:wordWrap w:val="0"/>
        <w:spacing w:line="360" w:lineRule="auto"/>
        <w:jc w:val="center"/>
        <w:rPr>
          <w:rFonts w:hint="eastAsia" w:ascii="仿宋" w:hAnsi="仿宋" w:eastAsia="仿宋" w:cs="仿宋"/>
          <w:b/>
          <w:color w:val="auto"/>
          <w:sz w:val="36"/>
          <w:szCs w:val="36"/>
          <w:highlight w:val="none"/>
        </w:rPr>
      </w:pPr>
    </w:p>
    <w:p w14:paraId="4C661FF2">
      <w:pPr>
        <w:bidi w:val="0"/>
        <w:jc w:val="center"/>
        <w:rPr>
          <w:rFonts w:hint="eastAsia" w:ascii="仿宋" w:hAnsi="仿宋" w:eastAsia="仿宋" w:cs="仿宋"/>
          <w:color w:val="auto"/>
          <w:highlight w:val="none"/>
          <w:lang w:eastAsia="zh-CN"/>
        </w:rPr>
      </w:pPr>
      <w:r>
        <w:rPr>
          <w:rFonts w:hint="eastAsia" w:ascii="仿宋" w:hAnsi="仿宋" w:eastAsia="仿宋" w:cs="仿宋"/>
          <w:b/>
          <w:color w:val="auto"/>
          <w:szCs w:val="36"/>
          <w:highlight w:val="none"/>
        </w:rPr>
        <w:br w:type="page"/>
      </w:r>
      <w:r>
        <w:rPr>
          <w:rFonts w:hint="eastAsia" w:ascii="仿宋" w:hAnsi="仿宋" w:eastAsia="仿宋" w:cs="仿宋"/>
          <w:color w:val="auto"/>
          <w:highlight w:val="none"/>
          <w:lang w:eastAsia="zh-CN"/>
        </w:rPr>
        <w:t>目录</w:t>
      </w:r>
    </w:p>
    <w:p w14:paraId="3E83E96F">
      <w:pPr>
        <w:pStyle w:val="7"/>
        <w:rPr>
          <w:rFonts w:hint="eastAsia" w:ascii="仿宋" w:hAnsi="仿宋" w:eastAsia="仿宋" w:cs="仿宋"/>
          <w:color w:val="auto"/>
          <w:highlight w:val="none"/>
          <w:lang w:eastAsia="zh-CN"/>
        </w:rPr>
      </w:pPr>
    </w:p>
    <w:p w14:paraId="4C14687E">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投标函及投标函附录</w:t>
      </w:r>
    </w:p>
    <w:p w14:paraId="6DC51FD3">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开标一览表</w:t>
      </w:r>
    </w:p>
    <w:p w14:paraId="0C4163B1">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eastAsia="zh-CN"/>
        </w:rPr>
        <w:t>投标分项报价表</w:t>
      </w:r>
    </w:p>
    <w:p w14:paraId="7C45911A">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法定代表人身份证明</w:t>
      </w:r>
    </w:p>
    <w:p w14:paraId="7EBCFA87">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授权委托书</w:t>
      </w:r>
    </w:p>
    <w:p w14:paraId="23C5E0C8">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w:t>
      </w:r>
    </w:p>
    <w:p w14:paraId="6D0B8F13">
      <w:pPr>
        <w:bidi w:val="0"/>
        <w:rPr>
          <w:rFonts w:hint="default" w:ascii="仿宋" w:hAnsi="仿宋" w:eastAsia="仿宋" w:cs="仿宋"/>
          <w:color w:val="auto"/>
          <w:highlight w:val="none"/>
          <w:lang w:val="en-US" w:eastAsia="zh-CN"/>
        </w:rPr>
      </w:pPr>
      <w:r>
        <w:rPr>
          <w:rFonts w:hint="eastAsia" w:cs="仿宋"/>
          <w:color w:val="auto"/>
          <w:highlight w:val="none"/>
          <w:lang w:val="en-US" w:eastAsia="zh-CN"/>
        </w:rPr>
        <w:t>供应商基本情况</w:t>
      </w:r>
    </w:p>
    <w:p w14:paraId="0EA0EB43">
      <w:pPr>
        <w:bidi w:val="0"/>
        <w:rPr>
          <w:rFonts w:hint="eastAsia" w:cs="仿宋"/>
          <w:color w:val="auto"/>
          <w:highlight w:val="none"/>
          <w:lang w:val="en-US" w:eastAsia="zh-CN"/>
        </w:rPr>
      </w:pPr>
      <w:r>
        <w:rPr>
          <w:rFonts w:hint="eastAsia" w:cs="仿宋"/>
          <w:color w:val="auto"/>
          <w:highlight w:val="none"/>
          <w:lang w:val="en-US" w:eastAsia="zh-CN"/>
        </w:rPr>
        <w:t>投标人资格声明</w:t>
      </w:r>
    </w:p>
    <w:p w14:paraId="3FCD872A">
      <w:pPr>
        <w:bidi w:val="0"/>
        <w:rPr>
          <w:rFonts w:hint="default" w:cs="仿宋"/>
          <w:color w:val="auto"/>
          <w:highlight w:val="none"/>
          <w:lang w:val="en-US" w:eastAsia="zh-CN"/>
        </w:rPr>
      </w:pPr>
      <w:r>
        <w:rPr>
          <w:rFonts w:hint="default" w:cs="仿宋"/>
          <w:color w:val="auto"/>
          <w:highlight w:val="none"/>
          <w:lang w:val="en-US" w:eastAsia="zh-CN"/>
        </w:rPr>
        <w:t>采购需求条款响应一览表格式</w:t>
      </w:r>
    </w:p>
    <w:p w14:paraId="6E127BFC">
      <w:pPr>
        <w:bidi w:val="0"/>
        <w:rPr>
          <w:rFonts w:hint="default" w:ascii="仿宋" w:hAnsi="仿宋" w:eastAsia="仿宋" w:cs="仿宋"/>
          <w:color w:val="auto"/>
          <w:highlight w:val="none"/>
          <w:lang w:val="en-US" w:eastAsia="zh-CN"/>
        </w:rPr>
      </w:pPr>
      <w:r>
        <w:rPr>
          <w:rFonts w:hint="eastAsia" w:cs="仿宋"/>
          <w:color w:val="auto"/>
          <w:highlight w:val="none"/>
          <w:lang w:val="en-US" w:eastAsia="zh-CN"/>
        </w:rPr>
        <w:t>售后服务承诺书</w:t>
      </w:r>
    </w:p>
    <w:p w14:paraId="2815783B">
      <w:pPr>
        <w:bidi w:val="0"/>
        <w:rPr>
          <w:rFonts w:hint="eastAsia" w:cs="仿宋"/>
          <w:color w:val="auto"/>
          <w:highlight w:val="none"/>
          <w:lang w:val="en-US" w:eastAsia="zh-CN"/>
        </w:rPr>
      </w:pPr>
      <w:r>
        <w:rPr>
          <w:rFonts w:hint="eastAsia" w:cs="仿宋"/>
          <w:color w:val="auto"/>
          <w:highlight w:val="none"/>
          <w:lang w:val="en-US" w:eastAsia="zh-CN"/>
        </w:rPr>
        <w:t>技术因素评审内容</w:t>
      </w:r>
    </w:p>
    <w:p w14:paraId="5542FD73">
      <w:pPr>
        <w:bidi w:val="0"/>
        <w:rPr>
          <w:rFonts w:hint="eastAsia" w:ascii="仿宋" w:hAnsi="仿宋" w:eastAsia="仿宋" w:cs="仿宋"/>
          <w:color w:val="auto"/>
          <w:highlight w:val="none"/>
          <w:lang w:val="en-US" w:eastAsia="zh-CN"/>
        </w:rPr>
      </w:pPr>
      <w:r>
        <w:rPr>
          <w:rFonts w:hint="eastAsia" w:cs="仿宋"/>
          <w:color w:val="auto"/>
          <w:highlight w:val="none"/>
          <w:lang w:val="en-US" w:eastAsia="zh-CN"/>
        </w:rPr>
        <w:t>优惠条件</w:t>
      </w:r>
      <w:r>
        <w:rPr>
          <w:rFonts w:hint="eastAsia" w:ascii="仿宋" w:hAnsi="仿宋" w:eastAsia="仿宋" w:cs="仿宋"/>
          <w:color w:val="auto"/>
          <w:highlight w:val="none"/>
          <w:lang w:val="en-US" w:eastAsia="zh-CN"/>
        </w:rPr>
        <w:tab/>
      </w:r>
    </w:p>
    <w:p w14:paraId="4D7E0731">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投标人认为需要提供的其他材料</w:t>
      </w:r>
    </w:p>
    <w:p w14:paraId="011C3B1F">
      <w:pP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ab/>
      </w:r>
    </w:p>
    <w:p w14:paraId="24F59D86">
      <w:pPr>
        <w:bidi w:val="0"/>
        <w:rPr>
          <w:rFonts w:hint="eastAsia" w:ascii="仿宋" w:hAnsi="仿宋" w:eastAsia="仿宋" w:cs="仿宋"/>
          <w:color w:val="auto"/>
          <w:highlight w:val="none"/>
          <w:lang w:eastAsia="zh-CN"/>
        </w:rPr>
      </w:pPr>
    </w:p>
    <w:p w14:paraId="50CD08AA">
      <w:pPr>
        <w:pStyle w:val="3"/>
        <w:spacing w:before="0" w:line="360" w:lineRule="auto"/>
        <w:ind w:firstLine="723" w:firstLineChars="200"/>
        <w:jc w:val="center"/>
        <w:rPr>
          <w:rFonts w:hint="eastAsia" w:ascii="仿宋" w:hAnsi="仿宋" w:eastAsia="仿宋" w:cs="仿宋"/>
          <w:b/>
          <w:color w:val="auto"/>
          <w:sz w:val="32"/>
          <w:szCs w:val="30"/>
          <w:highlight w:val="none"/>
        </w:rPr>
      </w:pPr>
      <w:r>
        <w:rPr>
          <w:rFonts w:hint="eastAsia" w:ascii="仿宋" w:hAnsi="仿宋" w:eastAsia="仿宋" w:cs="仿宋"/>
          <w:b/>
          <w:color w:val="auto"/>
          <w:sz w:val="36"/>
          <w:szCs w:val="36"/>
          <w:highlight w:val="none"/>
        </w:rPr>
        <w:br w:type="page"/>
      </w:r>
      <w:bookmarkStart w:id="95" w:name="_Toc499397513"/>
      <w:bookmarkStart w:id="96" w:name="_Toc152045788"/>
      <w:bookmarkStart w:id="97" w:name="_Toc17046640"/>
      <w:bookmarkStart w:id="98" w:name="_Toc509413340"/>
      <w:bookmarkStart w:id="99" w:name="_Toc152042577"/>
      <w:bookmarkStart w:id="100" w:name="_Toc425260054"/>
      <w:bookmarkStart w:id="101" w:name="_Toc247527828"/>
      <w:bookmarkStart w:id="102" w:name="_Toc500439923"/>
      <w:bookmarkStart w:id="103" w:name="_Toc508372382"/>
      <w:bookmarkStart w:id="104" w:name="_Toc300835210"/>
      <w:bookmarkStart w:id="105" w:name="_Toc508201975"/>
      <w:bookmarkStart w:id="106" w:name="_Toc247514247"/>
      <w:bookmarkStart w:id="107" w:name="_Toc144974857"/>
      <w:r>
        <w:rPr>
          <w:rFonts w:hint="eastAsia" w:ascii="仿宋" w:hAnsi="仿宋" w:eastAsia="仿宋" w:cs="仿宋"/>
          <w:b/>
          <w:color w:val="auto"/>
          <w:sz w:val="32"/>
          <w:szCs w:val="30"/>
          <w:highlight w:val="none"/>
        </w:rPr>
        <w:t>投标函及投标函附录</w:t>
      </w:r>
      <w:bookmarkEnd w:id="95"/>
      <w:bookmarkEnd w:id="96"/>
      <w:bookmarkEnd w:id="97"/>
      <w:bookmarkEnd w:id="98"/>
      <w:bookmarkEnd w:id="99"/>
      <w:bookmarkEnd w:id="100"/>
      <w:bookmarkEnd w:id="101"/>
      <w:bookmarkEnd w:id="102"/>
      <w:bookmarkEnd w:id="103"/>
      <w:bookmarkEnd w:id="104"/>
      <w:bookmarkEnd w:id="105"/>
      <w:bookmarkEnd w:id="106"/>
      <w:bookmarkEnd w:id="107"/>
    </w:p>
    <w:p w14:paraId="3F2F4BBA">
      <w:pPr>
        <w:pStyle w:val="4"/>
        <w:spacing w:before="0" w:after="0" w:line="360" w:lineRule="auto"/>
        <w:jc w:val="center"/>
        <w:rPr>
          <w:rFonts w:hint="eastAsia" w:ascii="仿宋" w:hAnsi="仿宋" w:eastAsia="仿宋" w:cs="仿宋"/>
          <w:color w:val="auto"/>
          <w:sz w:val="28"/>
          <w:szCs w:val="28"/>
          <w:highlight w:val="none"/>
        </w:rPr>
      </w:pPr>
      <w:bookmarkStart w:id="108" w:name="_Toc499397514"/>
      <w:bookmarkStart w:id="109" w:name="_Toc500439924"/>
      <w:bookmarkStart w:id="110" w:name="_Toc152042578"/>
      <w:bookmarkStart w:id="111" w:name="_Toc152045789"/>
      <w:bookmarkStart w:id="112" w:name="_Toc508372383"/>
      <w:bookmarkStart w:id="113" w:name="_Toc247514248"/>
      <w:bookmarkStart w:id="114" w:name="_Toc508201976"/>
      <w:bookmarkStart w:id="115" w:name="_Toc300835211"/>
      <w:bookmarkStart w:id="116" w:name="_Toc509413341"/>
      <w:bookmarkStart w:id="117" w:name="_Toc144974858"/>
      <w:bookmarkStart w:id="118" w:name="_Toc17046641"/>
      <w:bookmarkStart w:id="119" w:name="_Toc425260055"/>
      <w:bookmarkStart w:id="120" w:name="_Toc247527829"/>
      <w:r>
        <w:rPr>
          <w:rFonts w:hint="eastAsia" w:ascii="仿宋" w:hAnsi="仿宋" w:eastAsia="仿宋" w:cs="仿宋"/>
          <w:color w:val="auto"/>
          <w:sz w:val="28"/>
          <w:szCs w:val="28"/>
          <w:highlight w:val="none"/>
        </w:rPr>
        <w:t>（一）投标函</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2FD91D10">
      <w:pPr>
        <w:autoSpaceDE w:val="0"/>
        <w:autoSpaceDN w:val="0"/>
        <w:spacing w:line="360" w:lineRule="auto"/>
        <w:rPr>
          <w:rFonts w:hint="eastAsia" w:ascii="仿宋" w:hAnsi="仿宋" w:eastAsia="仿宋" w:cs="仿宋"/>
          <w:color w:val="auto"/>
          <w:kern w:val="0"/>
          <w:sz w:val="24"/>
          <w:szCs w:val="24"/>
          <w:highlight w:val="none"/>
          <w:u w:val="single"/>
          <w:lang w:val="zh-CN"/>
        </w:rPr>
      </w:pPr>
      <w:r>
        <w:rPr>
          <w:rFonts w:hint="eastAsia" w:cs="仿宋"/>
          <w:color w:val="auto"/>
          <w:kern w:val="0"/>
          <w:sz w:val="24"/>
          <w:szCs w:val="24"/>
          <w:highlight w:val="none"/>
          <w:lang w:val="zh-CN"/>
        </w:rPr>
        <w:t>中屹宬信建设集团有限公司</w:t>
      </w:r>
      <w:r>
        <w:rPr>
          <w:rFonts w:hint="eastAsia" w:ascii="仿宋" w:hAnsi="仿宋" w:eastAsia="仿宋" w:cs="仿宋"/>
          <w:color w:val="auto"/>
          <w:kern w:val="0"/>
          <w:sz w:val="24"/>
          <w:szCs w:val="24"/>
          <w:highlight w:val="none"/>
          <w:lang w:val="zh-CN"/>
        </w:rPr>
        <w:t>：</w:t>
      </w:r>
    </w:p>
    <w:p w14:paraId="5C13D161">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根据你方采购</w:t>
      </w:r>
      <w:r>
        <w:rPr>
          <w:rFonts w:hint="eastAsia" w:ascii="仿宋" w:hAnsi="仿宋" w:eastAsia="仿宋" w:cs="仿宋"/>
          <w:color w:val="auto"/>
          <w:sz w:val="24"/>
          <w:szCs w:val="24"/>
          <w:highlight w:val="none"/>
          <w:u w:val="single"/>
          <w:lang w:val="zh-CN"/>
        </w:rPr>
        <w:t>（项目名称）</w:t>
      </w:r>
      <w:r>
        <w:rPr>
          <w:rFonts w:hint="eastAsia" w:ascii="仿宋" w:hAnsi="仿宋" w:eastAsia="仿宋" w:cs="仿宋"/>
          <w:color w:val="auto"/>
          <w:sz w:val="24"/>
          <w:szCs w:val="24"/>
          <w:highlight w:val="none"/>
          <w:lang w:val="zh-CN"/>
        </w:rPr>
        <w:t>项目包的编号为</w:t>
      </w:r>
      <w:r>
        <w:rPr>
          <w:rFonts w:hint="eastAsia" w:ascii="仿宋" w:hAnsi="仿宋" w:eastAsia="仿宋" w:cs="仿宋"/>
          <w:color w:val="auto"/>
          <w:sz w:val="24"/>
          <w:szCs w:val="24"/>
          <w:highlight w:val="none"/>
          <w:u w:val="single"/>
          <w:lang w:val="zh-CN"/>
        </w:rPr>
        <w:t>-</w:t>
      </w:r>
      <w:r>
        <w:rPr>
          <w:rFonts w:hint="eastAsia" w:ascii="仿宋" w:hAnsi="仿宋" w:eastAsia="仿宋" w:cs="仿宋"/>
          <w:color w:val="auto"/>
          <w:sz w:val="24"/>
          <w:szCs w:val="24"/>
          <w:highlight w:val="none"/>
          <w:lang w:val="zh-CN"/>
        </w:rPr>
        <w:t>招标文件，我方正式授权的下述签字人</w:t>
      </w:r>
      <w:r>
        <w:rPr>
          <w:rFonts w:hint="eastAsia" w:ascii="仿宋" w:hAnsi="仿宋" w:eastAsia="仿宋" w:cs="仿宋"/>
          <w:color w:val="auto"/>
          <w:sz w:val="24"/>
          <w:szCs w:val="24"/>
          <w:highlight w:val="none"/>
          <w:u w:val="single"/>
          <w:lang w:val="zh-CN"/>
        </w:rPr>
        <w:t>（姓名和职务）</w:t>
      </w:r>
      <w:r>
        <w:rPr>
          <w:rFonts w:hint="eastAsia" w:ascii="仿宋" w:hAnsi="仿宋" w:eastAsia="仿宋" w:cs="仿宋"/>
          <w:color w:val="auto"/>
          <w:sz w:val="24"/>
          <w:szCs w:val="24"/>
          <w:highlight w:val="none"/>
          <w:lang w:val="zh-CN"/>
        </w:rPr>
        <w:t>代表我方</w:t>
      </w:r>
      <w:r>
        <w:rPr>
          <w:rFonts w:hint="eastAsia" w:ascii="仿宋" w:hAnsi="仿宋" w:eastAsia="仿宋" w:cs="仿宋"/>
          <w:color w:val="auto"/>
          <w:sz w:val="24"/>
          <w:szCs w:val="24"/>
          <w:highlight w:val="none"/>
          <w:u w:val="single"/>
          <w:lang w:val="zh-CN"/>
        </w:rPr>
        <w:t>（投标人的名称）</w:t>
      </w:r>
      <w:r>
        <w:rPr>
          <w:rFonts w:hint="eastAsia" w:ascii="仿宋" w:hAnsi="仿宋" w:eastAsia="仿宋" w:cs="仿宋"/>
          <w:color w:val="auto"/>
          <w:sz w:val="24"/>
          <w:szCs w:val="24"/>
          <w:highlight w:val="none"/>
          <w:lang w:val="zh-CN"/>
        </w:rPr>
        <w:t>，按照你方招标文件的规定，提交《投标人须知》</w:t>
      </w:r>
      <w:r>
        <w:rPr>
          <w:rFonts w:hint="eastAsia" w:ascii="仿宋" w:hAnsi="仿宋" w:eastAsia="仿宋" w:cs="仿宋"/>
          <w:b/>
          <w:bCs/>
          <w:color w:val="auto"/>
          <w:sz w:val="24"/>
          <w:szCs w:val="24"/>
          <w:highlight w:val="none"/>
          <w:lang w:val="zh-CN"/>
        </w:rPr>
        <w:t>第8条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投标文件构成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要求的全部文件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并保证所提供的全部文件是真实的、有效的和准确的。</w:t>
      </w:r>
    </w:p>
    <w:p w14:paraId="23709194">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据此函，签字人兹宣布同意如下：</w:t>
      </w:r>
    </w:p>
    <w:p w14:paraId="2B5511C6">
      <w:pPr>
        <w:tabs>
          <w:tab w:val="left" w:pos="8175"/>
        </w:tabs>
        <w:autoSpaceDE w:val="0"/>
        <w:autoSpaceDN w:val="0"/>
        <w:spacing w:line="360" w:lineRule="auto"/>
        <w:ind w:firstLine="480" w:firstLineChars="200"/>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1.按招标文件规定提供采购货物的投标价格为（</w:t>
      </w:r>
      <w:r>
        <w:rPr>
          <w:rFonts w:hint="eastAsia" w:cs="仿宋"/>
          <w:color w:val="auto"/>
          <w:sz w:val="24"/>
          <w:szCs w:val="24"/>
          <w:highlight w:val="none"/>
          <w:u w:val="single"/>
          <w:lang w:val="en-US" w:eastAsia="zh-CN"/>
        </w:rPr>
        <w:t>元</w:t>
      </w:r>
      <w:r>
        <w:rPr>
          <w:rFonts w:hint="eastAsia" w:ascii="仿宋" w:hAnsi="仿宋" w:eastAsia="仿宋" w:cs="仿宋"/>
          <w:color w:val="auto"/>
          <w:sz w:val="24"/>
          <w:szCs w:val="24"/>
          <w:highlight w:val="none"/>
          <w:lang w:val="zh-CN"/>
        </w:rPr>
        <w:t>）</w:t>
      </w:r>
    </w:p>
    <w:p w14:paraId="6C6BB6DF">
      <w:pPr>
        <w:tabs>
          <w:tab w:val="left" w:pos="8175"/>
        </w:tabs>
        <w:autoSpaceDE w:val="0"/>
        <w:autoSpaceDN w:val="0"/>
        <w:spacing w:line="360" w:lineRule="auto"/>
        <w:ind w:firstLine="96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供货期为：</w:t>
      </w:r>
    </w:p>
    <w:p w14:paraId="3480AD2E">
      <w:pPr>
        <w:tabs>
          <w:tab w:val="left" w:pos="8175"/>
        </w:tabs>
        <w:autoSpaceDE w:val="0"/>
        <w:autoSpaceDN w:val="0"/>
        <w:spacing w:line="360" w:lineRule="auto"/>
        <w:ind w:firstLine="96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交货地点：…………。</w:t>
      </w:r>
    </w:p>
    <w:p w14:paraId="6EA9BCAA">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2.如果我方中标，我们保证根据招标文件规定履行合同责任和义务。</w:t>
      </w:r>
    </w:p>
    <w:p w14:paraId="4C29300A">
      <w:pPr>
        <w:autoSpaceDE w:val="0"/>
        <w:autoSpaceDN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p>
    <w:p w14:paraId="6C0756EA">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3.我方投标保证金与本投标文件同时提交。</w:t>
      </w:r>
    </w:p>
    <w:p w14:paraId="60C75ACC">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4.如果我方中标，我方保证按照招标文件规定提交履约保证金，承担履约责任。</w:t>
      </w:r>
    </w:p>
    <w:p w14:paraId="4BF76594">
      <w:pPr>
        <w:pStyle w:val="7"/>
        <w:spacing w:before="37" w:line="463" w:lineRule="auto"/>
        <w:ind w:left="8" w:right="15" w:firstLine="554"/>
        <w:rPr>
          <w:sz w:val="24"/>
          <w:szCs w:val="24"/>
          <w:highlight w:val="none"/>
        </w:rPr>
      </w:pPr>
      <w:r>
        <w:rPr>
          <w:rFonts w:hint="eastAsia" w:ascii="仿宋" w:hAnsi="仿宋" w:eastAsia="仿宋" w:cs="仿宋"/>
          <w:color w:val="auto"/>
          <w:sz w:val="24"/>
          <w:szCs w:val="24"/>
          <w:highlight w:val="none"/>
          <w:lang w:val="zh-CN"/>
        </w:rPr>
        <w:t>5.</w:t>
      </w:r>
      <w:r>
        <w:rPr>
          <w:spacing w:val="-1"/>
          <w:sz w:val="24"/>
          <w:szCs w:val="24"/>
          <w:highlight w:val="none"/>
        </w:rPr>
        <w:t>我们已经详细地阅读并完全明白了全部招标文件及附件，包括澄清</w:t>
      </w:r>
      <w:r>
        <w:rPr>
          <w:spacing w:val="-2"/>
          <w:sz w:val="24"/>
          <w:szCs w:val="24"/>
          <w:highlight w:val="none"/>
        </w:rPr>
        <w:t>（如有）及参考文件，</w:t>
      </w:r>
      <w:r>
        <w:rPr>
          <w:spacing w:val="-1"/>
          <w:sz w:val="24"/>
          <w:szCs w:val="24"/>
          <w:highlight w:val="none"/>
        </w:rPr>
        <w:t>我们完全理解本招标文件的要求，我们同意放弃对招标文件提出</w:t>
      </w:r>
      <w:r>
        <w:rPr>
          <w:spacing w:val="-2"/>
          <w:sz w:val="24"/>
          <w:szCs w:val="24"/>
          <w:highlight w:val="none"/>
        </w:rPr>
        <w:t>不明或误解的一切权力。</w:t>
      </w:r>
    </w:p>
    <w:p w14:paraId="53AF7672">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cs="仿宋"/>
          <w:color w:val="auto"/>
          <w:sz w:val="24"/>
          <w:szCs w:val="24"/>
          <w:highlight w:val="none"/>
          <w:lang w:val="en-US" w:eastAsia="zh-CN"/>
        </w:rPr>
        <w:t>6</w:t>
      </w:r>
      <w:r>
        <w:rPr>
          <w:rFonts w:hint="eastAsia" w:ascii="仿宋" w:hAnsi="仿宋" w:eastAsia="仿宋" w:cs="仿宋"/>
          <w:color w:val="auto"/>
          <w:sz w:val="24"/>
          <w:szCs w:val="24"/>
          <w:highlight w:val="none"/>
          <w:lang w:val="zh-CN"/>
        </w:rPr>
        <w:t>.我们同意提供采购人或者采购代理机构与评标委员会要求的有关投标的一切数据或资料。</w:t>
      </w:r>
    </w:p>
    <w:p w14:paraId="707B49D8">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lang w:val="zh-CN"/>
        </w:rPr>
        <w:t>如果我们未对招标文件全部要求作出实质性响应，则完全同意并接受按无效投标处理。</w:t>
      </w:r>
    </w:p>
    <w:p w14:paraId="2CDFDDC9">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cs="仿宋"/>
          <w:color w:val="auto"/>
          <w:sz w:val="24"/>
          <w:szCs w:val="24"/>
          <w:highlight w:val="none"/>
          <w:lang w:val="en-US" w:eastAsia="zh-CN"/>
        </w:rPr>
        <w:t>8.</w:t>
      </w:r>
      <w:r>
        <w:rPr>
          <w:rFonts w:hint="eastAsia" w:ascii="仿宋" w:hAnsi="仿宋" w:eastAsia="仿宋" w:cs="仿宋"/>
          <w:color w:val="auto"/>
          <w:sz w:val="24"/>
          <w:szCs w:val="24"/>
          <w:highlight w:val="none"/>
          <w:lang w:val="zh-CN"/>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1F455A13">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cs="仿宋"/>
          <w:color w:val="auto"/>
          <w:sz w:val="24"/>
          <w:szCs w:val="24"/>
          <w:highlight w:val="none"/>
          <w:lang w:val="en-US" w:eastAsia="zh-CN"/>
        </w:rPr>
        <w:t>9</w:t>
      </w:r>
      <w:r>
        <w:rPr>
          <w:rFonts w:hint="eastAsia" w:ascii="仿宋" w:hAnsi="仿宋" w:eastAsia="仿宋" w:cs="仿宋"/>
          <w:color w:val="auto"/>
          <w:sz w:val="24"/>
          <w:szCs w:val="24"/>
          <w:highlight w:val="none"/>
          <w:lang w:val="zh-CN"/>
        </w:rPr>
        <w:t>.我们对招标文件关于时限、程序方面的规定没有异议，保证按照招标文件规定的时限和程序参加投标活动。</w:t>
      </w:r>
    </w:p>
    <w:p w14:paraId="4024A199">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cs="仿宋"/>
          <w:color w:val="auto"/>
          <w:sz w:val="24"/>
          <w:szCs w:val="24"/>
          <w:highlight w:val="none"/>
          <w:lang w:val="en-US" w:eastAsia="zh-CN"/>
        </w:rPr>
        <w:t>10</w:t>
      </w:r>
      <w:r>
        <w:rPr>
          <w:rFonts w:hint="eastAsia" w:ascii="仿宋" w:hAnsi="仿宋" w:eastAsia="仿宋" w:cs="仿宋"/>
          <w:color w:val="auto"/>
          <w:sz w:val="24"/>
          <w:szCs w:val="24"/>
          <w:highlight w:val="none"/>
          <w:lang w:val="zh-CN"/>
        </w:rPr>
        <w:t>.我们同意在投标人须知规定的开标时间起遵循本投标书，并在投标人须知规定的投标有效期满之前均具有约束力，并有可能中标。</w:t>
      </w:r>
    </w:p>
    <w:p w14:paraId="7404A29E">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cs="仿宋"/>
          <w:color w:val="auto"/>
          <w:sz w:val="24"/>
          <w:szCs w:val="24"/>
          <w:highlight w:val="none"/>
          <w:lang w:val="en-US" w:eastAsia="zh-CN"/>
        </w:rPr>
        <w:t>11</w:t>
      </w:r>
      <w:r>
        <w:rPr>
          <w:rFonts w:hint="eastAsia" w:ascii="仿宋" w:hAnsi="仿宋" w:eastAsia="仿宋" w:cs="仿宋"/>
          <w:color w:val="auto"/>
          <w:sz w:val="24"/>
          <w:szCs w:val="24"/>
          <w:highlight w:val="none"/>
          <w:lang w:val="zh-CN"/>
        </w:rPr>
        <w:t>.我们如果在规定的投标有效期内撤回投标，则你方可不予退还我们的投标保证金。</w:t>
      </w:r>
    </w:p>
    <w:p w14:paraId="4F612C1E">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cs="仿宋"/>
          <w:color w:val="auto"/>
          <w:sz w:val="24"/>
          <w:szCs w:val="24"/>
          <w:highlight w:val="none"/>
          <w:lang w:val="en-US" w:eastAsia="zh-CN"/>
        </w:rPr>
        <w:t>12</w:t>
      </w:r>
      <w:r>
        <w:rPr>
          <w:rFonts w:hint="eastAsia" w:ascii="仿宋" w:hAnsi="仿宋" w:eastAsia="仿宋" w:cs="仿宋"/>
          <w:color w:val="auto"/>
          <w:sz w:val="24"/>
          <w:szCs w:val="24"/>
          <w:highlight w:val="none"/>
          <w:lang w:val="zh-CN"/>
        </w:rPr>
        <w:t>.我们保证向你方提供你方可能要求的与本投标有关的任何证据或资料。</w:t>
      </w:r>
    </w:p>
    <w:p w14:paraId="344A250C">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zh-CN"/>
        </w:rPr>
        <w:t>.我们完全理解你方不一定要接受最低报价的投标或收到的任何投标。</w:t>
      </w:r>
    </w:p>
    <w:p w14:paraId="6809B23E">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zh-CN"/>
        </w:rPr>
        <w:t>.本投标自开标之时起90天内有效。</w:t>
      </w:r>
    </w:p>
    <w:p w14:paraId="542D2BCD">
      <w:pPr>
        <w:tabs>
          <w:tab w:val="left" w:pos="709"/>
        </w:tabs>
        <w:autoSpaceDE w:val="0"/>
        <w:autoSpaceDN w:val="0"/>
        <w:spacing w:line="360" w:lineRule="auto"/>
        <w:ind w:firstLine="482"/>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1</w:t>
      </w:r>
      <w:r>
        <w:rPr>
          <w:rFonts w:hint="eastAsia"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5999909B">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）提供虚假材料谋取中标、成交的；</w:t>
      </w:r>
    </w:p>
    <w:p w14:paraId="5D1E053B">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）采取不正当手段诋毁、排挤其他投标人的；</w:t>
      </w:r>
    </w:p>
    <w:p w14:paraId="0F86F467">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）与其他投标人、招标代理机构或者采购单位人员或者其他有关人员恶意串通的；</w:t>
      </w:r>
    </w:p>
    <w:p w14:paraId="164D16FD">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）向评标委员会成员、招标代理机构或者采购单位人员或者其他有关人员行贿或者提供其他不正当利益的；</w:t>
      </w:r>
    </w:p>
    <w:p w14:paraId="2EFD152D">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58D985A3">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）将中标项目转让给他人或者将中标项目分包给他人的；</w:t>
      </w:r>
    </w:p>
    <w:p w14:paraId="1219625C">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zh-CN"/>
        </w:rPr>
        <w:t>）签订合同后拒绝履行合同义务的；</w:t>
      </w:r>
    </w:p>
    <w:p w14:paraId="434098E8">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）拒绝有关部门监督检查或提供虚假情况的。</w:t>
      </w:r>
    </w:p>
    <w:p w14:paraId="5E3358DB">
      <w:pPr>
        <w:autoSpaceDE w:val="0"/>
        <w:autoSpaceDN w:val="0"/>
        <w:spacing w:line="360" w:lineRule="auto"/>
        <w:ind w:firstLine="480"/>
        <w:rPr>
          <w:rFonts w:hint="eastAsia" w:ascii="仿宋" w:hAnsi="仿宋" w:eastAsia="仿宋" w:cs="仿宋"/>
          <w:color w:val="auto"/>
          <w:sz w:val="24"/>
          <w:szCs w:val="24"/>
          <w:highlight w:val="none"/>
          <w:lang w:val="zh-CN"/>
        </w:rPr>
      </w:pPr>
    </w:p>
    <w:p w14:paraId="02A76F35">
      <w:pPr>
        <w:autoSpaceDE w:val="0"/>
        <w:autoSpaceDN w:val="0"/>
        <w:spacing w:line="360" w:lineRule="auto"/>
        <w:ind w:left="1680" w:leftChars="0" w:firstLine="1701"/>
        <w:rPr>
          <w:rFonts w:hint="eastAsia" w:ascii="仿宋" w:hAnsi="仿宋" w:eastAsia="仿宋" w:cs="仿宋"/>
          <w:b/>
          <w:bCs/>
          <w:color w:val="auto"/>
          <w:sz w:val="24"/>
          <w:szCs w:val="24"/>
          <w:highlight w:val="none"/>
          <w:u w:val="single"/>
          <w:lang w:val="zh-CN"/>
        </w:rPr>
      </w:pPr>
      <w:r>
        <w:rPr>
          <w:rFonts w:hint="eastAsia" w:ascii="仿宋" w:hAnsi="仿宋" w:eastAsia="仿宋" w:cs="仿宋"/>
          <w:b/>
          <w:bCs/>
          <w:color w:val="auto"/>
          <w:sz w:val="24"/>
          <w:szCs w:val="24"/>
          <w:highlight w:val="none"/>
          <w:lang w:val="zh-CN"/>
        </w:rPr>
        <w:t>投标人名称（加盖公章）：</w:t>
      </w:r>
    </w:p>
    <w:p w14:paraId="46BB5EA5">
      <w:pPr>
        <w:autoSpaceDE w:val="0"/>
        <w:autoSpaceDN w:val="0"/>
        <w:spacing w:line="360" w:lineRule="auto"/>
        <w:ind w:left="1680" w:leftChars="0" w:firstLine="1701"/>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投标人代表姓名（手书签名）：</w:t>
      </w:r>
    </w:p>
    <w:p w14:paraId="5441B552">
      <w:pPr>
        <w:autoSpaceDE w:val="0"/>
        <w:autoSpaceDN w:val="0"/>
        <w:spacing w:line="360" w:lineRule="auto"/>
        <w:ind w:left="1680" w:leftChars="0" w:firstLine="1701"/>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地址：</w:t>
      </w:r>
    </w:p>
    <w:p w14:paraId="24DEC842">
      <w:pPr>
        <w:autoSpaceDE w:val="0"/>
        <w:autoSpaceDN w:val="0"/>
        <w:spacing w:line="360" w:lineRule="auto"/>
        <w:ind w:left="1680" w:leftChars="0" w:firstLine="1701"/>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电话、传真或电传：</w:t>
      </w:r>
    </w:p>
    <w:p w14:paraId="0B4463C1">
      <w:pPr>
        <w:autoSpaceDE w:val="0"/>
        <w:autoSpaceDN w:val="0"/>
        <w:spacing w:line="360" w:lineRule="auto"/>
        <w:ind w:left="1680" w:leftChars="0" w:firstLine="1701"/>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邮政编码：</w:t>
      </w:r>
    </w:p>
    <w:p w14:paraId="40F44E27">
      <w:pPr>
        <w:autoSpaceDE w:val="0"/>
        <w:autoSpaceDN w:val="0"/>
        <w:spacing w:line="360" w:lineRule="auto"/>
        <w:ind w:left="1680" w:leftChars="0" w:firstLine="1701"/>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日期：年月日</w:t>
      </w:r>
    </w:p>
    <w:p w14:paraId="33CE31A9">
      <w:pPr>
        <w:autoSpaceDE w:val="0"/>
        <w:autoSpaceDN w:val="0"/>
        <w:spacing w:line="360" w:lineRule="auto"/>
        <w:ind w:firstLine="1701"/>
        <w:rPr>
          <w:rFonts w:hint="eastAsia" w:ascii="仿宋" w:hAnsi="仿宋" w:eastAsia="仿宋" w:cs="仿宋"/>
          <w:color w:val="auto"/>
          <w:sz w:val="24"/>
          <w:szCs w:val="24"/>
          <w:highlight w:val="none"/>
          <w:lang w:val="zh-CN"/>
        </w:rPr>
      </w:pPr>
    </w:p>
    <w:p w14:paraId="1C7A360C">
      <w:pPr>
        <w:autoSpaceDE w:val="0"/>
        <w:autoSpaceDN w:val="0"/>
        <w:adjustRightInd w:val="0"/>
        <w:spacing w:line="400" w:lineRule="exact"/>
        <w:jc w:val="center"/>
        <w:outlineLvl w:val="9"/>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请投标人注意：投标函必须按规定有效签署和加盖公章，否则为废标。</w:t>
      </w:r>
    </w:p>
    <w:p w14:paraId="1156AF5B">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6DC16B7">
      <w:pPr>
        <w:pStyle w:val="4"/>
        <w:numPr>
          <w:ilvl w:val="0"/>
          <w:numId w:val="30"/>
        </w:numPr>
        <w:spacing w:before="0" w:after="0" w:line="360" w:lineRule="auto"/>
        <w:jc w:val="center"/>
        <w:rPr>
          <w:rFonts w:hint="eastAsia" w:cs="仿宋"/>
          <w:color w:val="auto"/>
          <w:sz w:val="28"/>
          <w:szCs w:val="28"/>
          <w:highlight w:val="none"/>
          <w:lang w:val="en-US" w:eastAsia="zh-CN"/>
        </w:rPr>
      </w:pPr>
      <w:r>
        <w:rPr>
          <w:rFonts w:hint="eastAsia" w:ascii="仿宋" w:hAnsi="仿宋" w:eastAsia="仿宋" w:cs="仿宋"/>
          <w:color w:val="auto"/>
          <w:sz w:val="28"/>
          <w:szCs w:val="28"/>
          <w:highlight w:val="none"/>
        </w:rPr>
        <w:t>投标函</w:t>
      </w:r>
      <w:r>
        <w:rPr>
          <w:rFonts w:hint="eastAsia" w:cs="仿宋"/>
          <w:color w:val="auto"/>
          <w:sz w:val="28"/>
          <w:szCs w:val="28"/>
          <w:highlight w:val="none"/>
          <w:lang w:val="en-US" w:eastAsia="zh-CN"/>
        </w:rPr>
        <w:t>附录</w:t>
      </w:r>
    </w:p>
    <w:p w14:paraId="28451ABF">
      <w:pPr>
        <w:numPr>
          <w:ilvl w:val="0"/>
          <w:numId w:val="0"/>
        </w:numPr>
        <w:ind w:firstLine="0"/>
        <w:rPr>
          <w:rFonts w:hint="eastAsia"/>
          <w:color w:val="auto"/>
          <w:highlight w:val="none"/>
          <w:lang w:val="en-US" w:eastAsia="zh-CN"/>
        </w:rPr>
      </w:pPr>
      <w:r>
        <w:rPr>
          <w:rFonts w:hint="eastAsia"/>
          <w:color w:val="auto"/>
          <w:highlight w:val="none"/>
          <w:lang w:val="en-US" w:eastAsia="zh-CN"/>
        </w:rPr>
        <w:t>项目名称:</w:t>
      </w:r>
    </w:p>
    <w:p w14:paraId="37E6FE84">
      <w:pPr>
        <w:numPr>
          <w:ilvl w:val="0"/>
          <w:numId w:val="0"/>
        </w:numPr>
        <w:ind w:firstLine="0"/>
        <w:rPr>
          <w:rFonts w:hint="eastAsia"/>
          <w:color w:val="auto"/>
          <w:highlight w:val="none"/>
          <w:lang w:val="en-US" w:eastAsia="zh-CN"/>
        </w:rPr>
      </w:pPr>
      <w:r>
        <w:rPr>
          <w:rFonts w:hint="eastAsia"/>
          <w:color w:val="auto"/>
          <w:highlight w:val="none"/>
          <w:lang w:val="en-US" w:eastAsia="zh-CN"/>
        </w:rPr>
        <w:t>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276"/>
        <w:gridCol w:w="3210"/>
        <w:gridCol w:w="2131"/>
      </w:tblGrid>
      <w:tr w14:paraId="2761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7535E2D4">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2276" w:type="dxa"/>
          </w:tcPr>
          <w:p w14:paraId="336A45D8">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条款内容</w:t>
            </w:r>
          </w:p>
        </w:tc>
        <w:tc>
          <w:tcPr>
            <w:tcW w:w="3210" w:type="dxa"/>
          </w:tcPr>
          <w:p w14:paraId="28D364DC">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约定内容</w:t>
            </w:r>
          </w:p>
        </w:tc>
        <w:tc>
          <w:tcPr>
            <w:tcW w:w="2131" w:type="dxa"/>
          </w:tcPr>
          <w:p w14:paraId="1CC5747B">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备注</w:t>
            </w:r>
          </w:p>
        </w:tc>
      </w:tr>
      <w:tr w14:paraId="22BA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3BA4AF80">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2276" w:type="dxa"/>
          </w:tcPr>
          <w:p w14:paraId="50558882">
            <w:pPr>
              <w:pStyle w:val="9"/>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供货期</w:t>
            </w:r>
          </w:p>
        </w:tc>
        <w:tc>
          <w:tcPr>
            <w:tcW w:w="3210" w:type="dxa"/>
          </w:tcPr>
          <w:p w14:paraId="57A6ADE2">
            <w:pPr>
              <w:pStyle w:val="9"/>
              <w:widowControl w:val="0"/>
              <w:jc w:val="both"/>
              <w:rPr>
                <w:rFonts w:hint="default"/>
                <w:color w:val="auto"/>
                <w:highlight w:val="none"/>
                <w:vertAlign w:val="baseline"/>
                <w:lang w:val="en-US" w:eastAsia="zh-CN"/>
              </w:rPr>
            </w:pPr>
          </w:p>
        </w:tc>
        <w:tc>
          <w:tcPr>
            <w:tcW w:w="2131" w:type="dxa"/>
          </w:tcPr>
          <w:p w14:paraId="49585CC2">
            <w:pPr>
              <w:pStyle w:val="9"/>
              <w:widowControl w:val="0"/>
              <w:jc w:val="both"/>
              <w:rPr>
                <w:rFonts w:hint="default"/>
                <w:color w:val="auto"/>
                <w:highlight w:val="none"/>
                <w:vertAlign w:val="baseline"/>
                <w:lang w:val="en-US" w:eastAsia="zh-CN"/>
              </w:rPr>
            </w:pPr>
          </w:p>
        </w:tc>
      </w:tr>
      <w:tr w14:paraId="5256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151FFA8F">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2276" w:type="dxa"/>
          </w:tcPr>
          <w:p w14:paraId="502AFEBA">
            <w:pPr>
              <w:pStyle w:val="9"/>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供货地点</w:t>
            </w:r>
          </w:p>
        </w:tc>
        <w:tc>
          <w:tcPr>
            <w:tcW w:w="3210" w:type="dxa"/>
          </w:tcPr>
          <w:p w14:paraId="711A7E06">
            <w:pPr>
              <w:pStyle w:val="9"/>
              <w:widowControl w:val="0"/>
              <w:jc w:val="both"/>
              <w:rPr>
                <w:rFonts w:hint="default"/>
                <w:color w:val="auto"/>
                <w:highlight w:val="none"/>
                <w:vertAlign w:val="baseline"/>
                <w:lang w:val="en-US" w:eastAsia="zh-CN"/>
              </w:rPr>
            </w:pPr>
          </w:p>
        </w:tc>
        <w:tc>
          <w:tcPr>
            <w:tcW w:w="2131" w:type="dxa"/>
          </w:tcPr>
          <w:p w14:paraId="189AA90C">
            <w:pPr>
              <w:pStyle w:val="9"/>
              <w:widowControl w:val="0"/>
              <w:jc w:val="both"/>
              <w:rPr>
                <w:rFonts w:hint="default"/>
                <w:color w:val="auto"/>
                <w:highlight w:val="none"/>
                <w:vertAlign w:val="baseline"/>
                <w:lang w:val="en-US" w:eastAsia="zh-CN"/>
              </w:rPr>
            </w:pPr>
          </w:p>
        </w:tc>
      </w:tr>
      <w:tr w14:paraId="4CEB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7B779411">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2276" w:type="dxa"/>
          </w:tcPr>
          <w:p w14:paraId="2EE1A2EF">
            <w:pPr>
              <w:pStyle w:val="9"/>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质量标准</w:t>
            </w:r>
          </w:p>
        </w:tc>
        <w:tc>
          <w:tcPr>
            <w:tcW w:w="3210" w:type="dxa"/>
          </w:tcPr>
          <w:p w14:paraId="522E192B">
            <w:pPr>
              <w:pStyle w:val="9"/>
              <w:widowControl w:val="0"/>
              <w:jc w:val="both"/>
              <w:rPr>
                <w:rFonts w:hint="default"/>
                <w:color w:val="auto"/>
                <w:highlight w:val="none"/>
                <w:vertAlign w:val="baseline"/>
                <w:lang w:val="en-US" w:eastAsia="zh-CN"/>
              </w:rPr>
            </w:pPr>
          </w:p>
        </w:tc>
        <w:tc>
          <w:tcPr>
            <w:tcW w:w="2131" w:type="dxa"/>
          </w:tcPr>
          <w:p w14:paraId="3489F420">
            <w:pPr>
              <w:pStyle w:val="9"/>
              <w:widowControl w:val="0"/>
              <w:jc w:val="both"/>
              <w:rPr>
                <w:rFonts w:hint="default"/>
                <w:color w:val="auto"/>
                <w:highlight w:val="none"/>
                <w:vertAlign w:val="baseline"/>
                <w:lang w:val="en-US" w:eastAsia="zh-CN"/>
              </w:rPr>
            </w:pPr>
          </w:p>
        </w:tc>
      </w:tr>
      <w:tr w14:paraId="6760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502A7E67">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2276" w:type="dxa"/>
          </w:tcPr>
          <w:p w14:paraId="013DA7E5">
            <w:pPr>
              <w:pStyle w:val="9"/>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联合体投标</w:t>
            </w:r>
          </w:p>
        </w:tc>
        <w:tc>
          <w:tcPr>
            <w:tcW w:w="3210" w:type="dxa"/>
          </w:tcPr>
          <w:p w14:paraId="1DBD60A3">
            <w:pPr>
              <w:pStyle w:val="9"/>
              <w:widowControl w:val="0"/>
              <w:jc w:val="both"/>
              <w:rPr>
                <w:rFonts w:hint="default"/>
                <w:color w:val="auto"/>
                <w:highlight w:val="none"/>
                <w:vertAlign w:val="baseline"/>
                <w:lang w:val="en-US" w:eastAsia="zh-CN"/>
              </w:rPr>
            </w:pPr>
          </w:p>
        </w:tc>
        <w:tc>
          <w:tcPr>
            <w:tcW w:w="2131" w:type="dxa"/>
          </w:tcPr>
          <w:p w14:paraId="3CB898D3">
            <w:pPr>
              <w:pStyle w:val="9"/>
              <w:widowControl w:val="0"/>
              <w:jc w:val="both"/>
              <w:rPr>
                <w:rFonts w:hint="default"/>
                <w:color w:val="auto"/>
                <w:highlight w:val="none"/>
                <w:vertAlign w:val="baseline"/>
                <w:lang w:val="en-US" w:eastAsia="zh-CN"/>
              </w:rPr>
            </w:pPr>
          </w:p>
        </w:tc>
      </w:tr>
      <w:tr w14:paraId="5146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41A94535">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2276" w:type="dxa"/>
          </w:tcPr>
          <w:p w14:paraId="2E876B67">
            <w:pPr>
              <w:pStyle w:val="9"/>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分包</w:t>
            </w:r>
          </w:p>
        </w:tc>
        <w:tc>
          <w:tcPr>
            <w:tcW w:w="3210" w:type="dxa"/>
          </w:tcPr>
          <w:p w14:paraId="40DAD49F">
            <w:pPr>
              <w:pStyle w:val="9"/>
              <w:widowControl w:val="0"/>
              <w:jc w:val="both"/>
              <w:rPr>
                <w:rFonts w:hint="default"/>
                <w:color w:val="auto"/>
                <w:highlight w:val="none"/>
                <w:vertAlign w:val="baseline"/>
                <w:lang w:val="en-US" w:eastAsia="zh-CN"/>
              </w:rPr>
            </w:pPr>
          </w:p>
        </w:tc>
        <w:tc>
          <w:tcPr>
            <w:tcW w:w="2131" w:type="dxa"/>
          </w:tcPr>
          <w:p w14:paraId="340CAC84">
            <w:pPr>
              <w:pStyle w:val="9"/>
              <w:widowControl w:val="0"/>
              <w:jc w:val="both"/>
              <w:rPr>
                <w:rFonts w:hint="default"/>
                <w:color w:val="auto"/>
                <w:highlight w:val="none"/>
                <w:vertAlign w:val="baseline"/>
                <w:lang w:val="en-US" w:eastAsia="zh-CN"/>
              </w:rPr>
            </w:pPr>
          </w:p>
        </w:tc>
      </w:tr>
      <w:tr w14:paraId="2B6E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378F1DE3">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2276" w:type="dxa"/>
          </w:tcPr>
          <w:p w14:paraId="25B3B5E2">
            <w:pPr>
              <w:pStyle w:val="9"/>
              <w:widowControl w:val="0"/>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投标有效期</w:t>
            </w:r>
          </w:p>
        </w:tc>
        <w:tc>
          <w:tcPr>
            <w:tcW w:w="3210" w:type="dxa"/>
          </w:tcPr>
          <w:p w14:paraId="76012649">
            <w:pPr>
              <w:pStyle w:val="9"/>
              <w:widowControl w:val="0"/>
              <w:jc w:val="both"/>
              <w:rPr>
                <w:rFonts w:hint="default"/>
                <w:color w:val="auto"/>
                <w:highlight w:val="none"/>
                <w:vertAlign w:val="baseline"/>
                <w:lang w:val="en-US" w:eastAsia="zh-CN"/>
              </w:rPr>
            </w:pPr>
          </w:p>
        </w:tc>
        <w:tc>
          <w:tcPr>
            <w:tcW w:w="2131" w:type="dxa"/>
          </w:tcPr>
          <w:p w14:paraId="283B0125">
            <w:pPr>
              <w:pStyle w:val="9"/>
              <w:widowControl w:val="0"/>
              <w:jc w:val="both"/>
              <w:rPr>
                <w:rFonts w:hint="default"/>
                <w:color w:val="auto"/>
                <w:highlight w:val="none"/>
                <w:vertAlign w:val="baseline"/>
                <w:lang w:val="en-US" w:eastAsia="zh-CN"/>
              </w:rPr>
            </w:pPr>
          </w:p>
        </w:tc>
      </w:tr>
      <w:tr w14:paraId="4787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488BA0AF">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2276" w:type="dxa"/>
          </w:tcPr>
          <w:p w14:paraId="385ED658">
            <w:pPr>
              <w:pStyle w:val="9"/>
              <w:widowControl w:val="0"/>
              <w:ind w:firstLine="0"/>
              <w:jc w:val="both"/>
              <w:rPr>
                <w:rFonts w:hint="default" w:ascii="仿宋" w:hAnsi="仿宋" w:eastAsia="仿宋" w:cs="仿宋"/>
                <w:color w:val="auto"/>
                <w:sz w:val="21"/>
                <w:szCs w:val="21"/>
                <w:highlight w:val="none"/>
                <w:lang w:val="en-US" w:eastAsia="zh-CN"/>
              </w:rPr>
            </w:pPr>
          </w:p>
        </w:tc>
        <w:tc>
          <w:tcPr>
            <w:tcW w:w="3210" w:type="dxa"/>
          </w:tcPr>
          <w:p w14:paraId="35633378">
            <w:pPr>
              <w:pStyle w:val="9"/>
              <w:widowControl w:val="0"/>
              <w:jc w:val="both"/>
              <w:rPr>
                <w:rFonts w:hint="default"/>
                <w:color w:val="auto"/>
                <w:highlight w:val="none"/>
                <w:vertAlign w:val="baseline"/>
                <w:lang w:val="en-US" w:eastAsia="zh-CN"/>
              </w:rPr>
            </w:pPr>
          </w:p>
        </w:tc>
        <w:tc>
          <w:tcPr>
            <w:tcW w:w="2131" w:type="dxa"/>
          </w:tcPr>
          <w:p w14:paraId="0E7E4781">
            <w:pPr>
              <w:pStyle w:val="9"/>
              <w:widowControl w:val="0"/>
              <w:jc w:val="both"/>
              <w:rPr>
                <w:rFonts w:hint="default"/>
                <w:color w:val="auto"/>
                <w:highlight w:val="none"/>
                <w:vertAlign w:val="baseline"/>
                <w:lang w:val="en-US" w:eastAsia="zh-CN"/>
              </w:rPr>
            </w:pPr>
          </w:p>
        </w:tc>
      </w:tr>
      <w:tr w14:paraId="7F04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51835C00">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2276" w:type="dxa"/>
          </w:tcPr>
          <w:p w14:paraId="6CF175CD">
            <w:pPr>
              <w:pStyle w:val="9"/>
              <w:widowControl w:val="0"/>
              <w:jc w:val="both"/>
              <w:rPr>
                <w:rFonts w:hint="default"/>
                <w:color w:val="auto"/>
                <w:highlight w:val="none"/>
                <w:vertAlign w:val="baseline"/>
                <w:lang w:val="en-US" w:eastAsia="zh-CN"/>
              </w:rPr>
            </w:pPr>
          </w:p>
        </w:tc>
        <w:tc>
          <w:tcPr>
            <w:tcW w:w="3210" w:type="dxa"/>
          </w:tcPr>
          <w:p w14:paraId="77998634">
            <w:pPr>
              <w:pStyle w:val="9"/>
              <w:widowControl w:val="0"/>
              <w:jc w:val="both"/>
              <w:rPr>
                <w:rFonts w:hint="default"/>
                <w:color w:val="auto"/>
                <w:highlight w:val="none"/>
                <w:vertAlign w:val="baseline"/>
                <w:lang w:val="en-US" w:eastAsia="zh-CN"/>
              </w:rPr>
            </w:pPr>
          </w:p>
        </w:tc>
        <w:tc>
          <w:tcPr>
            <w:tcW w:w="2131" w:type="dxa"/>
          </w:tcPr>
          <w:p w14:paraId="5E064778">
            <w:pPr>
              <w:pStyle w:val="9"/>
              <w:widowControl w:val="0"/>
              <w:jc w:val="both"/>
              <w:rPr>
                <w:rFonts w:hint="default"/>
                <w:color w:val="auto"/>
                <w:highlight w:val="none"/>
                <w:vertAlign w:val="baseline"/>
                <w:lang w:val="en-US" w:eastAsia="zh-CN"/>
              </w:rPr>
            </w:pPr>
          </w:p>
        </w:tc>
      </w:tr>
      <w:tr w14:paraId="610A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277CA599">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2276" w:type="dxa"/>
          </w:tcPr>
          <w:p w14:paraId="6BCF7EB0">
            <w:pPr>
              <w:pStyle w:val="9"/>
              <w:widowControl w:val="0"/>
              <w:jc w:val="both"/>
              <w:rPr>
                <w:rFonts w:hint="default"/>
                <w:color w:val="auto"/>
                <w:highlight w:val="none"/>
                <w:vertAlign w:val="baseline"/>
                <w:lang w:val="en-US" w:eastAsia="zh-CN"/>
              </w:rPr>
            </w:pPr>
          </w:p>
        </w:tc>
        <w:tc>
          <w:tcPr>
            <w:tcW w:w="3210" w:type="dxa"/>
          </w:tcPr>
          <w:p w14:paraId="6E897BBE">
            <w:pPr>
              <w:pStyle w:val="9"/>
              <w:widowControl w:val="0"/>
              <w:jc w:val="both"/>
              <w:rPr>
                <w:rFonts w:hint="default"/>
                <w:color w:val="auto"/>
                <w:highlight w:val="none"/>
                <w:vertAlign w:val="baseline"/>
                <w:lang w:val="en-US" w:eastAsia="zh-CN"/>
              </w:rPr>
            </w:pPr>
          </w:p>
        </w:tc>
        <w:tc>
          <w:tcPr>
            <w:tcW w:w="2131" w:type="dxa"/>
          </w:tcPr>
          <w:p w14:paraId="4F0B5B09">
            <w:pPr>
              <w:pStyle w:val="9"/>
              <w:widowControl w:val="0"/>
              <w:jc w:val="both"/>
              <w:rPr>
                <w:rFonts w:hint="default"/>
                <w:color w:val="auto"/>
                <w:highlight w:val="none"/>
                <w:vertAlign w:val="baseline"/>
                <w:lang w:val="en-US" w:eastAsia="zh-CN"/>
              </w:rPr>
            </w:pPr>
          </w:p>
        </w:tc>
      </w:tr>
      <w:tr w14:paraId="32EE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14:paraId="57277E0B">
            <w:pPr>
              <w:pStyle w:val="9"/>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2276" w:type="dxa"/>
          </w:tcPr>
          <w:p w14:paraId="71A2E438">
            <w:pPr>
              <w:pStyle w:val="9"/>
              <w:widowControl w:val="0"/>
              <w:jc w:val="both"/>
              <w:rPr>
                <w:rFonts w:hint="default"/>
                <w:color w:val="auto"/>
                <w:highlight w:val="none"/>
                <w:vertAlign w:val="baseline"/>
                <w:lang w:val="en-US" w:eastAsia="zh-CN"/>
              </w:rPr>
            </w:pPr>
          </w:p>
        </w:tc>
        <w:tc>
          <w:tcPr>
            <w:tcW w:w="3210" w:type="dxa"/>
          </w:tcPr>
          <w:p w14:paraId="611D5A2B">
            <w:pPr>
              <w:pStyle w:val="9"/>
              <w:widowControl w:val="0"/>
              <w:jc w:val="both"/>
              <w:rPr>
                <w:rFonts w:hint="default"/>
                <w:color w:val="auto"/>
                <w:highlight w:val="none"/>
                <w:vertAlign w:val="baseline"/>
                <w:lang w:val="en-US" w:eastAsia="zh-CN"/>
              </w:rPr>
            </w:pPr>
          </w:p>
        </w:tc>
        <w:tc>
          <w:tcPr>
            <w:tcW w:w="2131" w:type="dxa"/>
          </w:tcPr>
          <w:p w14:paraId="1FEB0EE5">
            <w:pPr>
              <w:pStyle w:val="9"/>
              <w:widowControl w:val="0"/>
              <w:jc w:val="both"/>
              <w:rPr>
                <w:rFonts w:hint="default"/>
                <w:color w:val="auto"/>
                <w:highlight w:val="none"/>
                <w:vertAlign w:val="baseline"/>
                <w:lang w:val="en-US" w:eastAsia="zh-CN"/>
              </w:rPr>
            </w:pPr>
          </w:p>
        </w:tc>
      </w:tr>
    </w:tbl>
    <w:p w14:paraId="6EDCC408">
      <w:pPr>
        <w:pStyle w:val="9"/>
        <w:rPr>
          <w:rFonts w:hint="default"/>
          <w:color w:val="auto"/>
          <w:highlight w:val="none"/>
          <w:lang w:val="en-US" w:eastAsia="zh-CN"/>
        </w:rPr>
      </w:pPr>
    </w:p>
    <w:p w14:paraId="07077DB3">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投标人：（盖单位公章）</w:t>
      </w:r>
    </w:p>
    <w:p w14:paraId="3B8A1040">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：（签字或盖章）</w:t>
      </w:r>
    </w:p>
    <w:p w14:paraId="0E424A8F">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日期：年月日</w:t>
      </w:r>
    </w:p>
    <w:p w14:paraId="05A36CD1">
      <w:pPr>
        <w:bidi w:val="0"/>
        <w:rPr>
          <w:rFonts w:hint="eastAsia"/>
          <w:color w:val="auto"/>
          <w:highlight w:val="none"/>
          <w:lang w:val="zh-CN" w:eastAsia="zh-CN"/>
        </w:rPr>
      </w:pPr>
    </w:p>
    <w:p w14:paraId="67613C6A">
      <w:pPr>
        <w:bidi w:val="0"/>
        <w:rPr>
          <w:rFonts w:hint="eastAsia"/>
          <w:color w:val="auto"/>
          <w:highlight w:val="none"/>
          <w:lang w:val="zh-CN" w:eastAsia="zh-CN"/>
        </w:rPr>
      </w:pPr>
    </w:p>
    <w:p w14:paraId="006397EC">
      <w:pPr>
        <w:bidi w:val="0"/>
        <w:rPr>
          <w:rFonts w:hint="eastAsia"/>
          <w:color w:val="auto"/>
          <w:highlight w:val="none"/>
          <w:lang w:val="zh-CN" w:eastAsia="zh-CN"/>
        </w:rPr>
      </w:pPr>
    </w:p>
    <w:p w14:paraId="2812B81E">
      <w:pP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rPr>
        <w:br w:type="page"/>
      </w:r>
    </w:p>
    <w:p w14:paraId="63B667A7">
      <w:pPr>
        <w:pStyle w:val="3"/>
        <w:spacing w:before="0" w:line="360" w:lineRule="auto"/>
        <w:ind w:firstLine="643" w:firstLineChars="200"/>
        <w:jc w:val="center"/>
        <w:rPr>
          <w:rFonts w:hint="eastAsia" w:ascii="仿宋" w:hAnsi="仿宋" w:eastAsia="仿宋" w:cs="仿宋"/>
          <w:b/>
          <w:color w:val="auto"/>
          <w:sz w:val="32"/>
          <w:szCs w:val="30"/>
          <w:highlight w:val="none"/>
        </w:rPr>
      </w:pPr>
      <w:r>
        <w:rPr>
          <w:rFonts w:hint="eastAsia" w:ascii="仿宋" w:hAnsi="仿宋" w:eastAsia="仿宋" w:cs="仿宋"/>
          <w:b/>
          <w:color w:val="auto"/>
          <w:sz w:val="32"/>
          <w:szCs w:val="30"/>
          <w:highlight w:val="none"/>
          <w:lang w:val="en-US" w:eastAsia="zh-CN"/>
        </w:rPr>
        <w:t>开标一览表</w:t>
      </w:r>
    </w:p>
    <w:p w14:paraId="7BE48A32">
      <w:pPr>
        <w:autoSpaceDE w:val="0"/>
        <w:autoSpaceDN w:val="0"/>
        <w:adjustRightInd w:val="0"/>
        <w:ind w:firstLine="480" w:firstLineChars="200"/>
        <w:rPr>
          <w:rFonts w:hint="eastAsia" w:ascii="仿宋" w:hAnsi="仿宋" w:eastAsia="仿宋" w:cs="仿宋"/>
          <w:bCs/>
          <w:color w:val="auto"/>
          <w:sz w:val="24"/>
          <w:highlight w:val="none"/>
        </w:rPr>
      </w:pPr>
    </w:p>
    <w:p w14:paraId="5A7A09AD">
      <w:pPr>
        <w:autoSpaceDE w:val="0"/>
        <w:autoSpaceDN w:val="0"/>
        <w:adjustRightIn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p>
    <w:p w14:paraId="1C7E8DFA">
      <w:pPr>
        <w:autoSpaceDE w:val="0"/>
        <w:autoSpaceDN w:val="0"/>
        <w:adjustRightInd w:val="0"/>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项目编号：</w:t>
      </w:r>
    </w:p>
    <w:tbl>
      <w:tblPr>
        <w:tblStyle w:val="18"/>
        <w:tblW w:w="4862" w:type="pc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662"/>
        <w:gridCol w:w="2454"/>
        <w:gridCol w:w="2581"/>
      </w:tblGrid>
      <w:tr w14:paraId="2114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59" w:type="pct"/>
            <w:noWrap w:val="0"/>
            <w:vAlign w:val="center"/>
          </w:tcPr>
          <w:p w14:paraId="6AFEADAB">
            <w:pPr>
              <w:pStyle w:val="9"/>
              <w:spacing w:line="360" w:lineRule="auto"/>
              <w:ind w:left="0" w:leftChars="0" w:firstLine="0" w:firstLineChars="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投标人名称</w:t>
            </w:r>
            <w:r>
              <w:rPr>
                <w:rFonts w:hint="eastAsia" w:ascii="仿宋" w:hAnsi="仿宋" w:eastAsia="仿宋" w:cs="仿宋"/>
                <w:b/>
                <w:color w:val="auto"/>
                <w:sz w:val="24"/>
                <w:szCs w:val="28"/>
                <w:highlight w:val="none"/>
              </w:rPr>
              <w:t>（盖单位章）</w:t>
            </w:r>
          </w:p>
        </w:tc>
        <w:tc>
          <w:tcPr>
            <w:tcW w:w="1002" w:type="pct"/>
            <w:noWrap w:val="0"/>
            <w:vAlign w:val="center"/>
          </w:tcPr>
          <w:p w14:paraId="5C548415">
            <w:pPr>
              <w:pStyle w:val="9"/>
              <w:spacing w:line="360" w:lineRule="auto"/>
              <w:ind w:left="0" w:leftChars="0" w:firstLine="0" w:firstLineChars="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投标总价</w:t>
            </w:r>
            <w:r>
              <w:rPr>
                <w:rFonts w:hint="eastAsia" w:ascii="仿宋" w:hAnsi="仿宋" w:cs="仿宋"/>
                <w:b/>
                <w:color w:val="auto"/>
                <w:sz w:val="24"/>
                <w:highlight w:val="none"/>
                <w:lang w:val="en-US" w:eastAsia="zh-CN"/>
              </w:rPr>
              <w:t>（元）</w:t>
            </w:r>
          </w:p>
        </w:tc>
        <w:tc>
          <w:tcPr>
            <w:tcW w:w="1480" w:type="pct"/>
            <w:noWrap w:val="0"/>
            <w:vAlign w:val="center"/>
          </w:tcPr>
          <w:p w14:paraId="12412B39">
            <w:pPr>
              <w:pStyle w:val="9"/>
              <w:spacing w:line="360" w:lineRule="auto"/>
              <w:ind w:left="0" w:leftChars="0" w:firstLine="0" w:firstLineChars="0"/>
              <w:jc w:val="center"/>
              <w:rPr>
                <w:rFonts w:hint="eastAsia" w:ascii="仿宋" w:hAnsi="仿宋" w:eastAsia="仿宋" w:cs="仿宋"/>
                <w:b/>
                <w:color w:val="auto"/>
                <w:sz w:val="24"/>
                <w:highlight w:val="none"/>
                <w:lang w:val="en-US" w:eastAsia="zh-CN"/>
              </w:rPr>
            </w:pPr>
            <w:r>
              <w:rPr>
                <w:rFonts w:hint="eastAsia" w:ascii="仿宋" w:hAnsi="仿宋" w:cs="仿宋"/>
                <w:b/>
                <w:color w:val="auto"/>
                <w:sz w:val="24"/>
                <w:highlight w:val="none"/>
                <w:lang w:val="en-US" w:eastAsia="zh-CN"/>
              </w:rPr>
              <w:t>供货期</w:t>
            </w:r>
          </w:p>
        </w:tc>
        <w:tc>
          <w:tcPr>
            <w:tcW w:w="1556" w:type="pct"/>
            <w:noWrap w:val="0"/>
            <w:vAlign w:val="center"/>
          </w:tcPr>
          <w:p w14:paraId="18287C54">
            <w:pPr>
              <w:pStyle w:val="9"/>
              <w:spacing w:line="360" w:lineRule="auto"/>
              <w:ind w:left="0" w:leftChars="0" w:firstLine="0" w:firstLineChars="0"/>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质量标准</w:t>
            </w:r>
          </w:p>
        </w:tc>
      </w:tr>
      <w:tr w14:paraId="24C3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959" w:type="pct"/>
            <w:noWrap w:val="0"/>
            <w:vAlign w:val="center"/>
          </w:tcPr>
          <w:p w14:paraId="199512CB">
            <w:pPr>
              <w:pStyle w:val="9"/>
              <w:spacing w:line="360" w:lineRule="auto"/>
              <w:jc w:val="center"/>
              <w:rPr>
                <w:rFonts w:hint="eastAsia" w:ascii="仿宋" w:hAnsi="仿宋" w:eastAsia="仿宋" w:cs="仿宋"/>
                <w:b/>
                <w:color w:val="auto"/>
                <w:sz w:val="24"/>
                <w:highlight w:val="none"/>
                <w:lang w:val="en-US" w:eastAsia="zh-CN"/>
              </w:rPr>
            </w:pPr>
          </w:p>
        </w:tc>
        <w:tc>
          <w:tcPr>
            <w:tcW w:w="1002" w:type="pct"/>
            <w:noWrap w:val="0"/>
            <w:vAlign w:val="center"/>
          </w:tcPr>
          <w:p w14:paraId="07BB6EA1">
            <w:pPr>
              <w:pStyle w:val="9"/>
              <w:spacing w:line="360" w:lineRule="auto"/>
              <w:jc w:val="left"/>
              <w:rPr>
                <w:rFonts w:hint="eastAsia" w:ascii="仿宋" w:hAnsi="仿宋" w:eastAsia="仿宋" w:cs="仿宋"/>
                <w:color w:val="auto"/>
                <w:sz w:val="24"/>
                <w:highlight w:val="none"/>
                <w:lang w:val="en-US" w:eastAsia="zh-CN"/>
              </w:rPr>
            </w:pPr>
          </w:p>
        </w:tc>
        <w:tc>
          <w:tcPr>
            <w:tcW w:w="1480" w:type="pct"/>
            <w:noWrap w:val="0"/>
            <w:vAlign w:val="center"/>
          </w:tcPr>
          <w:p w14:paraId="2525FB63">
            <w:pPr>
              <w:pStyle w:val="9"/>
              <w:spacing w:line="360" w:lineRule="auto"/>
              <w:jc w:val="center"/>
              <w:rPr>
                <w:rFonts w:hint="eastAsia" w:ascii="仿宋" w:hAnsi="仿宋" w:eastAsia="仿宋" w:cs="仿宋"/>
                <w:color w:val="auto"/>
                <w:sz w:val="24"/>
                <w:highlight w:val="none"/>
                <w:lang w:val="en-US" w:eastAsia="zh-CN"/>
              </w:rPr>
            </w:pPr>
          </w:p>
        </w:tc>
        <w:tc>
          <w:tcPr>
            <w:tcW w:w="1556" w:type="pct"/>
            <w:noWrap w:val="0"/>
            <w:vAlign w:val="center"/>
          </w:tcPr>
          <w:p w14:paraId="3E37F3CB">
            <w:pPr>
              <w:pStyle w:val="9"/>
              <w:spacing w:line="360" w:lineRule="auto"/>
              <w:jc w:val="center"/>
              <w:rPr>
                <w:rFonts w:hint="eastAsia" w:ascii="仿宋" w:hAnsi="仿宋" w:eastAsia="仿宋" w:cs="仿宋"/>
                <w:color w:val="auto"/>
                <w:sz w:val="24"/>
                <w:highlight w:val="none"/>
                <w:lang w:val="en-US" w:eastAsia="zh-CN"/>
              </w:rPr>
            </w:pPr>
          </w:p>
        </w:tc>
      </w:tr>
    </w:tbl>
    <w:p w14:paraId="61725FC8">
      <w:pPr>
        <w:autoSpaceDE w:val="0"/>
        <w:autoSpaceDN w:val="0"/>
        <w:adjustRightInd w:val="0"/>
        <w:spacing w:line="360" w:lineRule="auto"/>
        <w:ind w:firstLine="360" w:firstLineChars="150"/>
        <w:rPr>
          <w:rFonts w:hint="eastAsia" w:ascii="仿宋" w:hAnsi="仿宋" w:eastAsia="仿宋" w:cs="仿宋"/>
          <w:color w:val="auto"/>
          <w:sz w:val="24"/>
          <w:highlight w:val="none"/>
          <w:lang w:val="zh-CN"/>
        </w:rPr>
      </w:pPr>
    </w:p>
    <w:p w14:paraId="2FBDEAFE">
      <w:pPr>
        <w:autoSpaceDE w:val="0"/>
        <w:autoSpaceDN w:val="0"/>
        <w:adjustRightInd w:val="0"/>
        <w:spacing w:line="360" w:lineRule="auto"/>
        <w:rPr>
          <w:rFonts w:hint="eastAsia" w:ascii="仿宋" w:hAnsi="仿宋" w:eastAsia="仿宋" w:cs="仿宋"/>
          <w:b/>
          <w:color w:val="auto"/>
          <w:sz w:val="24"/>
          <w:highlight w:val="none"/>
        </w:rPr>
      </w:pPr>
    </w:p>
    <w:p w14:paraId="4D674F31">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投标人：（盖单位公章）</w:t>
      </w:r>
    </w:p>
    <w:p w14:paraId="30ADE5F0">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：（签字或盖章）</w:t>
      </w:r>
    </w:p>
    <w:p w14:paraId="02DED5EA">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日期：年月日</w:t>
      </w:r>
    </w:p>
    <w:p w14:paraId="52EC6E88">
      <w:pPr>
        <w:autoSpaceDE w:val="0"/>
        <w:autoSpaceDN w:val="0"/>
        <w:adjustRightInd w:val="0"/>
        <w:spacing w:line="360" w:lineRule="auto"/>
        <w:rPr>
          <w:rFonts w:hint="eastAsia" w:ascii="仿宋" w:hAnsi="仿宋" w:eastAsia="仿宋" w:cs="仿宋"/>
          <w:b/>
          <w:color w:val="auto"/>
          <w:sz w:val="24"/>
          <w:highlight w:val="none"/>
          <w:lang w:val="zh-CN"/>
        </w:rPr>
      </w:pPr>
    </w:p>
    <w:p w14:paraId="487D0A49">
      <w:pPr>
        <w:autoSpaceDE w:val="0"/>
        <w:autoSpaceDN w:val="0"/>
        <w:adjustRightInd w:val="0"/>
        <w:spacing w:line="360" w:lineRule="auto"/>
        <w:rPr>
          <w:rFonts w:hint="eastAsia" w:ascii="仿宋" w:hAnsi="仿宋" w:eastAsia="仿宋" w:cs="仿宋"/>
          <w:b/>
          <w:color w:val="auto"/>
          <w:sz w:val="24"/>
          <w:highlight w:val="none"/>
          <w:lang w:val="zh-CN"/>
        </w:rPr>
      </w:pPr>
    </w:p>
    <w:p w14:paraId="61B4A514">
      <w:pPr>
        <w:rPr>
          <w:rFonts w:hint="eastAsia" w:ascii="仿宋" w:hAnsi="仿宋" w:eastAsia="仿宋" w:cs="仿宋"/>
          <w:bCs/>
          <w:color w:val="auto"/>
          <w:sz w:val="24"/>
          <w:highlight w:val="none"/>
          <w:lang w:val="zh-CN"/>
        </w:rPr>
      </w:pPr>
      <w:r>
        <w:rPr>
          <w:rFonts w:hint="eastAsia" w:ascii="仿宋" w:hAnsi="仿宋" w:eastAsia="仿宋" w:cs="仿宋"/>
          <w:b/>
          <w:color w:val="auto"/>
          <w:sz w:val="32"/>
          <w:szCs w:val="30"/>
          <w:highlight w:val="none"/>
          <w:lang w:val="zh-CN" w:eastAsia="zh-CN"/>
        </w:rPr>
        <w:br w:type="page"/>
      </w:r>
    </w:p>
    <w:p w14:paraId="73BC8219">
      <w:pPr>
        <w:pStyle w:val="3"/>
        <w:spacing w:before="0" w:line="360" w:lineRule="auto"/>
        <w:ind w:firstLine="643" w:firstLineChars="200"/>
        <w:jc w:val="center"/>
        <w:rPr>
          <w:rFonts w:hint="eastAsia" w:ascii="仿宋" w:hAnsi="仿宋" w:eastAsia="仿宋" w:cs="仿宋"/>
          <w:b/>
          <w:color w:val="auto"/>
          <w:sz w:val="32"/>
          <w:szCs w:val="30"/>
          <w:highlight w:val="none"/>
          <w:lang w:val="zh-CN"/>
        </w:rPr>
      </w:pPr>
      <w:r>
        <w:rPr>
          <w:rFonts w:hint="eastAsia" w:ascii="仿宋" w:hAnsi="仿宋" w:eastAsia="仿宋" w:cs="仿宋"/>
          <w:b/>
          <w:color w:val="auto"/>
          <w:sz w:val="32"/>
          <w:szCs w:val="30"/>
          <w:highlight w:val="none"/>
          <w:lang w:val="zh-CN"/>
        </w:rPr>
        <w:t>投标分项报价表</w:t>
      </w:r>
    </w:p>
    <w:p w14:paraId="73A9EDE7">
      <w:pPr>
        <w:pStyle w:val="7"/>
        <w:spacing w:before="253" w:line="228" w:lineRule="auto"/>
        <w:jc w:val="both"/>
        <w:outlineLvl w:val="1"/>
        <w:rPr>
          <w:highlight w:val="none"/>
        </w:rPr>
      </w:pPr>
    </w:p>
    <w:p w14:paraId="7B6E0EAE">
      <w:pPr>
        <w:pStyle w:val="7"/>
        <w:spacing w:before="124" w:line="345" w:lineRule="auto"/>
        <w:ind w:left="135" w:right="15" w:firstLine="3"/>
        <w:rPr>
          <w:sz w:val="24"/>
          <w:szCs w:val="24"/>
          <w:highlight w:val="none"/>
        </w:rPr>
      </w:pPr>
      <w:r>
        <w:rPr>
          <w:sz w:val="24"/>
          <w:szCs w:val="24"/>
          <w:highlight w:val="none"/>
        </w:rPr>
        <w:t>项目名称：</w:t>
      </w:r>
      <w:r>
        <w:rPr>
          <w:rFonts w:hint="eastAsia"/>
          <w:highlight w:val="none"/>
          <w:lang w:val="en-US" w:eastAsia="zh-CN"/>
        </w:rPr>
        <w:t>舒兰市滨河社区卫生服务中心医疗设备采购项目</w:t>
      </w:r>
    </w:p>
    <w:p w14:paraId="3A3935E6">
      <w:pPr>
        <w:spacing w:line="31" w:lineRule="auto"/>
        <w:rPr>
          <w:rFonts w:ascii="Arial"/>
          <w:sz w:val="2"/>
          <w:highlight w:val="none"/>
        </w:rPr>
      </w:pPr>
    </w:p>
    <w:tbl>
      <w:tblPr>
        <w:tblStyle w:val="48"/>
        <w:tblW w:w="99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766"/>
        <w:gridCol w:w="766"/>
        <w:gridCol w:w="766"/>
        <w:gridCol w:w="766"/>
        <w:gridCol w:w="766"/>
        <w:gridCol w:w="766"/>
        <w:gridCol w:w="766"/>
        <w:gridCol w:w="766"/>
        <w:gridCol w:w="766"/>
        <w:gridCol w:w="766"/>
        <w:gridCol w:w="766"/>
        <w:gridCol w:w="774"/>
      </w:tblGrid>
      <w:tr w14:paraId="6B1F7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jc w:val="center"/>
        </w:trPr>
        <w:tc>
          <w:tcPr>
            <w:tcW w:w="766" w:type="dxa"/>
            <w:tcBorders>
              <w:top w:val="single" w:color="000000" w:sz="10" w:space="0"/>
              <w:left w:val="single" w:color="000000" w:sz="10" w:space="0"/>
            </w:tcBorders>
            <w:shd w:val="clear" w:color="auto" w:fill="FFFFFF" w:themeFill="background1"/>
            <w:vAlign w:val="center"/>
          </w:tcPr>
          <w:p w14:paraId="74B6021D">
            <w:pPr>
              <w:pStyle w:val="49"/>
              <w:keepNext w:val="0"/>
              <w:keepLines w:val="0"/>
              <w:pageBreakBefore w:val="0"/>
              <w:widowControl/>
              <w:kinsoku/>
              <w:wordWrap/>
              <w:overflowPunct/>
              <w:topLinePunct w:val="0"/>
              <w:autoSpaceDE/>
              <w:autoSpaceDN/>
              <w:bidi w:val="0"/>
              <w:adjustRightInd/>
              <w:snapToGrid/>
              <w:spacing w:line="222" w:lineRule="auto"/>
              <w:ind w:left="0" w:right="0"/>
              <w:jc w:val="center"/>
              <w:textAlignment w:val="center"/>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序号</w:t>
            </w:r>
          </w:p>
        </w:tc>
        <w:tc>
          <w:tcPr>
            <w:tcW w:w="766" w:type="dxa"/>
            <w:tcBorders>
              <w:top w:val="single" w:color="000000" w:sz="10" w:space="0"/>
            </w:tcBorders>
            <w:shd w:val="clear" w:color="auto" w:fill="FFFFFF" w:themeFill="background1"/>
            <w:vAlign w:val="center"/>
          </w:tcPr>
          <w:p w14:paraId="6A7D8B9A">
            <w:pPr>
              <w:pStyle w:val="49"/>
              <w:keepNext w:val="0"/>
              <w:keepLines w:val="0"/>
              <w:pageBreakBefore w:val="0"/>
              <w:widowControl/>
              <w:kinsoku/>
              <w:wordWrap/>
              <w:overflowPunct/>
              <w:topLinePunct w:val="0"/>
              <w:autoSpaceDE/>
              <w:autoSpaceDN/>
              <w:bidi w:val="0"/>
              <w:adjustRightInd/>
              <w:snapToGrid/>
              <w:spacing w:line="261" w:lineRule="auto"/>
              <w:ind w:left="0" w:right="0"/>
              <w:jc w:val="center"/>
              <w:textAlignment w:val="center"/>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产品名称</w:t>
            </w:r>
          </w:p>
        </w:tc>
        <w:tc>
          <w:tcPr>
            <w:tcW w:w="766" w:type="dxa"/>
            <w:tcBorders>
              <w:top w:val="single" w:color="000000" w:sz="10" w:space="0"/>
            </w:tcBorders>
            <w:shd w:val="clear" w:color="auto" w:fill="FFFFFF" w:themeFill="background1"/>
            <w:vAlign w:val="center"/>
          </w:tcPr>
          <w:p w14:paraId="0CE6CAD8">
            <w:pPr>
              <w:pStyle w:val="49"/>
              <w:keepNext w:val="0"/>
              <w:keepLines w:val="0"/>
              <w:pageBreakBefore w:val="0"/>
              <w:widowControl/>
              <w:kinsoku/>
              <w:wordWrap/>
              <w:overflowPunct/>
              <w:topLinePunct w:val="0"/>
              <w:autoSpaceDE/>
              <w:autoSpaceDN/>
              <w:bidi w:val="0"/>
              <w:adjustRightInd/>
              <w:snapToGrid/>
              <w:spacing w:line="201" w:lineRule="auto"/>
              <w:ind w:left="0" w:right="0"/>
              <w:jc w:val="center"/>
              <w:textAlignment w:val="center"/>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注册证名称</w:t>
            </w:r>
          </w:p>
        </w:tc>
        <w:tc>
          <w:tcPr>
            <w:tcW w:w="766" w:type="dxa"/>
            <w:tcBorders>
              <w:top w:val="single" w:color="000000" w:sz="10" w:space="0"/>
            </w:tcBorders>
            <w:shd w:val="clear" w:color="auto" w:fill="FFFFFF" w:themeFill="background1"/>
            <w:vAlign w:val="center"/>
          </w:tcPr>
          <w:p w14:paraId="34C4A705">
            <w:pPr>
              <w:pStyle w:val="49"/>
              <w:keepNext w:val="0"/>
              <w:keepLines w:val="0"/>
              <w:pageBreakBefore w:val="0"/>
              <w:widowControl/>
              <w:kinsoku/>
              <w:wordWrap/>
              <w:overflowPunct/>
              <w:topLinePunct w:val="0"/>
              <w:autoSpaceDE/>
              <w:autoSpaceDN/>
              <w:bidi w:val="0"/>
              <w:adjustRightInd/>
              <w:snapToGrid/>
              <w:spacing w:line="222" w:lineRule="auto"/>
              <w:ind w:left="0" w:right="0"/>
              <w:jc w:val="center"/>
              <w:textAlignment w:val="center"/>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品牌</w:t>
            </w:r>
          </w:p>
        </w:tc>
        <w:tc>
          <w:tcPr>
            <w:tcW w:w="766" w:type="dxa"/>
            <w:tcBorders>
              <w:top w:val="single" w:color="000000" w:sz="10" w:space="0"/>
            </w:tcBorders>
            <w:shd w:val="clear" w:color="auto" w:fill="FFFFFF" w:themeFill="background1"/>
            <w:vAlign w:val="center"/>
          </w:tcPr>
          <w:p w14:paraId="4EB8C12C">
            <w:pPr>
              <w:pStyle w:val="49"/>
              <w:keepNext w:val="0"/>
              <w:keepLines w:val="0"/>
              <w:pageBreakBefore w:val="0"/>
              <w:widowControl/>
              <w:kinsoku/>
              <w:wordWrap/>
              <w:overflowPunct/>
              <w:topLinePunct w:val="0"/>
              <w:autoSpaceDE/>
              <w:autoSpaceDN/>
              <w:bidi w:val="0"/>
              <w:adjustRightInd/>
              <w:snapToGrid/>
              <w:spacing w:line="222" w:lineRule="auto"/>
              <w:ind w:left="0" w:right="0"/>
              <w:jc w:val="center"/>
              <w:textAlignment w:val="center"/>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规格</w:t>
            </w:r>
          </w:p>
        </w:tc>
        <w:tc>
          <w:tcPr>
            <w:tcW w:w="766" w:type="dxa"/>
            <w:tcBorders>
              <w:top w:val="single" w:color="000000" w:sz="10" w:space="0"/>
            </w:tcBorders>
            <w:shd w:val="clear" w:color="auto" w:fill="FFFFFF" w:themeFill="background1"/>
            <w:vAlign w:val="center"/>
          </w:tcPr>
          <w:p w14:paraId="0C84BCF8">
            <w:pPr>
              <w:pStyle w:val="49"/>
              <w:keepNext w:val="0"/>
              <w:keepLines w:val="0"/>
              <w:pageBreakBefore w:val="0"/>
              <w:widowControl/>
              <w:kinsoku/>
              <w:wordWrap/>
              <w:overflowPunct/>
              <w:topLinePunct w:val="0"/>
              <w:autoSpaceDE/>
              <w:autoSpaceDN/>
              <w:bidi w:val="0"/>
              <w:adjustRightInd/>
              <w:snapToGrid/>
              <w:spacing w:line="224" w:lineRule="auto"/>
              <w:ind w:left="0" w:right="0"/>
              <w:jc w:val="center"/>
              <w:textAlignment w:val="center"/>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型号</w:t>
            </w:r>
          </w:p>
        </w:tc>
        <w:tc>
          <w:tcPr>
            <w:tcW w:w="766" w:type="dxa"/>
            <w:tcBorders>
              <w:top w:val="single" w:color="000000" w:sz="10" w:space="0"/>
            </w:tcBorders>
            <w:shd w:val="clear" w:color="auto" w:fill="FFFFFF" w:themeFill="background1"/>
            <w:vAlign w:val="center"/>
          </w:tcPr>
          <w:p w14:paraId="5672DC97">
            <w:pPr>
              <w:pStyle w:val="49"/>
              <w:keepNext w:val="0"/>
              <w:keepLines w:val="0"/>
              <w:pageBreakBefore w:val="0"/>
              <w:widowControl/>
              <w:kinsoku/>
              <w:wordWrap/>
              <w:overflowPunct/>
              <w:topLinePunct w:val="0"/>
              <w:autoSpaceDE/>
              <w:autoSpaceDN/>
              <w:bidi w:val="0"/>
              <w:adjustRightInd/>
              <w:snapToGrid/>
              <w:spacing w:line="222" w:lineRule="auto"/>
              <w:ind w:left="0" w:right="0"/>
              <w:jc w:val="center"/>
              <w:textAlignment w:val="center"/>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制造商（生产者）</w:t>
            </w:r>
          </w:p>
        </w:tc>
        <w:tc>
          <w:tcPr>
            <w:tcW w:w="766" w:type="dxa"/>
            <w:tcBorders>
              <w:top w:val="single" w:color="000000" w:sz="10" w:space="0"/>
            </w:tcBorders>
            <w:shd w:val="clear" w:color="auto" w:fill="FFFFFF" w:themeFill="background1"/>
            <w:vAlign w:val="center"/>
          </w:tcPr>
          <w:p w14:paraId="21C2A6D0">
            <w:pPr>
              <w:pStyle w:val="49"/>
              <w:keepNext w:val="0"/>
              <w:keepLines w:val="0"/>
              <w:pageBreakBefore w:val="0"/>
              <w:widowControl/>
              <w:kinsoku/>
              <w:wordWrap/>
              <w:overflowPunct/>
              <w:topLinePunct w:val="0"/>
              <w:autoSpaceDE/>
              <w:autoSpaceDN/>
              <w:bidi w:val="0"/>
              <w:adjustRightInd/>
              <w:snapToGrid/>
              <w:spacing w:line="202" w:lineRule="auto"/>
              <w:ind w:left="0" w:right="0"/>
              <w:jc w:val="center"/>
              <w:textAlignment w:val="center"/>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原产地</w:t>
            </w:r>
          </w:p>
        </w:tc>
        <w:tc>
          <w:tcPr>
            <w:tcW w:w="766" w:type="dxa"/>
            <w:tcBorders>
              <w:top w:val="single" w:color="000000" w:sz="10" w:space="0"/>
            </w:tcBorders>
            <w:shd w:val="clear" w:color="auto" w:fill="FFFFFF" w:themeFill="background1"/>
            <w:vAlign w:val="center"/>
          </w:tcPr>
          <w:p w14:paraId="6231C547">
            <w:pPr>
              <w:pStyle w:val="49"/>
              <w:keepNext w:val="0"/>
              <w:keepLines w:val="0"/>
              <w:pageBreakBefore w:val="0"/>
              <w:widowControl/>
              <w:kinsoku/>
              <w:wordWrap/>
              <w:overflowPunct/>
              <w:topLinePunct w:val="0"/>
              <w:autoSpaceDE/>
              <w:autoSpaceDN/>
              <w:bidi w:val="0"/>
              <w:adjustRightInd/>
              <w:snapToGrid/>
              <w:spacing w:line="199" w:lineRule="auto"/>
              <w:ind w:left="0" w:right="0"/>
              <w:jc w:val="center"/>
              <w:textAlignment w:val="center"/>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单位</w:t>
            </w:r>
          </w:p>
        </w:tc>
        <w:tc>
          <w:tcPr>
            <w:tcW w:w="766" w:type="dxa"/>
            <w:tcBorders>
              <w:top w:val="single" w:color="000000" w:sz="10" w:space="0"/>
            </w:tcBorders>
            <w:shd w:val="clear" w:color="auto" w:fill="FFFFFF" w:themeFill="background1"/>
            <w:vAlign w:val="center"/>
          </w:tcPr>
          <w:p w14:paraId="62ADCA03">
            <w:pPr>
              <w:pStyle w:val="49"/>
              <w:keepNext w:val="0"/>
              <w:keepLines w:val="0"/>
              <w:pageBreakBefore w:val="0"/>
              <w:widowControl/>
              <w:kinsoku/>
              <w:wordWrap/>
              <w:overflowPunct/>
              <w:topLinePunct w:val="0"/>
              <w:autoSpaceDE/>
              <w:autoSpaceDN/>
              <w:bidi w:val="0"/>
              <w:adjustRightInd/>
              <w:snapToGrid/>
              <w:spacing w:line="203" w:lineRule="auto"/>
              <w:ind w:left="0" w:right="0"/>
              <w:jc w:val="center"/>
              <w:textAlignment w:val="center"/>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数量</w:t>
            </w:r>
          </w:p>
        </w:tc>
        <w:tc>
          <w:tcPr>
            <w:tcW w:w="766" w:type="dxa"/>
            <w:tcBorders>
              <w:top w:val="single" w:color="000000" w:sz="10" w:space="0"/>
            </w:tcBorders>
            <w:shd w:val="clear" w:color="auto" w:fill="FFFFFF" w:themeFill="background1"/>
            <w:vAlign w:val="center"/>
          </w:tcPr>
          <w:p w14:paraId="69EA8242">
            <w:pPr>
              <w:pStyle w:val="49"/>
              <w:keepNext w:val="0"/>
              <w:keepLines w:val="0"/>
              <w:pageBreakBefore w:val="0"/>
              <w:widowControl/>
              <w:kinsoku/>
              <w:wordWrap/>
              <w:overflowPunct/>
              <w:topLinePunct w:val="0"/>
              <w:autoSpaceDE/>
              <w:autoSpaceDN/>
              <w:bidi w:val="0"/>
              <w:adjustRightInd/>
              <w:snapToGrid/>
              <w:spacing w:line="267" w:lineRule="auto"/>
              <w:ind w:left="0" w:right="0"/>
              <w:jc w:val="center"/>
              <w:textAlignment w:val="center"/>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单价（人民币元）</w:t>
            </w:r>
          </w:p>
        </w:tc>
        <w:tc>
          <w:tcPr>
            <w:tcW w:w="766" w:type="dxa"/>
            <w:tcBorders>
              <w:top w:val="single" w:color="000000" w:sz="10" w:space="0"/>
            </w:tcBorders>
            <w:shd w:val="clear" w:color="auto" w:fill="FFFFFF" w:themeFill="background1"/>
            <w:vAlign w:val="center"/>
          </w:tcPr>
          <w:p w14:paraId="4DC11EC2">
            <w:pPr>
              <w:pStyle w:val="49"/>
              <w:keepNext w:val="0"/>
              <w:keepLines w:val="0"/>
              <w:pageBreakBefore w:val="0"/>
              <w:widowControl/>
              <w:kinsoku/>
              <w:wordWrap/>
              <w:overflowPunct/>
              <w:topLinePunct w:val="0"/>
              <w:autoSpaceDE/>
              <w:autoSpaceDN/>
              <w:bidi w:val="0"/>
              <w:adjustRightInd/>
              <w:snapToGrid/>
              <w:spacing w:line="271" w:lineRule="auto"/>
              <w:ind w:left="0" w:right="0"/>
              <w:jc w:val="center"/>
              <w:textAlignment w:val="center"/>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合计（人民币元）</w:t>
            </w:r>
          </w:p>
        </w:tc>
        <w:tc>
          <w:tcPr>
            <w:tcW w:w="774" w:type="dxa"/>
            <w:tcBorders>
              <w:top w:val="single" w:color="000000" w:sz="10" w:space="0"/>
              <w:right w:val="single" w:color="000000" w:sz="10" w:space="0"/>
            </w:tcBorders>
            <w:shd w:val="clear" w:color="auto" w:fill="FFFFFF" w:themeFill="background1"/>
            <w:vAlign w:val="center"/>
          </w:tcPr>
          <w:p w14:paraId="0023108D">
            <w:pPr>
              <w:pStyle w:val="49"/>
              <w:keepNext w:val="0"/>
              <w:keepLines w:val="0"/>
              <w:pageBreakBefore w:val="0"/>
              <w:widowControl/>
              <w:kinsoku/>
              <w:wordWrap/>
              <w:overflowPunct/>
              <w:topLinePunct w:val="0"/>
              <w:autoSpaceDE/>
              <w:autoSpaceDN/>
              <w:bidi w:val="0"/>
              <w:adjustRightInd/>
              <w:snapToGrid/>
              <w:spacing w:line="202" w:lineRule="auto"/>
              <w:ind w:left="0" w:right="0"/>
              <w:jc w:val="center"/>
              <w:textAlignment w:val="center"/>
              <w:rPr>
                <w:rFonts w:hint="eastAsia" w:ascii="仿宋" w:hAnsi="仿宋" w:eastAsia="仿宋" w:cs="Times New Roman"/>
                <w:kern w:val="2"/>
                <w:sz w:val="24"/>
                <w:szCs w:val="28"/>
                <w:highlight w:val="none"/>
                <w:lang w:val="en-US" w:eastAsia="zh-CN" w:bidi="ar-SA"/>
              </w:rPr>
            </w:pPr>
            <w:r>
              <w:rPr>
                <w:rFonts w:hint="eastAsia" w:ascii="仿宋" w:hAnsi="仿宋" w:eastAsia="仿宋" w:cs="Times New Roman"/>
                <w:kern w:val="2"/>
                <w:sz w:val="24"/>
                <w:szCs w:val="28"/>
                <w:highlight w:val="none"/>
                <w:lang w:val="en-US" w:eastAsia="zh-CN" w:bidi="ar-SA"/>
              </w:rPr>
              <w:t>备注</w:t>
            </w:r>
          </w:p>
        </w:tc>
      </w:tr>
      <w:tr w14:paraId="340B9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766" w:type="dxa"/>
            <w:tcBorders>
              <w:left w:val="single" w:color="000000" w:sz="10" w:space="0"/>
            </w:tcBorders>
            <w:vAlign w:val="center"/>
          </w:tcPr>
          <w:p w14:paraId="404995D0">
            <w:pPr>
              <w:pStyle w:val="49"/>
              <w:spacing w:before="204" w:line="179" w:lineRule="auto"/>
              <w:ind w:left="303"/>
              <w:rPr>
                <w:highlight w:val="none"/>
              </w:rPr>
            </w:pPr>
            <w:r>
              <w:rPr>
                <w:highlight w:val="none"/>
              </w:rPr>
              <w:t>1</w:t>
            </w:r>
          </w:p>
        </w:tc>
        <w:tc>
          <w:tcPr>
            <w:tcW w:w="766" w:type="dxa"/>
            <w:vAlign w:val="center"/>
          </w:tcPr>
          <w:p w14:paraId="45D8CA0A">
            <w:pPr>
              <w:rPr>
                <w:rFonts w:ascii="Arial"/>
                <w:sz w:val="21"/>
                <w:highlight w:val="none"/>
              </w:rPr>
            </w:pPr>
          </w:p>
        </w:tc>
        <w:tc>
          <w:tcPr>
            <w:tcW w:w="766" w:type="dxa"/>
            <w:vAlign w:val="center"/>
          </w:tcPr>
          <w:p w14:paraId="5784BDD7">
            <w:pPr>
              <w:rPr>
                <w:rFonts w:ascii="Arial"/>
                <w:sz w:val="21"/>
                <w:highlight w:val="none"/>
              </w:rPr>
            </w:pPr>
          </w:p>
        </w:tc>
        <w:tc>
          <w:tcPr>
            <w:tcW w:w="766" w:type="dxa"/>
            <w:vAlign w:val="center"/>
          </w:tcPr>
          <w:p w14:paraId="05145CF8">
            <w:pPr>
              <w:rPr>
                <w:rFonts w:ascii="Arial"/>
                <w:sz w:val="21"/>
                <w:highlight w:val="none"/>
              </w:rPr>
            </w:pPr>
          </w:p>
        </w:tc>
        <w:tc>
          <w:tcPr>
            <w:tcW w:w="766" w:type="dxa"/>
            <w:vAlign w:val="center"/>
          </w:tcPr>
          <w:p w14:paraId="1D07A519">
            <w:pPr>
              <w:rPr>
                <w:rFonts w:ascii="Arial"/>
                <w:sz w:val="21"/>
                <w:highlight w:val="none"/>
              </w:rPr>
            </w:pPr>
          </w:p>
        </w:tc>
        <w:tc>
          <w:tcPr>
            <w:tcW w:w="766" w:type="dxa"/>
            <w:vAlign w:val="center"/>
          </w:tcPr>
          <w:p w14:paraId="68EFC6A8">
            <w:pPr>
              <w:rPr>
                <w:rFonts w:ascii="Arial"/>
                <w:sz w:val="21"/>
                <w:highlight w:val="none"/>
              </w:rPr>
            </w:pPr>
          </w:p>
        </w:tc>
        <w:tc>
          <w:tcPr>
            <w:tcW w:w="766" w:type="dxa"/>
            <w:vAlign w:val="center"/>
          </w:tcPr>
          <w:p w14:paraId="44A321C2">
            <w:pPr>
              <w:rPr>
                <w:rFonts w:ascii="Arial"/>
                <w:sz w:val="21"/>
                <w:highlight w:val="none"/>
              </w:rPr>
            </w:pPr>
          </w:p>
        </w:tc>
        <w:tc>
          <w:tcPr>
            <w:tcW w:w="766" w:type="dxa"/>
            <w:vAlign w:val="center"/>
          </w:tcPr>
          <w:p w14:paraId="06E52924">
            <w:pPr>
              <w:rPr>
                <w:rFonts w:ascii="Arial"/>
                <w:sz w:val="21"/>
                <w:highlight w:val="none"/>
              </w:rPr>
            </w:pPr>
          </w:p>
        </w:tc>
        <w:tc>
          <w:tcPr>
            <w:tcW w:w="766" w:type="dxa"/>
            <w:vAlign w:val="center"/>
          </w:tcPr>
          <w:p w14:paraId="606EFF69">
            <w:pPr>
              <w:rPr>
                <w:rFonts w:ascii="Arial"/>
                <w:sz w:val="21"/>
                <w:highlight w:val="none"/>
              </w:rPr>
            </w:pPr>
          </w:p>
        </w:tc>
        <w:tc>
          <w:tcPr>
            <w:tcW w:w="766" w:type="dxa"/>
            <w:vAlign w:val="center"/>
          </w:tcPr>
          <w:p w14:paraId="39B9519E">
            <w:pPr>
              <w:rPr>
                <w:rFonts w:ascii="Arial"/>
                <w:sz w:val="21"/>
                <w:highlight w:val="none"/>
              </w:rPr>
            </w:pPr>
          </w:p>
        </w:tc>
        <w:tc>
          <w:tcPr>
            <w:tcW w:w="766" w:type="dxa"/>
            <w:vAlign w:val="center"/>
          </w:tcPr>
          <w:p w14:paraId="405BA0A9">
            <w:pPr>
              <w:rPr>
                <w:rFonts w:ascii="Arial"/>
                <w:sz w:val="21"/>
                <w:highlight w:val="none"/>
              </w:rPr>
            </w:pPr>
          </w:p>
        </w:tc>
        <w:tc>
          <w:tcPr>
            <w:tcW w:w="766" w:type="dxa"/>
            <w:vAlign w:val="center"/>
          </w:tcPr>
          <w:p w14:paraId="0796C199">
            <w:pPr>
              <w:rPr>
                <w:rFonts w:ascii="Arial"/>
                <w:sz w:val="21"/>
                <w:highlight w:val="none"/>
              </w:rPr>
            </w:pPr>
          </w:p>
        </w:tc>
        <w:tc>
          <w:tcPr>
            <w:tcW w:w="774" w:type="dxa"/>
            <w:tcBorders>
              <w:right w:val="single" w:color="000000" w:sz="10" w:space="0"/>
            </w:tcBorders>
            <w:vAlign w:val="center"/>
          </w:tcPr>
          <w:p w14:paraId="221F710C">
            <w:pPr>
              <w:rPr>
                <w:rFonts w:ascii="Arial"/>
                <w:sz w:val="21"/>
                <w:highlight w:val="none"/>
              </w:rPr>
            </w:pPr>
          </w:p>
        </w:tc>
      </w:tr>
      <w:tr w14:paraId="3D935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766" w:type="dxa"/>
            <w:tcBorders>
              <w:left w:val="single" w:color="000000" w:sz="10" w:space="0"/>
            </w:tcBorders>
            <w:vAlign w:val="center"/>
          </w:tcPr>
          <w:p w14:paraId="7B2E8918">
            <w:pPr>
              <w:pStyle w:val="49"/>
              <w:spacing w:before="172" w:line="171" w:lineRule="auto"/>
              <w:ind w:left="288"/>
              <w:rPr>
                <w:highlight w:val="none"/>
              </w:rPr>
            </w:pPr>
            <w:r>
              <w:rPr>
                <w:highlight w:val="none"/>
              </w:rPr>
              <w:t>2</w:t>
            </w:r>
          </w:p>
        </w:tc>
        <w:tc>
          <w:tcPr>
            <w:tcW w:w="766" w:type="dxa"/>
            <w:vAlign w:val="center"/>
          </w:tcPr>
          <w:p w14:paraId="2F5F5BB0">
            <w:pPr>
              <w:rPr>
                <w:rFonts w:ascii="Arial"/>
                <w:sz w:val="21"/>
                <w:highlight w:val="none"/>
              </w:rPr>
            </w:pPr>
          </w:p>
        </w:tc>
        <w:tc>
          <w:tcPr>
            <w:tcW w:w="766" w:type="dxa"/>
            <w:vAlign w:val="center"/>
          </w:tcPr>
          <w:p w14:paraId="21A6AA80">
            <w:pPr>
              <w:rPr>
                <w:rFonts w:ascii="Arial"/>
                <w:sz w:val="21"/>
                <w:highlight w:val="none"/>
              </w:rPr>
            </w:pPr>
          </w:p>
        </w:tc>
        <w:tc>
          <w:tcPr>
            <w:tcW w:w="766" w:type="dxa"/>
            <w:vAlign w:val="center"/>
          </w:tcPr>
          <w:p w14:paraId="51A14789">
            <w:pPr>
              <w:rPr>
                <w:rFonts w:ascii="Arial"/>
                <w:sz w:val="21"/>
                <w:highlight w:val="none"/>
              </w:rPr>
            </w:pPr>
          </w:p>
        </w:tc>
        <w:tc>
          <w:tcPr>
            <w:tcW w:w="766" w:type="dxa"/>
            <w:vAlign w:val="center"/>
          </w:tcPr>
          <w:p w14:paraId="3564ACDB">
            <w:pPr>
              <w:rPr>
                <w:rFonts w:ascii="Arial"/>
                <w:sz w:val="21"/>
                <w:highlight w:val="none"/>
              </w:rPr>
            </w:pPr>
          </w:p>
        </w:tc>
        <w:tc>
          <w:tcPr>
            <w:tcW w:w="766" w:type="dxa"/>
            <w:vAlign w:val="center"/>
          </w:tcPr>
          <w:p w14:paraId="35F28BC3">
            <w:pPr>
              <w:rPr>
                <w:rFonts w:ascii="Arial"/>
                <w:sz w:val="21"/>
                <w:highlight w:val="none"/>
              </w:rPr>
            </w:pPr>
          </w:p>
        </w:tc>
        <w:tc>
          <w:tcPr>
            <w:tcW w:w="766" w:type="dxa"/>
            <w:vAlign w:val="center"/>
          </w:tcPr>
          <w:p w14:paraId="789015AB">
            <w:pPr>
              <w:rPr>
                <w:rFonts w:ascii="Arial"/>
                <w:sz w:val="21"/>
                <w:highlight w:val="none"/>
              </w:rPr>
            </w:pPr>
          </w:p>
        </w:tc>
        <w:tc>
          <w:tcPr>
            <w:tcW w:w="766" w:type="dxa"/>
            <w:vAlign w:val="center"/>
          </w:tcPr>
          <w:p w14:paraId="69D94388">
            <w:pPr>
              <w:rPr>
                <w:rFonts w:ascii="Arial"/>
                <w:sz w:val="21"/>
                <w:highlight w:val="none"/>
              </w:rPr>
            </w:pPr>
          </w:p>
        </w:tc>
        <w:tc>
          <w:tcPr>
            <w:tcW w:w="766" w:type="dxa"/>
            <w:vAlign w:val="center"/>
          </w:tcPr>
          <w:p w14:paraId="3C9601F6">
            <w:pPr>
              <w:rPr>
                <w:rFonts w:ascii="Arial"/>
                <w:sz w:val="21"/>
                <w:highlight w:val="none"/>
              </w:rPr>
            </w:pPr>
          </w:p>
        </w:tc>
        <w:tc>
          <w:tcPr>
            <w:tcW w:w="766" w:type="dxa"/>
            <w:vAlign w:val="center"/>
          </w:tcPr>
          <w:p w14:paraId="4CEB2FBB">
            <w:pPr>
              <w:rPr>
                <w:rFonts w:ascii="Arial"/>
                <w:sz w:val="21"/>
                <w:highlight w:val="none"/>
              </w:rPr>
            </w:pPr>
          </w:p>
        </w:tc>
        <w:tc>
          <w:tcPr>
            <w:tcW w:w="766" w:type="dxa"/>
            <w:vAlign w:val="center"/>
          </w:tcPr>
          <w:p w14:paraId="0C0E4E3F">
            <w:pPr>
              <w:rPr>
                <w:rFonts w:ascii="Arial"/>
                <w:sz w:val="21"/>
                <w:highlight w:val="none"/>
              </w:rPr>
            </w:pPr>
          </w:p>
        </w:tc>
        <w:tc>
          <w:tcPr>
            <w:tcW w:w="766" w:type="dxa"/>
            <w:vAlign w:val="center"/>
          </w:tcPr>
          <w:p w14:paraId="4CB4A269">
            <w:pPr>
              <w:rPr>
                <w:rFonts w:ascii="Arial"/>
                <w:sz w:val="21"/>
                <w:highlight w:val="none"/>
              </w:rPr>
            </w:pPr>
          </w:p>
        </w:tc>
        <w:tc>
          <w:tcPr>
            <w:tcW w:w="774" w:type="dxa"/>
            <w:tcBorders>
              <w:right w:val="single" w:color="000000" w:sz="10" w:space="0"/>
            </w:tcBorders>
            <w:vAlign w:val="center"/>
          </w:tcPr>
          <w:p w14:paraId="6EF679E7">
            <w:pPr>
              <w:rPr>
                <w:rFonts w:ascii="Arial"/>
                <w:sz w:val="21"/>
                <w:highlight w:val="none"/>
              </w:rPr>
            </w:pPr>
          </w:p>
        </w:tc>
      </w:tr>
      <w:tr w14:paraId="0B759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766" w:type="dxa"/>
            <w:tcBorders>
              <w:left w:val="single" w:color="000000" w:sz="10" w:space="0"/>
            </w:tcBorders>
            <w:vAlign w:val="center"/>
          </w:tcPr>
          <w:p w14:paraId="700BBB94">
            <w:pPr>
              <w:pStyle w:val="49"/>
              <w:spacing w:before="136" w:line="211" w:lineRule="auto"/>
              <w:ind w:left="122"/>
              <w:rPr>
                <w:highlight w:val="none"/>
              </w:rPr>
            </w:pPr>
            <w:r>
              <w:rPr>
                <w:spacing w:val="-7"/>
                <w:highlight w:val="none"/>
              </w:rPr>
              <w:t>……</w:t>
            </w:r>
          </w:p>
        </w:tc>
        <w:tc>
          <w:tcPr>
            <w:tcW w:w="766" w:type="dxa"/>
            <w:vAlign w:val="center"/>
          </w:tcPr>
          <w:p w14:paraId="091190E3">
            <w:pPr>
              <w:rPr>
                <w:rFonts w:ascii="Arial"/>
                <w:sz w:val="21"/>
                <w:highlight w:val="none"/>
              </w:rPr>
            </w:pPr>
          </w:p>
        </w:tc>
        <w:tc>
          <w:tcPr>
            <w:tcW w:w="766" w:type="dxa"/>
            <w:vAlign w:val="center"/>
          </w:tcPr>
          <w:p w14:paraId="40689119">
            <w:pPr>
              <w:rPr>
                <w:rFonts w:ascii="Arial"/>
                <w:sz w:val="21"/>
                <w:highlight w:val="none"/>
              </w:rPr>
            </w:pPr>
          </w:p>
        </w:tc>
        <w:tc>
          <w:tcPr>
            <w:tcW w:w="766" w:type="dxa"/>
            <w:vAlign w:val="center"/>
          </w:tcPr>
          <w:p w14:paraId="41DD0EE5">
            <w:pPr>
              <w:rPr>
                <w:rFonts w:ascii="Arial"/>
                <w:sz w:val="21"/>
                <w:highlight w:val="none"/>
              </w:rPr>
            </w:pPr>
          </w:p>
        </w:tc>
        <w:tc>
          <w:tcPr>
            <w:tcW w:w="766" w:type="dxa"/>
            <w:vAlign w:val="center"/>
          </w:tcPr>
          <w:p w14:paraId="11A6A758">
            <w:pPr>
              <w:rPr>
                <w:rFonts w:ascii="Arial"/>
                <w:sz w:val="21"/>
                <w:highlight w:val="none"/>
              </w:rPr>
            </w:pPr>
          </w:p>
        </w:tc>
        <w:tc>
          <w:tcPr>
            <w:tcW w:w="766" w:type="dxa"/>
            <w:vAlign w:val="center"/>
          </w:tcPr>
          <w:p w14:paraId="1EE8AC31">
            <w:pPr>
              <w:rPr>
                <w:rFonts w:ascii="Arial"/>
                <w:sz w:val="21"/>
                <w:highlight w:val="none"/>
              </w:rPr>
            </w:pPr>
          </w:p>
        </w:tc>
        <w:tc>
          <w:tcPr>
            <w:tcW w:w="766" w:type="dxa"/>
            <w:vAlign w:val="center"/>
          </w:tcPr>
          <w:p w14:paraId="267E8A7C">
            <w:pPr>
              <w:rPr>
                <w:rFonts w:ascii="Arial"/>
                <w:sz w:val="21"/>
                <w:highlight w:val="none"/>
              </w:rPr>
            </w:pPr>
          </w:p>
        </w:tc>
        <w:tc>
          <w:tcPr>
            <w:tcW w:w="766" w:type="dxa"/>
            <w:vAlign w:val="center"/>
          </w:tcPr>
          <w:p w14:paraId="211DF80E">
            <w:pPr>
              <w:rPr>
                <w:rFonts w:ascii="Arial"/>
                <w:sz w:val="21"/>
                <w:highlight w:val="none"/>
              </w:rPr>
            </w:pPr>
          </w:p>
        </w:tc>
        <w:tc>
          <w:tcPr>
            <w:tcW w:w="766" w:type="dxa"/>
            <w:vAlign w:val="center"/>
          </w:tcPr>
          <w:p w14:paraId="5C8F9B63">
            <w:pPr>
              <w:rPr>
                <w:rFonts w:ascii="Arial"/>
                <w:sz w:val="21"/>
                <w:highlight w:val="none"/>
              </w:rPr>
            </w:pPr>
          </w:p>
        </w:tc>
        <w:tc>
          <w:tcPr>
            <w:tcW w:w="766" w:type="dxa"/>
            <w:vAlign w:val="center"/>
          </w:tcPr>
          <w:p w14:paraId="5A896557">
            <w:pPr>
              <w:rPr>
                <w:rFonts w:ascii="Arial"/>
                <w:sz w:val="21"/>
                <w:highlight w:val="none"/>
              </w:rPr>
            </w:pPr>
          </w:p>
        </w:tc>
        <w:tc>
          <w:tcPr>
            <w:tcW w:w="766" w:type="dxa"/>
            <w:vAlign w:val="center"/>
          </w:tcPr>
          <w:p w14:paraId="7D5FFB79">
            <w:pPr>
              <w:rPr>
                <w:rFonts w:ascii="Arial"/>
                <w:sz w:val="21"/>
                <w:highlight w:val="none"/>
              </w:rPr>
            </w:pPr>
          </w:p>
        </w:tc>
        <w:tc>
          <w:tcPr>
            <w:tcW w:w="766" w:type="dxa"/>
            <w:vAlign w:val="center"/>
          </w:tcPr>
          <w:p w14:paraId="02B2E8FA">
            <w:pPr>
              <w:rPr>
                <w:rFonts w:ascii="Arial"/>
                <w:sz w:val="21"/>
                <w:highlight w:val="none"/>
              </w:rPr>
            </w:pPr>
          </w:p>
        </w:tc>
        <w:tc>
          <w:tcPr>
            <w:tcW w:w="774" w:type="dxa"/>
            <w:tcBorders>
              <w:right w:val="single" w:color="000000" w:sz="10" w:space="0"/>
            </w:tcBorders>
            <w:vAlign w:val="center"/>
          </w:tcPr>
          <w:p w14:paraId="69277F0D">
            <w:pPr>
              <w:rPr>
                <w:rFonts w:ascii="Arial"/>
                <w:sz w:val="21"/>
                <w:highlight w:val="none"/>
              </w:rPr>
            </w:pPr>
          </w:p>
        </w:tc>
      </w:tr>
      <w:tr w14:paraId="0BAB9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1532" w:type="dxa"/>
            <w:gridSpan w:val="2"/>
            <w:tcBorders>
              <w:left w:val="single" w:color="000000" w:sz="10" w:space="0"/>
              <w:bottom w:val="single" w:color="000000" w:sz="10" w:space="0"/>
            </w:tcBorders>
            <w:vAlign w:val="center"/>
          </w:tcPr>
          <w:p w14:paraId="6352320F">
            <w:pPr>
              <w:pStyle w:val="49"/>
              <w:spacing w:before="291" w:line="222" w:lineRule="auto"/>
              <w:ind w:left="548"/>
              <w:rPr>
                <w:highlight w:val="none"/>
              </w:rPr>
            </w:pPr>
            <w:r>
              <w:rPr>
                <w:b/>
                <w:bCs/>
                <w:spacing w:val="-9"/>
                <w:highlight w:val="none"/>
              </w:rPr>
              <w:t>总计</w:t>
            </w:r>
          </w:p>
        </w:tc>
        <w:tc>
          <w:tcPr>
            <w:tcW w:w="766" w:type="dxa"/>
            <w:tcBorders>
              <w:bottom w:val="single" w:color="000000" w:sz="10" w:space="0"/>
            </w:tcBorders>
            <w:vAlign w:val="center"/>
          </w:tcPr>
          <w:p w14:paraId="048E9C31">
            <w:pPr>
              <w:rPr>
                <w:rFonts w:ascii="Arial"/>
                <w:sz w:val="21"/>
                <w:highlight w:val="none"/>
              </w:rPr>
            </w:pPr>
          </w:p>
        </w:tc>
        <w:tc>
          <w:tcPr>
            <w:tcW w:w="7668" w:type="dxa"/>
            <w:gridSpan w:val="10"/>
            <w:tcBorders>
              <w:bottom w:val="single" w:color="000000" w:sz="10" w:space="0"/>
              <w:right w:val="single" w:color="000000" w:sz="10" w:space="0"/>
            </w:tcBorders>
            <w:vAlign w:val="center"/>
          </w:tcPr>
          <w:p w14:paraId="44D311D8">
            <w:pPr>
              <w:pStyle w:val="49"/>
              <w:spacing w:before="110" w:line="242" w:lineRule="auto"/>
              <w:ind w:left="115" w:right="6529" w:hanging="2"/>
              <w:rPr>
                <w:highlight w:val="none"/>
              </w:rPr>
            </w:pPr>
            <w:r>
              <w:rPr>
                <w:spacing w:val="-3"/>
                <w:highlight w:val="none"/>
              </w:rPr>
              <w:t>小写：RMB</w:t>
            </w:r>
            <w:r>
              <w:rPr>
                <w:spacing w:val="-17"/>
                <w:highlight w:val="none"/>
              </w:rPr>
              <w:t>大写：</w:t>
            </w:r>
          </w:p>
        </w:tc>
      </w:tr>
    </w:tbl>
    <w:p w14:paraId="0BC80369">
      <w:pPr>
        <w:spacing w:line="260" w:lineRule="auto"/>
        <w:rPr>
          <w:rFonts w:ascii="Arial"/>
          <w:sz w:val="21"/>
          <w:highlight w:val="none"/>
        </w:rPr>
      </w:pPr>
    </w:p>
    <w:p w14:paraId="3CE8F985">
      <w:pPr>
        <w:spacing w:line="260" w:lineRule="auto"/>
        <w:rPr>
          <w:rFonts w:ascii="Arial"/>
          <w:sz w:val="21"/>
          <w:highlight w:val="none"/>
        </w:rPr>
      </w:pPr>
    </w:p>
    <w:p w14:paraId="1B3321F9">
      <w:pPr>
        <w:spacing w:line="261" w:lineRule="auto"/>
        <w:rPr>
          <w:rFonts w:ascii="Arial"/>
          <w:sz w:val="21"/>
          <w:highlight w:val="none"/>
        </w:rPr>
      </w:pPr>
    </w:p>
    <w:p w14:paraId="54B24670">
      <w:pPr>
        <w:spacing w:line="261" w:lineRule="auto"/>
        <w:rPr>
          <w:rFonts w:ascii="Arial"/>
          <w:sz w:val="21"/>
          <w:highlight w:val="none"/>
        </w:rPr>
      </w:pPr>
    </w:p>
    <w:p w14:paraId="09CEA6F3">
      <w:pPr>
        <w:pStyle w:val="7"/>
        <w:spacing w:before="78" w:line="463" w:lineRule="auto"/>
        <w:ind w:left="188" w:right="-94" w:rightChars="0" w:hanging="49"/>
        <w:rPr>
          <w:sz w:val="24"/>
          <w:szCs w:val="24"/>
          <w:highlight w:val="none"/>
        </w:rPr>
      </w:pPr>
      <w:r>
        <w:rPr>
          <w:spacing w:val="-3"/>
          <w:sz w:val="24"/>
          <w:szCs w:val="24"/>
          <w:highlight w:val="none"/>
        </w:rPr>
        <w:t>供应商全称</w:t>
      </w:r>
      <w:r>
        <w:rPr>
          <w:spacing w:val="-1"/>
          <w:sz w:val="24"/>
          <w:szCs w:val="24"/>
          <w:highlight w:val="none"/>
        </w:rPr>
        <w:t>：（</w:t>
      </w:r>
      <w:r>
        <w:rPr>
          <w:spacing w:val="-3"/>
          <w:sz w:val="24"/>
          <w:szCs w:val="24"/>
          <w:highlight w:val="none"/>
        </w:rPr>
        <w:t>盖单位公章）</w:t>
      </w:r>
      <w:r>
        <w:rPr>
          <w:spacing w:val="-20"/>
          <w:sz w:val="24"/>
          <w:szCs w:val="24"/>
          <w:highlight w:val="none"/>
        </w:rPr>
        <w:t>日期：年月日</w:t>
      </w:r>
    </w:p>
    <w:p w14:paraId="11DA4DBB">
      <w:pPr>
        <w:spacing w:line="270" w:lineRule="auto"/>
        <w:rPr>
          <w:rFonts w:ascii="Arial"/>
          <w:sz w:val="21"/>
          <w:highlight w:val="none"/>
        </w:rPr>
      </w:pPr>
    </w:p>
    <w:p w14:paraId="5FADE895">
      <w:pPr>
        <w:pStyle w:val="7"/>
        <w:spacing w:before="78" w:line="224" w:lineRule="auto"/>
        <w:ind w:left="139"/>
        <w:rPr>
          <w:rFonts w:ascii="Arial"/>
          <w:sz w:val="21"/>
          <w:highlight w:val="none"/>
        </w:rPr>
      </w:pPr>
      <w:r>
        <w:rPr>
          <w:spacing w:val="-16"/>
          <w:sz w:val="24"/>
          <w:szCs w:val="24"/>
          <w:highlight w:val="none"/>
        </w:rPr>
        <w:t>说明：</w:t>
      </w:r>
    </w:p>
    <w:p w14:paraId="28625B94">
      <w:pPr>
        <w:pStyle w:val="7"/>
        <w:spacing w:before="78" w:line="470" w:lineRule="auto"/>
        <w:ind w:left="63" w:right="122" w:firstLine="494"/>
        <w:jc w:val="both"/>
        <w:rPr>
          <w:sz w:val="24"/>
          <w:szCs w:val="24"/>
          <w:highlight w:val="none"/>
        </w:rPr>
      </w:pPr>
      <w:r>
        <w:rPr>
          <w:rFonts w:cs="Times New Roman"/>
          <w:spacing w:val="-1"/>
          <w:sz w:val="24"/>
          <w:szCs w:val="24"/>
          <w:highlight w:val="none"/>
        </w:rPr>
        <w:t>1.对于</w:t>
      </w:r>
      <w:r>
        <w:rPr>
          <w:spacing w:val="-1"/>
          <w:sz w:val="24"/>
          <w:szCs w:val="24"/>
          <w:highlight w:val="none"/>
        </w:rPr>
        <w:t>有配件、耗材、选件和特殊工具的货物，还应填报投标货物配件、耗材、选件表和备件及特殊工具清单，注明品牌、型号、产地、功能、单价等内容，该表格式由投标人自行</w:t>
      </w:r>
      <w:r>
        <w:rPr>
          <w:spacing w:val="-11"/>
          <w:sz w:val="24"/>
          <w:szCs w:val="24"/>
          <w:highlight w:val="none"/>
        </w:rPr>
        <w:t>设计。</w:t>
      </w:r>
    </w:p>
    <w:p w14:paraId="4B6BF8B1">
      <w:pPr>
        <w:pStyle w:val="7"/>
        <w:spacing w:before="78" w:line="470" w:lineRule="auto"/>
        <w:ind w:left="63" w:right="122" w:firstLine="494"/>
        <w:jc w:val="both"/>
        <w:rPr>
          <w:rFonts w:cs="Times New Roman"/>
          <w:spacing w:val="-1"/>
          <w:sz w:val="24"/>
          <w:szCs w:val="24"/>
          <w:highlight w:val="none"/>
        </w:rPr>
      </w:pPr>
      <w:r>
        <w:rPr>
          <w:rFonts w:cs="Times New Roman"/>
          <w:spacing w:val="-1"/>
          <w:sz w:val="24"/>
          <w:szCs w:val="24"/>
          <w:highlight w:val="none"/>
        </w:rPr>
        <w:t>2.投标人按照上述要求分类报价，其目的是便于评标，但在任何情况下并不限制采购人以任何条款签订合同的权利。</w:t>
      </w:r>
    </w:p>
    <w:p w14:paraId="4B5B74BD">
      <w:pPr>
        <w:pStyle w:val="7"/>
        <w:spacing w:before="78" w:line="470" w:lineRule="auto"/>
        <w:ind w:left="63" w:right="122" w:firstLine="494"/>
        <w:jc w:val="both"/>
        <w:rPr>
          <w:rFonts w:hint="eastAsia" w:ascii="仿宋" w:hAnsi="仿宋" w:eastAsia="仿宋" w:cs="仿宋"/>
          <w:b/>
          <w:color w:val="auto"/>
          <w:sz w:val="32"/>
          <w:szCs w:val="30"/>
          <w:highlight w:val="none"/>
          <w:lang w:val="zh-CN"/>
        </w:rPr>
      </w:pPr>
      <w:r>
        <w:rPr>
          <w:rFonts w:cs="Times New Roman"/>
          <w:spacing w:val="-1"/>
          <w:sz w:val="24"/>
          <w:szCs w:val="24"/>
          <w:highlight w:val="none"/>
        </w:rPr>
        <w:t>3.后附所投产品完整的配置清单。</w:t>
      </w:r>
      <w:r>
        <w:rPr>
          <w:rFonts w:hint="eastAsia" w:ascii="仿宋" w:hAnsi="仿宋" w:eastAsia="仿宋" w:cs="仿宋"/>
          <w:b/>
          <w:color w:val="auto"/>
          <w:sz w:val="32"/>
          <w:szCs w:val="30"/>
          <w:highlight w:val="none"/>
          <w:lang w:val="zh-CN"/>
        </w:rPr>
        <w:br w:type="page"/>
      </w:r>
    </w:p>
    <w:p w14:paraId="7CDC7980">
      <w:pPr>
        <w:pStyle w:val="3"/>
        <w:spacing w:before="0" w:line="360" w:lineRule="auto"/>
        <w:ind w:firstLine="643" w:firstLineChars="200"/>
        <w:jc w:val="center"/>
        <w:rPr>
          <w:rFonts w:hint="eastAsia" w:ascii="仿宋" w:hAnsi="仿宋" w:eastAsia="仿宋" w:cs="仿宋"/>
          <w:b/>
          <w:color w:val="auto"/>
          <w:sz w:val="32"/>
          <w:szCs w:val="30"/>
          <w:highlight w:val="none"/>
          <w:lang w:val="zh-CN"/>
        </w:rPr>
      </w:pPr>
      <w:r>
        <w:rPr>
          <w:rFonts w:hint="eastAsia" w:ascii="仿宋" w:hAnsi="仿宋" w:eastAsia="仿宋" w:cs="仿宋"/>
          <w:b/>
          <w:color w:val="auto"/>
          <w:sz w:val="32"/>
          <w:szCs w:val="30"/>
          <w:highlight w:val="none"/>
          <w:lang w:val="zh-CN"/>
        </w:rPr>
        <w:t>法定代表人身份证明</w:t>
      </w:r>
    </w:p>
    <w:p w14:paraId="1DAD01BB">
      <w:pPr>
        <w:spacing w:line="360" w:lineRule="auto"/>
        <w:rPr>
          <w:rFonts w:hint="eastAsia" w:ascii="仿宋" w:hAnsi="仿宋" w:eastAsia="仿宋" w:cs="仿宋"/>
          <w:b/>
          <w:bCs/>
          <w:color w:val="auto"/>
          <w:sz w:val="24"/>
          <w:szCs w:val="24"/>
          <w:highlight w:val="none"/>
          <w:u w:val="single"/>
        </w:rPr>
      </w:pPr>
    </w:p>
    <w:p w14:paraId="7635B085">
      <w:pPr>
        <w:tabs>
          <w:tab w:val="left" w:pos="1710"/>
        </w:tabs>
        <w:wordWrap w:val="0"/>
        <w:spacing w:line="480" w:lineRule="auto"/>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rPr>
        <w:t>投标人：</w:t>
      </w:r>
    </w:p>
    <w:p w14:paraId="0DFE0251">
      <w:pPr>
        <w:tabs>
          <w:tab w:val="left" w:pos="1710"/>
        </w:tabs>
        <w:wordWrap w:val="0"/>
        <w:spacing w:line="480" w:lineRule="auto"/>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rPr>
        <w:t>单位性质:</w:t>
      </w:r>
    </w:p>
    <w:p w14:paraId="454D6998">
      <w:pPr>
        <w:tabs>
          <w:tab w:val="left" w:pos="1710"/>
        </w:tabs>
        <w:wordWrap w:val="0"/>
        <w:spacing w:line="480" w:lineRule="auto"/>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rPr>
        <w:t>地址：</w:t>
      </w:r>
    </w:p>
    <w:p w14:paraId="0812C362">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成立时间：年月日</w:t>
      </w:r>
    </w:p>
    <w:p w14:paraId="2DA15B48">
      <w:pPr>
        <w:tabs>
          <w:tab w:val="left" w:pos="1710"/>
        </w:tabs>
        <w:wordWrap w:val="0"/>
        <w:spacing w:line="480" w:lineRule="auto"/>
        <w:rPr>
          <w:rFonts w:hint="eastAsia" w:ascii="仿宋" w:hAnsi="仿宋" w:eastAsia="仿宋" w:cs="仿宋"/>
          <w:color w:val="auto"/>
          <w:sz w:val="24"/>
          <w:szCs w:val="21"/>
          <w:highlight w:val="none"/>
          <w:lang w:eastAsia="zh-CN"/>
        </w:rPr>
      </w:pPr>
      <w:r>
        <w:rPr>
          <w:rFonts w:hint="eastAsia" w:ascii="仿宋" w:hAnsi="仿宋" w:eastAsia="仿宋" w:cs="仿宋"/>
          <w:color w:val="auto"/>
          <w:sz w:val="24"/>
          <w:szCs w:val="21"/>
          <w:highlight w:val="none"/>
        </w:rPr>
        <w:t>经营期限：</w:t>
      </w:r>
    </w:p>
    <w:p w14:paraId="00AB92D4">
      <w:pPr>
        <w:tabs>
          <w:tab w:val="left" w:pos="1710"/>
        </w:tabs>
        <w:wordWrap w:val="0"/>
        <w:spacing w:line="480" w:lineRule="auto"/>
        <w:rPr>
          <w:rFonts w:hint="eastAsia" w:ascii="仿宋" w:hAnsi="仿宋" w:eastAsia="仿宋" w:cs="仿宋"/>
          <w:color w:val="auto"/>
          <w:sz w:val="24"/>
          <w:szCs w:val="21"/>
          <w:highlight w:val="none"/>
          <w:u w:val="single"/>
          <w:lang w:eastAsia="zh-CN"/>
        </w:rPr>
      </w:pPr>
      <w:r>
        <w:rPr>
          <w:rFonts w:hint="eastAsia" w:ascii="仿宋" w:hAnsi="仿宋" w:eastAsia="仿宋" w:cs="仿宋"/>
          <w:color w:val="auto"/>
          <w:sz w:val="24"/>
          <w:szCs w:val="21"/>
          <w:highlight w:val="none"/>
        </w:rPr>
        <w:t>姓名：性别：</w:t>
      </w:r>
    </w:p>
    <w:p w14:paraId="54DA781D">
      <w:pPr>
        <w:tabs>
          <w:tab w:val="left" w:pos="1710"/>
        </w:tabs>
        <w:wordWrap w:val="0"/>
        <w:spacing w:line="480" w:lineRule="auto"/>
        <w:rPr>
          <w:rFonts w:hint="eastAsia" w:ascii="仿宋" w:hAnsi="仿宋" w:eastAsia="仿宋" w:cs="仿宋"/>
          <w:color w:val="auto"/>
          <w:sz w:val="24"/>
          <w:szCs w:val="21"/>
          <w:highlight w:val="none"/>
          <w:u w:val="single"/>
          <w:lang w:eastAsia="zh-CN"/>
        </w:rPr>
      </w:pPr>
      <w:r>
        <w:rPr>
          <w:rFonts w:hint="eastAsia" w:ascii="仿宋" w:hAnsi="仿宋" w:eastAsia="仿宋" w:cs="仿宋"/>
          <w:color w:val="auto"/>
          <w:sz w:val="24"/>
          <w:szCs w:val="21"/>
          <w:highlight w:val="none"/>
        </w:rPr>
        <w:t>年龄：职务：</w:t>
      </w:r>
    </w:p>
    <w:p w14:paraId="5A6BF022">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系（投标人名称）的法定代表人。</w:t>
      </w:r>
    </w:p>
    <w:p w14:paraId="1F2C7676">
      <w:pPr>
        <w:tabs>
          <w:tab w:val="left" w:pos="1710"/>
        </w:tabs>
        <w:wordWrap w:val="0"/>
        <w:spacing w:line="48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特此证明。</w:t>
      </w:r>
    </w:p>
    <w:p w14:paraId="7906F80C">
      <w:pPr>
        <w:wordWrap w:val="0"/>
        <w:spacing w:line="360" w:lineRule="auto"/>
        <w:rPr>
          <w:rFonts w:hint="eastAsia" w:ascii="仿宋" w:hAnsi="仿宋" w:eastAsia="仿宋" w:cs="仿宋"/>
          <w:color w:val="auto"/>
          <w:sz w:val="24"/>
          <w:szCs w:val="24"/>
          <w:highlight w:val="none"/>
        </w:rPr>
      </w:pP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20"/>
      </w:tblGrid>
      <w:tr w14:paraId="37BC869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41" w:hRule="atLeast"/>
          <w:jc w:val="center"/>
        </w:trPr>
        <w:tc>
          <w:tcPr>
            <w:tcW w:w="6720" w:type="dxa"/>
            <w:noWrap w:val="0"/>
            <w:vAlign w:val="center"/>
          </w:tcPr>
          <w:p w14:paraId="3DD89730">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附：法定代表人居民身份证复印件（正、反面）</w:t>
            </w:r>
          </w:p>
        </w:tc>
      </w:tr>
    </w:tbl>
    <w:p w14:paraId="18290A48">
      <w:pPr>
        <w:wordWrap w:val="0"/>
        <w:spacing w:line="360" w:lineRule="auto"/>
        <w:rPr>
          <w:rFonts w:hint="eastAsia" w:ascii="仿宋" w:hAnsi="仿宋" w:eastAsia="仿宋" w:cs="仿宋"/>
          <w:color w:val="auto"/>
          <w:sz w:val="24"/>
          <w:szCs w:val="24"/>
          <w:highlight w:val="none"/>
        </w:rPr>
      </w:pPr>
    </w:p>
    <w:p w14:paraId="76D573F5">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投标人：（盖单位公章）</w:t>
      </w:r>
    </w:p>
    <w:p w14:paraId="137115FB">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p>
    <w:p w14:paraId="045E813F">
      <w:pPr>
        <w:wordWrap w:val="0"/>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14:paraId="59A955DD">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bookmarkStart w:id="121" w:name="_Toc3572712"/>
      <w:bookmarkStart w:id="122" w:name="_Toc534639585"/>
      <w:bookmarkStart w:id="123" w:name="_Toc534639458"/>
      <w:r>
        <w:rPr>
          <w:rFonts w:hint="eastAsia" w:ascii="仿宋" w:hAnsi="仿宋" w:eastAsia="仿宋" w:cs="仿宋"/>
          <w:b/>
          <w:color w:val="auto"/>
          <w:sz w:val="32"/>
          <w:szCs w:val="30"/>
          <w:highlight w:val="none"/>
          <w:lang w:val="zh-CN" w:eastAsia="zh-CN"/>
        </w:rPr>
        <w:t>授权委托书</w:t>
      </w:r>
      <w:bookmarkEnd w:id="121"/>
      <w:bookmarkEnd w:id="122"/>
      <w:bookmarkEnd w:id="123"/>
    </w:p>
    <w:p w14:paraId="0B450F22">
      <w:pPr>
        <w:adjustRightInd w:val="0"/>
        <w:snapToGrid w:val="0"/>
        <w:spacing w:line="480" w:lineRule="auto"/>
        <w:ind w:firstLine="480" w:firstLineChars="200"/>
        <w:rPr>
          <w:rFonts w:hint="eastAsia" w:ascii="仿宋" w:hAnsi="仿宋" w:eastAsia="仿宋" w:cs="仿宋"/>
          <w:color w:val="auto"/>
          <w:sz w:val="24"/>
          <w:szCs w:val="21"/>
          <w:highlight w:val="none"/>
        </w:rPr>
      </w:pPr>
    </w:p>
    <w:p w14:paraId="01723F2E">
      <w:pPr>
        <w:adjustRightInd w:val="0"/>
        <w:snapToGrid w:val="0"/>
        <w:spacing w:line="48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人（姓名）系（投标人名称）的法定代表人，现委托（姓名）为我方代理人，代理人根据授权，以我方名义签署、澄清、说明、补正、递交、撤回、修改（项目名称）响应文件、签订合同和处理有关事宜，其法律后果由我方承担。</w:t>
      </w:r>
    </w:p>
    <w:p w14:paraId="6D687347">
      <w:pPr>
        <w:adjustRightInd w:val="0"/>
        <w:snapToGrid w:val="0"/>
        <w:spacing w:line="480"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委托期限：。</w:t>
      </w:r>
    </w:p>
    <w:p w14:paraId="7F165F0C">
      <w:pPr>
        <w:wordWrap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1"/>
          <w:highlight w:val="none"/>
        </w:rPr>
        <w:t>代理人无转委托权。</w:t>
      </w:r>
    </w:p>
    <w:p w14:paraId="56EFF25A">
      <w:pPr>
        <w:wordWrap w:val="0"/>
        <w:spacing w:line="48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本表后附：法定代表人身份证明</w:t>
      </w:r>
    </w:p>
    <w:p w14:paraId="73D3D574">
      <w:pPr>
        <w:bidi w:val="0"/>
        <w:rPr>
          <w:rFonts w:hint="eastAsia" w:ascii="仿宋" w:hAnsi="仿宋" w:eastAsia="仿宋" w:cs="仿宋"/>
          <w:color w:val="auto"/>
          <w:highlight w:val="none"/>
        </w:rPr>
      </w:pPr>
      <w:bookmarkStart w:id="124" w:name="_Toc17185817"/>
      <w:bookmarkStart w:id="125" w:name="_Toc16666385"/>
      <w:bookmarkStart w:id="126" w:name="_Toc10824"/>
      <w:bookmarkStart w:id="127" w:name="_Toc492451837"/>
      <w:bookmarkStart w:id="128" w:name="_Toc19097106"/>
      <w:bookmarkStart w:id="129" w:name="_Toc17185714"/>
    </w:p>
    <w:tbl>
      <w:tblPr>
        <w:tblStyle w:val="18"/>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904"/>
      </w:tblGrid>
      <w:tr w14:paraId="25CFE09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75" w:hRule="atLeast"/>
        </w:trPr>
        <w:tc>
          <w:tcPr>
            <w:tcW w:w="6904" w:type="dxa"/>
            <w:noWrap w:val="0"/>
            <w:vAlign w:val="center"/>
          </w:tcPr>
          <w:p w14:paraId="37EAB47A">
            <w:pPr>
              <w:bidi w:val="0"/>
              <w:rPr>
                <w:rFonts w:hint="eastAsia" w:ascii="仿宋" w:hAnsi="仿宋" w:eastAsia="仿宋" w:cs="仿宋"/>
                <w:b/>
                <w:color w:val="auto"/>
                <w:szCs w:val="24"/>
                <w:highlight w:val="none"/>
              </w:rPr>
            </w:pPr>
            <w:bookmarkStart w:id="130" w:name="_Toc22892142"/>
            <w:r>
              <w:rPr>
                <w:rFonts w:hint="eastAsia"/>
                <w:color w:val="auto"/>
                <w:highlight w:val="none"/>
              </w:rPr>
              <w:t>附：委托代理人居民身份证复印件（正、反面）</w:t>
            </w:r>
            <w:bookmarkEnd w:id="130"/>
          </w:p>
        </w:tc>
      </w:tr>
    </w:tbl>
    <w:p w14:paraId="309D3842">
      <w:pPr>
        <w:bidi w:val="0"/>
        <w:rPr>
          <w:rFonts w:hint="eastAsia" w:ascii="仿宋" w:hAnsi="仿宋" w:eastAsia="仿宋" w:cs="仿宋"/>
          <w:color w:val="auto"/>
          <w:highlight w:val="none"/>
        </w:rPr>
      </w:pPr>
    </w:p>
    <w:bookmarkEnd w:id="124"/>
    <w:bookmarkEnd w:id="125"/>
    <w:bookmarkEnd w:id="126"/>
    <w:bookmarkEnd w:id="127"/>
    <w:bookmarkEnd w:id="128"/>
    <w:bookmarkEnd w:id="129"/>
    <w:p w14:paraId="62110351">
      <w:pPr>
        <w:tabs>
          <w:tab w:val="left" w:pos="0"/>
        </w:tabs>
        <w:wordWrap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投标人：（盖单位章）</w:t>
      </w:r>
    </w:p>
    <w:p w14:paraId="4C7548B0">
      <w:pPr>
        <w:tabs>
          <w:tab w:val="left" w:pos="0"/>
        </w:tabs>
        <w:wordWrap w:val="0"/>
        <w:spacing w:line="360" w:lineRule="auto"/>
        <w:rPr>
          <w:rFonts w:hint="eastAsia" w:ascii="仿宋" w:hAnsi="仿宋" w:eastAsia="仿宋" w:cs="仿宋"/>
          <w:color w:val="auto"/>
          <w:sz w:val="24"/>
          <w:szCs w:val="24"/>
          <w:highlight w:val="none"/>
        </w:rPr>
      </w:pPr>
      <w:bookmarkStart w:id="131" w:name="_Toc16528401"/>
      <w:bookmarkStart w:id="132" w:name="_Toc16528278"/>
      <w:r>
        <w:rPr>
          <w:rFonts w:hint="eastAsia" w:ascii="仿宋" w:hAnsi="仿宋" w:eastAsia="仿宋" w:cs="仿宋"/>
          <w:color w:val="auto"/>
          <w:sz w:val="24"/>
          <w:szCs w:val="24"/>
          <w:highlight w:val="none"/>
        </w:rPr>
        <w:t>法定代表人：（签字）</w:t>
      </w:r>
      <w:bookmarkEnd w:id="131"/>
      <w:bookmarkEnd w:id="132"/>
    </w:p>
    <w:p w14:paraId="01AD2ACE">
      <w:pPr>
        <w:tabs>
          <w:tab w:val="left" w:pos="0"/>
        </w:tabs>
        <w:wordWrap w:val="0"/>
        <w:spacing w:line="360" w:lineRule="auto"/>
        <w:rPr>
          <w:rFonts w:hint="eastAsia" w:ascii="仿宋" w:hAnsi="仿宋" w:eastAsia="仿宋" w:cs="仿宋"/>
          <w:color w:val="auto"/>
          <w:sz w:val="24"/>
          <w:szCs w:val="24"/>
          <w:highlight w:val="none"/>
          <w:lang w:eastAsia="zh-CN"/>
        </w:rPr>
      </w:pPr>
      <w:bookmarkStart w:id="133" w:name="_Toc16528402"/>
      <w:bookmarkStart w:id="134" w:name="_Toc16528279"/>
      <w:r>
        <w:rPr>
          <w:rFonts w:hint="eastAsia" w:ascii="仿宋" w:hAnsi="仿宋" w:eastAsia="仿宋" w:cs="仿宋"/>
          <w:color w:val="auto"/>
          <w:sz w:val="24"/>
          <w:szCs w:val="24"/>
          <w:highlight w:val="none"/>
        </w:rPr>
        <w:t>身份证号码：</w:t>
      </w:r>
      <w:bookmarkEnd w:id="133"/>
      <w:bookmarkEnd w:id="134"/>
    </w:p>
    <w:p w14:paraId="06227F9D">
      <w:pPr>
        <w:tabs>
          <w:tab w:val="left" w:pos="0"/>
        </w:tabs>
        <w:wordWrap w:val="0"/>
        <w:spacing w:line="360" w:lineRule="auto"/>
        <w:rPr>
          <w:rFonts w:hint="eastAsia" w:ascii="仿宋" w:hAnsi="仿宋" w:eastAsia="仿宋" w:cs="仿宋"/>
          <w:color w:val="auto"/>
          <w:sz w:val="24"/>
          <w:szCs w:val="24"/>
          <w:highlight w:val="none"/>
        </w:rPr>
      </w:pPr>
      <w:bookmarkStart w:id="135" w:name="_Toc16528403"/>
      <w:bookmarkStart w:id="136" w:name="_Toc16528280"/>
      <w:r>
        <w:rPr>
          <w:rFonts w:hint="eastAsia" w:ascii="仿宋" w:hAnsi="仿宋" w:eastAsia="仿宋" w:cs="仿宋"/>
          <w:color w:val="auto"/>
          <w:sz w:val="24"/>
          <w:szCs w:val="24"/>
          <w:highlight w:val="none"/>
        </w:rPr>
        <w:t>委托代理人：（签字）</w:t>
      </w:r>
      <w:bookmarkEnd w:id="135"/>
      <w:bookmarkEnd w:id="136"/>
    </w:p>
    <w:p w14:paraId="2AE7E013">
      <w:pPr>
        <w:tabs>
          <w:tab w:val="left" w:pos="0"/>
        </w:tabs>
        <w:wordWrap w:val="0"/>
        <w:spacing w:line="360" w:lineRule="auto"/>
        <w:rPr>
          <w:rFonts w:hint="eastAsia" w:ascii="仿宋" w:hAnsi="仿宋" w:eastAsia="仿宋" w:cs="仿宋"/>
          <w:color w:val="auto"/>
          <w:sz w:val="24"/>
          <w:szCs w:val="24"/>
          <w:highlight w:val="none"/>
          <w:u w:val="single"/>
          <w:lang w:eastAsia="zh-CN"/>
        </w:rPr>
      </w:pPr>
      <w:bookmarkStart w:id="137" w:name="_Toc16528281"/>
      <w:bookmarkStart w:id="138" w:name="_Toc16528404"/>
      <w:r>
        <w:rPr>
          <w:rFonts w:hint="eastAsia" w:ascii="仿宋" w:hAnsi="仿宋" w:eastAsia="仿宋" w:cs="仿宋"/>
          <w:color w:val="auto"/>
          <w:sz w:val="24"/>
          <w:szCs w:val="24"/>
          <w:highlight w:val="none"/>
        </w:rPr>
        <w:t>身份证号码：</w:t>
      </w:r>
      <w:bookmarkEnd w:id="137"/>
      <w:bookmarkEnd w:id="138"/>
    </w:p>
    <w:p w14:paraId="04B767D5">
      <w:pPr>
        <w:tabs>
          <w:tab w:val="left" w:pos="0"/>
        </w:tabs>
        <w:wordWrap w:val="0"/>
        <w:spacing w:line="360" w:lineRule="auto"/>
        <w:rPr>
          <w:rFonts w:hint="eastAsia" w:ascii="仿宋" w:hAnsi="仿宋" w:eastAsia="仿宋" w:cs="仿宋"/>
          <w:color w:val="auto"/>
          <w:sz w:val="24"/>
          <w:szCs w:val="24"/>
          <w:highlight w:val="none"/>
        </w:rPr>
      </w:pPr>
      <w:bookmarkStart w:id="139" w:name="_Toc16528405"/>
      <w:bookmarkStart w:id="140" w:name="_Toc16528282"/>
      <w:r>
        <w:rPr>
          <w:rFonts w:hint="eastAsia" w:ascii="仿宋" w:hAnsi="仿宋" w:eastAsia="仿宋" w:cs="仿宋"/>
          <w:color w:val="auto"/>
          <w:sz w:val="24"/>
          <w:szCs w:val="24"/>
          <w:highlight w:val="none"/>
        </w:rPr>
        <w:t>日期：年月日</w:t>
      </w:r>
      <w:bookmarkEnd w:id="139"/>
      <w:bookmarkEnd w:id="140"/>
    </w:p>
    <w:p w14:paraId="7F986547">
      <w:pPr>
        <w:autoSpaceDE w:val="0"/>
        <w:autoSpaceDN w:val="0"/>
        <w:adjustRightInd w:val="0"/>
        <w:spacing w:line="400" w:lineRule="exact"/>
        <w:jc w:val="left"/>
        <w:rPr>
          <w:rFonts w:hint="eastAsia" w:ascii="仿宋" w:hAnsi="仿宋" w:eastAsia="仿宋" w:cs="仿宋"/>
          <w:bCs/>
          <w:color w:val="auto"/>
          <w:sz w:val="24"/>
          <w:highlight w:val="none"/>
          <w:lang w:val="zh-CN"/>
        </w:rPr>
      </w:pPr>
      <w:bookmarkStart w:id="141" w:name="_Toc22892143"/>
      <w:bookmarkStart w:id="142" w:name="_Toc17185720"/>
      <w:bookmarkStart w:id="143" w:name="_Toc19097112"/>
      <w:bookmarkStart w:id="144" w:name="_Toc17185823"/>
      <w:r>
        <w:rPr>
          <w:rFonts w:hint="eastAsia" w:ascii="仿宋" w:hAnsi="仿宋" w:eastAsia="仿宋" w:cs="仿宋"/>
          <w:bCs/>
          <w:color w:val="auto"/>
          <w:sz w:val="32"/>
          <w:szCs w:val="18"/>
          <w:highlight w:val="none"/>
          <w:lang w:val="zh-CN"/>
        </w:rPr>
        <w:br w:type="page"/>
      </w:r>
      <w:bookmarkEnd w:id="141"/>
      <w:bookmarkEnd w:id="142"/>
      <w:bookmarkEnd w:id="143"/>
      <w:bookmarkEnd w:id="144"/>
    </w:p>
    <w:p w14:paraId="54362A00">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bookmarkStart w:id="145" w:name="_Toc2160"/>
      <w:r>
        <w:rPr>
          <w:rFonts w:hint="eastAsia" w:ascii="仿宋" w:hAnsi="仿宋" w:eastAsia="仿宋" w:cs="仿宋"/>
          <w:b/>
          <w:color w:val="auto"/>
          <w:sz w:val="32"/>
          <w:szCs w:val="30"/>
          <w:highlight w:val="none"/>
          <w:lang w:val="en-US" w:eastAsia="zh-CN"/>
        </w:rPr>
        <w:t>投标</w:t>
      </w:r>
      <w:r>
        <w:rPr>
          <w:rFonts w:hint="eastAsia" w:ascii="仿宋" w:hAnsi="仿宋" w:eastAsia="仿宋" w:cs="仿宋"/>
          <w:b/>
          <w:color w:val="auto"/>
          <w:sz w:val="32"/>
          <w:szCs w:val="30"/>
          <w:highlight w:val="none"/>
          <w:lang w:val="zh-CN" w:eastAsia="zh-CN"/>
        </w:rPr>
        <w:t>保证金</w:t>
      </w:r>
    </w:p>
    <w:p w14:paraId="7CA24FD4">
      <w:pPr>
        <w:rPr>
          <w:rFonts w:hint="eastAsia" w:ascii="仿宋" w:hAnsi="仿宋" w:eastAsia="仿宋" w:cs="仿宋"/>
          <w:color w:val="auto"/>
          <w:sz w:val="24"/>
          <w:highlight w:val="none"/>
        </w:rPr>
      </w:pPr>
    </w:p>
    <w:p w14:paraId="1F646956">
      <w:pPr>
        <w:rPr>
          <w:rFonts w:hint="eastAsia" w:ascii="仿宋" w:hAnsi="仿宋" w:eastAsia="仿宋" w:cs="仿宋"/>
          <w:color w:val="auto"/>
          <w:sz w:val="24"/>
          <w:highlight w:val="none"/>
        </w:rPr>
      </w:pPr>
    </w:p>
    <w:p w14:paraId="4F1DCE0C">
      <w:pPr>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{招标人名称}</w:t>
      </w:r>
    </w:p>
    <w:p w14:paraId="06EF4FF0">
      <w:pPr>
        <w:rPr>
          <w:rFonts w:hint="eastAsia" w:ascii="仿宋" w:hAnsi="仿宋" w:eastAsia="仿宋" w:cs="仿宋"/>
          <w:color w:val="auto"/>
          <w:sz w:val="24"/>
          <w:szCs w:val="24"/>
          <w:highlight w:val="none"/>
        </w:rPr>
      </w:pPr>
    </w:p>
    <w:p w14:paraId="793B3470">
      <w:pPr>
        <w:spacing w:line="360" w:lineRule="auto"/>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（投标人名称）（以下称“投标人”）于年月日递交了{招标项目名称、项目编号}的</w:t>
      </w:r>
      <w:r>
        <w:rPr>
          <w:rFonts w:hint="eastAsia" w:ascii="仿宋" w:hAnsi="仿宋" w:eastAsia="仿宋" w:cs="仿宋"/>
          <w:color w:val="auto"/>
          <w:sz w:val="24"/>
          <w:szCs w:val="24"/>
          <w:highlight w:val="none"/>
          <w:u w:val="single"/>
          <w:lang w:eastAsia="zh-CN"/>
        </w:rPr>
        <w:t>投标保证金</w:t>
      </w:r>
      <w:r>
        <w:rPr>
          <w:rFonts w:hint="eastAsia" w:ascii="仿宋" w:hAnsi="仿宋" w:eastAsia="仿宋" w:cs="仿宋"/>
          <w:color w:val="auto"/>
          <w:sz w:val="24"/>
          <w:szCs w:val="24"/>
          <w:highlight w:val="none"/>
          <w:u w:val="single"/>
        </w:rPr>
        <w:t>人民币元；</w:t>
      </w:r>
    </w:p>
    <w:p w14:paraId="1BADFB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如果我方在响应有效期内收到你方的中标通知后，不能或拒绝按投标须知的要求签署合同协议书；你方有权没收我方的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w:t>
      </w:r>
    </w:p>
    <w:p w14:paraId="3FF9EF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我方同意</w:t>
      </w:r>
      <w:r>
        <w:rPr>
          <w:rFonts w:hint="eastAsia" w:cs="仿宋"/>
          <w:color w:val="auto"/>
          <w:sz w:val="24"/>
          <w:szCs w:val="24"/>
          <w:highlight w:val="none"/>
          <w:lang w:eastAsia="zh-CN"/>
        </w:rPr>
        <w:t>招标文件</w:t>
      </w:r>
      <w:r>
        <w:rPr>
          <w:rFonts w:hint="eastAsia" w:ascii="仿宋" w:hAnsi="仿宋" w:eastAsia="仿宋" w:cs="仿宋"/>
          <w:color w:val="auto"/>
          <w:sz w:val="24"/>
          <w:szCs w:val="24"/>
          <w:highlight w:val="none"/>
        </w:rPr>
        <w:t>有关</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规定，并对我方有约束力。</w:t>
      </w:r>
    </w:p>
    <w:p w14:paraId="4C443B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保证金</w:t>
      </w:r>
      <w:r>
        <w:rPr>
          <w:rFonts w:hint="eastAsia" w:ascii="仿宋" w:hAnsi="仿宋" w:eastAsia="仿宋" w:cs="仿宋"/>
          <w:color w:val="auto"/>
          <w:sz w:val="24"/>
          <w:szCs w:val="24"/>
          <w:highlight w:val="none"/>
        </w:rPr>
        <w:t>递交凭证</w:t>
      </w:r>
      <w:r>
        <w:rPr>
          <w:rFonts w:hint="eastAsia" w:cs="仿宋"/>
          <w:color w:val="auto"/>
          <w:sz w:val="24"/>
          <w:szCs w:val="24"/>
          <w:highlight w:val="none"/>
          <w:lang w:eastAsia="zh-CN"/>
        </w:rPr>
        <w:t>（</w:t>
      </w:r>
      <w:r>
        <w:rPr>
          <w:rFonts w:hint="eastAsia" w:cs="仿宋"/>
          <w:color w:val="auto"/>
          <w:sz w:val="24"/>
          <w:szCs w:val="24"/>
          <w:highlight w:val="none"/>
          <w:lang w:val="en-US" w:eastAsia="zh-CN"/>
        </w:rPr>
        <w:t>或投标保函</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w:t>
      </w:r>
    </w:p>
    <w:p w14:paraId="0B5A6531">
      <w:pPr>
        <w:rPr>
          <w:rFonts w:hint="eastAsia" w:ascii="仿宋" w:hAnsi="仿宋" w:eastAsia="仿宋" w:cs="仿宋"/>
          <w:color w:val="auto"/>
          <w:sz w:val="24"/>
          <w:szCs w:val="24"/>
          <w:highlight w:val="none"/>
        </w:rPr>
      </w:pPr>
    </w:p>
    <w:tbl>
      <w:tblPr>
        <w:tblStyle w:val="18"/>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14:paraId="0667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738" w:type="dxa"/>
            <w:noWrap w:val="0"/>
            <w:vAlign w:val="top"/>
          </w:tcPr>
          <w:p w14:paraId="7AC257AC">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附:银行进账单</w:t>
            </w:r>
          </w:p>
          <w:p w14:paraId="6050623B">
            <w:pPr>
              <w:rPr>
                <w:rFonts w:hint="eastAsia" w:ascii="仿宋" w:hAnsi="仿宋" w:eastAsia="仿宋" w:cs="仿宋"/>
                <w:color w:val="auto"/>
                <w:sz w:val="24"/>
                <w:szCs w:val="24"/>
                <w:highlight w:val="none"/>
              </w:rPr>
            </w:pPr>
          </w:p>
          <w:p w14:paraId="34754C38">
            <w:pPr>
              <w:rPr>
                <w:rFonts w:hint="eastAsia" w:ascii="仿宋" w:hAnsi="仿宋" w:eastAsia="仿宋" w:cs="仿宋"/>
                <w:color w:val="auto"/>
                <w:sz w:val="24"/>
                <w:szCs w:val="24"/>
                <w:highlight w:val="none"/>
              </w:rPr>
            </w:pPr>
          </w:p>
          <w:p w14:paraId="5D2598F1">
            <w:pPr>
              <w:rPr>
                <w:rFonts w:hint="eastAsia" w:ascii="仿宋" w:hAnsi="仿宋" w:eastAsia="仿宋" w:cs="仿宋"/>
                <w:color w:val="auto"/>
                <w:sz w:val="24"/>
                <w:szCs w:val="24"/>
                <w:highlight w:val="none"/>
              </w:rPr>
            </w:pPr>
          </w:p>
          <w:p w14:paraId="5C60442E">
            <w:pPr>
              <w:rPr>
                <w:rFonts w:hint="eastAsia" w:ascii="仿宋" w:hAnsi="仿宋" w:eastAsia="仿宋" w:cs="仿宋"/>
                <w:color w:val="auto"/>
                <w:sz w:val="24"/>
                <w:szCs w:val="24"/>
                <w:highlight w:val="none"/>
              </w:rPr>
            </w:pPr>
          </w:p>
        </w:tc>
      </w:tr>
      <w:tr w14:paraId="4A95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8738" w:type="dxa"/>
            <w:noWrap w:val="0"/>
            <w:vAlign w:val="top"/>
          </w:tcPr>
          <w:p w14:paraId="62FE0373">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附：开户银行证明</w:t>
            </w:r>
          </w:p>
          <w:p w14:paraId="0150A423">
            <w:pPr>
              <w:rPr>
                <w:rFonts w:hint="eastAsia" w:ascii="仿宋" w:hAnsi="仿宋" w:eastAsia="仿宋" w:cs="仿宋"/>
                <w:color w:val="auto"/>
                <w:sz w:val="24"/>
                <w:szCs w:val="24"/>
                <w:highlight w:val="none"/>
              </w:rPr>
            </w:pPr>
          </w:p>
          <w:p w14:paraId="3770EC3C">
            <w:pPr>
              <w:rPr>
                <w:rFonts w:hint="eastAsia" w:ascii="仿宋" w:hAnsi="仿宋" w:eastAsia="仿宋" w:cs="仿宋"/>
                <w:b/>
                <w:color w:val="auto"/>
                <w:sz w:val="24"/>
                <w:szCs w:val="24"/>
                <w:highlight w:val="none"/>
              </w:rPr>
            </w:pPr>
          </w:p>
        </w:tc>
      </w:tr>
    </w:tbl>
    <w:p w14:paraId="2CB54712">
      <w:pPr>
        <w:rPr>
          <w:rFonts w:hint="eastAsia" w:ascii="仿宋" w:hAnsi="仿宋" w:eastAsia="仿宋" w:cs="仿宋"/>
          <w:color w:val="auto"/>
          <w:sz w:val="24"/>
          <w:szCs w:val="24"/>
          <w:highlight w:val="none"/>
        </w:rPr>
      </w:pPr>
    </w:p>
    <w:p w14:paraId="57E1DD82">
      <w:pPr>
        <w:ind w:left="0" w:leftChars="0" w:firstLine="0" w:firstLineChars="0"/>
        <w:rPr>
          <w:rFonts w:hint="eastAsia" w:ascii="仿宋" w:hAnsi="仿宋" w:eastAsia="仿宋" w:cs="仿宋"/>
          <w:color w:val="auto"/>
          <w:sz w:val="24"/>
          <w:szCs w:val="24"/>
          <w:highlight w:val="none"/>
        </w:rPr>
      </w:pPr>
    </w:p>
    <w:p w14:paraId="421340D4">
      <w:pPr>
        <w:rPr>
          <w:rFonts w:hint="eastAsia" w:ascii="仿宋" w:hAnsi="仿宋" w:eastAsia="仿宋" w:cs="仿宋"/>
          <w:color w:val="auto"/>
          <w:sz w:val="24"/>
          <w:szCs w:val="24"/>
          <w:highlight w:val="none"/>
        </w:rPr>
      </w:pPr>
    </w:p>
    <w:p w14:paraId="35DFBB2D">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投标人：（盖单位公章）</w:t>
      </w:r>
    </w:p>
    <w:p w14:paraId="5D1EE981">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14:paraId="4D2BA86A">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14:paraId="5FA666D1">
      <w:pPr>
        <w:autoSpaceDE w:val="0"/>
        <w:autoSpaceDN w:val="0"/>
        <w:adjustRightInd w:val="0"/>
        <w:spacing w:line="400" w:lineRule="exact"/>
        <w:jc w:val="left"/>
        <w:rPr>
          <w:rFonts w:hint="eastAsia" w:ascii="仿宋" w:hAnsi="仿宋" w:eastAsia="仿宋" w:cs="仿宋"/>
          <w:bCs/>
          <w:color w:val="auto"/>
          <w:sz w:val="24"/>
          <w:highlight w:val="none"/>
          <w:lang w:val="zh-CN"/>
        </w:rPr>
      </w:pPr>
    </w:p>
    <w:p w14:paraId="2A97818E">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供应商基本情况</w:t>
      </w:r>
    </w:p>
    <w:p w14:paraId="5DCC34B1">
      <w:pPr>
        <w:autoSpaceDE w:val="0"/>
        <w:autoSpaceDN w:val="0"/>
        <w:adjustRightInd w:val="0"/>
        <w:spacing w:line="400" w:lineRule="exact"/>
        <w:jc w:val="left"/>
        <w:rPr>
          <w:rFonts w:hint="default" w:ascii="仿宋" w:hAnsi="仿宋" w:eastAsia="仿宋" w:cs="仿宋"/>
          <w:b/>
          <w:bCs/>
          <w:color w:val="auto"/>
          <w:szCs w:val="21"/>
          <w:highlight w:val="none"/>
          <w:lang w:val="en-US" w:eastAsia="zh-CN"/>
        </w:rPr>
      </w:pPr>
      <w:r>
        <w:rPr>
          <w:rFonts w:hint="eastAsia" w:cs="仿宋"/>
          <w:b/>
          <w:bCs/>
          <w:color w:val="auto"/>
          <w:szCs w:val="21"/>
          <w:highlight w:val="none"/>
          <w:lang w:val="en-US" w:eastAsia="zh-CN"/>
        </w:rPr>
        <w:t>单位名称：（加盖公章）</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6016"/>
      </w:tblGrid>
      <w:tr w14:paraId="5901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14:paraId="6E8FDD9B">
            <w:pPr>
              <w:widowControl w:val="0"/>
              <w:bidi w:val="0"/>
              <w:spacing w:line="240" w:lineRule="auto"/>
              <w:jc w:val="both"/>
              <w:rPr>
                <w:rFonts w:hint="eastAsia"/>
                <w:color w:val="auto"/>
                <w:sz w:val="21"/>
                <w:szCs w:val="21"/>
                <w:highlight w:val="none"/>
                <w:lang w:val="zh-CN"/>
              </w:rPr>
            </w:pPr>
            <w:bookmarkStart w:id="146" w:name="_Toc201719192"/>
            <w:bookmarkStart w:id="147" w:name="_Toc30559"/>
            <w:r>
              <w:rPr>
                <w:color w:val="auto"/>
                <w:sz w:val="21"/>
                <w:szCs w:val="21"/>
                <w:highlight w:val="none"/>
              </w:rPr>
              <w:t>注册资金</w:t>
            </w:r>
          </w:p>
        </w:tc>
        <w:tc>
          <w:tcPr>
            <w:tcW w:w="6016" w:type="dxa"/>
          </w:tcPr>
          <w:p w14:paraId="15D6ADCF">
            <w:pPr>
              <w:widowControl w:val="0"/>
              <w:bidi w:val="0"/>
              <w:spacing w:line="240" w:lineRule="auto"/>
              <w:jc w:val="right"/>
              <w:rPr>
                <w:rFonts w:hint="eastAsia" w:ascii="仿宋" w:hAnsi="仿宋" w:eastAsia="仿宋" w:cs="仿宋"/>
                <w:b/>
                <w:bCs/>
                <w:color w:val="auto"/>
                <w:sz w:val="21"/>
                <w:szCs w:val="21"/>
                <w:highlight w:val="none"/>
                <w:vertAlign w:val="baseline"/>
                <w:lang w:val="zh-CN"/>
              </w:rPr>
            </w:pPr>
            <w:r>
              <w:rPr>
                <w:color w:val="auto"/>
                <w:sz w:val="21"/>
                <w:szCs w:val="21"/>
                <w:highlight w:val="none"/>
              </w:rPr>
              <w:t>（万元）</w:t>
            </w:r>
          </w:p>
        </w:tc>
      </w:tr>
      <w:tr w14:paraId="44AC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14:paraId="67E2CF7F">
            <w:pPr>
              <w:widowControl w:val="0"/>
              <w:bidi w:val="0"/>
              <w:spacing w:line="240" w:lineRule="auto"/>
              <w:jc w:val="both"/>
              <w:rPr>
                <w:rFonts w:hint="eastAsia"/>
                <w:color w:val="auto"/>
                <w:sz w:val="21"/>
                <w:szCs w:val="21"/>
                <w:highlight w:val="none"/>
                <w:lang w:val="zh-CN"/>
              </w:rPr>
            </w:pPr>
            <w:r>
              <w:rPr>
                <w:color w:val="auto"/>
                <w:sz w:val="21"/>
                <w:szCs w:val="21"/>
                <w:highlight w:val="none"/>
              </w:rPr>
              <w:t>行业类别（对应“□”画“√”）</w:t>
            </w:r>
          </w:p>
        </w:tc>
        <w:tc>
          <w:tcPr>
            <w:tcW w:w="6016" w:type="dxa"/>
          </w:tcPr>
          <w:p w14:paraId="40873778">
            <w:pPr>
              <w:widowControl w:val="0"/>
              <w:bidi w:val="0"/>
              <w:spacing w:line="240" w:lineRule="auto"/>
              <w:jc w:val="both"/>
              <w:rPr>
                <w:rFonts w:hint="eastAsia" w:eastAsia="仿宋"/>
                <w:color w:val="auto"/>
                <w:sz w:val="21"/>
                <w:szCs w:val="21"/>
                <w:highlight w:val="none"/>
                <w:lang w:eastAsia="zh-CN"/>
              </w:rPr>
            </w:pPr>
            <w:r>
              <w:rPr>
                <w:color w:val="auto"/>
                <w:sz w:val="21"/>
                <w:szCs w:val="21"/>
                <w:highlight w:val="none"/>
              </w:rPr>
              <w:t>□（一）农、林、牧、渔业</w:t>
            </w:r>
          </w:p>
          <w:p w14:paraId="65AFB39B">
            <w:pPr>
              <w:widowControl w:val="0"/>
              <w:bidi w:val="0"/>
              <w:spacing w:line="240" w:lineRule="auto"/>
              <w:jc w:val="both"/>
              <w:rPr>
                <w:rFonts w:hint="eastAsia" w:eastAsia="仿宋"/>
                <w:color w:val="auto"/>
                <w:sz w:val="21"/>
                <w:szCs w:val="21"/>
                <w:highlight w:val="none"/>
                <w:lang w:eastAsia="zh-CN"/>
              </w:rPr>
            </w:pPr>
            <w:r>
              <w:rPr>
                <w:color w:val="auto"/>
                <w:sz w:val="21"/>
                <w:szCs w:val="21"/>
                <w:highlight w:val="none"/>
              </w:rPr>
              <w:t>□（二）工业</w:t>
            </w:r>
          </w:p>
          <w:p w14:paraId="6F2CC750">
            <w:pPr>
              <w:widowControl w:val="0"/>
              <w:bidi w:val="0"/>
              <w:spacing w:line="240" w:lineRule="auto"/>
              <w:jc w:val="both"/>
              <w:rPr>
                <w:color w:val="auto"/>
                <w:sz w:val="21"/>
                <w:szCs w:val="21"/>
                <w:highlight w:val="none"/>
              </w:rPr>
            </w:pPr>
            <w:r>
              <w:rPr>
                <w:color w:val="auto"/>
                <w:sz w:val="21"/>
                <w:szCs w:val="21"/>
                <w:highlight w:val="none"/>
              </w:rPr>
              <w:t>□（三）建筑业</w:t>
            </w:r>
          </w:p>
          <w:p w14:paraId="03910336">
            <w:pPr>
              <w:widowControl w:val="0"/>
              <w:bidi w:val="0"/>
              <w:spacing w:line="240" w:lineRule="auto"/>
              <w:jc w:val="both"/>
              <w:rPr>
                <w:rFonts w:hint="eastAsia" w:eastAsia="仿宋"/>
                <w:color w:val="auto"/>
                <w:sz w:val="21"/>
                <w:szCs w:val="21"/>
                <w:highlight w:val="none"/>
                <w:lang w:eastAsia="zh-CN"/>
              </w:rPr>
            </w:pPr>
            <w:r>
              <w:rPr>
                <w:color w:val="auto"/>
                <w:sz w:val="21"/>
                <w:szCs w:val="21"/>
                <w:highlight w:val="none"/>
              </w:rPr>
              <w:t>□（四）批发业</w:t>
            </w:r>
          </w:p>
          <w:p w14:paraId="24696E03">
            <w:pPr>
              <w:widowControl w:val="0"/>
              <w:bidi w:val="0"/>
              <w:spacing w:line="240" w:lineRule="auto"/>
              <w:jc w:val="both"/>
              <w:rPr>
                <w:rFonts w:hint="eastAsia" w:eastAsia="仿宋"/>
                <w:color w:val="auto"/>
                <w:sz w:val="21"/>
                <w:szCs w:val="21"/>
                <w:highlight w:val="none"/>
                <w:lang w:eastAsia="zh-CN"/>
              </w:rPr>
            </w:pPr>
            <w:r>
              <w:rPr>
                <w:rFonts w:hint="eastAsia"/>
                <w:color w:val="auto"/>
                <w:sz w:val="21"/>
                <w:szCs w:val="21"/>
                <w:highlight w:val="none"/>
                <w:lang w:eastAsia="zh-CN"/>
              </w:rPr>
              <w:t>□</w:t>
            </w:r>
            <w:r>
              <w:rPr>
                <w:color w:val="auto"/>
                <w:sz w:val="21"/>
                <w:szCs w:val="21"/>
                <w:highlight w:val="none"/>
              </w:rPr>
              <w:t>（五）零售业</w:t>
            </w:r>
          </w:p>
          <w:p w14:paraId="0B43005B">
            <w:pPr>
              <w:widowControl w:val="0"/>
              <w:bidi w:val="0"/>
              <w:spacing w:line="240" w:lineRule="auto"/>
              <w:jc w:val="both"/>
              <w:rPr>
                <w:color w:val="auto"/>
                <w:sz w:val="21"/>
                <w:szCs w:val="21"/>
                <w:highlight w:val="none"/>
              </w:rPr>
            </w:pPr>
            <w:r>
              <w:rPr>
                <w:color w:val="auto"/>
                <w:sz w:val="21"/>
                <w:szCs w:val="21"/>
                <w:highlight w:val="none"/>
              </w:rPr>
              <w:t>□（六）交通运输业</w:t>
            </w:r>
          </w:p>
          <w:p w14:paraId="27D4F4BA">
            <w:pPr>
              <w:widowControl w:val="0"/>
              <w:bidi w:val="0"/>
              <w:spacing w:line="240" w:lineRule="auto"/>
              <w:jc w:val="both"/>
              <w:rPr>
                <w:rFonts w:hint="eastAsia" w:eastAsia="仿宋"/>
                <w:color w:val="auto"/>
                <w:sz w:val="21"/>
                <w:szCs w:val="21"/>
                <w:highlight w:val="none"/>
                <w:lang w:eastAsia="zh-CN"/>
              </w:rPr>
            </w:pPr>
            <w:r>
              <w:rPr>
                <w:color w:val="auto"/>
                <w:sz w:val="21"/>
                <w:szCs w:val="21"/>
                <w:highlight w:val="none"/>
              </w:rPr>
              <w:t>□（七）仓储业</w:t>
            </w:r>
          </w:p>
          <w:p w14:paraId="7D7A3068">
            <w:pPr>
              <w:widowControl w:val="0"/>
              <w:bidi w:val="0"/>
              <w:spacing w:line="240" w:lineRule="auto"/>
              <w:jc w:val="both"/>
              <w:rPr>
                <w:rFonts w:hint="eastAsia" w:eastAsia="仿宋"/>
                <w:color w:val="auto"/>
                <w:sz w:val="21"/>
                <w:szCs w:val="21"/>
                <w:highlight w:val="none"/>
                <w:lang w:eastAsia="zh-CN"/>
              </w:rPr>
            </w:pPr>
            <w:r>
              <w:rPr>
                <w:color w:val="auto"/>
                <w:sz w:val="21"/>
                <w:szCs w:val="21"/>
                <w:highlight w:val="none"/>
              </w:rPr>
              <w:t>□（八）邮政业</w:t>
            </w:r>
          </w:p>
          <w:p w14:paraId="7FA2F008">
            <w:pPr>
              <w:widowControl w:val="0"/>
              <w:bidi w:val="0"/>
              <w:spacing w:line="240" w:lineRule="auto"/>
              <w:jc w:val="both"/>
              <w:rPr>
                <w:rFonts w:hint="eastAsia" w:eastAsia="仿宋"/>
                <w:color w:val="auto"/>
                <w:sz w:val="21"/>
                <w:szCs w:val="21"/>
                <w:highlight w:val="none"/>
                <w:lang w:eastAsia="zh-CN"/>
              </w:rPr>
            </w:pPr>
            <w:r>
              <w:rPr>
                <w:color w:val="auto"/>
                <w:sz w:val="21"/>
                <w:szCs w:val="21"/>
                <w:highlight w:val="none"/>
              </w:rPr>
              <w:t>□（九）住宿业</w:t>
            </w:r>
          </w:p>
          <w:p w14:paraId="150932EC">
            <w:pPr>
              <w:widowControl w:val="0"/>
              <w:bidi w:val="0"/>
              <w:spacing w:line="240" w:lineRule="auto"/>
              <w:jc w:val="both"/>
              <w:rPr>
                <w:color w:val="auto"/>
                <w:sz w:val="21"/>
                <w:szCs w:val="21"/>
                <w:highlight w:val="none"/>
              </w:rPr>
            </w:pPr>
            <w:r>
              <w:rPr>
                <w:color w:val="auto"/>
                <w:sz w:val="21"/>
                <w:szCs w:val="21"/>
                <w:highlight w:val="none"/>
              </w:rPr>
              <w:t>□（十）餐饮业</w:t>
            </w:r>
          </w:p>
          <w:p w14:paraId="3C76327A">
            <w:pPr>
              <w:widowControl w:val="0"/>
              <w:bidi w:val="0"/>
              <w:spacing w:line="240" w:lineRule="auto"/>
              <w:jc w:val="both"/>
              <w:rPr>
                <w:rFonts w:hint="eastAsia" w:eastAsia="仿宋"/>
                <w:color w:val="auto"/>
                <w:sz w:val="21"/>
                <w:szCs w:val="21"/>
                <w:highlight w:val="none"/>
                <w:lang w:eastAsia="zh-CN"/>
              </w:rPr>
            </w:pPr>
            <w:r>
              <w:rPr>
                <w:color w:val="auto"/>
                <w:sz w:val="21"/>
                <w:szCs w:val="21"/>
                <w:highlight w:val="none"/>
              </w:rPr>
              <w:t>□（十一）信息传输业</w:t>
            </w:r>
          </w:p>
          <w:p w14:paraId="0F216A6B">
            <w:pPr>
              <w:widowControl w:val="0"/>
              <w:bidi w:val="0"/>
              <w:spacing w:line="240" w:lineRule="auto"/>
              <w:jc w:val="both"/>
              <w:rPr>
                <w:rFonts w:hint="eastAsia" w:eastAsia="仿宋"/>
                <w:color w:val="auto"/>
                <w:sz w:val="21"/>
                <w:szCs w:val="21"/>
                <w:highlight w:val="none"/>
                <w:lang w:eastAsia="zh-CN"/>
              </w:rPr>
            </w:pPr>
            <w:r>
              <w:rPr>
                <w:color w:val="auto"/>
                <w:sz w:val="21"/>
                <w:szCs w:val="21"/>
                <w:highlight w:val="none"/>
              </w:rPr>
              <w:t>□（十二）软件和信息信息技术服务业</w:t>
            </w:r>
          </w:p>
          <w:p w14:paraId="18B19D62">
            <w:pPr>
              <w:widowControl w:val="0"/>
              <w:bidi w:val="0"/>
              <w:spacing w:line="240" w:lineRule="auto"/>
              <w:jc w:val="both"/>
              <w:rPr>
                <w:rFonts w:hint="eastAsia" w:eastAsia="仿宋"/>
                <w:color w:val="auto"/>
                <w:sz w:val="21"/>
                <w:szCs w:val="21"/>
                <w:highlight w:val="none"/>
                <w:lang w:eastAsia="zh-CN"/>
              </w:rPr>
            </w:pPr>
            <w:r>
              <w:rPr>
                <w:color w:val="auto"/>
                <w:sz w:val="21"/>
                <w:szCs w:val="21"/>
                <w:highlight w:val="none"/>
              </w:rPr>
              <w:t>□（十三）房地产开发经营</w:t>
            </w:r>
          </w:p>
          <w:p w14:paraId="0A84CA8E">
            <w:pPr>
              <w:widowControl w:val="0"/>
              <w:bidi w:val="0"/>
              <w:spacing w:line="240" w:lineRule="auto"/>
              <w:jc w:val="both"/>
              <w:rPr>
                <w:rFonts w:hint="eastAsia" w:eastAsia="仿宋"/>
                <w:color w:val="auto"/>
                <w:sz w:val="21"/>
                <w:szCs w:val="21"/>
                <w:highlight w:val="none"/>
                <w:lang w:eastAsia="zh-CN"/>
              </w:rPr>
            </w:pPr>
            <w:r>
              <w:rPr>
                <w:color w:val="auto"/>
                <w:sz w:val="21"/>
                <w:szCs w:val="21"/>
                <w:highlight w:val="none"/>
              </w:rPr>
              <w:t>□（十四）物业管理</w:t>
            </w:r>
          </w:p>
          <w:p w14:paraId="79E79EE0">
            <w:pPr>
              <w:widowControl w:val="0"/>
              <w:bidi w:val="0"/>
              <w:spacing w:line="240" w:lineRule="auto"/>
              <w:jc w:val="both"/>
              <w:rPr>
                <w:rFonts w:hint="eastAsia" w:eastAsia="仿宋"/>
                <w:color w:val="auto"/>
                <w:sz w:val="21"/>
                <w:szCs w:val="21"/>
                <w:highlight w:val="none"/>
                <w:lang w:eastAsia="zh-CN"/>
              </w:rPr>
            </w:pPr>
            <w:r>
              <w:rPr>
                <w:color w:val="auto"/>
                <w:sz w:val="21"/>
                <w:szCs w:val="21"/>
                <w:highlight w:val="none"/>
              </w:rPr>
              <w:t>□（十五）租赁和商务服务业</w:t>
            </w:r>
          </w:p>
          <w:p w14:paraId="7D32B288">
            <w:pPr>
              <w:widowControl w:val="0"/>
              <w:bidi w:val="0"/>
              <w:spacing w:line="240" w:lineRule="auto"/>
              <w:jc w:val="both"/>
              <w:rPr>
                <w:rFonts w:hint="eastAsia" w:ascii="仿宋" w:hAnsi="仿宋" w:eastAsia="仿宋" w:cs="仿宋"/>
                <w:b/>
                <w:bCs/>
                <w:color w:val="auto"/>
                <w:sz w:val="21"/>
                <w:szCs w:val="21"/>
                <w:highlight w:val="none"/>
                <w:vertAlign w:val="baseline"/>
                <w:lang w:val="zh-CN"/>
              </w:rPr>
            </w:pPr>
            <w:r>
              <w:rPr>
                <w:color w:val="auto"/>
                <w:sz w:val="21"/>
                <w:szCs w:val="21"/>
                <w:highlight w:val="none"/>
              </w:rPr>
              <w:t>□（十六）其他未列明行业</w:t>
            </w:r>
          </w:p>
        </w:tc>
      </w:tr>
      <w:tr w14:paraId="2367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14:paraId="15258415">
            <w:pPr>
              <w:widowControl w:val="0"/>
              <w:bidi w:val="0"/>
              <w:spacing w:line="240" w:lineRule="auto"/>
              <w:jc w:val="both"/>
              <w:rPr>
                <w:rFonts w:hint="eastAsia"/>
                <w:color w:val="auto"/>
                <w:sz w:val="21"/>
                <w:szCs w:val="21"/>
                <w:highlight w:val="none"/>
                <w:lang w:val="zh-CN"/>
              </w:rPr>
            </w:pPr>
            <w:r>
              <w:rPr>
                <w:color w:val="auto"/>
                <w:sz w:val="21"/>
                <w:szCs w:val="21"/>
                <w:highlight w:val="none"/>
              </w:rPr>
              <w:t>职工人数</w:t>
            </w:r>
          </w:p>
        </w:tc>
        <w:tc>
          <w:tcPr>
            <w:tcW w:w="6016" w:type="dxa"/>
          </w:tcPr>
          <w:p w14:paraId="4DEBE116">
            <w:pPr>
              <w:widowControl w:val="0"/>
              <w:bidi w:val="0"/>
              <w:spacing w:line="240" w:lineRule="auto"/>
              <w:jc w:val="right"/>
              <w:rPr>
                <w:rFonts w:hint="eastAsia"/>
                <w:color w:val="auto"/>
                <w:sz w:val="21"/>
                <w:szCs w:val="21"/>
                <w:highlight w:val="none"/>
                <w:lang w:val="zh-CN"/>
              </w:rPr>
            </w:pPr>
            <w:r>
              <w:rPr>
                <w:color w:val="auto"/>
                <w:sz w:val="21"/>
                <w:szCs w:val="21"/>
                <w:highlight w:val="none"/>
              </w:rPr>
              <w:t>（人）</w:t>
            </w:r>
          </w:p>
        </w:tc>
      </w:tr>
      <w:tr w14:paraId="731C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14:paraId="76E2B895">
            <w:pPr>
              <w:widowControl w:val="0"/>
              <w:bidi w:val="0"/>
              <w:spacing w:line="240" w:lineRule="auto"/>
              <w:jc w:val="both"/>
              <w:rPr>
                <w:rFonts w:hint="eastAsia"/>
                <w:color w:val="auto"/>
                <w:sz w:val="21"/>
                <w:szCs w:val="21"/>
                <w:highlight w:val="none"/>
                <w:lang w:val="zh-CN"/>
              </w:rPr>
            </w:pPr>
            <w:r>
              <w:rPr>
                <w:color w:val="auto"/>
                <w:sz w:val="21"/>
                <w:szCs w:val="21"/>
                <w:highlight w:val="none"/>
              </w:rPr>
              <w:t>专业技术人员人数</w:t>
            </w:r>
          </w:p>
        </w:tc>
        <w:tc>
          <w:tcPr>
            <w:tcW w:w="6016" w:type="dxa"/>
          </w:tcPr>
          <w:p w14:paraId="21E3D88E">
            <w:pPr>
              <w:widowControl w:val="0"/>
              <w:bidi w:val="0"/>
              <w:spacing w:line="240" w:lineRule="auto"/>
              <w:jc w:val="right"/>
              <w:rPr>
                <w:rFonts w:hint="eastAsia"/>
                <w:color w:val="auto"/>
                <w:sz w:val="21"/>
                <w:szCs w:val="21"/>
                <w:highlight w:val="none"/>
                <w:lang w:val="zh-CN"/>
              </w:rPr>
            </w:pPr>
            <w:r>
              <w:rPr>
                <w:color w:val="auto"/>
                <w:sz w:val="21"/>
                <w:szCs w:val="21"/>
                <w:highlight w:val="none"/>
              </w:rPr>
              <w:t>（人）</w:t>
            </w:r>
          </w:p>
        </w:tc>
      </w:tr>
      <w:tr w14:paraId="078C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14:paraId="4987FCA4">
            <w:pPr>
              <w:widowControl w:val="0"/>
              <w:bidi w:val="0"/>
              <w:spacing w:line="240" w:lineRule="auto"/>
              <w:jc w:val="both"/>
              <w:rPr>
                <w:rFonts w:hint="eastAsia"/>
                <w:color w:val="auto"/>
                <w:sz w:val="21"/>
                <w:szCs w:val="21"/>
                <w:highlight w:val="none"/>
                <w:lang w:val="zh-CN"/>
              </w:rPr>
            </w:pPr>
            <w:r>
              <w:rPr>
                <w:color w:val="auto"/>
                <w:sz w:val="21"/>
                <w:szCs w:val="21"/>
                <w:highlight w:val="none"/>
              </w:rPr>
              <w:t>上年度营业收入</w:t>
            </w:r>
          </w:p>
        </w:tc>
        <w:tc>
          <w:tcPr>
            <w:tcW w:w="6016" w:type="dxa"/>
          </w:tcPr>
          <w:p w14:paraId="09B182FE">
            <w:pPr>
              <w:widowControl w:val="0"/>
              <w:bidi w:val="0"/>
              <w:spacing w:line="240" w:lineRule="auto"/>
              <w:jc w:val="right"/>
              <w:rPr>
                <w:rFonts w:hint="eastAsia"/>
                <w:color w:val="auto"/>
                <w:sz w:val="21"/>
                <w:szCs w:val="21"/>
                <w:highlight w:val="none"/>
                <w:lang w:val="zh-CN"/>
              </w:rPr>
            </w:pPr>
            <w:r>
              <w:rPr>
                <w:color w:val="auto"/>
                <w:sz w:val="21"/>
                <w:szCs w:val="21"/>
                <w:highlight w:val="none"/>
              </w:rPr>
              <w:t>（万元）</w:t>
            </w:r>
          </w:p>
        </w:tc>
      </w:tr>
      <w:tr w14:paraId="6D43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14:paraId="11FE1BC7">
            <w:pPr>
              <w:widowControl w:val="0"/>
              <w:bidi w:val="0"/>
              <w:spacing w:line="240" w:lineRule="auto"/>
              <w:jc w:val="both"/>
              <w:rPr>
                <w:rFonts w:hint="eastAsia"/>
                <w:color w:val="auto"/>
                <w:sz w:val="21"/>
                <w:szCs w:val="21"/>
                <w:highlight w:val="none"/>
                <w:lang w:val="zh-CN"/>
              </w:rPr>
            </w:pPr>
            <w:r>
              <w:rPr>
                <w:color w:val="auto"/>
                <w:sz w:val="21"/>
                <w:szCs w:val="21"/>
                <w:highlight w:val="none"/>
              </w:rPr>
              <w:t>社会保障资金情况</w:t>
            </w:r>
          </w:p>
        </w:tc>
        <w:tc>
          <w:tcPr>
            <w:tcW w:w="6016" w:type="dxa"/>
          </w:tcPr>
          <w:p w14:paraId="46E27D43">
            <w:pPr>
              <w:widowControl w:val="0"/>
              <w:bidi w:val="0"/>
              <w:spacing w:line="240" w:lineRule="auto"/>
              <w:jc w:val="right"/>
              <w:rPr>
                <w:rFonts w:hint="eastAsia" w:eastAsia="仿宋"/>
                <w:color w:val="auto"/>
                <w:sz w:val="21"/>
                <w:szCs w:val="21"/>
                <w:highlight w:val="none"/>
                <w:lang w:val="zh-CN" w:eastAsia="zh-CN"/>
              </w:rPr>
            </w:pPr>
            <w:r>
              <w:rPr>
                <w:color w:val="auto"/>
                <w:sz w:val="21"/>
                <w:szCs w:val="21"/>
                <w:highlight w:val="none"/>
              </w:rPr>
              <w:t>附缴费证明复印件缴税情况</w:t>
            </w:r>
          </w:p>
        </w:tc>
      </w:tr>
      <w:tr w14:paraId="6BC5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14:paraId="3CA497D0">
            <w:pPr>
              <w:widowControl w:val="0"/>
              <w:bidi w:val="0"/>
              <w:spacing w:line="240" w:lineRule="auto"/>
              <w:jc w:val="both"/>
              <w:rPr>
                <w:rFonts w:hint="eastAsia"/>
                <w:color w:val="auto"/>
                <w:sz w:val="21"/>
                <w:szCs w:val="21"/>
                <w:highlight w:val="none"/>
                <w:lang w:val="zh-CN"/>
              </w:rPr>
            </w:pPr>
            <w:r>
              <w:rPr>
                <w:color w:val="auto"/>
                <w:sz w:val="21"/>
                <w:szCs w:val="21"/>
                <w:highlight w:val="none"/>
              </w:rPr>
              <w:t>缴税情况</w:t>
            </w:r>
          </w:p>
        </w:tc>
        <w:tc>
          <w:tcPr>
            <w:tcW w:w="6016" w:type="dxa"/>
          </w:tcPr>
          <w:p w14:paraId="4078D788">
            <w:pPr>
              <w:widowControl w:val="0"/>
              <w:bidi w:val="0"/>
              <w:spacing w:line="240" w:lineRule="auto"/>
              <w:jc w:val="right"/>
              <w:rPr>
                <w:rFonts w:hint="eastAsia"/>
                <w:color w:val="auto"/>
                <w:sz w:val="21"/>
                <w:szCs w:val="21"/>
                <w:highlight w:val="none"/>
                <w:lang w:val="zh-CN"/>
              </w:rPr>
            </w:pPr>
            <w:r>
              <w:rPr>
                <w:color w:val="auto"/>
                <w:sz w:val="21"/>
                <w:szCs w:val="21"/>
                <w:highlight w:val="none"/>
              </w:rPr>
              <w:t>有/无（有，附近期的缴费证明复印件）</w:t>
            </w:r>
          </w:p>
        </w:tc>
      </w:tr>
      <w:tr w14:paraId="191F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6" w:type="dxa"/>
          </w:tcPr>
          <w:p w14:paraId="480848FA">
            <w:pPr>
              <w:widowControl w:val="0"/>
              <w:bidi w:val="0"/>
              <w:spacing w:line="240" w:lineRule="auto"/>
              <w:jc w:val="both"/>
              <w:rPr>
                <w:rFonts w:hint="eastAsia"/>
                <w:color w:val="auto"/>
                <w:sz w:val="21"/>
                <w:szCs w:val="21"/>
                <w:highlight w:val="none"/>
                <w:lang w:val="zh-CN"/>
              </w:rPr>
            </w:pPr>
            <w:r>
              <w:rPr>
                <w:color w:val="auto"/>
                <w:sz w:val="21"/>
                <w:szCs w:val="21"/>
                <w:highlight w:val="none"/>
              </w:rPr>
              <w:t>上年利润</w:t>
            </w:r>
          </w:p>
        </w:tc>
        <w:tc>
          <w:tcPr>
            <w:tcW w:w="6016" w:type="dxa"/>
          </w:tcPr>
          <w:p w14:paraId="536BD2C2">
            <w:pPr>
              <w:widowControl w:val="0"/>
              <w:bidi w:val="0"/>
              <w:spacing w:line="240" w:lineRule="auto"/>
              <w:jc w:val="right"/>
              <w:rPr>
                <w:rFonts w:hint="eastAsia"/>
                <w:color w:val="auto"/>
                <w:sz w:val="21"/>
                <w:szCs w:val="21"/>
                <w:highlight w:val="none"/>
                <w:lang w:val="zh-CN"/>
              </w:rPr>
            </w:pPr>
            <w:r>
              <w:rPr>
                <w:color w:val="auto"/>
                <w:sz w:val="21"/>
                <w:szCs w:val="21"/>
                <w:highlight w:val="none"/>
              </w:rPr>
              <w:t>（万元）</w:t>
            </w:r>
          </w:p>
        </w:tc>
      </w:tr>
    </w:tbl>
    <w:p w14:paraId="134B61BE">
      <w:pPr>
        <w:autoSpaceDE w:val="0"/>
        <w:autoSpaceDN w:val="0"/>
        <w:adjustRightInd w:val="0"/>
        <w:spacing w:line="360" w:lineRule="auto"/>
        <w:jc w:val="left"/>
        <w:rPr>
          <w:rFonts w:hint="eastAsia" w:ascii="仿宋" w:hAnsi="仿宋" w:eastAsia="仿宋" w:cs="仿宋"/>
          <w:color w:val="auto"/>
          <w:sz w:val="24"/>
          <w:szCs w:val="24"/>
          <w:highlight w:val="none"/>
        </w:rPr>
      </w:pPr>
    </w:p>
    <w:p w14:paraId="4064353C">
      <w:pPr>
        <w:pStyle w:val="9"/>
        <w:rPr>
          <w:rFonts w:hint="eastAsia"/>
          <w:color w:val="auto"/>
          <w:highlight w:val="none"/>
        </w:rPr>
      </w:pPr>
    </w:p>
    <w:p w14:paraId="008FB6CA">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投标人：（盖单位公章）</w:t>
      </w:r>
    </w:p>
    <w:p w14:paraId="354AE1F6">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14:paraId="3D08BD57">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14:paraId="0D5D9333">
      <w:pPr>
        <w:rPr>
          <w:rFonts w:hint="eastAsia" w:ascii="仿宋" w:hAnsi="仿宋" w:eastAsia="仿宋" w:cs="仿宋"/>
          <w:b/>
          <w:color w:val="auto"/>
          <w:sz w:val="32"/>
          <w:szCs w:val="30"/>
          <w:highlight w:val="none"/>
          <w:lang w:val="zh-CN" w:eastAsia="zh-CN"/>
        </w:rPr>
      </w:pPr>
    </w:p>
    <w:p w14:paraId="4542E576">
      <w:pPr>
        <w:autoSpaceDE w:val="0"/>
        <w:autoSpaceDN w:val="0"/>
        <w:adjustRightInd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后附：营业执照、组织机构代码证、税务登记证、管理体系认证、经营企业许可证</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技术证明文件等各种资料的复印件加盖投标人公章。</w:t>
      </w:r>
    </w:p>
    <w:p w14:paraId="79893A7F">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14:paraId="5D3D8DE5">
      <w:pPr>
        <w:pStyle w:val="4"/>
        <w:spacing w:before="0" w:after="0"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（1）投标单位财务状况</w:t>
      </w:r>
    </w:p>
    <w:p w14:paraId="7DA922FC">
      <w:pPr>
        <w:rPr>
          <w:rFonts w:hint="eastAsia" w:ascii="仿宋" w:hAnsi="仿宋" w:eastAsia="仿宋" w:cs="仿宋"/>
          <w:b/>
          <w:color w:val="auto"/>
          <w:sz w:val="32"/>
          <w:szCs w:val="30"/>
          <w:highlight w:val="none"/>
          <w:lang w:val="zh-CN" w:eastAsia="zh-CN"/>
        </w:rPr>
      </w:pPr>
      <w:r>
        <w:rPr>
          <w:rFonts w:hint="eastAsia" w:ascii="仿宋" w:hAnsi="仿宋" w:eastAsia="仿宋" w:cs="仿宋"/>
          <w:color w:val="auto"/>
          <w:sz w:val="21"/>
          <w:szCs w:val="21"/>
          <w:highlight w:val="none"/>
        </w:rPr>
        <w:t>应出具近三年（202</w:t>
      </w:r>
      <w:r>
        <w:rPr>
          <w:rFonts w:hint="eastAsia" w:cs="仿宋"/>
          <w:color w:val="auto"/>
          <w:sz w:val="21"/>
          <w:szCs w:val="21"/>
          <w:highlight w:val="none"/>
          <w:lang w:val="en-US" w:eastAsia="zh-CN"/>
        </w:rPr>
        <w:t>2</w:t>
      </w:r>
      <w:r>
        <w:rPr>
          <w:rFonts w:hint="eastAsia" w:ascii="仿宋" w:hAnsi="仿宋" w:eastAsia="仿宋" w:cs="仿宋"/>
          <w:color w:val="auto"/>
          <w:sz w:val="21"/>
          <w:szCs w:val="21"/>
          <w:highlight w:val="none"/>
        </w:rPr>
        <w:t>年至</w:t>
      </w:r>
      <w:r>
        <w:rPr>
          <w:rFonts w:hint="eastAsia" w:cs="仿宋"/>
          <w:color w:val="auto"/>
          <w:sz w:val="21"/>
          <w:szCs w:val="21"/>
          <w:highlight w:val="none"/>
          <w:lang w:val="en-US" w:eastAsia="zh-CN"/>
        </w:rPr>
        <w:t>2024年</w:t>
      </w:r>
      <w:r>
        <w:rPr>
          <w:rFonts w:hint="eastAsia" w:ascii="仿宋" w:hAnsi="仿宋" w:eastAsia="仿宋" w:cs="仿宋"/>
          <w:color w:val="auto"/>
          <w:sz w:val="21"/>
          <w:szCs w:val="21"/>
          <w:highlight w:val="none"/>
        </w:rPr>
        <w:t>）经会计师事务所审计的财务审计报告（投标人的成立时间少于规定年份的，应提供成立以来至202</w:t>
      </w:r>
      <w:r>
        <w:rPr>
          <w:rFonts w:hint="eastAsia" w:cs="仿宋"/>
          <w:color w:val="auto"/>
          <w:sz w:val="21"/>
          <w:szCs w:val="21"/>
          <w:highlight w:val="none"/>
          <w:lang w:val="en-US" w:eastAsia="zh-CN"/>
        </w:rPr>
        <w:t>4</w:t>
      </w:r>
      <w:r>
        <w:rPr>
          <w:rFonts w:hint="eastAsia" w:ascii="仿宋" w:hAnsi="仿宋" w:eastAsia="仿宋" w:cs="仿宋"/>
          <w:color w:val="auto"/>
          <w:sz w:val="21"/>
          <w:szCs w:val="21"/>
          <w:highlight w:val="none"/>
        </w:rPr>
        <w:t>年的财务审计报告；202</w:t>
      </w:r>
      <w:r>
        <w:rPr>
          <w:rFonts w:hint="eastAsia" w:cs="仿宋"/>
          <w:color w:val="auto"/>
          <w:sz w:val="21"/>
          <w:szCs w:val="21"/>
          <w:highlight w:val="none"/>
          <w:lang w:val="en-US" w:eastAsia="zh-CN"/>
        </w:rPr>
        <w:t>5</w:t>
      </w:r>
      <w:r>
        <w:rPr>
          <w:rFonts w:hint="eastAsia" w:ascii="仿宋" w:hAnsi="仿宋" w:eastAsia="仿宋" w:cs="仿宋"/>
          <w:color w:val="auto"/>
          <w:sz w:val="21"/>
          <w:szCs w:val="21"/>
          <w:highlight w:val="none"/>
        </w:rPr>
        <w:t>年以后新成立企业需提供近三个月内银行出具的公司资信证明）</w:t>
      </w:r>
    </w:p>
    <w:p w14:paraId="4553666D">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br w:type="page"/>
      </w:r>
    </w:p>
    <w:p w14:paraId="3BDCCD67">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cs="仿宋"/>
          <w:color w:val="auto"/>
          <w:sz w:val="28"/>
          <w:szCs w:val="28"/>
          <w:highlight w:val="none"/>
          <w:lang w:val="en-US" w:eastAsia="zh-CN"/>
        </w:rPr>
        <w:t>社保缴费凭证</w:t>
      </w:r>
    </w:p>
    <w:p w14:paraId="7ADCC9A0">
      <w:pPr>
        <w:spacing w:before="0" w:after="0" w:line="360" w:lineRule="auto"/>
        <w:ind w:firstLine="420" w:firstLineChars="0"/>
        <w:jc w:val="left"/>
        <w:outlineLvl w:val="9"/>
        <w:rPr>
          <w:rFonts w:hint="eastAsia"/>
          <w:color w:val="auto"/>
          <w:highlight w:val="none"/>
          <w:lang w:val="en-US" w:eastAsia="zh-CN"/>
        </w:rPr>
      </w:pPr>
      <w:r>
        <w:rPr>
          <w:rFonts w:hint="eastAsia"/>
          <w:color w:val="auto"/>
          <w:highlight w:val="none"/>
          <w:lang w:val="en-US" w:eastAsia="zh-CN"/>
        </w:rPr>
        <w:t>供应商应提供近六个月中至少一个月的社会缴纳社会保险的凭据（专用收据或社会保险缴纳清单）和良好缴纳税收的相关凭据（以税务机关提供的纳税凭据或银行入账单为准），并加盖本单位公章。依法免税或不需要缴纳社会保障资金的供应商，应提供相应文件证明其依法免税或不需要缴纳社会保障资金</w:t>
      </w:r>
    </w:p>
    <w:p w14:paraId="297CB0AB">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37C15B92">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）类似项目业绩</w:t>
      </w:r>
    </w:p>
    <w:tbl>
      <w:tblPr>
        <w:tblStyle w:val="18"/>
        <w:tblW w:w="9015"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1350"/>
        <w:gridCol w:w="1275"/>
        <w:gridCol w:w="1380"/>
        <w:gridCol w:w="1365"/>
        <w:gridCol w:w="2580"/>
      </w:tblGrid>
      <w:tr w14:paraId="2B139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52A5E23E">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序号</w:t>
            </w:r>
          </w:p>
        </w:tc>
        <w:tc>
          <w:tcPr>
            <w:tcW w:w="1350" w:type="dxa"/>
            <w:noWrap w:val="0"/>
            <w:vAlign w:val="center"/>
          </w:tcPr>
          <w:p w14:paraId="16B279EA">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项目名称</w:t>
            </w:r>
          </w:p>
        </w:tc>
        <w:tc>
          <w:tcPr>
            <w:tcW w:w="1275" w:type="dxa"/>
            <w:noWrap w:val="0"/>
            <w:vAlign w:val="center"/>
          </w:tcPr>
          <w:p w14:paraId="45B87048">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采购内容</w:t>
            </w:r>
          </w:p>
        </w:tc>
        <w:tc>
          <w:tcPr>
            <w:tcW w:w="1380" w:type="dxa"/>
            <w:noWrap w:val="0"/>
            <w:vAlign w:val="center"/>
          </w:tcPr>
          <w:p w14:paraId="79EB6BD5">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中标金额</w:t>
            </w:r>
          </w:p>
        </w:tc>
        <w:tc>
          <w:tcPr>
            <w:tcW w:w="1365" w:type="dxa"/>
            <w:noWrap w:val="0"/>
            <w:vAlign w:val="center"/>
          </w:tcPr>
          <w:p w14:paraId="1BB024F9">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供货期</w:t>
            </w:r>
          </w:p>
        </w:tc>
        <w:tc>
          <w:tcPr>
            <w:tcW w:w="2580" w:type="dxa"/>
            <w:noWrap w:val="0"/>
            <w:vAlign w:val="center"/>
          </w:tcPr>
          <w:p w14:paraId="5AFC9252">
            <w:pPr>
              <w:pStyle w:val="4"/>
              <w:spacing w:line="360" w:lineRule="auto"/>
              <w:jc w:val="center"/>
              <w:rPr>
                <w:rFonts w:hint="eastAsia"/>
                <w:b w:val="0"/>
                <w:color w:val="auto"/>
                <w:sz w:val="24"/>
                <w:szCs w:val="24"/>
                <w:highlight w:val="none"/>
                <w:lang w:eastAsia="zh-CN"/>
              </w:rPr>
            </w:pPr>
            <w:r>
              <w:rPr>
                <w:rFonts w:hint="eastAsia"/>
                <w:b w:val="0"/>
                <w:color w:val="auto"/>
                <w:sz w:val="24"/>
                <w:szCs w:val="24"/>
                <w:highlight w:val="none"/>
                <w:lang w:eastAsia="zh-CN"/>
              </w:rPr>
              <w:t>采购人联系电话</w:t>
            </w:r>
          </w:p>
        </w:tc>
      </w:tr>
      <w:tr w14:paraId="6F9DC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065" w:type="dxa"/>
            <w:noWrap w:val="0"/>
            <w:vAlign w:val="center"/>
          </w:tcPr>
          <w:p w14:paraId="0F5907A7">
            <w:pPr>
              <w:pStyle w:val="4"/>
              <w:spacing w:line="360" w:lineRule="auto"/>
              <w:jc w:val="center"/>
              <w:rPr>
                <w:rFonts w:hint="eastAsia"/>
                <w:color w:val="auto"/>
                <w:sz w:val="24"/>
                <w:szCs w:val="24"/>
                <w:highlight w:val="none"/>
                <w:lang w:eastAsia="zh-CN"/>
              </w:rPr>
            </w:pPr>
          </w:p>
        </w:tc>
        <w:tc>
          <w:tcPr>
            <w:tcW w:w="1350" w:type="dxa"/>
            <w:noWrap w:val="0"/>
            <w:vAlign w:val="center"/>
          </w:tcPr>
          <w:p w14:paraId="365D6281">
            <w:pPr>
              <w:pStyle w:val="4"/>
              <w:spacing w:line="360" w:lineRule="auto"/>
              <w:jc w:val="center"/>
              <w:rPr>
                <w:rFonts w:hint="eastAsia"/>
                <w:color w:val="auto"/>
                <w:sz w:val="24"/>
                <w:szCs w:val="24"/>
                <w:highlight w:val="none"/>
                <w:lang w:eastAsia="zh-CN"/>
              </w:rPr>
            </w:pPr>
          </w:p>
        </w:tc>
        <w:tc>
          <w:tcPr>
            <w:tcW w:w="1275" w:type="dxa"/>
            <w:noWrap w:val="0"/>
            <w:vAlign w:val="center"/>
          </w:tcPr>
          <w:p w14:paraId="763407B6">
            <w:pPr>
              <w:pStyle w:val="4"/>
              <w:spacing w:line="360" w:lineRule="auto"/>
              <w:jc w:val="center"/>
              <w:rPr>
                <w:rFonts w:hint="eastAsia"/>
                <w:color w:val="auto"/>
                <w:sz w:val="24"/>
                <w:szCs w:val="24"/>
                <w:highlight w:val="none"/>
                <w:lang w:eastAsia="zh-CN"/>
              </w:rPr>
            </w:pPr>
          </w:p>
        </w:tc>
        <w:tc>
          <w:tcPr>
            <w:tcW w:w="1380" w:type="dxa"/>
            <w:noWrap w:val="0"/>
            <w:vAlign w:val="center"/>
          </w:tcPr>
          <w:p w14:paraId="32E8AF51">
            <w:pPr>
              <w:pStyle w:val="4"/>
              <w:spacing w:line="360" w:lineRule="auto"/>
              <w:jc w:val="center"/>
              <w:rPr>
                <w:rFonts w:hint="eastAsia"/>
                <w:color w:val="auto"/>
                <w:sz w:val="24"/>
                <w:szCs w:val="24"/>
                <w:highlight w:val="none"/>
                <w:lang w:eastAsia="zh-CN"/>
              </w:rPr>
            </w:pPr>
          </w:p>
        </w:tc>
        <w:tc>
          <w:tcPr>
            <w:tcW w:w="1365" w:type="dxa"/>
            <w:noWrap w:val="0"/>
            <w:vAlign w:val="center"/>
          </w:tcPr>
          <w:p w14:paraId="31606979">
            <w:pPr>
              <w:pStyle w:val="4"/>
              <w:spacing w:line="360" w:lineRule="auto"/>
              <w:jc w:val="center"/>
              <w:rPr>
                <w:rFonts w:hint="eastAsia"/>
                <w:color w:val="auto"/>
                <w:sz w:val="24"/>
                <w:szCs w:val="24"/>
                <w:highlight w:val="none"/>
                <w:lang w:eastAsia="zh-CN"/>
              </w:rPr>
            </w:pPr>
          </w:p>
        </w:tc>
        <w:tc>
          <w:tcPr>
            <w:tcW w:w="2580" w:type="dxa"/>
            <w:noWrap w:val="0"/>
            <w:vAlign w:val="center"/>
          </w:tcPr>
          <w:p w14:paraId="0DF61882">
            <w:pPr>
              <w:pStyle w:val="4"/>
              <w:spacing w:line="360" w:lineRule="auto"/>
              <w:jc w:val="center"/>
              <w:rPr>
                <w:rFonts w:hint="eastAsia"/>
                <w:color w:val="auto"/>
                <w:sz w:val="24"/>
                <w:szCs w:val="24"/>
                <w:highlight w:val="none"/>
                <w:lang w:eastAsia="zh-CN"/>
              </w:rPr>
            </w:pPr>
          </w:p>
        </w:tc>
      </w:tr>
      <w:tr w14:paraId="0689D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509B1919">
            <w:pPr>
              <w:pStyle w:val="4"/>
              <w:spacing w:line="360" w:lineRule="auto"/>
              <w:jc w:val="center"/>
              <w:rPr>
                <w:rFonts w:hint="eastAsia"/>
                <w:color w:val="auto"/>
                <w:sz w:val="24"/>
                <w:szCs w:val="24"/>
                <w:highlight w:val="none"/>
                <w:lang w:eastAsia="zh-CN"/>
              </w:rPr>
            </w:pPr>
          </w:p>
        </w:tc>
        <w:tc>
          <w:tcPr>
            <w:tcW w:w="1350" w:type="dxa"/>
            <w:noWrap w:val="0"/>
            <w:vAlign w:val="center"/>
          </w:tcPr>
          <w:p w14:paraId="43A6325A">
            <w:pPr>
              <w:pStyle w:val="4"/>
              <w:spacing w:line="360" w:lineRule="auto"/>
              <w:jc w:val="center"/>
              <w:rPr>
                <w:rFonts w:hint="eastAsia"/>
                <w:color w:val="auto"/>
                <w:sz w:val="24"/>
                <w:szCs w:val="24"/>
                <w:highlight w:val="none"/>
                <w:lang w:eastAsia="zh-CN"/>
              </w:rPr>
            </w:pPr>
          </w:p>
        </w:tc>
        <w:tc>
          <w:tcPr>
            <w:tcW w:w="1275" w:type="dxa"/>
            <w:noWrap w:val="0"/>
            <w:vAlign w:val="center"/>
          </w:tcPr>
          <w:p w14:paraId="1B0E304D">
            <w:pPr>
              <w:pStyle w:val="4"/>
              <w:spacing w:line="360" w:lineRule="auto"/>
              <w:jc w:val="center"/>
              <w:rPr>
                <w:rFonts w:hint="eastAsia"/>
                <w:color w:val="auto"/>
                <w:sz w:val="24"/>
                <w:szCs w:val="24"/>
                <w:highlight w:val="none"/>
                <w:lang w:eastAsia="zh-CN"/>
              </w:rPr>
            </w:pPr>
          </w:p>
        </w:tc>
        <w:tc>
          <w:tcPr>
            <w:tcW w:w="1380" w:type="dxa"/>
            <w:noWrap w:val="0"/>
            <w:vAlign w:val="center"/>
          </w:tcPr>
          <w:p w14:paraId="05374EE9">
            <w:pPr>
              <w:pStyle w:val="4"/>
              <w:spacing w:line="360" w:lineRule="auto"/>
              <w:jc w:val="center"/>
              <w:rPr>
                <w:rFonts w:hint="eastAsia"/>
                <w:color w:val="auto"/>
                <w:sz w:val="24"/>
                <w:szCs w:val="24"/>
                <w:highlight w:val="none"/>
                <w:lang w:eastAsia="zh-CN"/>
              </w:rPr>
            </w:pPr>
          </w:p>
        </w:tc>
        <w:tc>
          <w:tcPr>
            <w:tcW w:w="1365" w:type="dxa"/>
            <w:noWrap w:val="0"/>
            <w:vAlign w:val="center"/>
          </w:tcPr>
          <w:p w14:paraId="50168D54">
            <w:pPr>
              <w:pStyle w:val="4"/>
              <w:spacing w:line="360" w:lineRule="auto"/>
              <w:jc w:val="center"/>
              <w:rPr>
                <w:rFonts w:hint="eastAsia"/>
                <w:color w:val="auto"/>
                <w:sz w:val="24"/>
                <w:szCs w:val="24"/>
                <w:highlight w:val="none"/>
                <w:lang w:eastAsia="zh-CN"/>
              </w:rPr>
            </w:pPr>
          </w:p>
        </w:tc>
        <w:tc>
          <w:tcPr>
            <w:tcW w:w="2580" w:type="dxa"/>
            <w:noWrap w:val="0"/>
            <w:vAlign w:val="center"/>
          </w:tcPr>
          <w:p w14:paraId="03DF29BB">
            <w:pPr>
              <w:pStyle w:val="4"/>
              <w:spacing w:line="360" w:lineRule="auto"/>
              <w:jc w:val="center"/>
              <w:rPr>
                <w:rFonts w:hint="eastAsia"/>
                <w:color w:val="auto"/>
                <w:sz w:val="24"/>
                <w:szCs w:val="24"/>
                <w:highlight w:val="none"/>
                <w:lang w:eastAsia="zh-CN"/>
              </w:rPr>
            </w:pPr>
          </w:p>
        </w:tc>
      </w:tr>
      <w:tr w14:paraId="50B2F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519EB1FA">
            <w:pPr>
              <w:pStyle w:val="4"/>
              <w:spacing w:line="360" w:lineRule="auto"/>
              <w:jc w:val="center"/>
              <w:rPr>
                <w:rFonts w:hint="eastAsia"/>
                <w:color w:val="auto"/>
                <w:sz w:val="24"/>
                <w:szCs w:val="24"/>
                <w:highlight w:val="none"/>
                <w:lang w:eastAsia="zh-CN"/>
              </w:rPr>
            </w:pPr>
          </w:p>
        </w:tc>
        <w:tc>
          <w:tcPr>
            <w:tcW w:w="1350" w:type="dxa"/>
            <w:noWrap w:val="0"/>
            <w:vAlign w:val="center"/>
          </w:tcPr>
          <w:p w14:paraId="1B719AF7">
            <w:pPr>
              <w:pStyle w:val="4"/>
              <w:spacing w:line="360" w:lineRule="auto"/>
              <w:jc w:val="center"/>
              <w:rPr>
                <w:rFonts w:hint="eastAsia"/>
                <w:color w:val="auto"/>
                <w:sz w:val="24"/>
                <w:szCs w:val="24"/>
                <w:highlight w:val="none"/>
                <w:lang w:eastAsia="zh-CN"/>
              </w:rPr>
            </w:pPr>
          </w:p>
        </w:tc>
        <w:tc>
          <w:tcPr>
            <w:tcW w:w="1275" w:type="dxa"/>
            <w:noWrap w:val="0"/>
            <w:vAlign w:val="center"/>
          </w:tcPr>
          <w:p w14:paraId="3659F555">
            <w:pPr>
              <w:pStyle w:val="4"/>
              <w:spacing w:line="360" w:lineRule="auto"/>
              <w:jc w:val="center"/>
              <w:rPr>
                <w:rFonts w:hint="eastAsia"/>
                <w:color w:val="auto"/>
                <w:sz w:val="24"/>
                <w:szCs w:val="24"/>
                <w:highlight w:val="none"/>
                <w:lang w:eastAsia="zh-CN"/>
              </w:rPr>
            </w:pPr>
          </w:p>
        </w:tc>
        <w:tc>
          <w:tcPr>
            <w:tcW w:w="1380" w:type="dxa"/>
            <w:noWrap w:val="0"/>
            <w:vAlign w:val="center"/>
          </w:tcPr>
          <w:p w14:paraId="1EE61AB2">
            <w:pPr>
              <w:pStyle w:val="4"/>
              <w:spacing w:line="360" w:lineRule="auto"/>
              <w:jc w:val="center"/>
              <w:rPr>
                <w:rFonts w:hint="eastAsia"/>
                <w:color w:val="auto"/>
                <w:sz w:val="24"/>
                <w:szCs w:val="24"/>
                <w:highlight w:val="none"/>
                <w:lang w:eastAsia="zh-CN"/>
              </w:rPr>
            </w:pPr>
          </w:p>
        </w:tc>
        <w:tc>
          <w:tcPr>
            <w:tcW w:w="1365" w:type="dxa"/>
            <w:noWrap w:val="0"/>
            <w:vAlign w:val="center"/>
          </w:tcPr>
          <w:p w14:paraId="38888E77">
            <w:pPr>
              <w:pStyle w:val="4"/>
              <w:spacing w:line="360" w:lineRule="auto"/>
              <w:jc w:val="center"/>
              <w:rPr>
                <w:rFonts w:hint="eastAsia"/>
                <w:color w:val="auto"/>
                <w:sz w:val="24"/>
                <w:szCs w:val="24"/>
                <w:highlight w:val="none"/>
                <w:lang w:eastAsia="zh-CN"/>
              </w:rPr>
            </w:pPr>
          </w:p>
        </w:tc>
        <w:tc>
          <w:tcPr>
            <w:tcW w:w="2580" w:type="dxa"/>
            <w:noWrap w:val="0"/>
            <w:vAlign w:val="center"/>
          </w:tcPr>
          <w:p w14:paraId="307EFD89">
            <w:pPr>
              <w:pStyle w:val="4"/>
              <w:spacing w:line="360" w:lineRule="auto"/>
              <w:jc w:val="center"/>
              <w:rPr>
                <w:rFonts w:hint="eastAsia"/>
                <w:color w:val="auto"/>
                <w:sz w:val="24"/>
                <w:szCs w:val="24"/>
                <w:highlight w:val="none"/>
                <w:lang w:eastAsia="zh-CN"/>
              </w:rPr>
            </w:pPr>
          </w:p>
        </w:tc>
      </w:tr>
      <w:tr w14:paraId="59F1E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181C9AD0">
            <w:pPr>
              <w:pStyle w:val="4"/>
              <w:spacing w:line="360" w:lineRule="auto"/>
              <w:jc w:val="center"/>
              <w:rPr>
                <w:rFonts w:hint="eastAsia"/>
                <w:color w:val="auto"/>
                <w:sz w:val="24"/>
                <w:szCs w:val="24"/>
                <w:highlight w:val="none"/>
                <w:lang w:eastAsia="zh-CN"/>
              </w:rPr>
            </w:pPr>
          </w:p>
        </w:tc>
        <w:tc>
          <w:tcPr>
            <w:tcW w:w="1350" w:type="dxa"/>
            <w:noWrap w:val="0"/>
            <w:vAlign w:val="center"/>
          </w:tcPr>
          <w:p w14:paraId="748278A4">
            <w:pPr>
              <w:pStyle w:val="4"/>
              <w:spacing w:line="360" w:lineRule="auto"/>
              <w:jc w:val="center"/>
              <w:rPr>
                <w:rFonts w:hint="eastAsia"/>
                <w:color w:val="auto"/>
                <w:sz w:val="24"/>
                <w:szCs w:val="24"/>
                <w:highlight w:val="none"/>
                <w:lang w:eastAsia="zh-CN"/>
              </w:rPr>
            </w:pPr>
          </w:p>
        </w:tc>
        <w:tc>
          <w:tcPr>
            <w:tcW w:w="1275" w:type="dxa"/>
            <w:noWrap w:val="0"/>
            <w:vAlign w:val="center"/>
          </w:tcPr>
          <w:p w14:paraId="7D3A29DD">
            <w:pPr>
              <w:pStyle w:val="4"/>
              <w:spacing w:line="360" w:lineRule="auto"/>
              <w:jc w:val="center"/>
              <w:rPr>
                <w:rFonts w:hint="eastAsia"/>
                <w:color w:val="auto"/>
                <w:sz w:val="24"/>
                <w:szCs w:val="24"/>
                <w:highlight w:val="none"/>
                <w:lang w:eastAsia="zh-CN"/>
              </w:rPr>
            </w:pPr>
          </w:p>
        </w:tc>
        <w:tc>
          <w:tcPr>
            <w:tcW w:w="1380" w:type="dxa"/>
            <w:noWrap w:val="0"/>
            <w:vAlign w:val="center"/>
          </w:tcPr>
          <w:p w14:paraId="0BA500E8">
            <w:pPr>
              <w:pStyle w:val="4"/>
              <w:spacing w:line="360" w:lineRule="auto"/>
              <w:jc w:val="center"/>
              <w:rPr>
                <w:rFonts w:hint="eastAsia"/>
                <w:color w:val="auto"/>
                <w:sz w:val="24"/>
                <w:szCs w:val="24"/>
                <w:highlight w:val="none"/>
                <w:lang w:eastAsia="zh-CN"/>
              </w:rPr>
            </w:pPr>
          </w:p>
        </w:tc>
        <w:tc>
          <w:tcPr>
            <w:tcW w:w="1365" w:type="dxa"/>
            <w:noWrap w:val="0"/>
            <w:vAlign w:val="center"/>
          </w:tcPr>
          <w:p w14:paraId="261E1C2F">
            <w:pPr>
              <w:pStyle w:val="4"/>
              <w:spacing w:line="360" w:lineRule="auto"/>
              <w:jc w:val="center"/>
              <w:rPr>
                <w:rFonts w:hint="eastAsia"/>
                <w:color w:val="auto"/>
                <w:sz w:val="24"/>
                <w:szCs w:val="24"/>
                <w:highlight w:val="none"/>
                <w:lang w:eastAsia="zh-CN"/>
              </w:rPr>
            </w:pPr>
          </w:p>
        </w:tc>
        <w:tc>
          <w:tcPr>
            <w:tcW w:w="2580" w:type="dxa"/>
            <w:noWrap w:val="0"/>
            <w:vAlign w:val="center"/>
          </w:tcPr>
          <w:p w14:paraId="11598BCB">
            <w:pPr>
              <w:pStyle w:val="4"/>
              <w:spacing w:line="360" w:lineRule="auto"/>
              <w:jc w:val="center"/>
              <w:rPr>
                <w:rFonts w:hint="eastAsia"/>
                <w:color w:val="auto"/>
                <w:sz w:val="24"/>
                <w:szCs w:val="24"/>
                <w:highlight w:val="none"/>
                <w:lang w:eastAsia="zh-CN"/>
              </w:rPr>
            </w:pPr>
          </w:p>
        </w:tc>
      </w:tr>
      <w:tr w14:paraId="32EAD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5" w:type="dxa"/>
            <w:noWrap w:val="0"/>
            <w:vAlign w:val="center"/>
          </w:tcPr>
          <w:p w14:paraId="6D22557A">
            <w:pPr>
              <w:pStyle w:val="4"/>
              <w:spacing w:line="360" w:lineRule="auto"/>
              <w:jc w:val="center"/>
              <w:rPr>
                <w:rFonts w:hint="eastAsia"/>
                <w:color w:val="auto"/>
                <w:sz w:val="24"/>
                <w:szCs w:val="24"/>
                <w:highlight w:val="none"/>
                <w:lang w:eastAsia="zh-CN"/>
              </w:rPr>
            </w:pPr>
          </w:p>
        </w:tc>
        <w:tc>
          <w:tcPr>
            <w:tcW w:w="1350" w:type="dxa"/>
            <w:noWrap w:val="0"/>
            <w:vAlign w:val="center"/>
          </w:tcPr>
          <w:p w14:paraId="71976091">
            <w:pPr>
              <w:pStyle w:val="4"/>
              <w:spacing w:line="360" w:lineRule="auto"/>
              <w:jc w:val="center"/>
              <w:rPr>
                <w:rFonts w:hint="eastAsia"/>
                <w:color w:val="auto"/>
                <w:sz w:val="24"/>
                <w:szCs w:val="24"/>
                <w:highlight w:val="none"/>
                <w:lang w:eastAsia="zh-CN"/>
              </w:rPr>
            </w:pPr>
          </w:p>
        </w:tc>
        <w:tc>
          <w:tcPr>
            <w:tcW w:w="1275" w:type="dxa"/>
            <w:noWrap w:val="0"/>
            <w:vAlign w:val="center"/>
          </w:tcPr>
          <w:p w14:paraId="158C3F96">
            <w:pPr>
              <w:pStyle w:val="4"/>
              <w:spacing w:line="360" w:lineRule="auto"/>
              <w:jc w:val="center"/>
              <w:rPr>
                <w:rFonts w:hint="eastAsia"/>
                <w:color w:val="auto"/>
                <w:sz w:val="24"/>
                <w:szCs w:val="24"/>
                <w:highlight w:val="none"/>
                <w:lang w:eastAsia="zh-CN"/>
              </w:rPr>
            </w:pPr>
          </w:p>
        </w:tc>
        <w:tc>
          <w:tcPr>
            <w:tcW w:w="1380" w:type="dxa"/>
            <w:noWrap w:val="0"/>
            <w:vAlign w:val="center"/>
          </w:tcPr>
          <w:p w14:paraId="72C4AF30">
            <w:pPr>
              <w:pStyle w:val="4"/>
              <w:spacing w:line="360" w:lineRule="auto"/>
              <w:jc w:val="center"/>
              <w:rPr>
                <w:rFonts w:hint="eastAsia"/>
                <w:color w:val="auto"/>
                <w:sz w:val="24"/>
                <w:szCs w:val="24"/>
                <w:highlight w:val="none"/>
                <w:lang w:eastAsia="zh-CN"/>
              </w:rPr>
            </w:pPr>
          </w:p>
        </w:tc>
        <w:tc>
          <w:tcPr>
            <w:tcW w:w="1365" w:type="dxa"/>
            <w:noWrap w:val="0"/>
            <w:vAlign w:val="center"/>
          </w:tcPr>
          <w:p w14:paraId="19614438">
            <w:pPr>
              <w:pStyle w:val="4"/>
              <w:spacing w:line="360" w:lineRule="auto"/>
              <w:jc w:val="center"/>
              <w:rPr>
                <w:rFonts w:hint="eastAsia"/>
                <w:color w:val="auto"/>
                <w:sz w:val="24"/>
                <w:szCs w:val="24"/>
                <w:highlight w:val="none"/>
                <w:lang w:eastAsia="zh-CN"/>
              </w:rPr>
            </w:pPr>
          </w:p>
        </w:tc>
        <w:tc>
          <w:tcPr>
            <w:tcW w:w="2580" w:type="dxa"/>
            <w:noWrap w:val="0"/>
            <w:vAlign w:val="center"/>
          </w:tcPr>
          <w:p w14:paraId="02A53E8F">
            <w:pPr>
              <w:pStyle w:val="4"/>
              <w:spacing w:line="360" w:lineRule="auto"/>
              <w:jc w:val="center"/>
              <w:rPr>
                <w:rFonts w:hint="eastAsia"/>
                <w:color w:val="auto"/>
                <w:sz w:val="24"/>
                <w:szCs w:val="24"/>
                <w:highlight w:val="none"/>
                <w:lang w:eastAsia="zh-CN"/>
              </w:rPr>
            </w:pPr>
          </w:p>
        </w:tc>
      </w:tr>
    </w:tbl>
    <w:p w14:paraId="4F153D9E">
      <w:pPr>
        <w:bidi w:val="0"/>
        <w:rPr>
          <w:rFonts w:hint="eastAsia"/>
          <w:color w:val="auto"/>
          <w:highlight w:val="none"/>
          <w:lang w:val="en-US" w:eastAsia="zh-CN"/>
        </w:rPr>
      </w:pPr>
    </w:p>
    <w:p w14:paraId="4D70D2F9">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投标人：（盖单位公章）</w:t>
      </w:r>
    </w:p>
    <w:p w14:paraId="78DBDB49">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14:paraId="15D41AE7">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14:paraId="2D9B2C4C">
      <w:pPr>
        <w:bidi w:val="0"/>
        <w:rPr>
          <w:rFonts w:hint="eastAsia"/>
          <w:color w:val="auto"/>
          <w:highlight w:val="none"/>
          <w:lang w:val="en-US" w:eastAsia="zh-CN"/>
        </w:rPr>
      </w:pPr>
    </w:p>
    <w:p w14:paraId="120F4273">
      <w:pPr>
        <w:bidi w:val="0"/>
        <w:rPr>
          <w:rFonts w:hint="eastAsia"/>
          <w:color w:val="auto"/>
          <w:highlight w:val="none"/>
          <w:lang w:val="en-US" w:eastAsia="zh-CN"/>
        </w:rPr>
      </w:pPr>
    </w:p>
    <w:p w14:paraId="449BB7FF">
      <w:pPr>
        <w:bidi w:val="0"/>
        <w:rPr>
          <w:rFonts w:hint="default"/>
          <w:color w:val="auto"/>
          <w:highlight w:val="none"/>
          <w:lang w:val="en-US" w:eastAsia="zh-CN"/>
        </w:rPr>
      </w:pPr>
      <w:r>
        <w:rPr>
          <w:rFonts w:hint="eastAsia"/>
          <w:color w:val="auto"/>
          <w:highlight w:val="none"/>
          <w:lang w:val="en-US" w:eastAsia="zh-CN"/>
        </w:rPr>
        <w:t>后附业绩证明材料（中标通知书和供货合同和发票）并标明序号，没有类似项目经验本表可不填写。</w:t>
      </w:r>
    </w:p>
    <w:p w14:paraId="43F6F401">
      <w:pPr>
        <w:pStyle w:val="7"/>
        <w:spacing w:before="100" w:line="228" w:lineRule="auto"/>
        <w:jc w:val="center"/>
        <w:outlineLvl w:val="2"/>
        <w:rPr>
          <w:highlight w:val="none"/>
        </w:rPr>
      </w:pPr>
      <w:r>
        <w:rPr>
          <w:rFonts w:hint="eastAsia" w:ascii="仿宋" w:hAnsi="仿宋" w:eastAsia="仿宋" w:cs="仿宋"/>
          <w:b/>
          <w:color w:val="auto"/>
          <w:sz w:val="32"/>
          <w:szCs w:val="30"/>
          <w:highlight w:val="none"/>
          <w:lang w:val="zh-CN" w:eastAsia="zh-CN"/>
        </w:rPr>
        <w:br w:type="page"/>
      </w:r>
      <w:r>
        <w:rPr>
          <w:rFonts w:hint="eastAsia" w:ascii="仿宋" w:hAnsi="仿宋" w:eastAsia="仿宋" w:cs="仿宋"/>
          <w:b/>
          <w:bCs/>
          <w:color w:val="auto"/>
          <w:kern w:val="0"/>
          <w:sz w:val="28"/>
          <w:szCs w:val="28"/>
          <w:highlight w:val="none"/>
          <w:lang w:val="en-US" w:eastAsia="zh-CN" w:bidi="ar-SA"/>
        </w:rPr>
        <w:t>（4）项目经理及管理技术人员一览表</w:t>
      </w:r>
    </w:p>
    <w:p w14:paraId="7875E123">
      <w:pPr>
        <w:pStyle w:val="7"/>
        <w:spacing w:before="124" w:line="345" w:lineRule="auto"/>
        <w:ind w:firstLine="3"/>
        <w:rPr>
          <w:sz w:val="24"/>
          <w:szCs w:val="24"/>
          <w:highlight w:val="none"/>
        </w:rPr>
      </w:pPr>
      <w:r>
        <w:rPr>
          <w:sz w:val="24"/>
          <w:szCs w:val="24"/>
          <w:highlight w:val="none"/>
        </w:rPr>
        <w:t>项目名称：</w:t>
      </w:r>
      <w:r>
        <w:rPr>
          <w:rFonts w:hint="eastAsia"/>
          <w:highlight w:val="none"/>
          <w:lang w:val="en-US" w:eastAsia="zh-CN"/>
        </w:rPr>
        <w:t>舒兰市滨河社区卫生服务中心医疗设备采购项目</w:t>
      </w:r>
    </w:p>
    <w:p w14:paraId="4277D913">
      <w:pPr>
        <w:spacing w:line="31" w:lineRule="auto"/>
        <w:rPr>
          <w:rFonts w:ascii="Arial"/>
          <w:sz w:val="2"/>
          <w:highlight w:val="none"/>
        </w:rPr>
      </w:pPr>
    </w:p>
    <w:tbl>
      <w:tblPr>
        <w:tblStyle w:val="48"/>
        <w:tblW w:w="83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5"/>
        <w:gridCol w:w="645"/>
        <w:gridCol w:w="645"/>
        <w:gridCol w:w="645"/>
        <w:gridCol w:w="645"/>
        <w:gridCol w:w="645"/>
        <w:gridCol w:w="645"/>
        <w:gridCol w:w="645"/>
        <w:gridCol w:w="645"/>
        <w:gridCol w:w="1019"/>
        <w:gridCol w:w="1508"/>
      </w:tblGrid>
      <w:tr w14:paraId="7BD37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jc w:val="center"/>
        </w:trPr>
        <w:tc>
          <w:tcPr>
            <w:tcW w:w="645" w:type="dxa"/>
            <w:tcBorders>
              <w:top w:val="single" w:color="000000" w:sz="10" w:space="0"/>
              <w:left w:val="single" w:color="000000" w:sz="10" w:space="0"/>
            </w:tcBorders>
            <w:shd w:val="clear" w:color="auto" w:fill="FFFFFF" w:themeFill="background1"/>
            <w:vAlign w:val="center"/>
          </w:tcPr>
          <w:p w14:paraId="4DA2839C">
            <w:pPr>
              <w:pStyle w:val="49"/>
              <w:keepNext w:val="0"/>
              <w:keepLines w:val="0"/>
              <w:pageBreakBefore w:val="0"/>
              <w:widowControl/>
              <w:kinsoku/>
              <w:wordWrap/>
              <w:overflowPunct/>
              <w:topLinePunct w:val="0"/>
              <w:autoSpaceDE/>
              <w:autoSpaceDN/>
              <w:bidi w:val="0"/>
              <w:adjustRightInd w:val="0"/>
              <w:snapToGrid w:val="0"/>
              <w:spacing w:line="222" w:lineRule="auto"/>
              <w:ind w:left="0" w:right="0"/>
              <w:jc w:val="center"/>
              <w:textAlignment w:val="auto"/>
              <w:rPr>
                <w:highlight w:val="none"/>
              </w:rPr>
            </w:pPr>
            <w:r>
              <w:rPr>
                <w:b/>
                <w:bCs/>
                <w:spacing w:val="-6"/>
                <w:highlight w:val="none"/>
              </w:rPr>
              <w:t>序号</w:t>
            </w:r>
          </w:p>
        </w:tc>
        <w:tc>
          <w:tcPr>
            <w:tcW w:w="645" w:type="dxa"/>
            <w:tcBorders>
              <w:top w:val="single" w:color="000000" w:sz="10" w:space="0"/>
            </w:tcBorders>
            <w:shd w:val="clear" w:color="auto" w:fill="FFFFFF" w:themeFill="background1"/>
            <w:vAlign w:val="center"/>
          </w:tcPr>
          <w:p w14:paraId="7AC3C3CF">
            <w:pPr>
              <w:pStyle w:val="49"/>
              <w:keepNext w:val="0"/>
              <w:keepLines w:val="0"/>
              <w:pageBreakBefore w:val="0"/>
              <w:widowControl/>
              <w:kinsoku/>
              <w:wordWrap/>
              <w:overflowPunct/>
              <w:topLinePunct w:val="0"/>
              <w:autoSpaceDE/>
              <w:autoSpaceDN/>
              <w:bidi w:val="0"/>
              <w:adjustRightInd w:val="0"/>
              <w:snapToGrid w:val="0"/>
              <w:spacing w:line="224" w:lineRule="auto"/>
              <w:ind w:left="0" w:right="0"/>
              <w:jc w:val="center"/>
              <w:textAlignment w:val="auto"/>
              <w:rPr>
                <w:highlight w:val="none"/>
              </w:rPr>
            </w:pPr>
            <w:r>
              <w:rPr>
                <w:b/>
                <w:bCs/>
                <w:spacing w:val="-6"/>
                <w:highlight w:val="none"/>
              </w:rPr>
              <w:t>姓名</w:t>
            </w:r>
          </w:p>
        </w:tc>
        <w:tc>
          <w:tcPr>
            <w:tcW w:w="645" w:type="dxa"/>
            <w:tcBorders>
              <w:top w:val="single" w:color="000000" w:sz="10" w:space="0"/>
            </w:tcBorders>
            <w:shd w:val="clear" w:color="auto" w:fill="FFFFFF" w:themeFill="background1"/>
            <w:vAlign w:val="center"/>
          </w:tcPr>
          <w:p w14:paraId="6A3556E0">
            <w:pPr>
              <w:pStyle w:val="49"/>
              <w:keepNext w:val="0"/>
              <w:keepLines w:val="0"/>
              <w:pageBreakBefore w:val="0"/>
              <w:widowControl/>
              <w:kinsoku/>
              <w:wordWrap/>
              <w:overflowPunct/>
              <w:topLinePunct w:val="0"/>
              <w:autoSpaceDE/>
              <w:autoSpaceDN/>
              <w:bidi w:val="0"/>
              <w:adjustRightInd w:val="0"/>
              <w:snapToGrid w:val="0"/>
              <w:spacing w:line="220" w:lineRule="auto"/>
              <w:ind w:left="0" w:right="0"/>
              <w:jc w:val="center"/>
              <w:textAlignment w:val="auto"/>
              <w:rPr>
                <w:highlight w:val="none"/>
              </w:rPr>
            </w:pPr>
            <w:r>
              <w:rPr>
                <w:b/>
                <w:bCs/>
                <w:spacing w:val="-7"/>
                <w:highlight w:val="none"/>
              </w:rPr>
              <w:t>性别</w:t>
            </w:r>
          </w:p>
        </w:tc>
        <w:tc>
          <w:tcPr>
            <w:tcW w:w="645" w:type="dxa"/>
            <w:tcBorders>
              <w:top w:val="single" w:color="000000" w:sz="10" w:space="0"/>
            </w:tcBorders>
            <w:shd w:val="clear" w:color="auto" w:fill="FFFFFF" w:themeFill="background1"/>
            <w:vAlign w:val="center"/>
          </w:tcPr>
          <w:p w14:paraId="03C4DC69">
            <w:pPr>
              <w:pStyle w:val="49"/>
              <w:keepNext w:val="0"/>
              <w:keepLines w:val="0"/>
              <w:pageBreakBefore w:val="0"/>
              <w:widowControl/>
              <w:kinsoku/>
              <w:wordWrap/>
              <w:overflowPunct/>
              <w:topLinePunct w:val="0"/>
              <w:autoSpaceDE/>
              <w:autoSpaceDN/>
              <w:bidi w:val="0"/>
              <w:adjustRightInd w:val="0"/>
              <w:snapToGrid w:val="0"/>
              <w:spacing w:line="222" w:lineRule="auto"/>
              <w:ind w:left="0" w:right="0"/>
              <w:jc w:val="center"/>
              <w:textAlignment w:val="auto"/>
              <w:rPr>
                <w:highlight w:val="none"/>
              </w:rPr>
            </w:pPr>
            <w:r>
              <w:rPr>
                <w:b/>
                <w:bCs/>
                <w:spacing w:val="-8"/>
                <w:highlight w:val="none"/>
              </w:rPr>
              <w:t>年龄</w:t>
            </w:r>
          </w:p>
        </w:tc>
        <w:tc>
          <w:tcPr>
            <w:tcW w:w="645" w:type="dxa"/>
            <w:tcBorders>
              <w:top w:val="single" w:color="000000" w:sz="10" w:space="0"/>
            </w:tcBorders>
            <w:shd w:val="clear" w:color="auto" w:fill="FFFFFF" w:themeFill="background1"/>
            <w:vAlign w:val="center"/>
          </w:tcPr>
          <w:p w14:paraId="48953BE0">
            <w:pPr>
              <w:pStyle w:val="49"/>
              <w:keepNext w:val="0"/>
              <w:keepLines w:val="0"/>
              <w:pageBreakBefore w:val="0"/>
              <w:widowControl/>
              <w:kinsoku/>
              <w:wordWrap/>
              <w:overflowPunct/>
              <w:topLinePunct w:val="0"/>
              <w:autoSpaceDE/>
              <w:autoSpaceDN/>
              <w:bidi w:val="0"/>
              <w:adjustRightInd w:val="0"/>
              <w:snapToGrid w:val="0"/>
              <w:spacing w:line="223" w:lineRule="auto"/>
              <w:ind w:left="0" w:right="0"/>
              <w:jc w:val="center"/>
              <w:textAlignment w:val="auto"/>
              <w:rPr>
                <w:highlight w:val="none"/>
              </w:rPr>
            </w:pPr>
            <w:r>
              <w:rPr>
                <w:b/>
                <w:bCs/>
                <w:spacing w:val="-9"/>
                <w:highlight w:val="none"/>
              </w:rPr>
              <w:t>学历</w:t>
            </w:r>
          </w:p>
        </w:tc>
        <w:tc>
          <w:tcPr>
            <w:tcW w:w="645" w:type="dxa"/>
            <w:tcBorders>
              <w:top w:val="single" w:color="000000" w:sz="10" w:space="0"/>
            </w:tcBorders>
            <w:shd w:val="clear" w:color="auto" w:fill="FFFFFF" w:themeFill="background1"/>
            <w:vAlign w:val="center"/>
          </w:tcPr>
          <w:p w14:paraId="4F9A60B9">
            <w:pPr>
              <w:pStyle w:val="49"/>
              <w:keepNext w:val="0"/>
              <w:keepLines w:val="0"/>
              <w:pageBreakBefore w:val="0"/>
              <w:widowControl/>
              <w:kinsoku/>
              <w:wordWrap/>
              <w:overflowPunct/>
              <w:topLinePunct w:val="0"/>
              <w:autoSpaceDE/>
              <w:autoSpaceDN/>
              <w:bidi w:val="0"/>
              <w:adjustRightInd w:val="0"/>
              <w:snapToGrid w:val="0"/>
              <w:spacing w:line="221" w:lineRule="auto"/>
              <w:ind w:left="0" w:right="0"/>
              <w:jc w:val="center"/>
              <w:textAlignment w:val="auto"/>
              <w:rPr>
                <w:highlight w:val="none"/>
              </w:rPr>
            </w:pPr>
            <w:r>
              <w:rPr>
                <w:b/>
                <w:bCs/>
                <w:spacing w:val="-6"/>
                <w:highlight w:val="none"/>
              </w:rPr>
              <w:t>职称</w:t>
            </w:r>
          </w:p>
        </w:tc>
        <w:tc>
          <w:tcPr>
            <w:tcW w:w="645" w:type="dxa"/>
            <w:tcBorders>
              <w:top w:val="single" w:color="000000" w:sz="10" w:space="0"/>
            </w:tcBorders>
            <w:shd w:val="clear" w:color="auto" w:fill="FFFFFF" w:themeFill="background1"/>
            <w:vAlign w:val="center"/>
          </w:tcPr>
          <w:p w14:paraId="3BD7D307">
            <w:pPr>
              <w:pStyle w:val="49"/>
              <w:keepNext w:val="0"/>
              <w:keepLines w:val="0"/>
              <w:pageBreakBefore w:val="0"/>
              <w:widowControl/>
              <w:kinsoku/>
              <w:wordWrap/>
              <w:overflowPunct/>
              <w:topLinePunct w:val="0"/>
              <w:autoSpaceDE/>
              <w:autoSpaceDN/>
              <w:bidi w:val="0"/>
              <w:adjustRightInd w:val="0"/>
              <w:snapToGrid w:val="0"/>
              <w:spacing w:line="224" w:lineRule="auto"/>
              <w:ind w:left="0" w:right="0"/>
              <w:jc w:val="center"/>
              <w:textAlignment w:val="auto"/>
              <w:rPr>
                <w:highlight w:val="none"/>
              </w:rPr>
            </w:pPr>
            <w:r>
              <w:rPr>
                <w:b/>
                <w:bCs/>
                <w:spacing w:val="-7"/>
                <w:highlight w:val="none"/>
              </w:rPr>
              <w:t>专业</w:t>
            </w:r>
          </w:p>
        </w:tc>
        <w:tc>
          <w:tcPr>
            <w:tcW w:w="645" w:type="dxa"/>
            <w:tcBorders>
              <w:top w:val="single" w:color="000000" w:sz="10" w:space="0"/>
            </w:tcBorders>
            <w:shd w:val="clear" w:color="auto" w:fill="FFFFFF" w:themeFill="background1"/>
            <w:vAlign w:val="center"/>
          </w:tcPr>
          <w:p w14:paraId="5055683E">
            <w:pPr>
              <w:pStyle w:val="49"/>
              <w:keepNext w:val="0"/>
              <w:keepLines w:val="0"/>
              <w:pageBreakBefore w:val="0"/>
              <w:widowControl/>
              <w:kinsoku/>
              <w:wordWrap/>
              <w:overflowPunct/>
              <w:topLinePunct w:val="0"/>
              <w:autoSpaceDE/>
              <w:autoSpaceDN/>
              <w:bidi w:val="0"/>
              <w:adjustRightInd w:val="0"/>
              <w:snapToGrid w:val="0"/>
              <w:spacing w:line="262" w:lineRule="auto"/>
              <w:ind w:left="0" w:right="0" w:hanging="4"/>
              <w:jc w:val="center"/>
              <w:textAlignment w:val="auto"/>
              <w:rPr>
                <w:highlight w:val="none"/>
              </w:rPr>
            </w:pPr>
            <w:r>
              <w:rPr>
                <w:b/>
                <w:bCs/>
                <w:spacing w:val="-10"/>
                <w:highlight w:val="none"/>
              </w:rPr>
              <w:t>经验</w:t>
            </w:r>
            <w:r>
              <w:rPr>
                <w:b/>
                <w:bCs/>
                <w:spacing w:val="-12"/>
                <w:highlight w:val="none"/>
              </w:rPr>
              <w:t>年限</w:t>
            </w:r>
          </w:p>
        </w:tc>
        <w:tc>
          <w:tcPr>
            <w:tcW w:w="645" w:type="dxa"/>
            <w:tcBorders>
              <w:top w:val="single" w:color="000000" w:sz="10" w:space="0"/>
            </w:tcBorders>
            <w:shd w:val="clear" w:color="auto" w:fill="FFFFFF" w:themeFill="background1"/>
            <w:vAlign w:val="center"/>
          </w:tcPr>
          <w:p w14:paraId="048D5B47">
            <w:pPr>
              <w:pStyle w:val="49"/>
              <w:keepNext w:val="0"/>
              <w:keepLines w:val="0"/>
              <w:pageBreakBefore w:val="0"/>
              <w:widowControl/>
              <w:kinsoku/>
              <w:wordWrap/>
              <w:overflowPunct/>
              <w:topLinePunct w:val="0"/>
              <w:autoSpaceDE/>
              <w:autoSpaceDN/>
              <w:bidi w:val="0"/>
              <w:adjustRightInd w:val="0"/>
              <w:snapToGrid w:val="0"/>
              <w:spacing w:line="262" w:lineRule="auto"/>
              <w:ind w:left="0" w:right="0" w:hanging="4"/>
              <w:jc w:val="center"/>
              <w:textAlignment w:val="auto"/>
              <w:rPr>
                <w:b/>
                <w:bCs/>
                <w:spacing w:val="-10"/>
                <w:highlight w:val="none"/>
              </w:rPr>
            </w:pPr>
            <w:r>
              <w:rPr>
                <w:b/>
                <w:bCs/>
                <w:spacing w:val="-10"/>
                <w:highlight w:val="none"/>
              </w:rPr>
              <w:t>担任</w:t>
            </w:r>
          </w:p>
          <w:p w14:paraId="444999C0">
            <w:pPr>
              <w:pStyle w:val="49"/>
              <w:keepNext w:val="0"/>
              <w:keepLines w:val="0"/>
              <w:pageBreakBefore w:val="0"/>
              <w:widowControl/>
              <w:kinsoku/>
              <w:wordWrap/>
              <w:overflowPunct/>
              <w:topLinePunct w:val="0"/>
              <w:autoSpaceDE/>
              <w:autoSpaceDN/>
              <w:bidi w:val="0"/>
              <w:adjustRightInd w:val="0"/>
              <w:snapToGrid w:val="0"/>
              <w:spacing w:line="262" w:lineRule="auto"/>
              <w:ind w:left="0" w:right="0" w:hanging="4"/>
              <w:jc w:val="center"/>
              <w:textAlignment w:val="auto"/>
              <w:rPr>
                <w:highlight w:val="none"/>
              </w:rPr>
            </w:pPr>
            <w:r>
              <w:rPr>
                <w:b/>
                <w:bCs/>
                <w:spacing w:val="-10"/>
                <w:highlight w:val="none"/>
              </w:rPr>
              <w:t>职务</w:t>
            </w:r>
          </w:p>
        </w:tc>
        <w:tc>
          <w:tcPr>
            <w:tcW w:w="1019" w:type="dxa"/>
            <w:tcBorders>
              <w:top w:val="single" w:color="000000" w:sz="10" w:space="0"/>
              <w:right w:val="single" w:color="000000" w:sz="4" w:space="0"/>
            </w:tcBorders>
            <w:shd w:val="clear" w:color="auto" w:fill="FFFFFF" w:themeFill="background1"/>
            <w:vAlign w:val="center"/>
          </w:tcPr>
          <w:p w14:paraId="63222B83">
            <w:pPr>
              <w:pStyle w:val="49"/>
              <w:keepNext w:val="0"/>
              <w:keepLines w:val="0"/>
              <w:pageBreakBefore w:val="0"/>
              <w:widowControl/>
              <w:kinsoku/>
              <w:wordWrap/>
              <w:overflowPunct/>
              <w:topLinePunct w:val="0"/>
              <w:autoSpaceDE/>
              <w:autoSpaceDN/>
              <w:bidi w:val="0"/>
              <w:adjustRightInd w:val="0"/>
              <w:snapToGrid w:val="0"/>
              <w:spacing w:line="252" w:lineRule="auto"/>
              <w:ind w:left="0" w:right="0" w:hanging="5"/>
              <w:jc w:val="center"/>
              <w:textAlignment w:val="auto"/>
              <w:rPr>
                <w:highlight w:val="none"/>
              </w:rPr>
            </w:pPr>
            <w:r>
              <w:rPr>
                <w:b/>
                <w:bCs/>
                <w:spacing w:val="-10"/>
                <w:highlight w:val="none"/>
              </w:rPr>
              <w:t>承担</w:t>
            </w:r>
            <w:r>
              <w:rPr>
                <w:b/>
                <w:bCs/>
                <w:spacing w:val="-13"/>
                <w:highlight w:val="none"/>
              </w:rPr>
              <w:t>工作内容</w:t>
            </w:r>
          </w:p>
        </w:tc>
        <w:tc>
          <w:tcPr>
            <w:tcW w:w="1508" w:type="dxa"/>
            <w:tcBorders>
              <w:top w:val="single" w:color="000000" w:sz="10" w:space="0"/>
              <w:left w:val="single" w:color="000000" w:sz="4" w:space="0"/>
              <w:right w:val="single" w:color="000000" w:sz="10" w:space="0"/>
            </w:tcBorders>
            <w:shd w:val="clear" w:color="auto" w:fill="FFFFFF" w:themeFill="background1"/>
            <w:vAlign w:val="center"/>
          </w:tcPr>
          <w:p w14:paraId="309CDAA8">
            <w:pPr>
              <w:pStyle w:val="49"/>
              <w:keepNext w:val="0"/>
              <w:keepLines w:val="0"/>
              <w:pageBreakBefore w:val="0"/>
              <w:widowControl/>
              <w:kinsoku/>
              <w:wordWrap/>
              <w:overflowPunct/>
              <w:topLinePunct w:val="0"/>
              <w:autoSpaceDE/>
              <w:autoSpaceDN/>
              <w:bidi w:val="0"/>
              <w:adjustRightInd w:val="0"/>
              <w:snapToGrid w:val="0"/>
              <w:spacing w:line="262" w:lineRule="auto"/>
              <w:ind w:left="0" w:right="0" w:hanging="58"/>
              <w:jc w:val="center"/>
              <w:textAlignment w:val="auto"/>
              <w:rPr>
                <w:highlight w:val="none"/>
              </w:rPr>
            </w:pPr>
            <w:r>
              <w:rPr>
                <w:b/>
                <w:bCs/>
                <w:spacing w:val="-6"/>
                <w:highlight w:val="none"/>
              </w:rPr>
              <w:t>查阅/证明文件指引</w:t>
            </w:r>
          </w:p>
        </w:tc>
      </w:tr>
      <w:tr w14:paraId="61C32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645" w:type="dxa"/>
            <w:tcBorders>
              <w:left w:val="single" w:color="000000" w:sz="10" w:space="0"/>
            </w:tcBorders>
            <w:vAlign w:val="center"/>
          </w:tcPr>
          <w:p w14:paraId="7BD15108">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3A387069">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3CAD4EFE">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3833CD39">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178AB7C3">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38EE862C">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7E7DF2FB">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3021FED4">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56F4C2CC">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1019" w:type="dxa"/>
            <w:tcBorders>
              <w:right w:val="single" w:color="000000" w:sz="4" w:space="0"/>
            </w:tcBorders>
            <w:vAlign w:val="center"/>
          </w:tcPr>
          <w:p w14:paraId="74E5F8F5">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1508" w:type="dxa"/>
            <w:tcBorders>
              <w:left w:val="single" w:color="000000" w:sz="4" w:space="0"/>
              <w:right w:val="single" w:color="000000" w:sz="10" w:space="0"/>
            </w:tcBorders>
            <w:vAlign w:val="center"/>
          </w:tcPr>
          <w:p w14:paraId="73D5915C">
            <w:pPr>
              <w:pStyle w:val="49"/>
              <w:keepNext w:val="0"/>
              <w:keepLines w:val="0"/>
              <w:pageBreakBefore w:val="0"/>
              <w:widowControl/>
              <w:kinsoku/>
              <w:wordWrap/>
              <w:overflowPunct/>
              <w:topLinePunct w:val="0"/>
              <w:autoSpaceDE/>
              <w:autoSpaceDN/>
              <w:bidi w:val="0"/>
              <w:adjustRightInd w:val="0"/>
              <w:snapToGrid w:val="0"/>
              <w:spacing w:line="222" w:lineRule="auto"/>
              <w:ind w:left="0" w:right="0"/>
              <w:jc w:val="center"/>
              <w:textAlignment w:val="auto"/>
              <w:rPr>
                <w:highlight w:val="none"/>
              </w:rPr>
            </w:pPr>
            <w:r>
              <w:rPr>
                <w:spacing w:val="-14"/>
                <w:highlight w:val="none"/>
              </w:rPr>
              <w:t>第页</w:t>
            </w:r>
          </w:p>
        </w:tc>
      </w:tr>
      <w:tr w14:paraId="08526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645" w:type="dxa"/>
            <w:tcBorders>
              <w:left w:val="single" w:color="000000" w:sz="10" w:space="0"/>
            </w:tcBorders>
            <w:vAlign w:val="center"/>
          </w:tcPr>
          <w:p w14:paraId="7747D182">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73F58DB6">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61BDC110">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650D326A">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18B6D61B">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6696C38C">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0CF32007">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5BAD9FB2">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3AD592AA">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1019" w:type="dxa"/>
            <w:tcBorders>
              <w:right w:val="single" w:color="000000" w:sz="4" w:space="0"/>
            </w:tcBorders>
            <w:vAlign w:val="center"/>
          </w:tcPr>
          <w:p w14:paraId="1ECC7CD8">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1508" w:type="dxa"/>
            <w:tcBorders>
              <w:left w:val="single" w:color="000000" w:sz="4" w:space="0"/>
              <w:right w:val="single" w:color="000000" w:sz="10" w:space="0"/>
            </w:tcBorders>
            <w:vAlign w:val="center"/>
          </w:tcPr>
          <w:p w14:paraId="5B0FB9EC">
            <w:pPr>
              <w:pStyle w:val="49"/>
              <w:keepNext w:val="0"/>
              <w:keepLines w:val="0"/>
              <w:pageBreakBefore w:val="0"/>
              <w:widowControl/>
              <w:kinsoku/>
              <w:wordWrap/>
              <w:overflowPunct/>
              <w:topLinePunct w:val="0"/>
              <w:autoSpaceDE/>
              <w:autoSpaceDN/>
              <w:bidi w:val="0"/>
              <w:adjustRightInd w:val="0"/>
              <w:snapToGrid w:val="0"/>
              <w:spacing w:line="222" w:lineRule="auto"/>
              <w:ind w:left="0" w:right="0"/>
              <w:jc w:val="center"/>
              <w:textAlignment w:val="auto"/>
              <w:rPr>
                <w:highlight w:val="none"/>
              </w:rPr>
            </w:pPr>
            <w:r>
              <w:rPr>
                <w:spacing w:val="-14"/>
                <w:highlight w:val="none"/>
              </w:rPr>
              <w:t>第页</w:t>
            </w:r>
          </w:p>
        </w:tc>
      </w:tr>
      <w:tr w14:paraId="05D4F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645" w:type="dxa"/>
            <w:tcBorders>
              <w:left w:val="single" w:color="000000" w:sz="10" w:space="0"/>
            </w:tcBorders>
            <w:vAlign w:val="center"/>
          </w:tcPr>
          <w:p w14:paraId="3DF6ED8B">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11FFEB76">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7905894D">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72E1EC8C">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5D859980">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509A5A71">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4978D1B6">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4CF8E17C">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13DF3FDC">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1019" w:type="dxa"/>
            <w:tcBorders>
              <w:right w:val="single" w:color="000000" w:sz="4" w:space="0"/>
            </w:tcBorders>
            <w:vAlign w:val="center"/>
          </w:tcPr>
          <w:p w14:paraId="5F8E47BB">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1508" w:type="dxa"/>
            <w:tcBorders>
              <w:left w:val="single" w:color="000000" w:sz="4" w:space="0"/>
              <w:right w:val="single" w:color="000000" w:sz="10" w:space="0"/>
            </w:tcBorders>
            <w:vAlign w:val="center"/>
          </w:tcPr>
          <w:p w14:paraId="4761278E">
            <w:pPr>
              <w:pStyle w:val="49"/>
              <w:keepNext w:val="0"/>
              <w:keepLines w:val="0"/>
              <w:pageBreakBefore w:val="0"/>
              <w:widowControl/>
              <w:kinsoku/>
              <w:wordWrap/>
              <w:overflowPunct/>
              <w:topLinePunct w:val="0"/>
              <w:autoSpaceDE/>
              <w:autoSpaceDN/>
              <w:bidi w:val="0"/>
              <w:adjustRightInd w:val="0"/>
              <w:snapToGrid w:val="0"/>
              <w:spacing w:line="222" w:lineRule="auto"/>
              <w:ind w:left="0" w:right="0"/>
              <w:jc w:val="center"/>
              <w:textAlignment w:val="auto"/>
              <w:rPr>
                <w:highlight w:val="none"/>
              </w:rPr>
            </w:pPr>
            <w:r>
              <w:rPr>
                <w:spacing w:val="-14"/>
                <w:highlight w:val="none"/>
              </w:rPr>
              <w:t>第页</w:t>
            </w:r>
          </w:p>
        </w:tc>
      </w:tr>
      <w:tr w14:paraId="779DC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645" w:type="dxa"/>
            <w:tcBorders>
              <w:left w:val="single" w:color="000000" w:sz="10" w:space="0"/>
            </w:tcBorders>
            <w:vAlign w:val="center"/>
          </w:tcPr>
          <w:p w14:paraId="66A8C7F9">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54E025C6">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12D93836">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5267C0BC">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262F03D3">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5791B195">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4DE62AE0">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3F9F1616">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vAlign w:val="center"/>
          </w:tcPr>
          <w:p w14:paraId="57864F57">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1019" w:type="dxa"/>
            <w:tcBorders>
              <w:right w:val="single" w:color="000000" w:sz="4" w:space="0"/>
            </w:tcBorders>
            <w:vAlign w:val="center"/>
          </w:tcPr>
          <w:p w14:paraId="6FC7A899">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1508" w:type="dxa"/>
            <w:tcBorders>
              <w:left w:val="single" w:color="000000" w:sz="4" w:space="0"/>
              <w:right w:val="single" w:color="000000" w:sz="10" w:space="0"/>
            </w:tcBorders>
            <w:vAlign w:val="center"/>
          </w:tcPr>
          <w:p w14:paraId="7425425C">
            <w:pPr>
              <w:pStyle w:val="49"/>
              <w:keepNext w:val="0"/>
              <w:keepLines w:val="0"/>
              <w:pageBreakBefore w:val="0"/>
              <w:widowControl/>
              <w:kinsoku/>
              <w:wordWrap/>
              <w:overflowPunct/>
              <w:topLinePunct w:val="0"/>
              <w:autoSpaceDE/>
              <w:autoSpaceDN/>
              <w:bidi w:val="0"/>
              <w:adjustRightInd w:val="0"/>
              <w:snapToGrid w:val="0"/>
              <w:spacing w:line="222" w:lineRule="auto"/>
              <w:ind w:left="0" w:right="0"/>
              <w:jc w:val="center"/>
              <w:textAlignment w:val="auto"/>
              <w:rPr>
                <w:highlight w:val="none"/>
              </w:rPr>
            </w:pPr>
            <w:r>
              <w:rPr>
                <w:spacing w:val="-14"/>
                <w:highlight w:val="none"/>
              </w:rPr>
              <w:t>第页</w:t>
            </w:r>
          </w:p>
        </w:tc>
      </w:tr>
      <w:tr w14:paraId="3E94D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645" w:type="dxa"/>
            <w:tcBorders>
              <w:left w:val="single" w:color="000000" w:sz="10" w:space="0"/>
              <w:bottom w:val="single" w:color="000000" w:sz="10" w:space="0"/>
            </w:tcBorders>
            <w:vAlign w:val="center"/>
          </w:tcPr>
          <w:p w14:paraId="27438B8A">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tcBorders>
              <w:bottom w:val="single" w:color="000000" w:sz="10" w:space="0"/>
            </w:tcBorders>
            <w:vAlign w:val="center"/>
          </w:tcPr>
          <w:p w14:paraId="30518743">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tcBorders>
              <w:bottom w:val="single" w:color="000000" w:sz="10" w:space="0"/>
            </w:tcBorders>
            <w:vAlign w:val="center"/>
          </w:tcPr>
          <w:p w14:paraId="28D1B962">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tcBorders>
              <w:bottom w:val="single" w:color="000000" w:sz="10" w:space="0"/>
            </w:tcBorders>
            <w:vAlign w:val="center"/>
          </w:tcPr>
          <w:p w14:paraId="35A636F8">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tcBorders>
              <w:bottom w:val="single" w:color="000000" w:sz="10" w:space="0"/>
            </w:tcBorders>
            <w:vAlign w:val="center"/>
          </w:tcPr>
          <w:p w14:paraId="129A230F">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tcBorders>
              <w:bottom w:val="single" w:color="000000" w:sz="10" w:space="0"/>
            </w:tcBorders>
            <w:vAlign w:val="center"/>
          </w:tcPr>
          <w:p w14:paraId="029DA618">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tcBorders>
              <w:bottom w:val="single" w:color="000000" w:sz="10" w:space="0"/>
            </w:tcBorders>
            <w:vAlign w:val="center"/>
          </w:tcPr>
          <w:p w14:paraId="07ED1DA2">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tcBorders>
              <w:bottom w:val="single" w:color="000000" w:sz="10" w:space="0"/>
            </w:tcBorders>
            <w:vAlign w:val="center"/>
          </w:tcPr>
          <w:p w14:paraId="0E9DF4AB">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645" w:type="dxa"/>
            <w:tcBorders>
              <w:bottom w:val="single" w:color="000000" w:sz="10" w:space="0"/>
            </w:tcBorders>
            <w:vAlign w:val="center"/>
          </w:tcPr>
          <w:p w14:paraId="48973F41">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1019" w:type="dxa"/>
            <w:tcBorders>
              <w:bottom w:val="single" w:color="000000" w:sz="10" w:space="0"/>
              <w:right w:val="single" w:color="000000" w:sz="4" w:space="0"/>
            </w:tcBorders>
            <w:vAlign w:val="center"/>
          </w:tcPr>
          <w:p w14:paraId="28877627">
            <w:pPr>
              <w:keepNext w:val="0"/>
              <w:keepLines w:val="0"/>
              <w:pageBreakBefore w:val="0"/>
              <w:widowControl/>
              <w:kinsoku/>
              <w:wordWrap/>
              <w:overflowPunct/>
              <w:topLinePunct w:val="0"/>
              <w:autoSpaceDE/>
              <w:autoSpaceDN/>
              <w:bidi w:val="0"/>
              <w:adjustRightInd w:val="0"/>
              <w:snapToGrid w:val="0"/>
              <w:ind w:left="0" w:right="0"/>
              <w:jc w:val="center"/>
              <w:textAlignment w:val="auto"/>
              <w:rPr>
                <w:rFonts w:ascii="Arial"/>
                <w:sz w:val="21"/>
                <w:highlight w:val="none"/>
              </w:rPr>
            </w:pPr>
          </w:p>
        </w:tc>
        <w:tc>
          <w:tcPr>
            <w:tcW w:w="1508" w:type="dxa"/>
            <w:tcBorders>
              <w:left w:val="single" w:color="000000" w:sz="4" w:space="0"/>
              <w:bottom w:val="single" w:color="000000" w:sz="10" w:space="0"/>
              <w:right w:val="single" w:color="000000" w:sz="10" w:space="0"/>
            </w:tcBorders>
            <w:vAlign w:val="center"/>
          </w:tcPr>
          <w:p w14:paraId="6F8D34C9">
            <w:pPr>
              <w:pStyle w:val="49"/>
              <w:keepNext w:val="0"/>
              <w:keepLines w:val="0"/>
              <w:pageBreakBefore w:val="0"/>
              <w:widowControl/>
              <w:kinsoku/>
              <w:wordWrap/>
              <w:overflowPunct/>
              <w:topLinePunct w:val="0"/>
              <w:autoSpaceDE/>
              <w:autoSpaceDN/>
              <w:bidi w:val="0"/>
              <w:adjustRightInd w:val="0"/>
              <w:snapToGrid w:val="0"/>
              <w:spacing w:line="222" w:lineRule="auto"/>
              <w:ind w:left="0" w:right="0"/>
              <w:jc w:val="center"/>
              <w:textAlignment w:val="auto"/>
              <w:rPr>
                <w:highlight w:val="none"/>
              </w:rPr>
            </w:pPr>
            <w:r>
              <w:rPr>
                <w:spacing w:val="-14"/>
                <w:highlight w:val="none"/>
              </w:rPr>
              <w:t>第页</w:t>
            </w:r>
          </w:p>
        </w:tc>
      </w:tr>
    </w:tbl>
    <w:p w14:paraId="2AB98AF2">
      <w:pPr>
        <w:spacing w:line="288" w:lineRule="auto"/>
        <w:rPr>
          <w:rFonts w:ascii="Arial"/>
          <w:sz w:val="21"/>
          <w:highlight w:val="none"/>
        </w:rPr>
      </w:pPr>
    </w:p>
    <w:p w14:paraId="7CA579A0">
      <w:pPr>
        <w:spacing w:line="288" w:lineRule="auto"/>
        <w:rPr>
          <w:rFonts w:ascii="Arial"/>
          <w:sz w:val="21"/>
          <w:highlight w:val="none"/>
        </w:rPr>
      </w:pPr>
    </w:p>
    <w:p w14:paraId="213B7284">
      <w:pPr>
        <w:rPr>
          <w:rFonts w:hint="eastAsia" w:eastAsia="仿宋"/>
          <w:spacing w:val="1"/>
          <w:sz w:val="24"/>
          <w:szCs w:val="24"/>
          <w:highlight w:val="none"/>
          <w:lang w:eastAsia="zh-CN"/>
        </w:rPr>
      </w:pPr>
      <w:r>
        <w:rPr>
          <w:spacing w:val="-3"/>
          <w:sz w:val="24"/>
          <w:szCs w:val="24"/>
          <w:highlight w:val="none"/>
        </w:rPr>
        <w:t>供应商全称</w:t>
      </w:r>
      <w:r>
        <w:rPr>
          <w:spacing w:val="-1"/>
          <w:sz w:val="24"/>
          <w:szCs w:val="24"/>
          <w:highlight w:val="none"/>
        </w:rPr>
        <w:t>：（</w:t>
      </w:r>
      <w:r>
        <w:rPr>
          <w:spacing w:val="-3"/>
          <w:sz w:val="24"/>
          <w:szCs w:val="24"/>
          <w:highlight w:val="none"/>
        </w:rPr>
        <w:t>盖单位公章）</w:t>
      </w:r>
    </w:p>
    <w:p w14:paraId="0D65B1E0">
      <w:pPr>
        <w:rPr>
          <w:rFonts w:hint="eastAsia" w:ascii="仿宋" w:hAnsi="仿宋" w:eastAsia="仿宋" w:cs="仿宋"/>
          <w:b/>
          <w:color w:val="auto"/>
          <w:sz w:val="32"/>
          <w:szCs w:val="30"/>
          <w:highlight w:val="none"/>
          <w:lang w:val="zh-CN" w:eastAsia="zh-CN"/>
        </w:rPr>
      </w:pPr>
      <w:r>
        <w:rPr>
          <w:spacing w:val="-20"/>
          <w:sz w:val="24"/>
          <w:szCs w:val="24"/>
          <w:highlight w:val="none"/>
        </w:rPr>
        <w:t>日期：年月日</w:t>
      </w:r>
      <w:r>
        <w:rPr>
          <w:rFonts w:hint="eastAsia" w:ascii="仿宋" w:hAnsi="仿宋" w:eastAsia="仿宋" w:cs="仿宋"/>
          <w:b/>
          <w:color w:val="auto"/>
          <w:sz w:val="32"/>
          <w:szCs w:val="30"/>
          <w:highlight w:val="none"/>
          <w:lang w:val="zh-CN" w:eastAsia="zh-CN"/>
        </w:rPr>
        <w:br w:type="page"/>
      </w:r>
    </w:p>
    <w:p w14:paraId="7C957F01">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5</w:t>
      </w:r>
      <w:r>
        <w:rPr>
          <w:rFonts w:hint="eastAsia" w:ascii="仿宋" w:hAnsi="仿宋" w:eastAsia="仿宋" w:cs="仿宋"/>
          <w:color w:val="auto"/>
          <w:sz w:val="28"/>
          <w:szCs w:val="28"/>
          <w:highlight w:val="none"/>
          <w:lang w:val="en-US" w:eastAsia="zh-CN"/>
        </w:rPr>
        <w:t>）投标单位信誉情况</w:t>
      </w:r>
    </w:p>
    <w:p w14:paraId="11180031">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（1）拒绝列入政府取消投标资格记录期间的企业或个人投标；</w:t>
      </w:r>
    </w:p>
    <w:p w14:paraId="3874B066">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（2）投标人未被工商行政管理机关在全国企业信用信息公示系统（www.gsxt.gov.cn）中列入严重违法失信企业名单；</w:t>
      </w:r>
    </w:p>
    <w:p w14:paraId="78BA7727">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（3）投标人未被列入“失信被执行人、重大税收违法失信主体”的记录名单，通过“信用中国”网站（www.creditchina.gov.cn)查询；</w:t>
      </w:r>
    </w:p>
    <w:p w14:paraId="18DE1533">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（4）投标人未被列入“政府采购严重违法失信行为记录名单”，通过“中国政府采购网”（www.ccgp.gov.cn）查询；</w:t>
      </w:r>
    </w:p>
    <w:p w14:paraId="1B0BFF80">
      <w:pPr>
        <w:spacing w:line="360" w:lineRule="auto"/>
        <w:jc w:val="left"/>
        <w:outlineLvl w:val="9"/>
        <w:rPr>
          <w:rFonts w:hint="eastAsia" w:ascii="仿宋" w:hAnsi="仿宋" w:eastAsia="仿宋" w:cs="Times New Roman"/>
          <w:bCs w:val="0"/>
          <w:color w:val="auto"/>
          <w:kern w:val="2"/>
          <w:sz w:val="24"/>
          <w:szCs w:val="28"/>
          <w:highlight w:val="none"/>
          <w:lang w:val="en-US" w:eastAsia="zh-CN" w:bidi="ar-SA"/>
        </w:rPr>
      </w:pPr>
      <w:r>
        <w:rPr>
          <w:rFonts w:hint="eastAsia" w:ascii="仿宋" w:hAnsi="仿宋" w:eastAsia="仿宋" w:cs="Times New Roman"/>
          <w:bCs w:val="0"/>
          <w:color w:val="auto"/>
          <w:kern w:val="2"/>
          <w:sz w:val="24"/>
          <w:szCs w:val="28"/>
          <w:highlight w:val="none"/>
          <w:lang w:val="en-US" w:eastAsia="zh-CN" w:bidi="ar-SA"/>
        </w:rPr>
        <w:t>（5）投标人和个人（指法定代表人、法人代理人）未在“中国裁判文书网”（wenshu.court.gov.cn）上有行贿犯罪行为；</w:t>
      </w:r>
    </w:p>
    <w:p w14:paraId="5D71CE3C">
      <w:pPr>
        <w:spacing w:line="360" w:lineRule="auto"/>
        <w:jc w:val="left"/>
        <w:outlineLvl w:val="9"/>
        <w:rPr>
          <w:rFonts w:hint="eastAsia"/>
          <w:b w:val="0"/>
          <w:bCs/>
          <w:color w:val="auto"/>
          <w:sz w:val="24"/>
          <w:szCs w:val="24"/>
          <w:highlight w:val="none"/>
        </w:rPr>
      </w:pPr>
      <w:r>
        <w:rPr>
          <w:rFonts w:hint="eastAsia" w:ascii="仿宋" w:hAnsi="仿宋" w:eastAsia="仿宋" w:cs="Times New Roman"/>
          <w:bCs w:val="0"/>
          <w:color w:val="auto"/>
          <w:kern w:val="2"/>
          <w:sz w:val="24"/>
          <w:szCs w:val="28"/>
          <w:highlight w:val="none"/>
          <w:lang w:val="en-US" w:eastAsia="zh-CN" w:bidi="ar-SA"/>
        </w:rPr>
        <w:t>投标文件内（1）-（5）附由法定代表人或其委托代理人签字并加盖供应商公章的承诺书</w:t>
      </w:r>
      <w:r>
        <w:rPr>
          <w:rFonts w:hint="eastAsia"/>
          <w:b w:val="0"/>
          <w:bCs/>
          <w:color w:val="auto"/>
          <w:sz w:val="24"/>
          <w:szCs w:val="24"/>
          <w:highlight w:val="none"/>
        </w:rPr>
        <w:t>。</w:t>
      </w:r>
    </w:p>
    <w:p w14:paraId="4A7328AE">
      <w:pPr>
        <w:rPr>
          <w:rFonts w:hint="eastAsia"/>
          <w:b w:val="0"/>
          <w:bCs/>
          <w:color w:val="auto"/>
          <w:sz w:val="24"/>
          <w:szCs w:val="24"/>
          <w:highlight w:val="none"/>
        </w:rPr>
      </w:pPr>
      <w:r>
        <w:rPr>
          <w:rFonts w:hint="eastAsia" w:ascii="仿宋" w:hAnsi="仿宋" w:eastAsia="仿宋" w:cs="仿宋"/>
          <w:color w:val="auto"/>
          <w:sz w:val="28"/>
          <w:szCs w:val="28"/>
          <w:highlight w:val="none"/>
          <w:lang w:val="en-US" w:eastAsia="zh-CN"/>
        </w:rPr>
        <w:br w:type="page"/>
      </w:r>
    </w:p>
    <w:p w14:paraId="6428FD60">
      <w:pPr>
        <w:jc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具有依法缴纳税收和社会保障资金的良好记录的书面承诺函</w:t>
      </w:r>
    </w:p>
    <w:p w14:paraId="73422288">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color w:val="auto"/>
          <w:sz w:val="24"/>
          <w:szCs w:val="24"/>
          <w:highlight w:val="none"/>
          <w:lang w:eastAsia="zh-CN"/>
        </w:rPr>
      </w:pPr>
    </w:p>
    <w:p w14:paraId="42EBBC5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采购代理机构</w:t>
      </w:r>
      <w:r>
        <w:rPr>
          <w:rFonts w:hint="eastAsia"/>
          <w:color w:val="auto"/>
          <w:sz w:val="24"/>
          <w:szCs w:val="24"/>
          <w:highlight w:val="none"/>
          <w:lang w:eastAsia="zh-CN"/>
        </w:rPr>
        <w:t>）</w:t>
      </w:r>
      <w:r>
        <w:rPr>
          <w:rFonts w:hint="eastAsia"/>
          <w:color w:val="auto"/>
          <w:sz w:val="24"/>
          <w:szCs w:val="24"/>
          <w:highlight w:val="none"/>
        </w:rPr>
        <w:t>:</w:t>
      </w:r>
    </w:p>
    <w:p w14:paraId="6DB4AF6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我单位郑重承诺︰我单位参加</w:t>
      </w:r>
      <w:r>
        <w:rPr>
          <w:rFonts w:hint="eastAsia"/>
          <w:color w:val="auto"/>
          <w:sz w:val="24"/>
          <w:szCs w:val="24"/>
          <w:highlight w:val="none"/>
          <w:u w:val="single"/>
        </w:rPr>
        <w:t>（</w:t>
      </w:r>
      <w:r>
        <w:rPr>
          <w:rFonts w:hint="eastAsia"/>
          <w:color w:val="auto"/>
          <w:sz w:val="24"/>
          <w:szCs w:val="24"/>
          <w:highlight w:val="none"/>
          <w:u w:val="single"/>
          <w:lang w:val="en-US" w:eastAsia="zh-CN"/>
        </w:rPr>
        <w:t>采购人</w:t>
      </w:r>
      <w:r>
        <w:rPr>
          <w:rFonts w:hint="eastAsia"/>
          <w:color w:val="auto"/>
          <w:sz w:val="24"/>
          <w:szCs w:val="24"/>
          <w:highlight w:val="none"/>
          <w:u w:val="single"/>
        </w:rPr>
        <w:t>名称）</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采购活动，根据《中华人民共和国政府采购法》第二十二条的规定，我单位具有依法缴纳税收和社会保障资金的良好记录，符合相关要求。</w:t>
      </w:r>
    </w:p>
    <w:p w14:paraId="6F4C26B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p>
    <w:p w14:paraId="7A0528F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r>
        <w:rPr>
          <w:rFonts w:hint="eastAsia"/>
          <w:color w:val="auto"/>
          <w:sz w:val="24"/>
          <w:szCs w:val="24"/>
          <w:highlight w:val="none"/>
        </w:rPr>
        <w:t>特此承诺。</w:t>
      </w:r>
    </w:p>
    <w:p w14:paraId="1424E8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我单位对上述承诺的真实性负责。如有虚假，将依法承担相应责任。</w:t>
      </w:r>
    </w:p>
    <w:p w14:paraId="5A5DF3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rPr>
      </w:pPr>
    </w:p>
    <w:p w14:paraId="10F9A0F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p>
    <w:p w14:paraId="7AF91EA1">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投标人：（盖单位公章）</w:t>
      </w:r>
    </w:p>
    <w:p w14:paraId="7AC47416">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14:paraId="592DAF82">
      <w:pPr>
        <w:autoSpaceDE w:val="0"/>
        <w:autoSpaceDN w:val="0"/>
        <w:adjustRightIn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14:paraId="07CB53CC">
      <w:pPr>
        <w:rPr>
          <w:rFonts w:hint="eastAsia" w:ascii="仿宋" w:hAnsi="仿宋" w:eastAsia="仿宋" w:cs="仿宋"/>
          <w:b/>
          <w:color w:val="auto"/>
          <w:sz w:val="32"/>
          <w:szCs w:val="30"/>
          <w:highlight w:val="none"/>
          <w:lang w:val="zh-CN" w:eastAsia="zh-CN"/>
        </w:rPr>
      </w:pPr>
    </w:p>
    <w:p w14:paraId="21BFFE03">
      <w:pPr>
        <w:pStyle w:val="4"/>
        <w:spacing w:before="0" w:after="0" w:line="36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b/>
          <w:color w:val="auto"/>
          <w:sz w:val="32"/>
          <w:szCs w:val="30"/>
          <w:highlight w:val="none"/>
          <w:lang w:val="zh-CN" w:eastAsia="zh-CN"/>
        </w:rPr>
        <w:br w:type="page"/>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6</w:t>
      </w:r>
      <w:r>
        <w:rPr>
          <w:rFonts w:hint="eastAsia" w:ascii="仿宋" w:hAnsi="仿宋" w:eastAsia="仿宋" w:cs="仿宋"/>
          <w:color w:val="auto"/>
          <w:sz w:val="28"/>
          <w:szCs w:val="28"/>
          <w:highlight w:val="none"/>
          <w:lang w:val="en-US" w:eastAsia="zh-CN"/>
        </w:rPr>
        <w:t>）</w:t>
      </w:r>
      <w:r>
        <w:rPr>
          <w:rFonts w:hint="eastAsia" w:cs="仿宋"/>
          <w:color w:val="auto"/>
          <w:sz w:val="28"/>
          <w:szCs w:val="28"/>
          <w:highlight w:val="none"/>
          <w:lang w:val="en-US" w:eastAsia="zh-CN"/>
        </w:rPr>
        <w:t>中小企业声明函</w:t>
      </w:r>
    </w:p>
    <w:p w14:paraId="739BCD5F">
      <w:pPr>
        <w:keepNext/>
        <w:keepLines/>
        <w:autoSpaceDE w:val="0"/>
        <w:autoSpaceDN w:val="0"/>
        <w:spacing w:before="120" w:after="120" w:line="300" w:lineRule="auto"/>
        <w:ind w:firstLine="0" w:firstLineChars="0"/>
        <w:jc w:val="center"/>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中小企业声明函（</w:t>
      </w:r>
      <w:r>
        <w:rPr>
          <w:rFonts w:hint="eastAsia" w:ascii="仿宋" w:hAnsi="仿宋" w:eastAsia="仿宋" w:cs="仿宋"/>
          <w:color w:val="auto"/>
          <w:sz w:val="24"/>
          <w:szCs w:val="24"/>
          <w:highlight w:val="none"/>
        </w:rPr>
        <w:t>货物</w:t>
      </w:r>
      <w:r>
        <w:rPr>
          <w:rFonts w:hint="eastAsia" w:ascii="仿宋" w:hAnsi="仿宋" w:eastAsia="仿宋" w:cs="仿宋"/>
          <w:color w:val="auto"/>
          <w:sz w:val="24"/>
          <w:szCs w:val="24"/>
          <w:highlight w:val="none"/>
          <w:lang w:val="zh-CN"/>
        </w:rPr>
        <w:t>）</w:t>
      </w:r>
    </w:p>
    <w:p w14:paraId="66F2211B">
      <w:pPr>
        <w:spacing w:before="120" w:after="120"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w:t>
      </w:r>
      <w:r>
        <w:rPr>
          <w:rFonts w:hint="eastAsia" w:ascii="仿宋" w:hAnsi="仿宋" w:eastAsia="仿宋" w:cs="仿宋"/>
          <w:color w:val="auto"/>
          <w:sz w:val="24"/>
          <w:szCs w:val="24"/>
          <w:highlight w:val="none"/>
          <w:u w:val="single"/>
        </w:rPr>
        <w:t>)参加(单位名称)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w:t>
      </w:r>
      <w:r>
        <w:rPr>
          <w:rFonts w:hint="eastAsia" w:ascii="仿宋" w:hAnsi="仿宋" w:eastAsia="仿宋" w:cs="仿宋"/>
          <w:color w:val="auto"/>
          <w:sz w:val="24"/>
          <w:szCs w:val="24"/>
          <w:highlight w:val="none"/>
          <w:lang w:val="en-US" w:eastAsia="zh-CN"/>
        </w:rPr>
        <w:t>中小企业预留部分的</w:t>
      </w:r>
      <w:r>
        <w:rPr>
          <w:rFonts w:hint="eastAsia" w:ascii="仿宋" w:hAnsi="仿宋" w:eastAsia="仿宋" w:cs="仿宋"/>
          <w:color w:val="auto"/>
          <w:sz w:val="24"/>
          <w:szCs w:val="24"/>
          <w:highlight w:val="none"/>
        </w:rPr>
        <w:t>货物全部由符合政策要求的中小企业制造。相关企业（含联合体中的中小企业、签订分包意向协议的中小企业）的具体情况如下:</w:t>
      </w:r>
    </w:p>
    <w:p w14:paraId="4A882615">
      <w:pPr>
        <w:numPr>
          <w:ilvl w:val="0"/>
          <w:numId w:val="31"/>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，从业人员人，营业收入为万元，资产总额为万元，属于（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1F25786C">
      <w:pPr>
        <w:numPr>
          <w:ilvl w:val="0"/>
          <w:numId w:val="31"/>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，从业人员人，营业收入为万元，资产总额为万元，属于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2FE9F46E">
      <w:pPr>
        <w:numPr>
          <w:ilvl w:val="0"/>
          <w:numId w:val="31"/>
        </w:num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CFEC296">
      <w:pPr>
        <w:spacing w:before="120" w:after="120"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31A21C6D">
      <w:pPr>
        <w:spacing w:before="120" w:after="120" w:line="360" w:lineRule="auto"/>
        <w:ind w:firstLine="48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本企业对上述声明内容的真实性负责。如有虚假，将依法承担相应责任。</w:t>
      </w:r>
    </w:p>
    <w:p w14:paraId="696E4513">
      <w:pPr>
        <w:spacing w:before="120" w:after="120" w:line="360" w:lineRule="auto"/>
        <w:ind w:firstLine="48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企业名称（盖单）：</w:t>
      </w:r>
    </w:p>
    <w:p w14:paraId="03DCE7AB">
      <w:pPr>
        <w:spacing w:before="120" w:after="120" w:line="360" w:lineRule="auto"/>
        <w:ind w:firstLine="48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日期：</w:t>
      </w:r>
    </w:p>
    <w:p w14:paraId="269813E5">
      <w:pPr>
        <w:spacing w:before="120" w:after="120" w:line="360" w:lineRule="auto"/>
        <w:ind w:firstLine="0" w:firstLineChars="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eastAsia="zh-CN"/>
        </w:rPr>
        <w:t>：</w:t>
      </w:r>
    </w:p>
    <w:p w14:paraId="5CC4ADC1">
      <w:pPr>
        <w:spacing w:before="120"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1、供应商需提供设备制造厂商中小企业声明函（设备清单表中为大型企业的不需要提供）</w:t>
      </w:r>
    </w:p>
    <w:p w14:paraId="4AC95679">
      <w:pPr>
        <w:spacing w:before="120" w:after="120"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从业人员、营业收入、资产总额填报上一年度数据，无上一年度数据的新成立企业可不填报。投标人提供采购文件规定预留货物部分必须由中小企业生产且使用该中小企业商号或注册商标。非预留部分的货物如非中小企业生产则非预留部分不需填写，只需填写预留部分的情况即可。</w:t>
      </w:r>
    </w:p>
    <w:p w14:paraId="5952D7B7">
      <w:pPr>
        <w:rPr>
          <w:rFonts w:hint="eastAsia" w:ascii="仿宋" w:hAnsi="仿宋" w:eastAsia="仿宋" w:cs="仿宋"/>
          <w:b/>
          <w:color w:val="auto"/>
          <w:sz w:val="32"/>
          <w:szCs w:val="30"/>
          <w:highlight w:val="none"/>
          <w:lang w:val="zh-CN" w:eastAsia="zh-CN"/>
        </w:rPr>
      </w:pPr>
      <w:r>
        <w:rPr>
          <w:rFonts w:hint="eastAsia" w:ascii="仿宋" w:hAnsi="仿宋" w:eastAsia="仿宋" w:cs="仿宋"/>
          <w:color w:val="auto"/>
          <w:sz w:val="24"/>
          <w:szCs w:val="24"/>
          <w:highlight w:val="none"/>
        </w:rPr>
        <w:t>3、投标单位必须严格填写此表，此表作为评审依据。（此格式不允许更改）</w:t>
      </w:r>
    </w:p>
    <w:p w14:paraId="2356FE6F">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投标人的资格声明</w:t>
      </w:r>
    </w:p>
    <w:p w14:paraId="235DC20D">
      <w:pPr>
        <w:autoSpaceDE w:val="0"/>
        <w:autoSpaceDN w:val="0"/>
        <w:rPr>
          <w:rFonts w:hint="eastAsia" w:ascii="仿宋" w:hAnsi="仿宋" w:eastAsia="仿宋" w:cs="仿宋"/>
          <w:b/>
          <w:bCs/>
          <w:color w:val="auto"/>
          <w:sz w:val="24"/>
          <w:szCs w:val="24"/>
          <w:highlight w:val="none"/>
        </w:rPr>
      </w:pPr>
    </w:p>
    <w:p w14:paraId="161CE93B">
      <w:pPr>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致</w:t>
      </w:r>
      <w:r>
        <w:rPr>
          <w:rFonts w:hint="eastAsia" w:cs="仿宋"/>
          <w:color w:val="auto"/>
          <w:sz w:val="24"/>
          <w:szCs w:val="24"/>
          <w:highlight w:val="none"/>
          <w:lang w:val="zh-CN"/>
        </w:rPr>
        <w:t>中屹宬信建设集团有限公司</w:t>
      </w:r>
      <w:r>
        <w:rPr>
          <w:rFonts w:hint="eastAsia" w:ascii="仿宋" w:hAnsi="仿宋" w:eastAsia="仿宋" w:cs="仿宋"/>
          <w:color w:val="auto"/>
          <w:sz w:val="24"/>
          <w:szCs w:val="24"/>
          <w:highlight w:val="none"/>
          <w:lang w:val="zh-CN"/>
        </w:rPr>
        <w:t>：</w:t>
      </w:r>
    </w:p>
    <w:p w14:paraId="36EBE526">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按照《中华人民共和国政府采购法》第</w:t>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zh-CN"/>
        </w:rPr>
        <w:t>条和你单位发布的《</w:t>
      </w:r>
      <w:r>
        <w:rPr>
          <w:rFonts w:hint="eastAsia" w:ascii="仿宋" w:hAnsi="仿宋" w:eastAsia="仿宋" w:cs="仿宋"/>
          <w:color w:val="auto"/>
          <w:sz w:val="24"/>
          <w:szCs w:val="24"/>
          <w:highlight w:val="none"/>
          <w:u w:val="single"/>
          <w:lang w:val="zh-CN"/>
        </w:rPr>
        <w:t>采购单位名称+项目名称</w:t>
      </w:r>
      <w:r>
        <w:rPr>
          <w:rFonts w:hint="eastAsia" w:ascii="仿宋" w:hAnsi="仿宋" w:eastAsia="仿宋" w:cs="仿宋"/>
          <w:color w:val="auto"/>
          <w:sz w:val="24"/>
          <w:szCs w:val="24"/>
          <w:highlight w:val="none"/>
          <w:lang w:val="zh-CN"/>
        </w:rPr>
        <w:t>招标文件》（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号）的规定，我公司郑重声明如下：</w:t>
      </w:r>
    </w:p>
    <w:p w14:paraId="46C7820F">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、我公司是按照中华人民共和国法律在工商管理机关登记注册的企业法人，注册地点为，公司全称为，法定代表人为，具有独立承担民事责任的能力。</w:t>
      </w:r>
    </w:p>
    <w:p w14:paraId="07EAB43C">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、我公司具有良好的商业信誉和健全的财务会计制度。</w:t>
      </w:r>
    </w:p>
    <w:p w14:paraId="0722531A">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、我公司具有履行本项目采购合同所必需的设备和专业技术能力。</w:t>
      </w:r>
    </w:p>
    <w:p w14:paraId="0FDCBA7B">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、我公司具有依法缴纳税收和社会保障资金的良好记录。</w:t>
      </w:r>
    </w:p>
    <w:p w14:paraId="0FC2D047">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、我公司在参与本次政府采购活动之前三年内，在经营活动中无重大违法记录。</w:t>
      </w:r>
    </w:p>
    <w:p w14:paraId="361096FF">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、我公司在参与本次政府采购活动时未受到任何地方政府采购部门作出的暂停参加政府采购活动的处罚。</w:t>
      </w:r>
    </w:p>
    <w:p w14:paraId="0E0AE300">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我公司保证上述声明的事项都是真实的，如有虚假，我公司承担相应的法律责任，并承担因此给你公司以及本项目采购人所造成的损失。</w:t>
      </w:r>
    </w:p>
    <w:p w14:paraId="5C3DC631">
      <w:pPr>
        <w:autoSpaceDE w:val="0"/>
        <w:autoSpaceDN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79B46971">
      <w:pPr>
        <w:autoSpaceDE w:val="0"/>
        <w:autoSpaceDN w:val="0"/>
        <w:ind w:firstLine="480"/>
        <w:rPr>
          <w:rFonts w:hint="eastAsia" w:ascii="仿宋" w:hAnsi="仿宋" w:eastAsia="仿宋" w:cs="仿宋"/>
          <w:color w:val="auto"/>
          <w:sz w:val="24"/>
          <w:szCs w:val="24"/>
          <w:highlight w:val="none"/>
        </w:rPr>
      </w:pPr>
    </w:p>
    <w:bookmarkEnd w:id="146"/>
    <w:bookmarkEnd w:id="147"/>
    <w:p w14:paraId="640B91EF">
      <w:pPr>
        <w:autoSpaceDE w:val="0"/>
        <w:autoSpaceDN w:val="0"/>
        <w:adjustRightInd w:val="0"/>
        <w:spacing w:line="360" w:lineRule="auto"/>
        <w:jc w:val="left"/>
        <w:rPr>
          <w:rFonts w:hint="eastAsia" w:ascii="仿宋" w:hAnsi="仿宋" w:eastAsia="仿宋" w:cs="仿宋"/>
          <w:color w:val="auto"/>
          <w:sz w:val="24"/>
          <w:szCs w:val="21"/>
          <w:highlight w:val="none"/>
        </w:rPr>
      </w:pPr>
      <w:bookmarkStart w:id="148" w:name="_Toc22892155"/>
      <w:bookmarkStart w:id="149" w:name="_Toc476745880"/>
      <w:bookmarkStart w:id="150" w:name="_Toc17185732"/>
      <w:bookmarkStart w:id="151" w:name="_Toc27274"/>
      <w:bookmarkStart w:id="152" w:name="_Toc17185835"/>
      <w:bookmarkStart w:id="153" w:name="_Toc19097124"/>
      <w:r>
        <w:rPr>
          <w:rFonts w:hint="eastAsia" w:ascii="仿宋" w:hAnsi="仿宋" w:eastAsia="仿宋" w:cs="仿宋"/>
          <w:color w:val="auto"/>
          <w:sz w:val="24"/>
          <w:szCs w:val="21"/>
          <w:highlight w:val="none"/>
        </w:rPr>
        <w:t>投标人：（盖单位公章）</w:t>
      </w:r>
    </w:p>
    <w:p w14:paraId="26F2CB09">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bCs/>
          <w:color w:val="auto"/>
          <w:sz w:val="24"/>
          <w:szCs w:val="21"/>
          <w:highlight w:val="none"/>
        </w:rPr>
        <w:t>法定代表人或委托代理人</w:t>
      </w:r>
      <w:r>
        <w:rPr>
          <w:rFonts w:hint="eastAsia" w:ascii="仿宋" w:hAnsi="仿宋" w:eastAsia="仿宋" w:cs="仿宋"/>
          <w:color w:val="auto"/>
          <w:sz w:val="24"/>
          <w:szCs w:val="21"/>
          <w:highlight w:val="none"/>
        </w:rPr>
        <w:t>：（签字或盖章）</w:t>
      </w:r>
    </w:p>
    <w:p w14:paraId="4CF91EF0">
      <w:pPr>
        <w:autoSpaceDE w:val="0"/>
        <w:autoSpaceDN w:val="0"/>
        <w:adjustRightInd w:val="0"/>
        <w:spacing w:line="360" w:lineRule="auto"/>
        <w:jc w:val="left"/>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日期：年月日</w:t>
      </w:r>
    </w:p>
    <w:p w14:paraId="5770BBA4">
      <w:pPr>
        <w:rPr>
          <w:rFonts w:hint="eastAsia" w:ascii="仿宋" w:hAnsi="仿宋" w:eastAsia="仿宋" w:cs="仿宋"/>
          <w:b/>
          <w:bCs/>
          <w:color w:val="auto"/>
          <w:kern w:val="2"/>
          <w:sz w:val="24"/>
          <w:szCs w:val="24"/>
          <w:highlight w:val="none"/>
          <w:lang w:val="zh-CN" w:eastAsia="zh-CN" w:bidi="ar-SA"/>
        </w:rPr>
      </w:pPr>
    </w:p>
    <w:p w14:paraId="0765FE09">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14:paraId="1F72155B">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采购需求条款响应一览表格式</w:t>
      </w:r>
    </w:p>
    <w:p w14:paraId="19D2C32C">
      <w:pPr>
        <w:pStyle w:val="7"/>
        <w:spacing w:before="253" w:line="228" w:lineRule="auto"/>
        <w:ind w:left="3450"/>
        <w:outlineLvl w:val="1"/>
        <w:rPr>
          <w:highlight w:val="none"/>
        </w:rPr>
      </w:pPr>
      <w:r>
        <w:rPr>
          <w:spacing w:val="7"/>
          <w:highlight w:val="none"/>
        </w:rPr>
        <w:t>采购需求条款响应一览表</w:t>
      </w:r>
    </w:p>
    <w:p w14:paraId="0FC9DEE0">
      <w:pPr>
        <w:pStyle w:val="7"/>
        <w:spacing w:before="203" w:line="224" w:lineRule="auto"/>
        <w:ind w:left="9"/>
        <w:rPr>
          <w:sz w:val="24"/>
          <w:szCs w:val="24"/>
          <w:highlight w:val="none"/>
        </w:rPr>
      </w:pPr>
      <w:r>
        <w:rPr>
          <w:spacing w:val="-16"/>
          <w:sz w:val="24"/>
          <w:szCs w:val="24"/>
          <w:highlight w:val="none"/>
        </w:rPr>
        <w:t>说明：</w:t>
      </w:r>
    </w:p>
    <w:p w14:paraId="2332AB02">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1.投标人必须对应招标文件条款逐条应答并按要求填写下表。</w:t>
      </w:r>
    </w:p>
    <w:p w14:paraId="44BADDDB">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2.投标人响应描述：应列明具体响应数值或内容，只注明符合、满足等无具体内容表述的，将导致投标无效。</w:t>
      </w:r>
    </w:p>
    <w:p w14:paraId="06A5A220">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3.投标人应按招标文件要求附相关证明文件，如有任何一项不响应或不满足的视为负偏离。</w:t>
      </w:r>
    </w:p>
    <w:p w14:paraId="640BBB2D">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4.偏离情况说明：投标人根据投标人实际情况填写“正偏离”“完全响应”或“负偏离”。</w:t>
      </w:r>
    </w:p>
    <w:p w14:paraId="76284ED3">
      <w:pPr>
        <w:autoSpaceDE w:val="0"/>
        <w:autoSpaceDN w:val="0"/>
        <w:spacing w:line="360" w:lineRule="auto"/>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5.所投产品应提供食品药品监督管理部门核发的完整有效的医疗器械注册或备案证明（适用于按医疗器械管理的货物，包括附件）。证明材料在此表后附。</w:t>
      </w:r>
    </w:p>
    <w:tbl>
      <w:tblPr>
        <w:tblStyle w:val="48"/>
        <w:tblW w:w="90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2779"/>
        <w:gridCol w:w="2168"/>
        <w:gridCol w:w="2025"/>
        <w:gridCol w:w="1354"/>
      </w:tblGrid>
      <w:tr w14:paraId="577F5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704" w:type="dxa"/>
            <w:tcBorders>
              <w:top w:val="single" w:color="000000" w:sz="10" w:space="0"/>
              <w:left w:val="single" w:color="000000" w:sz="10" w:space="0"/>
            </w:tcBorders>
            <w:shd w:val="clear" w:color="auto" w:fill="FFFFFF" w:themeFill="background1"/>
            <w:vAlign w:val="top"/>
          </w:tcPr>
          <w:p w14:paraId="4A2988A6">
            <w:pPr>
              <w:pStyle w:val="49"/>
              <w:spacing w:before="314" w:line="222" w:lineRule="auto"/>
              <w:ind w:left="113"/>
              <w:rPr>
                <w:highlight w:val="none"/>
              </w:rPr>
            </w:pPr>
            <w:r>
              <w:rPr>
                <w:spacing w:val="-4"/>
                <w:highlight w:val="none"/>
              </w:rPr>
              <w:t>序号</w:t>
            </w:r>
          </w:p>
        </w:tc>
        <w:tc>
          <w:tcPr>
            <w:tcW w:w="2779" w:type="dxa"/>
            <w:tcBorders>
              <w:top w:val="single" w:color="000000" w:sz="10" w:space="0"/>
            </w:tcBorders>
            <w:shd w:val="clear" w:color="auto" w:fill="FFFFFF" w:themeFill="background1"/>
            <w:vAlign w:val="top"/>
          </w:tcPr>
          <w:p w14:paraId="6453CD9C">
            <w:pPr>
              <w:pStyle w:val="49"/>
              <w:spacing w:before="314" w:line="222" w:lineRule="auto"/>
              <w:ind w:left="436"/>
              <w:rPr>
                <w:highlight w:val="none"/>
              </w:rPr>
            </w:pPr>
            <w:r>
              <w:rPr>
                <w:spacing w:val="-2"/>
                <w:highlight w:val="none"/>
              </w:rPr>
              <w:t>招标文件条款描述</w:t>
            </w:r>
          </w:p>
        </w:tc>
        <w:tc>
          <w:tcPr>
            <w:tcW w:w="2168" w:type="dxa"/>
            <w:tcBorders>
              <w:top w:val="single" w:color="000000" w:sz="10" w:space="0"/>
            </w:tcBorders>
            <w:shd w:val="clear" w:color="auto" w:fill="FFFFFF" w:themeFill="background1"/>
            <w:vAlign w:val="top"/>
          </w:tcPr>
          <w:p w14:paraId="56DFF794">
            <w:pPr>
              <w:pStyle w:val="49"/>
              <w:spacing w:before="314" w:line="222" w:lineRule="auto"/>
              <w:ind w:left="256"/>
              <w:rPr>
                <w:highlight w:val="none"/>
              </w:rPr>
            </w:pPr>
            <w:r>
              <w:rPr>
                <w:spacing w:val="-2"/>
                <w:highlight w:val="none"/>
              </w:rPr>
              <w:t>投标人响应描述</w:t>
            </w:r>
          </w:p>
        </w:tc>
        <w:tc>
          <w:tcPr>
            <w:tcW w:w="2025" w:type="dxa"/>
            <w:tcBorders>
              <w:top w:val="single" w:color="000000" w:sz="10" w:space="0"/>
            </w:tcBorders>
            <w:shd w:val="clear" w:color="auto" w:fill="FFFFFF" w:themeFill="background1"/>
            <w:vAlign w:val="top"/>
          </w:tcPr>
          <w:p w14:paraId="48A83E67">
            <w:pPr>
              <w:pStyle w:val="49"/>
              <w:spacing w:before="314" w:line="222" w:lineRule="auto"/>
              <w:ind w:left="312"/>
              <w:rPr>
                <w:highlight w:val="none"/>
              </w:rPr>
            </w:pPr>
            <w:r>
              <w:rPr>
                <w:spacing w:val="-3"/>
                <w:highlight w:val="none"/>
              </w:rPr>
              <w:t>偏离情况说明</w:t>
            </w:r>
          </w:p>
        </w:tc>
        <w:tc>
          <w:tcPr>
            <w:tcW w:w="1354" w:type="dxa"/>
            <w:tcBorders>
              <w:top w:val="single" w:color="000000" w:sz="10" w:space="0"/>
              <w:right w:val="single" w:color="000000" w:sz="10" w:space="0"/>
            </w:tcBorders>
            <w:shd w:val="clear" w:color="auto" w:fill="FFFFFF" w:themeFill="background1"/>
            <w:vAlign w:val="top"/>
          </w:tcPr>
          <w:p w14:paraId="1D675737">
            <w:pPr>
              <w:pStyle w:val="49"/>
              <w:spacing w:before="132" w:line="259" w:lineRule="auto"/>
              <w:ind w:left="213" w:right="121" w:hanging="58"/>
              <w:rPr>
                <w:highlight w:val="none"/>
              </w:rPr>
            </w:pPr>
            <w:r>
              <w:rPr>
                <w:spacing w:val="-4"/>
                <w:highlight w:val="none"/>
              </w:rPr>
              <w:t>查阅/证明</w:t>
            </w:r>
            <w:r>
              <w:rPr>
                <w:spacing w:val="-3"/>
                <w:highlight w:val="none"/>
              </w:rPr>
              <w:t>文件指引</w:t>
            </w:r>
          </w:p>
        </w:tc>
      </w:tr>
      <w:tr w14:paraId="7E599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9030" w:type="dxa"/>
            <w:gridSpan w:val="5"/>
            <w:tcBorders>
              <w:left w:val="single" w:color="000000" w:sz="10" w:space="0"/>
              <w:right w:val="single" w:color="000000" w:sz="10" w:space="0"/>
            </w:tcBorders>
            <w:vAlign w:val="top"/>
          </w:tcPr>
          <w:p w14:paraId="2304E53B">
            <w:pPr>
              <w:pStyle w:val="49"/>
              <w:spacing w:before="136" w:line="213" w:lineRule="auto"/>
              <w:ind w:left="113"/>
              <w:rPr>
                <w:highlight w:val="none"/>
              </w:rPr>
            </w:pPr>
            <w:r>
              <w:rPr>
                <w:highlight w:val="none"/>
              </w:rPr>
              <w:drawing>
                <wp:anchor distT="0" distB="0" distL="0" distR="0" simplePos="0" relativeHeight="251661312" behindDoc="0" locked="0" layoutInCell="1" allowOverlap="1">
                  <wp:simplePos x="0" y="0"/>
                  <wp:positionH relativeFrom="rightMargin">
                    <wp:posOffset>-5715635</wp:posOffset>
                  </wp:positionH>
                  <wp:positionV relativeFrom="topMargin">
                    <wp:posOffset>8255</wp:posOffset>
                  </wp:positionV>
                  <wp:extent cx="5713730"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
                          <a:stretch>
                            <a:fillRect/>
                          </a:stretch>
                        </pic:blipFill>
                        <pic:spPr>
                          <a:xfrm>
                            <a:off x="0" y="0"/>
                            <a:ext cx="5713488" cy="6350"/>
                          </a:xfrm>
                          <a:prstGeom prst="rect">
                            <a:avLst/>
                          </a:prstGeom>
                        </pic:spPr>
                      </pic:pic>
                    </a:graphicData>
                  </a:graphic>
                </wp:anchor>
              </w:drawing>
            </w:r>
            <w:r>
              <w:rPr>
                <w:b/>
                <w:bCs/>
                <w:spacing w:val="-4"/>
                <w:highlight w:val="none"/>
              </w:rPr>
              <w:t>（一）填写货物名称</w:t>
            </w:r>
          </w:p>
        </w:tc>
      </w:tr>
      <w:tr w14:paraId="376BA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704" w:type="dxa"/>
            <w:tcBorders>
              <w:left w:val="single" w:color="000000" w:sz="10" w:space="0"/>
            </w:tcBorders>
            <w:vAlign w:val="top"/>
          </w:tcPr>
          <w:p w14:paraId="0EF07BEE">
            <w:pPr>
              <w:pStyle w:val="49"/>
              <w:spacing w:before="216" w:line="179" w:lineRule="auto"/>
              <w:ind w:left="471"/>
              <w:rPr>
                <w:highlight w:val="none"/>
              </w:rPr>
            </w:pPr>
            <w:r>
              <w:rPr>
                <w:highlight w:val="none"/>
              </w:rPr>
              <w:t>1</w:t>
            </w:r>
          </w:p>
        </w:tc>
        <w:tc>
          <w:tcPr>
            <w:tcW w:w="2779" w:type="dxa"/>
            <w:vAlign w:val="top"/>
          </w:tcPr>
          <w:p w14:paraId="7E18A886">
            <w:pPr>
              <w:rPr>
                <w:rFonts w:ascii="Arial"/>
                <w:sz w:val="21"/>
                <w:highlight w:val="none"/>
              </w:rPr>
            </w:pPr>
          </w:p>
        </w:tc>
        <w:tc>
          <w:tcPr>
            <w:tcW w:w="2168" w:type="dxa"/>
            <w:vAlign w:val="top"/>
          </w:tcPr>
          <w:p w14:paraId="7A8BC007">
            <w:pPr>
              <w:rPr>
                <w:rFonts w:ascii="Arial"/>
                <w:sz w:val="21"/>
                <w:highlight w:val="none"/>
              </w:rPr>
            </w:pPr>
          </w:p>
        </w:tc>
        <w:tc>
          <w:tcPr>
            <w:tcW w:w="2025" w:type="dxa"/>
            <w:vAlign w:val="top"/>
          </w:tcPr>
          <w:p w14:paraId="46C33BFE">
            <w:pPr>
              <w:rPr>
                <w:rFonts w:ascii="Arial"/>
                <w:sz w:val="21"/>
                <w:highlight w:val="none"/>
              </w:rPr>
            </w:pPr>
          </w:p>
        </w:tc>
        <w:tc>
          <w:tcPr>
            <w:tcW w:w="1354" w:type="dxa"/>
            <w:tcBorders>
              <w:right w:val="single" w:color="000000" w:sz="10" w:space="0"/>
            </w:tcBorders>
            <w:vAlign w:val="top"/>
          </w:tcPr>
          <w:p w14:paraId="3AAB4C34">
            <w:pPr>
              <w:rPr>
                <w:rFonts w:ascii="Arial"/>
                <w:sz w:val="21"/>
                <w:highlight w:val="none"/>
              </w:rPr>
            </w:pPr>
          </w:p>
        </w:tc>
      </w:tr>
      <w:tr w14:paraId="720FD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704" w:type="dxa"/>
            <w:tcBorders>
              <w:left w:val="single" w:color="000000" w:sz="10" w:space="0"/>
            </w:tcBorders>
            <w:vAlign w:val="top"/>
          </w:tcPr>
          <w:p w14:paraId="77C6B2BD">
            <w:pPr>
              <w:pStyle w:val="49"/>
              <w:spacing w:before="220" w:line="178" w:lineRule="auto"/>
              <w:ind w:left="456"/>
              <w:rPr>
                <w:highlight w:val="none"/>
              </w:rPr>
            </w:pPr>
            <w:r>
              <w:rPr>
                <w:highlight w:val="none"/>
              </w:rPr>
              <w:t>2</w:t>
            </w:r>
          </w:p>
        </w:tc>
        <w:tc>
          <w:tcPr>
            <w:tcW w:w="2779" w:type="dxa"/>
            <w:vAlign w:val="top"/>
          </w:tcPr>
          <w:p w14:paraId="5D7E592D">
            <w:pPr>
              <w:rPr>
                <w:rFonts w:ascii="Arial"/>
                <w:sz w:val="21"/>
                <w:highlight w:val="none"/>
              </w:rPr>
            </w:pPr>
          </w:p>
        </w:tc>
        <w:tc>
          <w:tcPr>
            <w:tcW w:w="2168" w:type="dxa"/>
            <w:vAlign w:val="top"/>
          </w:tcPr>
          <w:p w14:paraId="6A4C9653">
            <w:pPr>
              <w:rPr>
                <w:rFonts w:ascii="Arial"/>
                <w:sz w:val="21"/>
                <w:highlight w:val="none"/>
              </w:rPr>
            </w:pPr>
          </w:p>
        </w:tc>
        <w:tc>
          <w:tcPr>
            <w:tcW w:w="2025" w:type="dxa"/>
            <w:vAlign w:val="top"/>
          </w:tcPr>
          <w:p w14:paraId="2544E439">
            <w:pPr>
              <w:rPr>
                <w:rFonts w:ascii="Arial"/>
                <w:sz w:val="21"/>
                <w:highlight w:val="none"/>
              </w:rPr>
            </w:pPr>
          </w:p>
        </w:tc>
        <w:tc>
          <w:tcPr>
            <w:tcW w:w="1354" w:type="dxa"/>
            <w:tcBorders>
              <w:right w:val="single" w:color="000000" w:sz="10" w:space="0"/>
            </w:tcBorders>
            <w:vAlign w:val="top"/>
          </w:tcPr>
          <w:p w14:paraId="01023AB5">
            <w:pPr>
              <w:rPr>
                <w:rFonts w:ascii="Arial"/>
                <w:sz w:val="21"/>
                <w:highlight w:val="none"/>
              </w:rPr>
            </w:pPr>
          </w:p>
        </w:tc>
      </w:tr>
      <w:tr w14:paraId="27F47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704" w:type="dxa"/>
            <w:tcBorders>
              <w:left w:val="single" w:color="000000" w:sz="10" w:space="0"/>
            </w:tcBorders>
            <w:vAlign w:val="top"/>
          </w:tcPr>
          <w:p w14:paraId="5A054A52">
            <w:pPr>
              <w:pStyle w:val="49"/>
              <w:spacing w:before="220" w:line="178" w:lineRule="auto"/>
              <w:ind w:left="458"/>
              <w:rPr>
                <w:highlight w:val="none"/>
              </w:rPr>
            </w:pPr>
            <w:r>
              <w:rPr>
                <w:highlight w:val="none"/>
              </w:rPr>
              <w:t>3</w:t>
            </w:r>
          </w:p>
        </w:tc>
        <w:tc>
          <w:tcPr>
            <w:tcW w:w="2779" w:type="dxa"/>
            <w:vAlign w:val="top"/>
          </w:tcPr>
          <w:p w14:paraId="201BC4EA">
            <w:pPr>
              <w:rPr>
                <w:rFonts w:ascii="Arial"/>
                <w:sz w:val="21"/>
                <w:highlight w:val="none"/>
              </w:rPr>
            </w:pPr>
          </w:p>
        </w:tc>
        <w:tc>
          <w:tcPr>
            <w:tcW w:w="2168" w:type="dxa"/>
            <w:vAlign w:val="top"/>
          </w:tcPr>
          <w:p w14:paraId="3780D615">
            <w:pPr>
              <w:rPr>
                <w:rFonts w:ascii="Arial"/>
                <w:sz w:val="21"/>
                <w:highlight w:val="none"/>
              </w:rPr>
            </w:pPr>
          </w:p>
        </w:tc>
        <w:tc>
          <w:tcPr>
            <w:tcW w:w="2025" w:type="dxa"/>
            <w:vAlign w:val="top"/>
          </w:tcPr>
          <w:p w14:paraId="1A5D5F3A">
            <w:pPr>
              <w:rPr>
                <w:rFonts w:ascii="Arial"/>
                <w:sz w:val="21"/>
                <w:highlight w:val="none"/>
              </w:rPr>
            </w:pPr>
          </w:p>
        </w:tc>
        <w:tc>
          <w:tcPr>
            <w:tcW w:w="1354" w:type="dxa"/>
            <w:tcBorders>
              <w:right w:val="single" w:color="000000" w:sz="10" w:space="0"/>
            </w:tcBorders>
            <w:vAlign w:val="top"/>
          </w:tcPr>
          <w:p w14:paraId="4A0A8DF1">
            <w:pPr>
              <w:rPr>
                <w:rFonts w:ascii="Arial"/>
                <w:sz w:val="21"/>
                <w:highlight w:val="none"/>
              </w:rPr>
            </w:pPr>
          </w:p>
        </w:tc>
      </w:tr>
      <w:tr w14:paraId="5D583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704" w:type="dxa"/>
            <w:tcBorders>
              <w:left w:val="single" w:color="000000" w:sz="10" w:space="0"/>
            </w:tcBorders>
            <w:vAlign w:val="top"/>
          </w:tcPr>
          <w:p w14:paraId="1E465276">
            <w:pPr>
              <w:pStyle w:val="49"/>
              <w:spacing w:before="180" w:line="340" w:lineRule="exact"/>
              <w:ind w:left="48"/>
              <w:rPr>
                <w:highlight w:val="none"/>
              </w:rPr>
            </w:pPr>
            <w:r>
              <w:rPr>
                <w:position w:val="2"/>
                <w:highlight w:val="none"/>
              </w:rPr>
              <w:t>…</w:t>
            </w:r>
          </w:p>
        </w:tc>
        <w:tc>
          <w:tcPr>
            <w:tcW w:w="2779" w:type="dxa"/>
            <w:vAlign w:val="top"/>
          </w:tcPr>
          <w:p w14:paraId="72F1E905">
            <w:pPr>
              <w:rPr>
                <w:rFonts w:ascii="Arial"/>
                <w:sz w:val="21"/>
                <w:highlight w:val="none"/>
              </w:rPr>
            </w:pPr>
          </w:p>
        </w:tc>
        <w:tc>
          <w:tcPr>
            <w:tcW w:w="2168" w:type="dxa"/>
            <w:vAlign w:val="top"/>
          </w:tcPr>
          <w:p w14:paraId="40C55B66">
            <w:pPr>
              <w:rPr>
                <w:rFonts w:ascii="Arial"/>
                <w:sz w:val="21"/>
                <w:highlight w:val="none"/>
              </w:rPr>
            </w:pPr>
          </w:p>
        </w:tc>
        <w:tc>
          <w:tcPr>
            <w:tcW w:w="2025" w:type="dxa"/>
            <w:vAlign w:val="top"/>
          </w:tcPr>
          <w:p w14:paraId="4EAF02DA">
            <w:pPr>
              <w:rPr>
                <w:rFonts w:ascii="Arial"/>
                <w:sz w:val="21"/>
                <w:highlight w:val="none"/>
              </w:rPr>
            </w:pPr>
          </w:p>
        </w:tc>
        <w:tc>
          <w:tcPr>
            <w:tcW w:w="1354" w:type="dxa"/>
            <w:tcBorders>
              <w:right w:val="single" w:color="000000" w:sz="10" w:space="0"/>
            </w:tcBorders>
            <w:vAlign w:val="top"/>
          </w:tcPr>
          <w:p w14:paraId="180B0870">
            <w:pPr>
              <w:rPr>
                <w:rFonts w:ascii="Arial"/>
                <w:sz w:val="21"/>
                <w:highlight w:val="none"/>
              </w:rPr>
            </w:pPr>
          </w:p>
        </w:tc>
      </w:tr>
      <w:tr w14:paraId="1C48B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9030" w:type="dxa"/>
            <w:gridSpan w:val="5"/>
            <w:tcBorders>
              <w:left w:val="single" w:color="000000" w:sz="10" w:space="0"/>
              <w:right w:val="single" w:color="000000" w:sz="10" w:space="0"/>
            </w:tcBorders>
            <w:vAlign w:val="top"/>
          </w:tcPr>
          <w:p w14:paraId="35AD9EE4">
            <w:pPr>
              <w:pStyle w:val="49"/>
              <w:spacing w:before="128" w:line="204" w:lineRule="auto"/>
              <w:ind w:left="113"/>
              <w:rPr>
                <w:highlight w:val="none"/>
              </w:rPr>
            </w:pPr>
            <w:r>
              <w:rPr>
                <w:b/>
                <w:bCs/>
                <w:spacing w:val="-10"/>
                <w:highlight w:val="none"/>
              </w:rPr>
              <w:t>（二）填写货物名称</w:t>
            </w:r>
          </w:p>
        </w:tc>
      </w:tr>
      <w:tr w14:paraId="134D8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704" w:type="dxa"/>
            <w:tcBorders>
              <w:left w:val="single" w:color="000000" w:sz="10" w:space="0"/>
            </w:tcBorders>
            <w:vAlign w:val="top"/>
          </w:tcPr>
          <w:p w14:paraId="1D6DD53B">
            <w:pPr>
              <w:pStyle w:val="49"/>
              <w:spacing w:before="228" w:line="179" w:lineRule="auto"/>
              <w:ind w:left="471"/>
              <w:rPr>
                <w:highlight w:val="none"/>
              </w:rPr>
            </w:pPr>
            <w:r>
              <w:rPr>
                <w:highlight w:val="none"/>
              </w:rPr>
              <w:t>1</w:t>
            </w:r>
          </w:p>
        </w:tc>
        <w:tc>
          <w:tcPr>
            <w:tcW w:w="2779" w:type="dxa"/>
            <w:vAlign w:val="top"/>
          </w:tcPr>
          <w:p w14:paraId="4EC31394">
            <w:pPr>
              <w:rPr>
                <w:rFonts w:ascii="Arial"/>
                <w:sz w:val="21"/>
                <w:highlight w:val="none"/>
              </w:rPr>
            </w:pPr>
          </w:p>
        </w:tc>
        <w:tc>
          <w:tcPr>
            <w:tcW w:w="2168" w:type="dxa"/>
            <w:vAlign w:val="top"/>
          </w:tcPr>
          <w:p w14:paraId="6D6EB8C4">
            <w:pPr>
              <w:rPr>
                <w:rFonts w:ascii="Arial"/>
                <w:sz w:val="21"/>
                <w:highlight w:val="none"/>
              </w:rPr>
            </w:pPr>
          </w:p>
        </w:tc>
        <w:tc>
          <w:tcPr>
            <w:tcW w:w="2025" w:type="dxa"/>
            <w:vAlign w:val="top"/>
          </w:tcPr>
          <w:p w14:paraId="3E218045">
            <w:pPr>
              <w:rPr>
                <w:rFonts w:ascii="Arial"/>
                <w:sz w:val="21"/>
                <w:highlight w:val="none"/>
              </w:rPr>
            </w:pPr>
          </w:p>
        </w:tc>
        <w:tc>
          <w:tcPr>
            <w:tcW w:w="1354" w:type="dxa"/>
            <w:tcBorders>
              <w:right w:val="single" w:color="000000" w:sz="10" w:space="0"/>
            </w:tcBorders>
            <w:vAlign w:val="top"/>
          </w:tcPr>
          <w:p w14:paraId="2E8797C8">
            <w:pPr>
              <w:rPr>
                <w:rFonts w:ascii="Arial"/>
                <w:sz w:val="21"/>
                <w:highlight w:val="none"/>
              </w:rPr>
            </w:pPr>
          </w:p>
        </w:tc>
      </w:tr>
      <w:tr w14:paraId="46708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704" w:type="dxa"/>
            <w:tcBorders>
              <w:left w:val="single" w:color="000000" w:sz="10" w:space="0"/>
            </w:tcBorders>
            <w:vAlign w:val="top"/>
          </w:tcPr>
          <w:p w14:paraId="4E12A9A1">
            <w:pPr>
              <w:pStyle w:val="49"/>
              <w:spacing w:before="231" w:line="178" w:lineRule="auto"/>
              <w:ind w:left="456"/>
              <w:rPr>
                <w:highlight w:val="none"/>
              </w:rPr>
            </w:pPr>
            <w:r>
              <w:rPr>
                <w:highlight w:val="none"/>
              </w:rPr>
              <w:t>2</w:t>
            </w:r>
          </w:p>
        </w:tc>
        <w:tc>
          <w:tcPr>
            <w:tcW w:w="2779" w:type="dxa"/>
            <w:vAlign w:val="top"/>
          </w:tcPr>
          <w:p w14:paraId="76A5345E">
            <w:pPr>
              <w:rPr>
                <w:rFonts w:ascii="Arial"/>
                <w:sz w:val="21"/>
                <w:highlight w:val="none"/>
              </w:rPr>
            </w:pPr>
          </w:p>
        </w:tc>
        <w:tc>
          <w:tcPr>
            <w:tcW w:w="2168" w:type="dxa"/>
            <w:vAlign w:val="top"/>
          </w:tcPr>
          <w:p w14:paraId="05076846">
            <w:pPr>
              <w:rPr>
                <w:rFonts w:ascii="Arial"/>
                <w:sz w:val="21"/>
                <w:highlight w:val="none"/>
              </w:rPr>
            </w:pPr>
          </w:p>
        </w:tc>
        <w:tc>
          <w:tcPr>
            <w:tcW w:w="2025" w:type="dxa"/>
            <w:vAlign w:val="top"/>
          </w:tcPr>
          <w:p w14:paraId="51ADD5F6">
            <w:pPr>
              <w:rPr>
                <w:rFonts w:ascii="Arial"/>
                <w:sz w:val="21"/>
                <w:highlight w:val="none"/>
              </w:rPr>
            </w:pPr>
          </w:p>
        </w:tc>
        <w:tc>
          <w:tcPr>
            <w:tcW w:w="1354" w:type="dxa"/>
            <w:tcBorders>
              <w:right w:val="single" w:color="000000" w:sz="10" w:space="0"/>
            </w:tcBorders>
            <w:vAlign w:val="top"/>
          </w:tcPr>
          <w:p w14:paraId="74178B93">
            <w:pPr>
              <w:rPr>
                <w:rFonts w:ascii="Arial"/>
                <w:sz w:val="21"/>
                <w:highlight w:val="none"/>
              </w:rPr>
            </w:pPr>
          </w:p>
        </w:tc>
      </w:tr>
      <w:tr w14:paraId="198A8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704" w:type="dxa"/>
            <w:tcBorders>
              <w:left w:val="single" w:color="000000" w:sz="10" w:space="0"/>
            </w:tcBorders>
            <w:vAlign w:val="top"/>
          </w:tcPr>
          <w:p w14:paraId="0B14BDFD">
            <w:pPr>
              <w:pStyle w:val="49"/>
              <w:spacing w:before="189" w:line="332" w:lineRule="exact"/>
              <w:ind w:left="48"/>
              <w:rPr>
                <w:highlight w:val="none"/>
              </w:rPr>
            </w:pPr>
            <w:r>
              <w:rPr>
                <w:position w:val="1"/>
                <w:highlight w:val="none"/>
              </w:rPr>
              <w:t>…</w:t>
            </w:r>
          </w:p>
        </w:tc>
        <w:tc>
          <w:tcPr>
            <w:tcW w:w="2779" w:type="dxa"/>
            <w:vAlign w:val="top"/>
          </w:tcPr>
          <w:p w14:paraId="4EF1CBC0">
            <w:pPr>
              <w:pStyle w:val="49"/>
              <w:spacing w:before="199" w:line="322" w:lineRule="exact"/>
              <w:ind w:left="1283"/>
              <w:rPr>
                <w:highlight w:val="none"/>
              </w:rPr>
            </w:pPr>
            <w:r>
              <w:rPr>
                <w:position w:val="1"/>
                <w:highlight w:val="none"/>
              </w:rPr>
              <w:t>…</w:t>
            </w:r>
          </w:p>
        </w:tc>
        <w:tc>
          <w:tcPr>
            <w:tcW w:w="2168" w:type="dxa"/>
            <w:vAlign w:val="top"/>
          </w:tcPr>
          <w:p w14:paraId="2D82B0A3">
            <w:pPr>
              <w:rPr>
                <w:rFonts w:ascii="Arial"/>
                <w:sz w:val="21"/>
                <w:highlight w:val="none"/>
              </w:rPr>
            </w:pPr>
          </w:p>
        </w:tc>
        <w:tc>
          <w:tcPr>
            <w:tcW w:w="2025" w:type="dxa"/>
            <w:vAlign w:val="top"/>
          </w:tcPr>
          <w:p w14:paraId="21E85CE5">
            <w:pPr>
              <w:rPr>
                <w:rFonts w:ascii="Arial"/>
                <w:sz w:val="21"/>
                <w:highlight w:val="none"/>
              </w:rPr>
            </w:pPr>
          </w:p>
        </w:tc>
        <w:tc>
          <w:tcPr>
            <w:tcW w:w="1354" w:type="dxa"/>
            <w:tcBorders>
              <w:right w:val="single" w:color="000000" w:sz="10" w:space="0"/>
            </w:tcBorders>
            <w:vAlign w:val="top"/>
          </w:tcPr>
          <w:p w14:paraId="10EF80A1">
            <w:pPr>
              <w:rPr>
                <w:rFonts w:ascii="Arial"/>
                <w:sz w:val="21"/>
                <w:highlight w:val="none"/>
              </w:rPr>
            </w:pPr>
          </w:p>
        </w:tc>
      </w:tr>
      <w:tr w14:paraId="05FDE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9030" w:type="dxa"/>
            <w:gridSpan w:val="5"/>
            <w:tcBorders>
              <w:left w:val="single" w:color="000000" w:sz="10" w:space="0"/>
              <w:right w:val="single" w:color="000000" w:sz="10" w:space="0"/>
            </w:tcBorders>
            <w:vAlign w:val="top"/>
          </w:tcPr>
          <w:p w14:paraId="33A0ED8D">
            <w:pPr>
              <w:pStyle w:val="49"/>
              <w:spacing w:before="200" w:line="236" w:lineRule="auto"/>
              <w:ind w:left="113"/>
              <w:rPr>
                <w:highlight w:val="none"/>
              </w:rPr>
            </w:pPr>
            <w:r>
              <w:rPr>
                <w:b/>
                <w:bCs/>
                <w:spacing w:val="-16"/>
                <w:highlight w:val="none"/>
              </w:rPr>
              <w:t>（三）…</w:t>
            </w:r>
          </w:p>
        </w:tc>
      </w:tr>
      <w:tr w14:paraId="46682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704" w:type="dxa"/>
            <w:tcBorders>
              <w:left w:val="single" w:color="000000" w:sz="10" w:space="0"/>
              <w:right w:val="single" w:color="000000" w:sz="10" w:space="0"/>
            </w:tcBorders>
            <w:vAlign w:val="top"/>
          </w:tcPr>
          <w:p w14:paraId="68D17935">
            <w:pPr>
              <w:pStyle w:val="49"/>
              <w:spacing w:before="200" w:line="236" w:lineRule="auto"/>
              <w:ind w:left="113"/>
              <w:rPr>
                <w:b/>
                <w:bCs/>
                <w:spacing w:val="-16"/>
                <w:highlight w:val="none"/>
              </w:rPr>
            </w:pPr>
          </w:p>
        </w:tc>
        <w:tc>
          <w:tcPr>
            <w:tcW w:w="2779" w:type="dxa"/>
            <w:tcBorders>
              <w:left w:val="single" w:color="000000" w:sz="10" w:space="0"/>
              <w:right w:val="single" w:color="000000" w:sz="10" w:space="0"/>
            </w:tcBorders>
            <w:vAlign w:val="top"/>
          </w:tcPr>
          <w:p w14:paraId="3F2E3D5E">
            <w:pPr>
              <w:pStyle w:val="49"/>
              <w:spacing w:before="200" w:line="236" w:lineRule="auto"/>
              <w:ind w:left="113"/>
              <w:rPr>
                <w:b/>
                <w:bCs/>
                <w:spacing w:val="-16"/>
                <w:highlight w:val="none"/>
              </w:rPr>
            </w:pPr>
          </w:p>
        </w:tc>
        <w:tc>
          <w:tcPr>
            <w:tcW w:w="2168" w:type="dxa"/>
            <w:tcBorders>
              <w:left w:val="single" w:color="000000" w:sz="10" w:space="0"/>
              <w:right w:val="single" w:color="000000" w:sz="10" w:space="0"/>
            </w:tcBorders>
            <w:vAlign w:val="top"/>
          </w:tcPr>
          <w:p w14:paraId="5238C811">
            <w:pPr>
              <w:pStyle w:val="49"/>
              <w:spacing w:before="200" w:line="236" w:lineRule="auto"/>
              <w:ind w:left="113"/>
              <w:rPr>
                <w:b/>
                <w:bCs/>
                <w:spacing w:val="-16"/>
                <w:highlight w:val="none"/>
              </w:rPr>
            </w:pPr>
          </w:p>
        </w:tc>
        <w:tc>
          <w:tcPr>
            <w:tcW w:w="2025" w:type="dxa"/>
            <w:tcBorders>
              <w:left w:val="single" w:color="000000" w:sz="10" w:space="0"/>
              <w:right w:val="single" w:color="000000" w:sz="10" w:space="0"/>
            </w:tcBorders>
            <w:vAlign w:val="top"/>
          </w:tcPr>
          <w:p w14:paraId="7F3FE74E">
            <w:pPr>
              <w:pStyle w:val="49"/>
              <w:spacing w:before="200" w:line="236" w:lineRule="auto"/>
              <w:ind w:left="113"/>
              <w:rPr>
                <w:b/>
                <w:bCs/>
                <w:spacing w:val="-16"/>
                <w:highlight w:val="none"/>
              </w:rPr>
            </w:pPr>
          </w:p>
        </w:tc>
        <w:tc>
          <w:tcPr>
            <w:tcW w:w="1354" w:type="dxa"/>
            <w:tcBorders>
              <w:left w:val="single" w:color="000000" w:sz="10" w:space="0"/>
              <w:right w:val="single" w:color="000000" w:sz="10" w:space="0"/>
            </w:tcBorders>
            <w:vAlign w:val="top"/>
          </w:tcPr>
          <w:p w14:paraId="7D781CC8">
            <w:pPr>
              <w:pStyle w:val="49"/>
              <w:spacing w:before="200" w:line="236" w:lineRule="auto"/>
              <w:ind w:left="113"/>
              <w:rPr>
                <w:b/>
                <w:bCs/>
                <w:spacing w:val="-16"/>
                <w:highlight w:val="none"/>
              </w:rPr>
            </w:pPr>
          </w:p>
        </w:tc>
      </w:tr>
      <w:tr w14:paraId="5AC3A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704" w:type="dxa"/>
            <w:tcBorders>
              <w:left w:val="single" w:color="000000" w:sz="10" w:space="0"/>
              <w:right w:val="single" w:color="000000" w:sz="10" w:space="0"/>
            </w:tcBorders>
            <w:vAlign w:val="top"/>
          </w:tcPr>
          <w:p w14:paraId="50D9EB2D">
            <w:pPr>
              <w:pStyle w:val="49"/>
              <w:spacing w:before="200" w:line="236" w:lineRule="auto"/>
              <w:ind w:left="113"/>
              <w:rPr>
                <w:b/>
                <w:bCs/>
                <w:spacing w:val="-16"/>
                <w:highlight w:val="none"/>
              </w:rPr>
            </w:pPr>
          </w:p>
        </w:tc>
        <w:tc>
          <w:tcPr>
            <w:tcW w:w="2779" w:type="dxa"/>
            <w:tcBorders>
              <w:left w:val="single" w:color="000000" w:sz="10" w:space="0"/>
              <w:right w:val="single" w:color="000000" w:sz="10" w:space="0"/>
            </w:tcBorders>
            <w:vAlign w:val="top"/>
          </w:tcPr>
          <w:p w14:paraId="6C7768A2">
            <w:pPr>
              <w:pStyle w:val="49"/>
              <w:spacing w:before="200" w:line="236" w:lineRule="auto"/>
              <w:ind w:left="113"/>
              <w:rPr>
                <w:b/>
                <w:bCs/>
                <w:spacing w:val="-16"/>
                <w:highlight w:val="none"/>
              </w:rPr>
            </w:pPr>
          </w:p>
        </w:tc>
        <w:tc>
          <w:tcPr>
            <w:tcW w:w="2168" w:type="dxa"/>
            <w:tcBorders>
              <w:left w:val="single" w:color="000000" w:sz="10" w:space="0"/>
              <w:right w:val="single" w:color="000000" w:sz="10" w:space="0"/>
            </w:tcBorders>
            <w:vAlign w:val="top"/>
          </w:tcPr>
          <w:p w14:paraId="0CC5628E">
            <w:pPr>
              <w:pStyle w:val="49"/>
              <w:spacing w:before="200" w:line="236" w:lineRule="auto"/>
              <w:ind w:left="113"/>
              <w:rPr>
                <w:b/>
                <w:bCs/>
                <w:spacing w:val="-16"/>
                <w:highlight w:val="none"/>
              </w:rPr>
            </w:pPr>
          </w:p>
        </w:tc>
        <w:tc>
          <w:tcPr>
            <w:tcW w:w="2025" w:type="dxa"/>
            <w:tcBorders>
              <w:left w:val="single" w:color="000000" w:sz="10" w:space="0"/>
              <w:right w:val="single" w:color="000000" w:sz="10" w:space="0"/>
            </w:tcBorders>
            <w:vAlign w:val="top"/>
          </w:tcPr>
          <w:p w14:paraId="23BB132B">
            <w:pPr>
              <w:pStyle w:val="49"/>
              <w:spacing w:before="200" w:line="236" w:lineRule="auto"/>
              <w:ind w:left="113"/>
              <w:rPr>
                <w:b/>
                <w:bCs/>
                <w:spacing w:val="-16"/>
                <w:highlight w:val="none"/>
              </w:rPr>
            </w:pPr>
          </w:p>
        </w:tc>
        <w:tc>
          <w:tcPr>
            <w:tcW w:w="1354" w:type="dxa"/>
            <w:tcBorders>
              <w:left w:val="single" w:color="000000" w:sz="10" w:space="0"/>
              <w:right w:val="single" w:color="000000" w:sz="10" w:space="0"/>
            </w:tcBorders>
            <w:vAlign w:val="top"/>
          </w:tcPr>
          <w:p w14:paraId="1DCFF183">
            <w:pPr>
              <w:pStyle w:val="49"/>
              <w:spacing w:before="200" w:line="236" w:lineRule="auto"/>
              <w:ind w:left="113"/>
              <w:rPr>
                <w:b/>
                <w:bCs/>
                <w:spacing w:val="-16"/>
                <w:highlight w:val="none"/>
              </w:rPr>
            </w:pPr>
          </w:p>
        </w:tc>
      </w:tr>
      <w:tr w14:paraId="58B41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704" w:type="dxa"/>
            <w:tcBorders>
              <w:left w:val="single" w:color="000000" w:sz="10" w:space="0"/>
              <w:right w:val="single" w:color="000000" w:sz="10" w:space="0"/>
            </w:tcBorders>
            <w:vAlign w:val="top"/>
          </w:tcPr>
          <w:p w14:paraId="185CDCA2">
            <w:pPr>
              <w:pStyle w:val="49"/>
              <w:spacing w:before="200" w:line="236" w:lineRule="auto"/>
              <w:ind w:left="113"/>
              <w:rPr>
                <w:b/>
                <w:bCs/>
                <w:spacing w:val="-16"/>
                <w:highlight w:val="none"/>
              </w:rPr>
            </w:pPr>
          </w:p>
        </w:tc>
        <w:tc>
          <w:tcPr>
            <w:tcW w:w="2779" w:type="dxa"/>
            <w:tcBorders>
              <w:left w:val="single" w:color="000000" w:sz="10" w:space="0"/>
              <w:right w:val="single" w:color="000000" w:sz="10" w:space="0"/>
            </w:tcBorders>
            <w:vAlign w:val="top"/>
          </w:tcPr>
          <w:p w14:paraId="68547FE6">
            <w:pPr>
              <w:pStyle w:val="49"/>
              <w:spacing w:before="200" w:line="236" w:lineRule="auto"/>
              <w:ind w:left="113"/>
              <w:rPr>
                <w:b/>
                <w:bCs/>
                <w:spacing w:val="-16"/>
                <w:highlight w:val="none"/>
              </w:rPr>
            </w:pPr>
          </w:p>
        </w:tc>
        <w:tc>
          <w:tcPr>
            <w:tcW w:w="2168" w:type="dxa"/>
            <w:tcBorders>
              <w:left w:val="single" w:color="000000" w:sz="10" w:space="0"/>
              <w:right w:val="single" w:color="000000" w:sz="10" w:space="0"/>
            </w:tcBorders>
            <w:vAlign w:val="top"/>
          </w:tcPr>
          <w:p w14:paraId="6FA7A60B">
            <w:pPr>
              <w:pStyle w:val="49"/>
              <w:spacing w:before="200" w:line="236" w:lineRule="auto"/>
              <w:ind w:left="113"/>
              <w:rPr>
                <w:b/>
                <w:bCs/>
                <w:spacing w:val="-16"/>
                <w:highlight w:val="none"/>
              </w:rPr>
            </w:pPr>
          </w:p>
        </w:tc>
        <w:tc>
          <w:tcPr>
            <w:tcW w:w="2025" w:type="dxa"/>
            <w:tcBorders>
              <w:left w:val="single" w:color="000000" w:sz="10" w:space="0"/>
              <w:right w:val="single" w:color="000000" w:sz="10" w:space="0"/>
            </w:tcBorders>
            <w:vAlign w:val="top"/>
          </w:tcPr>
          <w:p w14:paraId="084F5886">
            <w:pPr>
              <w:pStyle w:val="49"/>
              <w:spacing w:before="200" w:line="236" w:lineRule="auto"/>
              <w:ind w:left="113"/>
              <w:rPr>
                <w:b/>
                <w:bCs/>
                <w:spacing w:val="-16"/>
                <w:highlight w:val="none"/>
              </w:rPr>
            </w:pPr>
          </w:p>
        </w:tc>
        <w:tc>
          <w:tcPr>
            <w:tcW w:w="1354" w:type="dxa"/>
            <w:tcBorders>
              <w:left w:val="single" w:color="000000" w:sz="10" w:space="0"/>
              <w:right w:val="single" w:color="000000" w:sz="10" w:space="0"/>
            </w:tcBorders>
            <w:vAlign w:val="top"/>
          </w:tcPr>
          <w:p w14:paraId="1353A979">
            <w:pPr>
              <w:pStyle w:val="49"/>
              <w:spacing w:before="200" w:line="236" w:lineRule="auto"/>
              <w:ind w:left="113"/>
              <w:rPr>
                <w:b/>
                <w:bCs/>
                <w:spacing w:val="-16"/>
                <w:highlight w:val="none"/>
              </w:rPr>
            </w:pPr>
          </w:p>
        </w:tc>
      </w:tr>
      <w:tr w14:paraId="4E577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9030" w:type="dxa"/>
            <w:gridSpan w:val="5"/>
            <w:tcBorders>
              <w:left w:val="single" w:color="000000" w:sz="10" w:space="0"/>
              <w:right w:val="single" w:color="000000" w:sz="10" w:space="0"/>
            </w:tcBorders>
            <w:vAlign w:val="top"/>
          </w:tcPr>
          <w:p w14:paraId="0D4C1A66">
            <w:pPr>
              <w:pStyle w:val="49"/>
              <w:spacing w:before="200" w:line="236" w:lineRule="auto"/>
              <w:ind w:left="113"/>
              <w:rPr>
                <w:b/>
                <w:bCs/>
                <w:spacing w:val="-16"/>
                <w:highlight w:val="none"/>
              </w:rPr>
            </w:pPr>
            <w:r>
              <w:rPr>
                <w:b/>
                <w:bCs/>
                <w:spacing w:val="-16"/>
                <w:highlight w:val="none"/>
              </w:rPr>
              <w:t>（</w:t>
            </w:r>
            <w:r>
              <w:rPr>
                <w:rFonts w:hint="eastAsia"/>
                <w:b/>
                <w:bCs/>
                <w:spacing w:val="-16"/>
                <w:highlight w:val="none"/>
                <w:lang w:val="en-US" w:eastAsia="zh-CN"/>
              </w:rPr>
              <w:t>四</w:t>
            </w:r>
            <w:r>
              <w:rPr>
                <w:b/>
                <w:bCs/>
                <w:spacing w:val="-16"/>
                <w:highlight w:val="none"/>
              </w:rPr>
              <w:t>）…</w:t>
            </w:r>
          </w:p>
        </w:tc>
      </w:tr>
      <w:tr w14:paraId="44488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704" w:type="dxa"/>
            <w:tcBorders>
              <w:left w:val="single" w:color="000000" w:sz="10" w:space="0"/>
              <w:right w:val="single" w:color="000000" w:sz="10" w:space="0"/>
            </w:tcBorders>
            <w:vAlign w:val="top"/>
          </w:tcPr>
          <w:p w14:paraId="21B03E7C">
            <w:pPr>
              <w:pStyle w:val="49"/>
              <w:spacing w:before="200" w:line="236" w:lineRule="auto"/>
              <w:ind w:left="113"/>
              <w:rPr>
                <w:b/>
                <w:bCs/>
                <w:spacing w:val="-16"/>
                <w:highlight w:val="none"/>
              </w:rPr>
            </w:pPr>
          </w:p>
        </w:tc>
        <w:tc>
          <w:tcPr>
            <w:tcW w:w="2779" w:type="dxa"/>
            <w:tcBorders>
              <w:left w:val="single" w:color="000000" w:sz="10" w:space="0"/>
              <w:right w:val="single" w:color="000000" w:sz="10" w:space="0"/>
            </w:tcBorders>
            <w:vAlign w:val="top"/>
          </w:tcPr>
          <w:p w14:paraId="1C464CC7">
            <w:pPr>
              <w:pStyle w:val="49"/>
              <w:spacing w:before="200" w:line="236" w:lineRule="auto"/>
              <w:ind w:left="113"/>
              <w:rPr>
                <w:b/>
                <w:bCs/>
                <w:spacing w:val="-16"/>
                <w:highlight w:val="none"/>
              </w:rPr>
            </w:pPr>
          </w:p>
        </w:tc>
        <w:tc>
          <w:tcPr>
            <w:tcW w:w="2168" w:type="dxa"/>
            <w:tcBorders>
              <w:left w:val="single" w:color="000000" w:sz="10" w:space="0"/>
              <w:right w:val="single" w:color="000000" w:sz="10" w:space="0"/>
            </w:tcBorders>
            <w:vAlign w:val="top"/>
          </w:tcPr>
          <w:p w14:paraId="5EF069E1">
            <w:pPr>
              <w:pStyle w:val="49"/>
              <w:spacing w:before="200" w:line="236" w:lineRule="auto"/>
              <w:ind w:left="113"/>
              <w:rPr>
                <w:b/>
                <w:bCs/>
                <w:spacing w:val="-16"/>
                <w:highlight w:val="none"/>
              </w:rPr>
            </w:pPr>
          </w:p>
        </w:tc>
        <w:tc>
          <w:tcPr>
            <w:tcW w:w="2025" w:type="dxa"/>
            <w:tcBorders>
              <w:left w:val="single" w:color="000000" w:sz="10" w:space="0"/>
              <w:right w:val="single" w:color="000000" w:sz="10" w:space="0"/>
            </w:tcBorders>
            <w:vAlign w:val="top"/>
          </w:tcPr>
          <w:p w14:paraId="621CE1BB">
            <w:pPr>
              <w:pStyle w:val="49"/>
              <w:spacing w:before="200" w:line="236" w:lineRule="auto"/>
              <w:ind w:left="113"/>
              <w:rPr>
                <w:b/>
                <w:bCs/>
                <w:spacing w:val="-16"/>
                <w:highlight w:val="none"/>
              </w:rPr>
            </w:pPr>
          </w:p>
        </w:tc>
        <w:tc>
          <w:tcPr>
            <w:tcW w:w="1354" w:type="dxa"/>
            <w:tcBorders>
              <w:left w:val="single" w:color="000000" w:sz="10" w:space="0"/>
              <w:right w:val="single" w:color="000000" w:sz="10" w:space="0"/>
            </w:tcBorders>
            <w:vAlign w:val="top"/>
          </w:tcPr>
          <w:p w14:paraId="19766163">
            <w:pPr>
              <w:pStyle w:val="49"/>
              <w:spacing w:before="200" w:line="236" w:lineRule="auto"/>
              <w:ind w:left="113"/>
              <w:rPr>
                <w:b/>
                <w:bCs/>
                <w:spacing w:val="-16"/>
                <w:highlight w:val="none"/>
              </w:rPr>
            </w:pPr>
          </w:p>
        </w:tc>
      </w:tr>
      <w:tr w14:paraId="12DAD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704" w:type="dxa"/>
            <w:tcBorders>
              <w:left w:val="single" w:color="000000" w:sz="10" w:space="0"/>
              <w:right w:val="single" w:color="000000" w:sz="10" w:space="0"/>
            </w:tcBorders>
            <w:vAlign w:val="top"/>
          </w:tcPr>
          <w:p w14:paraId="43E6D2F1">
            <w:pPr>
              <w:pStyle w:val="49"/>
              <w:spacing w:before="200" w:line="236" w:lineRule="auto"/>
              <w:ind w:left="113"/>
              <w:rPr>
                <w:b/>
                <w:bCs/>
                <w:spacing w:val="-16"/>
                <w:highlight w:val="none"/>
              </w:rPr>
            </w:pPr>
          </w:p>
        </w:tc>
        <w:tc>
          <w:tcPr>
            <w:tcW w:w="2779" w:type="dxa"/>
            <w:tcBorders>
              <w:left w:val="single" w:color="000000" w:sz="10" w:space="0"/>
              <w:right w:val="single" w:color="000000" w:sz="10" w:space="0"/>
            </w:tcBorders>
            <w:vAlign w:val="top"/>
          </w:tcPr>
          <w:p w14:paraId="31ED7F3F">
            <w:pPr>
              <w:pStyle w:val="49"/>
              <w:spacing w:before="200" w:line="236" w:lineRule="auto"/>
              <w:ind w:left="113"/>
              <w:rPr>
                <w:b/>
                <w:bCs/>
                <w:spacing w:val="-16"/>
                <w:highlight w:val="none"/>
              </w:rPr>
            </w:pPr>
          </w:p>
        </w:tc>
        <w:tc>
          <w:tcPr>
            <w:tcW w:w="2168" w:type="dxa"/>
            <w:tcBorders>
              <w:left w:val="single" w:color="000000" w:sz="10" w:space="0"/>
              <w:right w:val="single" w:color="000000" w:sz="10" w:space="0"/>
            </w:tcBorders>
            <w:vAlign w:val="top"/>
          </w:tcPr>
          <w:p w14:paraId="32AD7CB5">
            <w:pPr>
              <w:pStyle w:val="49"/>
              <w:spacing w:before="200" w:line="236" w:lineRule="auto"/>
              <w:ind w:left="113"/>
              <w:rPr>
                <w:b/>
                <w:bCs/>
                <w:spacing w:val="-16"/>
                <w:highlight w:val="none"/>
              </w:rPr>
            </w:pPr>
          </w:p>
        </w:tc>
        <w:tc>
          <w:tcPr>
            <w:tcW w:w="2025" w:type="dxa"/>
            <w:tcBorders>
              <w:left w:val="single" w:color="000000" w:sz="10" w:space="0"/>
              <w:right w:val="single" w:color="000000" w:sz="10" w:space="0"/>
            </w:tcBorders>
            <w:vAlign w:val="top"/>
          </w:tcPr>
          <w:p w14:paraId="4410A868">
            <w:pPr>
              <w:pStyle w:val="49"/>
              <w:spacing w:before="200" w:line="236" w:lineRule="auto"/>
              <w:ind w:left="113"/>
              <w:rPr>
                <w:b/>
                <w:bCs/>
                <w:spacing w:val="-16"/>
                <w:highlight w:val="none"/>
              </w:rPr>
            </w:pPr>
          </w:p>
        </w:tc>
        <w:tc>
          <w:tcPr>
            <w:tcW w:w="1354" w:type="dxa"/>
            <w:tcBorders>
              <w:left w:val="single" w:color="000000" w:sz="10" w:space="0"/>
              <w:right w:val="single" w:color="000000" w:sz="10" w:space="0"/>
            </w:tcBorders>
            <w:vAlign w:val="top"/>
          </w:tcPr>
          <w:p w14:paraId="220AFF85">
            <w:pPr>
              <w:pStyle w:val="49"/>
              <w:spacing w:before="200" w:line="236" w:lineRule="auto"/>
              <w:ind w:left="113"/>
              <w:rPr>
                <w:b/>
                <w:bCs/>
                <w:spacing w:val="-16"/>
                <w:highlight w:val="none"/>
              </w:rPr>
            </w:pPr>
          </w:p>
        </w:tc>
      </w:tr>
      <w:tr w14:paraId="2E05A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704" w:type="dxa"/>
            <w:tcBorders>
              <w:left w:val="single" w:color="000000" w:sz="10" w:space="0"/>
              <w:bottom w:val="single" w:color="000000" w:sz="10" w:space="0"/>
              <w:right w:val="single" w:color="000000" w:sz="10" w:space="0"/>
            </w:tcBorders>
            <w:vAlign w:val="top"/>
          </w:tcPr>
          <w:p w14:paraId="293B7E80">
            <w:pPr>
              <w:pStyle w:val="49"/>
              <w:spacing w:before="200" w:line="236" w:lineRule="auto"/>
              <w:ind w:left="113"/>
              <w:rPr>
                <w:b/>
                <w:bCs/>
                <w:spacing w:val="-16"/>
                <w:highlight w:val="none"/>
              </w:rPr>
            </w:pPr>
          </w:p>
        </w:tc>
        <w:tc>
          <w:tcPr>
            <w:tcW w:w="2779" w:type="dxa"/>
            <w:tcBorders>
              <w:left w:val="single" w:color="000000" w:sz="10" w:space="0"/>
              <w:bottom w:val="single" w:color="000000" w:sz="10" w:space="0"/>
              <w:right w:val="single" w:color="000000" w:sz="10" w:space="0"/>
            </w:tcBorders>
            <w:vAlign w:val="top"/>
          </w:tcPr>
          <w:p w14:paraId="428B4F4C">
            <w:pPr>
              <w:pStyle w:val="49"/>
              <w:spacing w:before="200" w:line="236" w:lineRule="auto"/>
              <w:ind w:left="113"/>
              <w:rPr>
                <w:b/>
                <w:bCs/>
                <w:spacing w:val="-16"/>
                <w:highlight w:val="none"/>
              </w:rPr>
            </w:pPr>
          </w:p>
        </w:tc>
        <w:tc>
          <w:tcPr>
            <w:tcW w:w="2168" w:type="dxa"/>
            <w:tcBorders>
              <w:left w:val="single" w:color="000000" w:sz="10" w:space="0"/>
              <w:bottom w:val="single" w:color="000000" w:sz="10" w:space="0"/>
              <w:right w:val="single" w:color="000000" w:sz="10" w:space="0"/>
            </w:tcBorders>
            <w:vAlign w:val="top"/>
          </w:tcPr>
          <w:p w14:paraId="103E3702">
            <w:pPr>
              <w:pStyle w:val="49"/>
              <w:spacing w:before="200" w:line="236" w:lineRule="auto"/>
              <w:ind w:left="113"/>
              <w:rPr>
                <w:b/>
                <w:bCs/>
                <w:spacing w:val="-16"/>
                <w:highlight w:val="none"/>
              </w:rPr>
            </w:pPr>
          </w:p>
        </w:tc>
        <w:tc>
          <w:tcPr>
            <w:tcW w:w="2025" w:type="dxa"/>
            <w:tcBorders>
              <w:left w:val="single" w:color="000000" w:sz="10" w:space="0"/>
              <w:bottom w:val="single" w:color="000000" w:sz="10" w:space="0"/>
              <w:right w:val="single" w:color="000000" w:sz="10" w:space="0"/>
            </w:tcBorders>
            <w:vAlign w:val="top"/>
          </w:tcPr>
          <w:p w14:paraId="5128062A">
            <w:pPr>
              <w:pStyle w:val="49"/>
              <w:spacing w:before="200" w:line="236" w:lineRule="auto"/>
              <w:ind w:left="113"/>
              <w:rPr>
                <w:b/>
                <w:bCs/>
                <w:spacing w:val="-16"/>
                <w:highlight w:val="none"/>
              </w:rPr>
            </w:pPr>
          </w:p>
        </w:tc>
        <w:tc>
          <w:tcPr>
            <w:tcW w:w="1354" w:type="dxa"/>
            <w:tcBorders>
              <w:left w:val="single" w:color="000000" w:sz="10" w:space="0"/>
              <w:bottom w:val="single" w:color="000000" w:sz="10" w:space="0"/>
              <w:right w:val="single" w:color="000000" w:sz="10" w:space="0"/>
            </w:tcBorders>
            <w:vAlign w:val="top"/>
          </w:tcPr>
          <w:p w14:paraId="530A46ED">
            <w:pPr>
              <w:pStyle w:val="49"/>
              <w:spacing w:before="200" w:line="236" w:lineRule="auto"/>
              <w:ind w:left="113"/>
              <w:rPr>
                <w:b/>
                <w:bCs/>
                <w:spacing w:val="-16"/>
                <w:highlight w:val="none"/>
              </w:rPr>
            </w:pPr>
          </w:p>
        </w:tc>
      </w:tr>
    </w:tbl>
    <w:p w14:paraId="0938C582">
      <w:pPr>
        <w:rPr>
          <w:rFonts w:hint="eastAsia" w:ascii="仿宋" w:hAnsi="仿宋" w:eastAsia="仿宋" w:cs="仿宋"/>
          <w:b/>
          <w:color w:val="auto"/>
          <w:sz w:val="32"/>
          <w:szCs w:val="30"/>
          <w:highlight w:val="none"/>
          <w:lang w:val="zh-CN" w:eastAsia="zh-CN"/>
        </w:rPr>
      </w:pPr>
    </w:p>
    <w:p w14:paraId="0658C541">
      <w:pPr>
        <w:pStyle w:val="7"/>
        <w:spacing w:before="78" w:line="221" w:lineRule="auto"/>
        <w:rPr>
          <w:rFonts w:ascii="仿宋" w:hAnsi="仿宋" w:eastAsia="仿宋" w:cs="Times New Roman"/>
          <w:spacing w:val="-3"/>
          <w:kern w:val="2"/>
          <w:sz w:val="24"/>
          <w:szCs w:val="24"/>
          <w:highlight w:val="none"/>
          <w:lang w:val="en-US" w:eastAsia="zh-CN" w:bidi="ar-SA"/>
        </w:rPr>
      </w:pPr>
      <w:r>
        <w:rPr>
          <w:rFonts w:ascii="仿宋" w:hAnsi="仿宋" w:eastAsia="仿宋" w:cs="Times New Roman"/>
          <w:spacing w:val="-3"/>
          <w:kern w:val="2"/>
          <w:sz w:val="24"/>
          <w:szCs w:val="24"/>
          <w:highlight w:val="none"/>
          <w:lang w:val="en-US" w:eastAsia="zh-CN" w:bidi="ar-SA"/>
        </w:rPr>
        <w:t>供应商全称：（盖单位公章）</w:t>
      </w:r>
    </w:p>
    <w:p w14:paraId="112BA0F0">
      <w:pPr>
        <w:spacing w:line="334" w:lineRule="auto"/>
        <w:rPr>
          <w:rFonts w:ascii="仿宋" w:hAnsi="仿宋" w:eastAsia="仿宋" w:cs="Times New Roman"/>
          <w:spacing w:val="-3"/>
          <w:kern w:val="2"/>
          <w:sz w:val="24"/>
          <w:szCs w:val="24"/>
          <w:highlight w:val="none"/>
          <w:lang w:val="en-US" w:eastAsia="zh-CN" w:bidi="ar-SA"/>
        </w:rPr>
      </w:pPr>
    </w:p>
    <w:p w14:paraId="0C78B139">
      <w:pPr>
        <w:rPr>
          <w:rFonts w:hint="eastAsia" w:ascii="仿宋" w:hAnsi="仿宋" w:eastAsia="仿宋" w:cs="仿宋"/>
          <w:b/>
          <w:color w:val="auto"/>
          <w:sz w:val="32"/>
          <w:szCs w:val="30"/>
          <w:highlight w:val="none"/>
          <w:lang w:val="zh-CN" w:eastAsia="zh-CN"/>
        </w:rPr>
      </w:pPr>
      <w:r>
        <w:rPr>
          <w:rFonts w:ascii="仿宋" w:hAnsi="仿宋" w:eastAsia="仿宋" w:cs="Times New Roman"/>
          <w:spacing w:val="-3"/>
          <w:kern w:val="2"/>
          <w:sz w:val="24"/>
          <w:szCs w:val="24"/>
          <w:highlight w:val="none"/>
          <w:lang w:val="en-US" w:eastAsia="zh-CN" w:bidi="ar-SA"/>
        </w:rPr>
        <w:t>日期：年月日</w:t>
      </w:r>
      <w:r>
        <w:rPr>
          <w:rFonts w:hint="eastAsia" w:ascii="仿宋" w:hAnsi="仿宋" w:eastAsia="仿宋" w:cs="仿宋"/>
          <w:b/>
          <w:color w:val="auto"/>
          <w:sz w:val="32"/>
          <w:szCs w:val="30"/>
          <w:highlight w:val="none"/>
          <w:lang w:val="zh-CN" w:eastAsia="zh-CN"/>
        </w:rPr>
        <w:br w:type="page"/>
      </w:r>
    </w:p>
    <w:p w14:paraId="70F68CC1">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售后服务承诺书</w:t>
      </w:r>
    </w:p>
    <w:p w14:paraId="4A63BC47">
      <w:pPr>
        <w:autoSpaceDE w:val="0"/>
        <w:autoSpaceDN w:val="0"/>
        <w:ind w:firstLine="105" w:firstLineChars="5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u w:val="single"/>
          <w:lang w:val="zh-CN"/>
        </w:rPr>
        <w:t>采购人及使用方单位名称</w:t>
      </w:r>
      <w:r>
        <w:rPr>
          <w:rFonts w:hint="eastAsia" w:ascii="仿宋" w:hAnsi="仿宋" w:eastAsia="仿宋" w:cs="仿宋"/>
          <w:color w:val="auto"/>
          <w:sz w:val="21"/>
          <w:szCs w:val="21"/>
          <w:highlight w:val="none"/>
          <w:lang w:val="zh-CN"/>
        </w:rPr>
        <w:t>：</w:t>
      </w:r>
    </w:p>
    <w:p w14:paraId="7E289D85">
      <w:pPr>
        <w:autoSpaceDE w:val="0"/>
        <w:autoSpaceDN w:val="0"/>
        <w:spacing w:line="360" w:lineRule="auto"/>
        <w:ind w:firstLine="48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我公司自愿参加项目（招标编号</w:t>
      </w:r>
      <w:r>
        <w:rPr>
          <w:rFonts w:hint="eastAsia" w:ascii="仿宋" w:hAnsi="仿宋" w:eastAsia="仿宋" w:cs="仿宋"/>
          <w:color w:val="auto"/>
          <w:sz w:val="21"/>
          <w:szCs w:val="21"/>
          <w:highlight w:val="none"/>
          <w:u w:val="single"/>
          <w:lang w:val="zh-CN"/>
        </w:rPr>
        <w:t>-</w:t>
      </w:r>
      <w:r>
        <w:rPr>
          <w:rFonts w:hint="eastAsia" w:ascii="仿宋" w:hAnsi="仿宋" w:eastAsia="仿宋" w:cs="仿宋"/>
          <w:color w:val="auto"/>
          <w:sz w:val="21"/>
          <w:szCs w:val="21"/>
          <w:highlight w:val="none"/>
          <w:lang w:val="zh-CN"/>
        </w:rPr>
        <w:t>）的投标。我公司郑重承诺，如果我公司的投标被评定为中标，我公司对于中标货物，除完全响应招标文件对伴随服务和售后服务的所有要求外，还将按照以下条款提供优质和完善的售后服务：</w:t>
      </w:r>
    </w:p>
    <w:p w14:paraId="01460AA0">
      <w:pPr>
        <w:autoSpaceDE w:val="0"/>
        <w:autoSpaceDN w:val="0"/>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1、我公司中标后将为采购人提供下列售后服务项目：</w:t>
      </w:r>
    </w:p>
    <w:p w14:paraId="21C983EC">
      <w:pPr>
        <w:autoSpaceDE w:val="0"/>
        <w:autoSpaceDN w:val="0"/>
        <w:spacing w:line="360" w:lineRule="auto"/>
        <w:rPr>
          <w:rFonts w:hint="eastAsia" w:ascii="仿宋" w:hAnsi="仿宋" w:eastAsia="仿宋" w:cs="仿宋"/>
          <w:b/>
          <w:bCs/>
          <w:color w:val="auto"/>
          <w:sz w:val="21"/>
          <w:szCs w:val="21"/>
          <w:highlight w:val="none"/>
          <w:lang w:val="zh-CN"/>
        </w:rPr>
      </w:pPr>
      <w:r>
        <w:rPr>
          <w:rFonts w:hint="eastAsia" w:ascii="仿宋" w:hAnsi="仿宋" w:eastAsia="仿宋" w:cs="仿宋"/>
          <w:color w:val="auto"/>
          <w:sz w:val="21"/>
          <w:szCs w:val="21"/>
          <w:highlight w:val="none"/>
          <w:lang w:val="zh-CN"/>
        </w:rPr>
        <w:t>2、我公司的售后服务响应及到达现场的时间</w:t>
      </w:r>
      <w:r>
        <w:rPr>
          <w:rFonts w:hint="eastAsia" w:ascii="仿宋" w:hAnsi="仿宋" w:eastAsia="仿宋" w:cs="仿宋"/>
          <w:b/>
          <w:bCs/>
          <w:color w:val="auto"/>
          <w:sz w:val="21"/>
          <w:szCs w:val="21"/>
          <w:highlight w:val="none"/>
          <w:lang w:val="zh-CN"/>
        </w:rPr>
        <w:t>（包括质保期内免费维修和更换有缺陷的货物或部件的响应时间）：</w:t>
      </w:r>
    </w:p>
    <w:p w14:paraId="3A5076CC">
      <w:pPr>
        <w:autoSpaceDE w:val="0"/>
        <w:autoSpaceDN w:val="0"/>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3、我公司对本项目的技术培训安排：</w:t>
      </w:r>
    </w:p>
    <w:p w14:paraId="27EC0FA6">
      <w:pPr>
        <w:autoSpaceDE w:val="0"/>
        <w:autoSpaceDN w:val="0"/>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4、我公司用于本项目的维修技术人员及设备情况、备品备件供应的保证措施及收费标准：</w:t>
      </w:r>
    </w:p>
    <w:p w14:paraId="6C861C49">
      <w:pPr>
        <w:autoSpaceDE w:val="0"/>
        <w:autoSpaceDN w:val="0"/>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5、制造厂商和我公司在本项目所在地（实施地）设置的售后服务网点明细表及相关情况：</w:t>
      </w:r>
    </w:p>
    <w:p w14:paraId="77707ACE">
      <w:pPr>
        <w:autoSpaceDE w:val="0"/>
        <w:autoSpaceDN w:val="0"/>
        <w:spacing w:line="360" w:lineRule="auto"/>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制造厂商和我公司设立的售后服务机构一览表</w:t>
      </w:r>
    </w:p>
    <w:tbl>
      <w:tblPr>
        <w:tblStyle w:val="18"/>
        <w:tblW w:w="0" w:type="auto"/>
        <w:tblInd w:w="0" w:type="dxa"/>
        <w:tblLayout w:type="fixed"/>
        <w:tblCellMar>
          <w:top w:w="0" w:type="dxa"/>
          <w:left w:w="108" w:type="dxa"/>
          <w:bottom w:w="0" w:type="dxa"/>
          <w:right w:w="108" w:type="dxa"/>
        </w:tblCellMar>
      </w:tblPr>
      <w:tblGrid>
        <w:gridCol w:w="648"/>
        <w:gridCol w:w="1980"/>
        <w:gridCol w:w="2520"/>
        <w:gridCol w:w="1260"/>
        <w:gridCol w:w="1260"/>
        <w:gridCol w:w="1440"/>
      </w:tblGrid>
      <w:tr w14:paraId="7A6D3E71">
        <w:tblPrEx>
          <w:tblCellMar>
            <w:top w:w="0" w:type="dxa"/>
            <w:left w:w="108" w:type="dxa"/>
            <w:bottom w:w="0" w:type="dxa"/>
            <w:right w:w="108" w:type="dxa"/>
          </w:tblCellMar>
        </w:tblPrEx>
        <w:tc>
          <w:tcPr>
            <w:tcW w:w="648" w:type="dxa"/>
            <w:tcBorders>
              <w:top w:val="single" w:color="auto" w:sz="6" w:space="0"/>
              <w:left w:val="single" w:color="auto" w:sz="6" w:space="0"/>
              <w:bottom w:val="single" w:color="auto" w:sz="6" w:space="0"/>
              <w:right w:val="single" w:color="auto" w:sz="6" w:space="0"/>
            </w:tcBorders>
            <w:noWrap w:val="0"/>
            <w:vAlign w:val="top"/>
          </w:tcPr>
          <w:p w14:paraId="31CADCFE">
            <w:pPr>
              <w:autoSpaceDE w:val="0"/>
              <w:autoSpaceDN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序号</w:t>
            </w:r>
          </w:p>
        </w:tc>
        <w:tc>
          <w:tcPr>
            <w:tcW w:w="1980" w:type="dxa"/>
            <w:tcBorders>
              <w:top w:val="single" w:color="auto" w:sz="6" w:space="0"/>
              <w:left w:val="single" w:color="auto" w:sz="6" w:space="0"/>
              <w:bottom w:val="single" w:color="auto" w:sz="6" w:space="0"/>
              <w:right w:val="single" w:color="auto" w:sz="6" w:space="0"/>
            </w:tcBorders>
            <w:noWrap w:val="0"/>
            <w:vAlign w:val="top"/>
          </w:tcPr>
          <w:p w14:paraId="78D4419B">
            <w:pPr>
              <w:autoSpaceDE w:val="0"/>
              <w:autoSpaceDN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售后服务机构名称</w:t>
            </w:r>
          </w:p>
        </w:tc>
        <w:tc>
          <w:tcPr>
            <w:tcW w:w="2520" w:type="dxa"/>
            <w:tcBorders>
              <w:top w:val="single" w:color="auto" w:sz="6" w:space="0"/>
              <w:left w:val="single" w:color="auto" w:sz="6" w:space="0"/>
              <w:bottom w:val="single" w:color="auto" w:sz="6" w:space="0"/>
              <w:right w:val="single" w:color="auto" w:sz="6" w:space="0"/>
            </w:tcBorders>
            <w:noWrap w:val="0"/>
            <w:vAlign w:val="top"/>
          </w:tcPr>
          <w:p w14:paraId="17EE5BD5">
            <w:pPr>
              <w:autoSpaceDE w:val="0"/>
              <w:autoSpaceDN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所在市县及街区门牌号</w:t>
            </w:r>
          </w:p>
        </w:tc>
        <w:tc>
          <w:tcPr>
            <w:tcW w:w="1260" w:type="dxa"/>
            <w:tcBorders>
              <w:top w:val="single" w:color="auto" w:sz="6" w:space="0"/>
              <w:left w:val="single" w:color="auto" w:sz="6" w:space="0"/>
              <w:bottom w:val="single" w:color="auto" w:sz="6" w:space="0"/>
              <w:right w:val="single" w:color="auto" w:sz="6" w:space="0"/>
            </w:tcBorders>
            <w:noWrap w:val="0"/>
            <w:vAlign w:val="top"/>
          </w:tcPr>
          <w:p w14:paraId="113E034B">
            <w:pPr>
              <w:autoSpaceDE w:val="0"/>
              <w:autoSpaceDN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联系人</w:t>
            </w:r>
          </w:p>
        </w:tc>
        <w:tc>
          <w:tcPr>
            <w:tcW w:w="1260" w:type="dxa"/>
            <w:tcBorders>
              <w:top w:val="single" w:color="auto" w:sz="6" w:space="0"/>
              <w:left w:val="single" w:color="auto" w:sz="6" w:space="0"/>
              <w:bottom w:val="single" w:color="auto" w:sz="6" w:space="0"/>
              <w:right w:val="single" w:color="auto" w:sz="6" w:space="0"/>
            </w:tcBorders>
            <w:noWrap w:val="0"/>
            <w:vAlign w:val="top"/>
          </w:tcPr>
          <w:p w14:paraId="1108494A">
            <w:pPr>
              <w:autoSpaceDE w:val="0"/>
              <w:autoSpaceDN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移动电话</w:t>
            </w:r>
          </w:p>
        </w:tc>
        <w:tc>
          <w:tcPr>
            <w:tcW w:w="1440" w:type="dxa"/>
            <w:tcBorders>
              <w:top w:val="single" w:color="auto" w:sz="6" w:space="0"/>
              <w:left w:val="single" w:color="auto" w:sz="6" w:space="0"/>
              <w:bottom w:val="single" w:color="auto" w:sz="6" w:space="0"/>
              <w:right w:val="single" w:color="auto" w:sz="6" w:space="0"/>
            </w:tcBorders>
            <w:noWrap w:val="0"/>
            <w:vAlign w:val="top"/>
          </w:tcPr>
          <w:p w14:paraId="7E596E2F">
            <w:pPr>
              <w:autoSpaceDE w:val="0"/>
              <w:autoSpaceDN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固定电话</w:t>
            </w:r>
          </w:p>
        </w:tc>
      </w:tr>
      <w:tr w14:paraId="42BA18B0">
        <w:tblPrEx>
          <w:tblCellMar>
            <w:top w:w="0" w:type="dxa"/>
            <w:left w:w="108" w:type="dxa"/>
            <w:bottom w:w="0" w:type="dxa"/>
            <w:right w:w="108" w:type="dxa"/>
          </w:tblCellMar>
        </w:tblPrEx>
        <w:tc>
          <w:tcPr>
            <w:tcW w:w="648" w:type="dxa"/>
            <w:tcBorders>
              <w:top w:val="single" w:color="auto" w:sz="6" w:space="0"/>
              <w:left w:val="single" w:color="auto" w:sz="6" w:space="0"/>
              <w:bottom w:val="single" w:color="auto" w:sz="6" w:space="0"/>
              <w:right w:val="single" w:color="auto" w:sz="6" w:space="0"/>
            </w:tcBorders>
            <w:noWrap w:val="0"/>
            <w:vAlign w:val="top"/>
          </w:tcPr>
          <w:p w14:paraId="5D991A79">
            <w:pPr>
              <w:autoSpaceDE w:val="0"/>
              <w:autoSpaceDN w:val="0"/>
              <w:spacing w:line="360" w:lineRule="auto"/>
              <w:rPr>
                <w:rFonts w:hint="eastAsia" w:ascii="仿宋" w:hAnsi="仿宋" w:eastAsia="仿宋" w:cs="仿宋"/>
                <w:color w:val="auto"/>
                <w:sz w:val="21"/>
                <w:szCs w:val="21"/>
                <w:highlight w:val="none"/>
              </w:rPr>
            </w:pPr>
          </w:p>
        </w:tc>
        <w:tc>
          <w:tcPr>
            <w:tcW w:w="1980" w:type="dxa"/>
            <w:tcBorders>
              <w:top w:val="single" w:color="auto" w:sz="6" w:space="0"/>
              <w:left w:val="single" w:color="auto" w:sz="6" w:space="0"/>
              <w:bottom w:val="single" w:color="auto" w:sz="6" w:space="0"/>
              <w:right w:val="single" w:color="auto" w:sz="6" w:space="0"/>
            </w:tcBorders>
            <w:noWrap w:val="0"/>
            <w:vAlign w:val="top"/>
          </w:tcPr>
          <w:p w14:paraId="158550B5">
            <w:pPr>
              <w:autoSpaceDE w:val="0"/>
              <w:autoSpaceDN w:val="0"/>
              <w:spacing w:line="360" w:lineRule="auto"/>
              <w:rPr>
                <w:rFonts w:hint="eastAsia" w:ascii="仿宋" w:hAnsi="仿宋" w:eastAsia="仿宋" w:cs="仿宋"/>
                <w:color w:val="auto"/>
                <w:sz w:val="21"/>
                <w:szCs w:val="21"/>
                <w:highlight w:val="none"/>
              </w:rPr>
            </w:pPr>
          </w:p>
        </w:tc>
        <w:tc>
          <w:tcPr>
            <w:tcW w:w="2520" w:type="dxa"/>
            <w:tcBorders>
              <w:top w:val="single" w:color="auto" w:sz="6" w:space="0"/>
              <w:left w:val="single" w:color="auto" w:sz="6" w:space="0"/>
              <w:bottom w:val="single" w:color="auto" w:sz="6" w:space="0"/>
              <w:right w:val="single" w:color="auto" w:sz="6" w:space="0"/>
            </w:tcBorders>
            <w:noWrap w:val="0"/>
            <w:vAlign w:val="top"/>
          </w:tcPr>
          <w:p w14:paraId="6A881F5F">
            <w:pPr>
              <w:autoSpaceDE w:val="0"/>
              <w:autoSpaceDN w:val="0"/>
              <w:spacing w:line="36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CEDF007">
            <w:pPr>
              <w:autoSpaceDE w:val="0"/>
              <w:autoSpaceDN w:val="0"/>
              <w:spacing w:line="36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652F897">
            <w:pPr>
              <w:autoSpaceDE w:val="0"/>
              <w:autoSpaceDN w:val="0"/>
              <w:spacing w:line="360" w:lineRule="auto"/>
              <w:rPr>
                <w:rFonts w:hint="eastAsia" w:ascii="仿宋" w:hAnsi="仿宋" w:eastAsia="仿宋" w:cs="仿宋"/>
                <w:color w:val="auto"/>
                <w:sz w:val="21"/>
                <w:szCs w:val="21"/>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025C3B55">
            <w:pPr>
              <w:autoSpaceDE w:val="0"/>
              <w:autoSpaceDN w:val="0"/>
              <w:spacing w:line="360" w:lineRule="auto"/>
              <w:rPr>
                <w:rFonts w:hint="eastAsia" w:ascii="仿宋" w:hAnsi="仿宋" w:eastAsia="仿宋" w:cs="仿宋"/>
                <w:color w:val="auto"/>
                <w:sz w:val="21"/>
                <w:szCs w:val="21"/>
                <w:highlight w:val="none"/>
              </w:rPr>
            </w:pPr>
          </w:p>
        </w:tc>
      </w:tr>
      <w:tr w14:paraId="301D7A02">
        <w:tblPrEx>
          <w:tblCellMar>
            <w:top w:w="0" w:type="dxa"/>
            <w:left w:w="108" w:type="dxa"/>
            <w:bottom w:w="0" w:type="dxa"/>
            <w:right w:w="108" w:type="dxa"/>
          </w:tblCellMar>
        </w:tblPrEx>
        <w:tc>
          <w:tcPr>
            <w:tcW w:w="648" w:type="dxa"/>
            <w:tcBorders>
              <w:top w:val="single" w:color="auto" w:sz="6" w:space="0"/>
              <w:left w:val="single" w:color="auto" w:sz="6" w:space="0"/>
              <w:bottom w:val="single" w:color="auto" w:sz="6" w:space="0"/>
              <w:right w:val="single" w:color="auto" w:sz="6" w:space="0"/>
            </w:tcBorders>
            <w:noWrap w:val="0"/>
            <w:vAlign w:val="top"/>
          </w:tcPr>
          <w:p w14:paraId="012F77A8">
            <w:pPr>
              <w:autoSpaceDE w:val="0"/>
              <w:autoSpaceDN w:val="0"/>
              <w:spacing w:line="360" w:lineRule="auto"/>
              <w:rPr>
                <w:rFonts w:hint="eastAsia" w:ascii="仿宋" w:hAnsi="仿宋" w:eastAsia="仿宋" w:cs="仿宋"/>
                <w:color w:val="auto"/>
                <w:sz w:val="21"/>
                <w:szCs w:val="21"/>
                <w:highlight w:val="none"/>
              </w:rPr>
            </w:pPr>
          </w:p>
        </w:tc>
        <w:tc>
          <w:tcPr>
            <w:tcW w:w="1980" w:type="dxa"/>
            <w:tcBorders>
              <w:top w:val="single" w:color="auto" w:sz="6" w:space="0"/>
              <w:left w:val="single" w:color="auto" w:sz="6" w:space="0"/>
              <w:bottom w:val="single" w:color="auto" w:sz="6" w:space="0"/>
              <w:right w:val="single" w:color="auto" w:sz="6" w:space="0"/>
            </w:tcBorders>
            <w:noWrap w:val="0"/>
            <w:vAlign w:val="top"/>
          </w:tcPr>
          <w:p w14:paraId="6C5CF165">
            <w:pPr>
              <w:autoSpaceDE w:val="0"/>
              <w:autoSpaceDN w:val="0"/>
              <w:spacing w:line="360" w:lineRule="auto"/>
              <w:rPr>
                <w:rFonts w:hint="eastAsia" w:ascii="仿宋" w:hAnsi="仿宋" w:eastAsia="仿宋" w:cs="仿宋"/>
                <w:color w:val="auto"/>
                <w:sz w:val="21"/>
                <w:szCs w:val="21"/>
                <w:highlight w:val="none"/>
              </w:rPr>
            </w:pPr>
          </w:p>
        </w:tc>
        <w:tc>
          <w:tcPr>
            <w:tcW w:w="2520" w:type="dxa"/>
            <w:tcBorders>
              <w:top w:val="single" w:color="auto" w:sz="6" w:space="0"/>
              <w:left w:val="single" w:color="auto" w:sz="6" w:space="0"/>
              <w:bottom w:val="single" w:color="auto" w:sz="6" w:space="0"/>
              <w:right w:val="single" w:color="auto" w:sz="6" w:space="0"/>
            </w:tcBorders>
            <w:noWrap w:val="0"/>
            <w:vAlign w:val="top"/>
          </w:tcPr>
          <w:p w14:paraId="5DB73761">
            <w:pPr>
              <w:autoSpaceDE w:val="0"/>
              <w:autoSpaceDN w:val="0"/>
              <w:spacing w:line="36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CC3942A">
            <w:pPr>
              <w:autoSpaceDE w:val="0"/>
              <w:autoSpaceDN w:val="0"/>
              <w:spacing w:line="36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E0A4800">
            <w:pPr>
              <w:autoSpaceDE w:val="0"/>
              <w:autoSpaceDN w:val="0"/>
              <w:spacing w:line="360" w:lineRule="auto"/>
              <w:rPr>
                <w:rFonts w:hint="eastAsia" w:ascii="仿宋" w:hAnsi="仿宋" w:eastAsia="仿宋" w:cs="仿宋"/>
                <w:color w:val="auto"/>
                <w:sz w:val="21"/>
                <w:szCs w:val="21"/>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7615E38B">
            <w:pPr>
              <w:autoSpaceDE w:val="0"/>
              <w:autoSpaceDN w:val="0"/>
              <w:spacing w:line="360" w:lineRule="auto"/>
              <w:rPr>
                <w:rFonts w:hint="eastAsia" w:ascii="仿宋" w:hAnsi="仿宋" w:eastAsia="仿宋" w:cs="仿宋"/>
                <w:color w:val="auto"/>
                <w:sz w:val="21"/>
                <w:szCs w:val="21"/>
                <w:highlight w:val="none"/>
              </w:rPr>
            </w:pPr>
          </w:p>
        </w:tc>
      </w:tr>
    </w:tbl>
    <w:p w14:paraId="624E9171">
      <w:pPr>
        <w:autoSpaceDE w:val="0"/>
        <w:autoSpaceDN w:val="0"/>
        <w:spacing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6、附件：制造厂商和我公司的售后服务体系情况及现行规定文件。</w:t>
      </w:r>
    </w:p>
    <w:p w14:paraId="2F2F07EA">
      <w:pPr>
        <w:autoSpaceDE w:val="0"/>
        <w:autoSpaceDN w:val="0"/>
        <w:adjustRightInd w:val="0"/>
        <w:spacing w:line="360" w:lineRule="auto"/>
        <w:jc w:val="left"/>
        <w:rPr>
          <w:rFonts w:hint="eastAsia" w:ascii="仿宋" w:hAnsi="仿宋" w:eastAsia="仿宋" w:cs="仿宋"/>
          <w:color w:val="auto"/>
          <w:sz w:val="21"/>
          <w:szCs w:val="21"/>
          <w:highlight w:val="none"/>
        </w:rPr>
      </w:pPr>
    </w:p>
    <w:p w14:paraId="2EFEBA05">
      <w:pPr>
        <w:autoSpaceDE w:val="0"/>
        <w:autoSpaceDN w:val="0"/>
        <w:adjustRightInd w:val="0"/>
        <w:spacing w:line="360" w:lineRule="auto"/>
        <w:jc w:val="left"/>
        <w:rPr>
          <w:rFonts w:hint="eastAsia" w:ascii="仿宋" w:hAnsi="仿宋" w:eastAsia="仿宋" w:cs="仿宋"/>
          <w:color w:val="auto"/>
          <w:sz w:val="21"/>
          <w:szCs w:val="21"/>
          <w:highlight w:val="none"/>
        </w:rPr>
      </w:pPr>
    </w:p>
    <w:p w14:paraId="5D6ABFE6">
      <w:pPr>
        <w:autoSpaceDE w:val="0"/>
        <w:autoSpaceDN w:val="0"/>
        <w:adjustRightIn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投标人：（盖单位公章）</w:t>
      </w:r>
    </w:p>
    <w:p w14:paraId="05C5CEE6">
      <w:pPr>
        <w:autoSpaceDE w:val="0"/>
        <w:autoSpaceDN w:val="0"/>
        <w:adjustRightIn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法定代表人或委托代理人</w:t>
      </w:r>
      <w:r>
        <w:rPr>
          <w:rFonts w:hint="eastAsia" w:ascii="仿宋" w:hAnsi="仿宋" w:eastAsia="仿宋" w:cs="仿宋"/>
          <w:color w:val="auto"/>
          <w:sz w:val="21"/>
          <w:szCs w:val="21"/>
          <w:highlight w:val="none"/>
        </w:rPr>
        <w:t>：（签字或盖章）</w:t>
      </w:r>
    </w:p>
    <w:p w14:paraId="131E9BDC">
      <w:pPr>
        <w:autoSpaceDE w:val="0"/>
        <w:autoSpaceDN w:val="0"/>
        <w:adjustRightIn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日期：年月日</w:t>
      </w:r>
    </w:p>
    <w:p w14:paraId="26DDC38B">
      <w:pPr>
        <w:autoSpaceDE w:val="0"/>
        <w:autoSpaceDN w:val="0"/>
        <w:rPr>
          <w:rFonts w:hint="eastAsia" w:ascii="仿宋" w:hAnsi="仿宋" w:eastAsia="仿宋" w:cs="仿宋"/>
          <w:color w:val="auto"/>
          <w:sz w:val="24"/>
          <w:szCs w:val="24"/>
          <w:highlight w:val="none"/>
          <w:u w:val="single"/>
          <w:lang w:val="zh-CN"/>
        </w:rPr>
      </w:pPr>
    </w:p>
    <w:p w14:paraId="5F2EC836">
      <w:pPr>
        <w:autoSpaceDE w:val="0"/>
        <w:autoSpaceDN w:val="0"/>
        <w:rPr>
          <w:rFonts w:hint="eastAsia" w:ascii="仿宋" w:hAnsi="仿宋" w:eastAsia="仿宋" w:cs="仿宋"/>
          <w:b/>
          <w:bCs/>
          <w:color w:val="auto"/>
          <w:sz w:val="24"/>
          <w:szCs w:val="24"/>
          <w:highlight w:val="none"/>
          <w:u w:val="single"/>
          <w:lang w:val="zh-CN"/>
        </w:rPr>
      </w:pPr>
    </w:p>
    <w:p w14:paraId="62AF85AC">
      <w:pPr>
        <w:autoSpaceDE w:val="0"/>
        <w:autoSpaceDN w:val="0"/>
        <w:rPr>
          <w:rFonts w:hint="eastAsia" w:ascii="仿宋" w:hAnsi="仿宋" w:eastAsia="仿宋" w:cs="仿宋"/>
          <w:b/>
          <w:bCs/>
          <w:color w:val="auto"/>
          <w:sz w:val="24"/>
          <w:szCs w:val="24"/>
          <w:highlight w:val="none"/>
          <w:u w:val="single"/>
          <w:lang w:val="zh-CN"/>
        </w:rPr>
      </w:pPr>
      <w:r>
        <w:rPr>
          <w:rFonts w:hint="eastAsia" w:ascii="仿宋" w:hAnsi="仿宋" w:eastAsia="仿宋" w:cs="仿宋"/>
          <w:b/>
          <w:bCs/>
          <w:color w:val="auto"/>
          <w:sz w:val="24"/>
          <w:szCs w:val="24"/>
          <w:highlight w:val="none"/>
          <w:u w:val="single"/>
          <w:lang w:val="zh-CN"/>
        </w:rPr>
        <w:t>※投标人应对应详细评审标准对以上内容进行细化编写。</w:t>
      </w:r>
    </w:p>
    <w:p w14:paraId="2BD2465A">
      <w:pPr>
        <w:rPr>
          <w:rFonts w:hint="eastAsia" w:ascii="仿宋" w:hAnsi="仿宋" w:eastAsia="仿宋" w:cs="仿宋"/>
          <w:b/>
          <w:color w:val="auto"/>
          <w:sz w:val="28"/>
          <w:szCs w:val="30"/>
          <w:highlight w:val="none"/>
          <w:lang w:val="zh-CN"/>
        </w:rPr>
      </w:pPr>
      <w:r>
        <w:rPr>
          <w:rFonts w:hint="eastAsia" w:ascii="仿宋" w:hAnsi="仿宋" w:eastAsia="仿宋" w:cs="仿宋"/>
          <w:b/>
          <w:color w:val="auto"/>
          <w:sz w:val="28"/>
          <w:szCs w:val="30"/>
          <w:highlight w:val="none"/>
          <w:lang w:val="zh-CN"/>
        </w:rPr>
        <w:br w:type="page"/>
      </w:r>
    </w:p>
    <w:bookmarkEnd w:id="148"/>
    <w:bookmarkEnd w:id="149"/>
    <w:bookmarkEnd w:id="150"/>
    <w:bookmarkEnd w:id="151"/>
    <w:bookmarkEnd w:id="152"/>
    <w:bookmarkEnd w:id="153"/>
    <w:p w14:paraId="4B47DC9E">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t>技术因素评审内容</w:t>
      </w:r>
    </w:p>
    <w:p w14:paraId="21D452B6">
      <w:pPr>
        <w:pStyle w:val="15"/>
        <w:spacing w:line="360" w:lineRule="exact"/>
        <w:outlineLvl w:val="9"/>
        <w:rPr>
          <w:rFonts w:hint="eastAsia" w:ascii="仿宋" w:hAnsi="仿宋" w:eastAsia="仿宋" w:cs="仿宋"/>
          <w:b w:val="0"/>
          <w:color w:val="auto"/>
          <w:sz w:val="21"/>
          <w:szCs w:val="21"/>
          <w:highlight w:val="none"/>
          <w:lang w:val="zh-CN"/>
        </w:rPr>
      </w:pPr>
    </w:p>
    <w:p w14:paraId="588EFC78">
      <w:pPr>
        <w:spacing w:line="360" w:lineRule="auto"/>
        <w:jc w:val="center"/>
        <w:rPr>
          <w:rFonts w:hint="eastAsia" w:ascii="宋体" w:cs="宋体"/>
          <w:color w:val="auto"/>
          <w:kern w:val="0"/>
          <w:sz w:val="24"/>
          <w:szCs w:val="24"/>
          <w:highlight w:val="none"/>
        </w:rPr>
      </w:pPr>
      <w:r>
        <w:rPr>
          <w:rFonts w:hint="eastAsia" w:ascii="宋体" w:cs="宋体"/>
          <w:color w:val="auto"/>
          <w:kern w:val="0"/>
          <w:sz w:val="24"/>
          <w:szCs w:val="24"/>
          <w:highlight w:val="none"/>
        </w:rPr>
        <w:t>（以上项无固定格式，由投标人自行填写。）</w:t>
      </w:r>
    </w:p>
    <w:p w14:paraId="3CED49F4">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14:paraId="594D2DEC">
      <w:pPr>
        <w:pStyle w:val="3"/>
        <w:spacing w:before="0" w:line="360" w:lineRule="auto"/>
        <w:ind w:firstLine="643" w:firstLineChars="200"/>
        <w:jc w:val="cente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en-US" w:eastAsia="zh-CN"/>
        </w:rPr>
        <w:t>优惠条件</w:t>
      </w:r>
    </w:p>
    <w:p w14:paraId="434060C1">
      <w:pPr>
        <w:bidi w:val="0"/>
        <w:rPr>
          <w:rFonts w:hint="eastAsia"/>
          <w:color w:val="auto"/>
          <w:highlight w:val="none"/>
          <w:lang w:val="zh-CN"/>
        </w:rPr>
      </w:pPr>
      <w:r>
        <w:rPr>
          <w:rFonts w:hint="eastAsia"/>
          <w:color w:val="auto"/>
          <w:highlight w:val="none"/>
          <w:lang w:val="zh-CN"/>
        </w:rPr>
        <w:t>备注：本项格式由投标人自行拟订。</w:t>
      </w:r>
    </w:p>
    <w:p w14:paraId="3C3AC938">
      <w:pPr>
        <w:rPr>
          <w:rFonts w:hint="eastAsia"/>
          <w:color w:val="auto"/>
          <w:highlight w:val="none"/>
          <w:lang w:val="zh-CN" w:eastAsia="zh-CN"/>
        </w:rPr>
      </w:pPr>
    </w:p>
    <w:p w14:paraId="42C542D9">
      <w:pPr>
        <w:rPr>
          <w:rFonts w:hint="eastAsia" w:ascii="仿宋" w:hAnsi="仿宋" w:eastAsia="仿宋" w:cs="仿宋"/>
          <w:b/>
          <w:color w:val="auto"/>
          <w:sz w:val="32"/>
          <w:szCs w:val="30"/>
          <w:highlight w:val="none"/>
          <w:lang w:val="zh-CN" w:eastAsia="zh-CN"/>
        </w:rPr>
      </w:pPr>
      <w:r>
        <w:rPr>
          <w:rFonts w:hint="eastAsia" w:ascii="仿宋" w:hAnsi="仿宋" w:eastAsia="仿宋" w:cs="仿宋"/>
          <w:b/>
          <w:color w:val="auto"/>
          <w:sz w:val="32"/>
          <w:szCs w:val="30"/>
          <w:highlight w:val="none"/>
          <w:lang w:val="zh-CN" w:eastAsia="zh-CN"/>
        </w:rPr>
        <w:br w:type="page"/>
      </w:r>
    </w:p>
    <w:p w14:paraId="35EF1591">
      <w:pPr>
        <w:pStyle w:val="3"/>
        <w:spacing w:before="0" w:line="360" w:lineRule="auto"/>
        <w:ind w:firstLine="643" w:firstLineChars="200"/>
        <w:jc w:val="center"/>
        <w:rPr>
          <w:rFonts w:hint="eastAsia" w:ascii="仿宋" w:hAnsi="仿宋" w:eastAsia="仿宋" w:cs="仿宋"/>
          <w:b/>
          <w:color w:val="auto"/>
          <w:sz w:val="32"/>
          <w:szCs w:val="30"/>
          <w:highlight w:val="none"/>
          <w:lang w:val="en-US" w:eastAsia="zh-CN"/>
        </w:rPr>
      </w:pPr>
      <w:r>
        <w:rPr>
          <w:rFonts w:hint="eastAsia" w:ascii="仿宋" w:hAnsi="仿宋" w:eastAsia="仿宋" w:cs="仿宋"/>
          <w:b/>
          <w:color w:val="auto"/>
          <w:sz w:val="32"/>
          <w:szCs w:val="30"/>
          <w:highlight w:val="none"/>
          <w:lang w:val="zh-CN" w:eastAsia="zh-CN"/>
        </w:rPr>
        <w:t>投标单位认为需要提供的其他材料</w:t>
      </w:r>
    </w:p>
    <w:p w14:paraId="10FB71EB">
      <w:pPr>
        <w:bidi w:val="0"/>
        <w:jc w:val="center"/>
        <w:rPr>
          <w:rFonts w:hint="eastAsia" w:ascii="仿宋" w:hAnsi="仿宋" w:eastAsia="仿宋" w:cs="仿宋"/>
          <w:b/>
          <w:color w:val="auto"/>
          <w:szCs w:val="30"/>
          <w:highlight w:val="none"/>
          <w:lang w:val="en-US" w:eastAsia="zh-CN"/>
        </w:rPr>
      </w:pPr>
      <w:r>
        <w:rPr>
          <w:rFonts w:hint="eastAsia"/>
          <w:color w:val="auto"/>
          <w:highlight w:val="none"/>
          <w:lang w:val="en-US" w:eastAsia="zh-CN"/>
        </w:rPr>
        <w:t>格式自拟</w:t>
      </w:r>
      <w:r>
        <w:rPr>
          <w:rFonts w:hint="eastAsia" w:ascii="仿宋" w:hAnsi="仿宋" w:eastAsia="仿宋" w:cs="仿宋"/>
          <w:b/>
          <w:color w:val="auto"/>
          <w:szCs w:val="30"/>
          <w:highlight w:val="none"/>
          <w:lang w:val="zh-CN" w:eastAsia="zh-CN"/>
        </w:rPr>
        <w:br w:type="page"/>
      </w:r>
    </w:p>
    <w:p w14:paraId="1A424C2A">
      <w:pPr>
        <w:pStyle w:val="2"/>
        <w:numPr>
          <w:ilvl w:val="0"/>
          <w:numId w:val="0"/>
        </w:numPr>
        <w:spacing w:line="240" w:lineRule="auto"/>
        <w:ind w:leftChars="0"/>
        <w:jc w:val="center"/>
        <w:rPr>
          <w:rFonts w:hint="eastAsia" w:ascii="仿宋" w:hAnsi="仿宋" w:eastAsia="仿宋" w:cs="仿宋"/>
          <w:b w:val="0"/>
          <w:bCs w:val="0"/>
          <w:color w:val="auto"/>
          <w:sz w:val="48"/>
          <w:szCs w:val="22"/>
          <w:highlight w:val="none"/>
          <w:lang w:val="en-US" w:eastAsia="zh-CN"/>
        </w:rPr>
      </w:pPr>
      <w:bookmarkStart w:id="154" w:name="_Toc5420"/>
      <w:r>
        <w:rPr>
          <w:rFonts w:hint="eastAsia" w:ascii="仿宋" w:hAnsi="仿宋" w:eastAsia="仿宋" w:cs="仿宋"/>
          <w:b/>
          <w:bCs/>
          <w:color w:val="auto"/>
          <w:highlight w:val="none"/>
          <w:lang w:val="en-US" w:eastAsia="zh-CN"/>
        </w:rPr>
        <w:t>第</w:t>
      </w:r>
      <w:r>
        <w:rPr>
          <w:rFonts w:hint="eastAsia" w:cs="仿宋"/>
          <w:b/>
          <w:bCs/>
          <w:color w:val="auto"/>
          <w:highlight w:val="none"/>
          <w:lang w:val="en-US" w:eastAsia="zh-CN"/>
        </w:rPr>
        <w:t>七</w:t>
      </w:r>
      <w:r>
        <w:rPr>
          <w:rFonts w:hint="eastAsia" w:ascii="仿宋" w:hAnsi="仿宋" w:eastAsia="仿宋" w:cs="仿宋"/>
          <w:b/>
          <w:bCs/>
          <w:color w:val="auto"/>
          <w:highlight w:val="none"/>
          <w:lang w:val="en-US" w:eastAsia="zh-CN"/>
        </w:rPr>
        <w:t>章</w:t>
      </w:r>
      <w:r>
        <w:rPr>
          <w:rFonts w:hint="eastAsia" w:ascii="仿宋" w:hAnsi="仿宋" w:eastAsia="仿宋" w:cs="仿宋"/>
          <w:b/>
          <w:bCs/>
          <w:color w:val="auto"/>
          <w:szCs w:val="44"/>
          <w:highlight w:val="none"/>
          <w:lang w:eastAsia="zh-CN"/>
        </w:rPr>
        <w:t>评标办法</w:t>
      </w:r>
      <w:bookmarkEnd w:id="145"/>
      <w:bookmarkEnd w:id="154"/>
    </w:p>
    <w:p w14:paraId="4ED57949">
      <w:pPr>
        <w:numPr>
          <w:ilvl w:val="0"/>
          <w:numId w:val="0"/>
        </w:numPr>
        <w:spacing w:line="240" w:lineRule="auto"/>
        <w:ind w:leftChars="0"/>
        <w:jc w:val="center"/>
        <w:outlineLvl w:val="9"/>
        <w:rPr>
          <w:rFonts w:hint="eastAsia" w:ascii="仿宋" w:hAnsi="仿宋" w:eastAsia="仿宋" w:cs="仿宋"/>
          <w:b w:val="0"/>
          <w:bCs w:val="0"/>
          <w:color w:val="auto"/>
          <w:sz w:val="32"/>
          <w:szCs w:val="16"/>
          <w:highlight w:val="none"/>
          <w:lang w:val="en-US" w:eastAsia="zh-CN"/>
        </w:rPr>
      </w:pPr>
      <w:bookmarkStart w:id="155" w:name="_Toc27964"/>
      <w:r>
        <w:rPr>
          <w:rFonts w:hint="eastAsia" w:ascii="仿宋" w:hAnsi="仿宋" w:eastAsia="仿宋" w:cs="仿宋"/>
          <w:b w:val="0"/>
          <w:bCs w:val="0"/>
          <w:color w:val="auto"/>
          <w:sz w:val="32"/>
          <w:szCs w:val="16"/>
          <w:highlight w:val="none"/>
          <w:lang w:eastAsia="zh-CN"/>
        </w:rPr>
        <w:t>（综合评估法）</w:t>
      </w:r>
      <w:bookmarkEnd w:id="155"/>
    </w:p>
    <w:p w14:paraId="4C9A1732">
      <w:pPr>
        <w:numPr>
          <w:ilvl w:val="0"/>
          <w:numId w:val="0"/>
        </w:numPr>
        <w:spacing w:line="240" w:lineRule="auto"/>
        <w:ind w:leftChars="0"/>
        <w:jc w:val="center"/>
        <w:outlineLvl w:val="9"/>
        <w:rPr>
          <w:rFonts w:hint="eastAsia" w:ascii="仿宋" w:hAnsi="仿宋" w:eastAsia="仿宋" w:cs="仿宋"/>
          <w:b w:val="0"/>
          <w:bCs w:val="0"/>
          <w:color w:val="auto"/>
          <w:sz w:val="32"/>
          <w:szCs w:val="16"/>
          <w:highlight w:val="none"/>
          <w:lang w:eastAsia="zh-CN"/>
        </w:rPr>
      </w:pPr>
      <w:bookmarkStart w:id="156" w:name="_Toc471726704"/>
      <w:bookmarkStart w:id="157" w:name="_Toc525929464"/>
      <w:r>
        <w:rPr>
          <w:rFonts w:hint="eastAsia" w:ascii="仿宋" w:hAnsi="仿宋" w:eastAsia="仿宋" w:cs="仿宋"/>
          <w:b w:val="0"/>
          <w:bCs w:val="0"/>
          <w:color w:val="auto"/>
          <w:sz w:val="32"/>
          <w:szCs w:val="16"/>
          <w:highlight w:val="none"/>
          <w:lang w:eastAsia="zh-CN"/>
        </w:rPr>
        <w:t>评标办法正文</w:t>
      </w:r>
      <w:bookmarkEnd w:id="156"/>
      <w:bookmarkEnd w:id="157"/>
    </w:p>
    <w:p w14:paraId="5BE24C53">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一、评标须知</w:t>
      </w:r>
    </w:p>
    <w:p w14:paraId="29150914">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1.关于评标方案</w:t>
      </w:r>
    </w:p>
    <w:p w14:paraId="0500C63F">
      <w:pPr>
        <w:tabs>
          <w:tab w:val="left" w:pos="0"/>
        </w:tabs>
        <w:spacing w:line="240" w:lineRule="auto"/>
        <w:ind w:firstLine="42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（1）评标委员会的每位成员（简称评委）应认真地阅读并确认已经正确理解了评标方案；</w:t>
      </w:r>
    </w:p>
    <w:p w14:paraId="55FA64EE">
      <w:pPr>
        <w:tabs>
          <w:tab w:val="left" w:pos="0"/>
        </w:tabs>
        <w:spacing w:line="240" w:lineRule="auto"/>
        <w:ind w:firstLine="42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（2）评委如对评标方案有异议，应在评标开始前提出。</w:t>
      </w:r>
    </w:p>
    <w:p w14:paraId="3887A088">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2.关于评标纪律</w:t>
      </w:r>
    </w:p>
    <w:p w14:paraId="142E2380">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评标委员会及其成员不得有下列行为：</w:t>
      </w:r>
    </w:p>
    <w:p w14:paraId="63DDF0EE">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（一）确定参与评标至评标结束前私自接触供应商</w:t>
      </w:r>
    </w:p>
    <w:p w14:paraId="0D5C88D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（二）接受供应商提出的与投标文件不一致的澄清或者说明；</w:t>
      </w:r>
    </w:p>
    <w:p w14:paraId="64458B7F">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（三）违反评标纪律发表倾向性意见或者征询采购人的倾向性意见；</w:t>
      </w:r>
    </w:p>
    <w:p w14:paraId="15644A9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（四）对需要专业判断的主观评审因素协商评分；</w:t>
      </w:r>
    </w:p>
    <w:p w14:paraId="32C2640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（五）在评标过程中擅离职守，影响评标程序正常进行的；</w:t>
      </w:r>
    </w:p>
    <w:p w14:paraId="2665F84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（六）记录、复制或者带走任何评标资料；</w:t>
      </w:r>
    </w:p>
    <w:p w14:paraId="24CE141C">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（七）其他不遵守评标纪律的行为。</w:t>
      </w:r>
    </w:p>
    <w:p w14:paraId="10D87560">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评标委员会成员有前款第一至五项行为之一的，其评审意见无效，并不得获取评审劳务报酬和报销异地评审差旅费。</w:t>
      </w:r>
    </w:p>
    <w:p w14:paraId="0EE7739F">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3.关于评标责任</w:t>
      </w:r>
    </w:p>
    <w:p w14:paraId="3D94FEE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（1）评委应在其书面评审意见上签字确认</w:t>
      </w:r>
    </w:p>
    <w:p w14:paraId="6BBF7D5C">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（2）评委对其所提出的评审意见承担个人责任。</w:t>
      </w:r>
    </w:p>
    <w:p w14:paraId="6D392C2D">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4.关于回避</w:t>
      </w:r>
    </w:p>
    <w:p w14:paraId="11B56B1E">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有下列情形之一的，不得担任评标委员会成员，如事先不知情的，应在宣读供应商名单及评标纪律后主动提出回避：</w:t>
      </w:r>
    </w:p>
    <w:p w14:paraId="21F5736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（1）供应商或供应商主要负责人的近亲属；</w:t>
      </w:r>
    </w:p>
    <w:p w14:paraId="5CF9531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（2）项目主管部门或者行政监督部门的人员</w:t>
      </w:r>
    </w:p>
    <w:p w14:paraId="74D02E74">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（3）与供应商有经济利益关系，可能影响对投标公正评审的；</w:t>
      </w:r>
    </w:p>
    <w:p w14:paraId="4C3F69D5">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（4）曾因在招标、评标以及其他与招标投标有关活动中从事违法行为而受过行政处罚或刑事处罚的；</w:t>
      </w:r>
    </w:p>
    <w:p w14:paraId="049CEA7D">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（5）与供应商有其他利害关系。</w:t>
      </w:r>
    </w:p>
    <w:p w14:paraId="4C5D1C9A">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5.关于保密</w:t>
      </w:r>
    </w:p>
    <w:p w14:paraId="544D912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评标委员会成员和与评标活动有关的工作人员不得透露对投标文件的评审和比较、中标候选人的推荐情况以及评标有关的其他情况。</w:t>
      </w:r>
    </w:p>
    <w:p w14:paraId="1A3A9D0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前款所称与评标活动有关的工作人员，是指评标委员会成员以外的因参与评标监督工作或者事务性工作而知悉有关评标情况的所有人员。</w:t>
      </w:r>
    </w:p>
    <w:p w14:paraId="0050707E">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二、评标原则</w:t>
      </w:r>
    </w:p>
    <w:p w14:paraId="315A1D1C">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1.评标方法</w:t>
      </w:r>
    </w:p>
    <w:p w14:paraId="7B3EBF6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供应商为排名第一的中标候选人，依次排列。提供相同品牌产品且通过资格审查、符合性审查的不同供应商参加同一合同项下投标的，按一家供应商计算，评审后得分最高的同品牌供应商获得中标供应商推荐资格；得分相同的，按投标报价最低的同品牌供应商确定一个供应商获得中标供应商推荐资格；得分且投标报价也相同的，按技术标评审得分最高的同品牌供应商确定一个供应商获得中标供应商推荐资格。</w:t>
      </w:r>
    </w:p>
    <w:p w14:paraId="30AECC2B">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2.评审标准</w:t>
      </w:r>
    </w:p>
    <w:p w14:paraId="0B05E1B4">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2.1初步评审标准</w:t>
      </w:r>
    </w:p>
    <w:p w14:paraId="69FD0736">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2.1.1形式评审标准：见评标办法前附表。</w:t>
      </w:r>
    </w:p>
    <w:p w14:paraId="4354657D">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2.1.2资格评审标准：见评标办法前附表。</w:t>
      </w:r>
    </w:p>
    <w:p w14:paraId="7D7CBB41">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2.1.3响应性评审标准：见评标办法前附表。</w:t>
      </w:r>
    </w:p>
    <w:p w14:paraId="43EA75F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2.2分值构成与评分标准</w:t>
      </w:r>
    </w:p>
    <w:p w14:paraId="6B0A57FB">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2.2.1分值构成</w:t>
      </w:r>
    </w:p>
    <w:p w14:paraId="75A374E7">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（1）商务部分：见评标办法前附表；</w:t>
      </w:r>
    </w:p>
    <w:p w14:paraId="5BAF468F">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（2）技术部分：见评标办法前附表；</w:t>
      </w:r>
    </w:p>
    <w:p w14:paraId="75C6457B">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2.2.2评标基准价计算</w:t>
      </w:r>
    </w:p>
    <w:p w14:paraId="670AB4DD">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评标基准价计算方法：见评标办法前附表。</w:t>
      </w:r>
    </w:p>
    <w:p w14:paraId="7EC5CAEF">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2.2.3评分标准</w:t>
      </w:r>
    </w:p>
    <w:p w14:paraId="12FE86A3">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（1）商务部分评分标准：见评标办法前附表；</w:t>
      </w:r>
    </w:p>
    <w:p w14:paraId="0B9CBAC7">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（2）技术部分评分标准：见评标办法前附表；</w:t>
      </w:r>
    </w:p>
    <w:p w14:paraId="308DAB0B">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jc w:val="lef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3.评标程序</w:t>
      </w:r>
    </w:p>
    <w:p w14:paraId="1E2A2EBB">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3.1初步评审</w:t>
      </w:r>
    </w:p>
    <w:p w14:paraId="64AB460D">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评标委员会可以要求供应商提交第二章“供应商须知”规定的有关证明和证件的原件，以便核验。评标委员会依据本章第2.1款规定的标准对投标文件进行初步评审。有一项不符合评审标准的，评标委员会应当否决其投标。</w:t>
      </w:r>
    </w:p>
    <w:p w14:paraId="30F019DB">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3.1.2供应商有以下情形之一的，评标委员会应当否决其投标：</w:t>
      </w:r>
    </w:p>
    <w:p w14:paraId="03383D4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(1)第二章“供应商须知”前附表及正文规定的任何一种投标无效、废标、否决投标的情况；</w:t>
      </w:r>
    </w:p>
    <w:p w14:paraId="6AF4B5C4">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(2)串通投标或弄虚作假或有其他违法行为的：</w:t>
      </w:r>
    </w:p>
    <w:p w14:paraId="5BAC3D9F">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(3)不按评标委员会要求澄清、说明或补正的。</w:t>
      </w:r>
    </w:p>
    <w:p w14:paraId="47DC45DE">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3.2详细评审</w:t>
      </w:r>
    </w:p>
    <w:p w14:paraId="276B85B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3.2.1评标委员会按本章第2.2款规定的量化因素和分值进行打分，并计算出综合评估得分。</w:t>
      </w:r>
    </w:p>
    <w:p w14:paraId="71FADD93">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（1）按本章第2.2.3（1）目规定的评审因素和分值对商务部分计算出得分A；</w:t>
      </w:r>
    </w:p>
    <w:p w14:paraId="6A696E2A">
      <w:pPr>
        <w:tabs>
          <w:tab w:val="left" w:pos="0"/>
        </w:tabs>
        <w:spacing w:line="240" w:lineRule="auto"/>
        <w:ind w:left="420" w:lef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（2）按本章第2.2.4（2）目规定的评审因素和分值对技术部分计算出得分B；</w:t>
      </w:r>
    </w:p>
    <w:p w14:paraId="35E183BC">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3.2.2评分分值计算保留小数点后两位，小数点后第三位“四舍五入”。</w:t>
      </w:r>
    </w:p>
    <w:p w14:paraId="503EA6D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3.2.3供应商得分=A+B。</w:t>
      </w:r>
    </w:p>
    <w:p w14:paraId="680FD8A1">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3.2.4评标委员会发现供应商的报价明显低于其他通过符合性审查供应商的报价，或者在设有标底时明显低于标底，使得其投标报价可能低于其个别成本的，可能影响产品质量或者不能诚信履约的，应当要求其在评标现场合理的时间内提供书面说明，必要时提交相关证明材料；供应商不能证明其报价合理性的，评标委员会应当将其作为无效投标处理。以低于成本报价竞标，其投标将被否决。</w:t>
      </w:r>
    </w:p>
    <w:p w14:paraId="4874ABBB">
      <w:pPr>
        <w:tabs>
          <w:tab w:val="left" w:pos="0"/>
        </w:tabs>
        <w:spacing w:line="240" w:lineRule="auto"/>
        <w:ind w:firstLine="420" w:firstLineChars="2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3.2.5本次招标活动对于满足政府采购政策要求的供应商按照下列相关规定的扶持政策执行</w:t>
      </w:r>
      <w:r>
        <w:rPr>
          <w:rFonts w:hint="eastAsia" w:cs="仿宋"/>
          <w:color w:val="auto"/>
          <w:sz w:val="21"/>
          <w:szCs w:val="21"/>
          <w:highlight w:val="none"/>
          <w:lang w:val="en-US" w:eastAsia="zh-CN"/>
        </w:rPr>
        <w:t>:</w:t>
      </w:r>
    </w:p>
    <w:p w14:paraId="64FB626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1、《政府采购促进中小企业发展管理办法》（财库﹝2020﹞46号）</w:t>
      </w:r>
    </w:p>
    <w:p w14:paraId="4AE20387">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（1）在政府采购活动中，对符合本办法规定的小微企业报价给予</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%的扣除，用扣除后的价格参加评审。</w:t>
      </w:r>
    </w:p>
    <w:p w14:paraId="345A159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（2）接受大中型企业与小微企业组成联合体或者允许大中型企业向一家或者多家小微企业分包的采购项目，对于联合协议或者分包意向协议约定小微企业的合同份额占到合同总金额30%以上的，报价给予</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4ED2841A">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中小企业参加政府采购活动，应当出具本办法规定的《中小企业声明函（货物）》，否则不得享受相关中小企业扶持政策，本条款中（1）和（2）两种价格扣除规则不得同时适用。</w:t>
      </w:r>
    </w:p>
    <w:p w14:paraId="3A1DB052">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2、《财政部司法部关于政府采购支持监狱企业发展有关问题的通知》（财库〔2014〕68号）</w:t>
      </w:r>
    </w:p>
    <w:p w14:paraId="62DB0E1B">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条件的监狱企业参加政府采购活动时，应当提供由省级以上监狱管理局、戒毒管理局（含新疆生产建设兵团）出具的属于监狱企业的证明文件，监狱企业视同小型、微型企业，享受第1条相同的相关扶持政策。</w:t>
      </w:r>
    </w:p>
    <w:p w14:paraId="19A93AE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3、《财政部民政部中国残疾人联合会关于促进残疾人就业政府采购政策的通知》（财库〔2017〕141号）</w:t>
      </w:r>
    </w:p>
    <w:p w14:paraId="149F86D4">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符合条件的残疾人福利性单位在参加政府采购活动时，应当提供本通知规定的《残疾人福利性单位声明函》，残疾人福利性单位视同小型、微型企业，享受第1条相同的相关扶持政策。</w:t>
      </w:r>
    </w:p>
    <w:p w14:paraId="4065A6A8">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4、同时属于中小企业、监狱企业、残疾人福利性单位的，不重复享受政策。</w:t>
      </w:r>
    </w:p>
    <w:p w14:paraId="69E90FFD">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5、《节能产品政府采购实施意见》（财库〔2004〕185号）、《关于印发节能产品政府采购品目清单的通知》（财库〔2019〕19号）</w:t>
      </w:r>
    </w:p>
    <w:p w14:paraId="1F091E1A">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政府采购属于节能清单中产品时，在技术、服务等指标同等条件下，应当优先采购节能清单所列的节能产品，优先采购的评审标准：</w:t>
      </w:r>
    </w:p>
    <w:p w14:paraId="160B0C1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（1）给予投标报价得分的3％的加分，采购项目或者分包中既包含节能产品也包含非节能产品的，只对纳入《节能产品政府采购清单》的产品按其在总报价中所占的比例给予价格分加分。</w:t>
      </w:r>
    </w:p>
    <w:p w14:paraId="270F8871">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（2）对于技术评分项目，给予技术评分得分的3％的加分。</w:t>
      </w:r>
    </w:p>
    <w:p w14:paraId="0D94C0F4">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按照财政部、发展改革委最新发布执行的《节能产品政府采购清单》的规定，《采购需求》中凡包含强制采购产品的，供应商必须提供列入《节能产品政府采购清单》的产品，否则投标无效。</w:t>
      </w:r>
    </w:p>
    <w:p w14:paraId="3CF62938">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6、《关于环境标志产品政府采购实施的意见》（财库〔2006〕90号）、《关于印发环境标志产品政府采购品目清单的通知》（财库〔2019〕18号）</w:t>
      </w:r>
    </w:p>
    <w:p w14:paraId="4C8B6DC6">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采购人采购的产品属于清单中品目的，在性能、技术、服务等指标同等条件下，应当优先采购清单中的产品，优先采购的评审标准：</w:t>
      </w:r>
    </w:p>
    <w:p w14:paraId="61605BC1">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（1）给予投标报价得分的3％的加分，采购项目或者分包中既包含环境标志产品也包含非环境标志产品的，只对纳入《环境标志产品政府采购清单》的产品按其在总报价中所占的比例给予价格分加分。</w:t>
      </w:r>
    </w:p>
    <w:p w14:paraId="2879295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（2）对于技术评分项目，给予技术评分得分的3％的加分。</w:t>
      </w:r>
    </w:p>
    <w:p w14:paraId="266AA15F">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7、投标产品同时纳入《环境标志产品政府采购清单》和《节能产品政府采购清单》的，价格扣除比例不叠加。</w:t>
      </w:r>
    </w:p>
    <w:p w14:paraId="6E3C8FAF">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财政部关于印发《政府采购进口产品管理办法》的通知（财库[2007]119号）政府采购应当采购本国产品，确需采购进口产品（指通过中国海关报关验放进入中国境内且产自关境外的产品）的，实行审核管理的规定。</w:t>
      </w:r>
    </w:p>
    <w:p w14:paraId="6AF62077">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3.3投标文件的澄清和补正</w:t>
      </w:r>
    </w:p>
    <w:p w14:paraId="2371C64E">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3.3.1在评标过程中，评标委员会可以书面形式要求供应商对所提交投标文件中不明确的内容进行书面澄清或说明，或者对细微偏差进行补正。评标委员会不接受供应商主动提出的澄清、说明或补正。</w:t>
      </w:r>
    </w:p>
    <w:p w14:paraId="04A130F8">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3.3.2澄清、说明和补正不得改变投标文件的实质性内容(算术性错误修正的除外)。供应商的书面澄清、说明和补正属于投标文件的组成部分。</w:t>
      </w:r>
    </w:p>
    <w:p w14:paraId="0F862C63">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3.3.3评标委员会对供应商提交的澄清、说明或补正有疑问的，可以要求供应商进一步澄清、说明或补正，直至满足评标委员会的要求。</w:t>
      </w:r>
    </w:p>
    <w:p w14:paraId="67416C43">
      <w:pPr>
        <w:keepNext w:val="0"/>
        <w:keepLines w:val="0"/>
        <w:pageBreakBefore w:val="0"/>
        <w:widowControl/>
        <w:tabs>
          <w:tab w:val="left" w:pos="0"/>
        </w:tabs>
        <w:kinsoku/>
        <w:wordWrap/>
        <w:overflowPunct/>
        <w:topLinePunct w:val="0"/>
        <w:autoSpaceDE/>
        <w:autoSpaceDN/>
        <w:bidi w:val="0"/>
        <w:adjustRightInd/>
        <w:snapToGrid/>
        <w:spacing w:before="157" w:beforeLines="50" w:after="157" w:afterLines="50" w:line="240" w:lineRule="auto"/>
        <w:ind w:firstLine="422" w:firstLine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3.4评标结果</w:t>
      </w:r>
    </w:p>
    <w:p w14:paraId="7EE66A99">
      <w:pPr>
        <w:tabs>
          <w:tab w:val="left" w:pos="0"/>
        </w:tabs>
        <w:spacing w:line="24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3.4.1除第二章“供应商须知”前附表授权直接确定中标供应商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中标供应商。</w:t>
      </w:r>
    </w:p>
    <w:p w14:paraId="22DD473A">
      <w:pPr>
        <w:spacing w:line="24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3.4.2评标委员会完成评标后，应当向</w:t>
      </w:r>
      <w:r>
        <w:rPr>
          <w:rFonts w:hint="eastAsia" w:ascii="仿宋" w:hAnsi="仿宋" w:eastAsia="仿宋" w:cs="仿宋"/>
          <w:color w:val="auto"/>
          <w:sz w:val="21"/>
          <w:szCs w:val="21"/>
          <w:highlight w:val="none"/>
          <w:lang w:eastAsia="zh-CN"/>
        </w:rPr>
        <w:t>采购人</w:t>
      </w:r>
      <w:r>
        <w:rPr>
          <w:rFonts w:hint="eastAsia" w:ascii="仿宋" w:hAnsi="仿宋" w:eastAsia="仿宋" w:cs="仿宋"/>
          <w:color w:val="auto"/>
          <w:sz w:val="21"/>
          <w:szCs w:val="21"/>
          <w:highlight w:val="none"/>
        </w:rPr>
        <w:t>提交书面评标报告和中标候选人名单</w:t>
      </w:r>
      <w:r>
        <w:rPr>
          <w:rFonts w:hint="eastAsia" w:cs="仿宋"/>
          <w:color w:val="auto"/>
          <w:sz w:val="21"/>
          <w:szCs w:val="21"/>
          <w:highlight w:val="none"/>
          <w:lang w:eastAsia="zh-CN"/>
        </w:rPr>
        <w:t>。</w:t>
      </w:r>
    </w:p>
    <w:p w14:paraId="41EE67FC">
      <w:pPr>
        <w:rPr>
          <w:rFonts w:hint="eastAsia" w:ascii="仿宋" w:hAnsi="仿宋" w:eastAsia="仿宋" w:cs="仿宋"/>
          <w:color w:val="auto"/>
          <w:highlight w:val="none"/>
        </w:rPr>
      </w:pPr>
    </w:p>
    <w:p w14:paraId="1B67DFDF">
      <w:pPr>
        <w:rPr>
          <w:rFonts w:hint="eastAsia"/>
          <w:color w:val="auto"/>
          <w:highlight w:val="none"/>
          <w:lang w:val="en-US" w:eastAsia="zh-CN"/>
        </w:rPr>
      </w:pPr>
      <w:r>
        <w:rPr>
          <w:rFonts w:hint="eastAsia"/>
          <w:color w:val="auto"/>
          <w:highlight w:val="none"/>
          <w:lang w:val="en-US" w:eastAsia="zh-CN"/>
        </w:rPr>
        <w:br w:type="page"/>
      </w:r>
    </w:p>
    <w:p w14:paraId="4FE354AA">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附表一、初步评审表</w:t>
      </w:r>
    </w:p>
    <w:tbl>
      <w:tblPr>
        <w:tblStyle w:val="18"/>
        <w:tblW w:w="8314" w:type="dxa"/>
        <w:tblInd w:w="108" w:type="dxa"/>
        <w:tblLayout w:type="fixed"/>
        <w:tblCellMar>
          <w:top w:w="0" w:type="dxa"/>
          <w:left w:w="108" w:type="dxa"/>
          <w:bottom w:w="0" w:type="dxa"/>
          <w:right w:w="108" w:type="dxa"/>
        </w:tblCellMar>
      </w:tblPr>
      <w:tblGrid>
        <w:gridCol w:w="742"/>
        <w:gridCol w:w="824"/>
        <w:gridCol w:w="1777"/>
        <w:gridCol w:w="4971"/>
      </w:tblGrid>
      <w:tr w14:paraId="28372F64">
        <w:tblPrEx>
          <w:tblCellMar>
            <w:top w:w="0" w:type="dxa"/>
            <w:left w:w="108" w:type="dxa"/>
            <w:bottom w:w="0" w:type="dxa"/>
            <w:right w:w="108" w:type="dxa"/>
          </w:tblCellMar>
        </w:tblPrEx>
        <w:trPr>
          <w:trHeight w:val="623" w:hRule="atLeast"/>
        </w:trPr>
        <w:tc>
          <w:tcPr>
            <w:tcW w:w="1566" w:type="dxa"/>
            <w:gridSpan w:val="2"/>
            <w:tcBorders>
              <w:top w:val="single" w:color="000000" w:sz="2" w:space="0"/>
              <w:left w:val="single" w:color="000000" w:sz="2" w:space="0"/>
              <w:bottom w:val="single" w:color="000000" w:sz="2" w:space="0"/>
              <w:right w:val="single" w:color="000000" w:sz="2" w:space="0"/>
            </w:tcBorders>
            <w:noWrap w:val="0"/>
            <w:vAlign w:val="center"/>
          </w:tcPr>
          <w:p w14:paraId="687A6302">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条款号</w:t>
            </w: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0998C3DD">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评审因素</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1E9A17FD">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r>
      <w:tr w14:paraId="22193FE4">
        <w:tblPrEx>
          <w:tblCellMar>
            <w:top w:w="0" w:type="dxa"/>
            <w:left w:w="108" w:type="dxa"/>
            <w:bottom w:w="0" w:type="dxa"/>
            <w:right w:w="108" w:type="dxa"/>
          </w:tblCellMar>
        </w:tblPrEx>
        <w:trPr>
          <w:trHeight w:val="465" w:hRule="atLeast"/>
        </w:trPr>
        <w:tc>
          <w:tcPr>
            <w:tcW w:w="742" w:type="dxa"/>
            <w:vMerge w:val="restart"/>
            <w:tcBorders>
              <w:top w:val="single" w:color="000000" w:sz="2" w:space="0"/>
              <w:left w:val="single" w:color="000000" w:sz="2" w:space="0"/>
              <w:right w:val="single" w:color="000000" w:sz="2" w:space="0"/>
            </w:tcBorders>
            <w:noWrap w:val="0"/>
            <w:vAlign w:val="center"/>
          </w:tcPr>
          <w:p w14:paraId="6CBF7B54">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24" w:type="dxa"/>
            <w:vMerge w:val="restart"/>
            <w:tcBorders>
              <w:top w:val="single" w:color="000000" w:sz="2" w:space="0"/>
              <w:left w:val="single" w:color="000000" w:sz="2" w:space="0"/>
              <w:right w:val="single" w:color="000000" w:sz="2" w:space="0"/>
            </w:tcBorders>
            <w:noWrap w:val="0"/>
            <w:vAlign w:val="center"/>
          </w:tcPr>
          <w:p w14:paraId="6C199F14">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形式评审标准</w:t>
            </w: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1D9B166E">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38EB73C7">
            <w:pPr>
              <w:spacing w:line="0" w:lineRule="atLeast"/>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与营业执照、税务登记证、组织机构代码证一致。</w:t>
            </w:r>
          </w:p>
        </w:tc>
      </w:tr>
      <w:tr w14:paraId="2BEF4380">
        <w:tblPrEx>
          <w:tblCellMar>
            <w:top w:w="0" w:type="dxa"/>
            <w:left w:w="108" w:type="dxa"/>
            <w:bottom w:w="0" w:type="dxa"/>
            <w:right w:w="108" w:type="dxa"/>
          </w:tblCellMar>
        </w:tblPrEx>
        <w:trPr>
          <w:trHeight w:val="465" w:hRule="atLeast"/>
        </w:trPr>
        <w:tc>
          <w:tcPr>
            <w:tcW w:w="742" w:type="dxa"/>
            <w:vMerge w:val="continue"/>
            <w:tcBorders>
              <w:left w:val="single" w:color="000000" w:sz="2" w:space="0"/>
              <w:right w:val="single" w:color="000000" w:sz="2" w:space="0"/>
            </w:tcBorders>
            <w:noWrap w:val="0"/>
            <w:vAlign w:val="center"/>
          </w:tcPr>
          <w:p w14:paraId="03D0FF7D">
            <w:pPr>
              <w:spacing w:line="0" w:lineRule="atLeast"/>
              <w:jc w:val="center"/>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000000" w:sz="2" w:space="0"/>
            </w:tcBorders>
            <w:noWrap w:val="0"/>
            <w:vAlign w:val="center"/>
          </w:tcPr>
          <w:p w14:paraId="6A947EAF">
            <w:pPr>
              <w:spacing w:line="0" w:lineRule="atLeast"/>
              <w:jc w:val="center"/>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45610405">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投标函签字盖章</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43767A08">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有法定代表人或其委托代理人签字并加盖单位章。</w:t>
            </w:r>
          </w:p>
        </w:tc>
      </w:tr>
      <w:tr w14:paraId="4D563F39">
        <w:tblPrEx>
          <w:tblCellMar>
            <w:top w:w="0" w:type="dxa"/>
            <w:left w:w="108" w:type="dxa"/>
            <w:bottom w:w="0" w:type="dxa"/>
            <w:right w:w="108" w:type="dxa"/>
          </w:tblCellMar>
        </w:tblPrEx>
        <w:trPr>
          <w:trHeight w:val="465" w:hRule="atLeast"/>
        </w:trPr>
        <w:tc>
          <w:tcPr>
            <w:tcW w:w="742" w:type="dxa"/>
            <w:vMerge w:val="continue"/>
            <w:tcBorders>
              <w:left w:val="single" w:color="000000" w:sz="2" w:space="0"/>
              <w:right w:val="single" w:color="000000" w:sz="2" w:space="0"/>
            </w:tcBorders>
            <w:noWrap w:val="0"/>
            <w:vAlign w:val="center"/>
          </w:tcPr>
          <w:p w14:paraId="31A965DF">
            <w:pPr>
              <w:spacing w:line="0" w:lineRule="atLeast"/>
              <w:jc w:val="center"/>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000000" w:sz="2" w:space="0"/>
            </w:tcBorders>
            <w:noWrap w:val="0"/>
            <w:vAlign w:val="center"/>
          </w:tcPr>
          <w:p w14:paraId="5CF96417">
            <w:pPr>
              <w:spacing w:line="0" w:lineRule="atLeast"/>
              <w:jc w:val="center"/>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auto" w:sz="4" w:space="0"/>
              <w:right w:val="single" w:color="000000" w:sz="2" w:space="0"/>
            </w:tcBorders>
            <w:noWrap w:val="0"/>
            <w:vAlign w:val="center"/>
          </w:tcPr>
          <w:p w14:paraId="51921995">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投标文件格式</w:t>
            </w:r>
          </w:p>
        </w:tc>
        <w:tc>
          <w:tcPr>
            <w:tcW w:w="4971" w:type="dxa"/>
            <w:tcBorders>
              <w:top w:val="single" w:color="000000" w:sz="2" w:space="0"/>
              <w:left w:val="single" w:color="000000" w:sz="2" w:space="0"/>
              <w:bottom w:val="single" w:color="auto" w:sz="4" w:space="0"/>
              <w:right w:val="single" w:color="000000" w:sz="2" w:space="0"/>
            </w:tcBorders>
            <w:noWrap w:val="0"/>
            <w:vAlign w:val="center"/>
          </w:tcPr>
          <w:p w14:paraId="1D9D6369">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符合第六章“投标文件格式”的要求。</w:t>
            </w:r>
          </w:p>
        </w:tc>
      </w:tr>
      <w:tr w14:paraId="231A9532">
        <w:tblPrEx>
          <w:tblCellMar>
            <w:top w:w="0" w:type="dxa"/>
            <w:left w:w="108" w:type="dxa"/>
            <w:bottom w:w="0" w:type="dxa"/>
            <w:right w:w="108" w:type="dxa"/>
          </w:tblCellMar>
        </w:tblPrEx>
        <w:trPr>
          <w:trHeight w:val="465" w:hRule="atLeast"/>
        </w:trPr>
        <w:tc>
          <w:tcPr>
            <w:tcW w:w="742" w:type="dxa"/>
            <w:vMerge w:val="continue"/>
            <w:tcBorders>
              <w:left w:val="single" w:color="000000" w:sz="2" w:space="0"/>
              <w:bottom w:val="single" w:color="auto" w:sz="4" w:space="0"/>
              <w:right w:val="single" w:color="000000" w:sz="2" w:space="0"/>
            </w:tcBorders>
            <w:noWrap w:val="0"/>
            <w:vAlign w:val="center"/>
          </w:tcPr>
          <w:p w14:paraId="1D709AB6">
            <w:pPr>
              <w:spacing w:line="0" w:lineRule="atLeast"/>
              <w:jc w:val="center"/>
              <w:rPr>
                <w:rFonts w:hint="eastAsia" w:ascii="仿宋" w:hAnsi="仿宋" w:eastAsia="仿宋" w:cs="仿宋"/>
                <w:color w:val="auto"/>
                <w:sz w:val="21"/>
                <w:szCs w:val="21"/>
                <w:highlight w:val="none"/>
              </w:rPr>
            </w:pPr>
          </w:p>
        </w:tc>
        <w:tc>
          <w:tcPr>
            <w:tcW w:w="824" w:type="dxa"/>
            <w:vMerge w:val="continue"/>
            <w:tcBorders>
              <w:left w:val="single" w:color="000000" w:sz="2" w:space="0"/>
              <w:bottom w:val="single" w:color="auto" w:sz="4" w:space="0"/>
              <w:right w:val="single" w:color="000000" w:sz="2" w:space="0"/>
            </w:tcBorders>
            <w:noWrap w:val="0"/>
            <w:vAlign w:val="center"/>
          </w:tcPr>
          <w:p w14:paraId="67154B53">
            <w:pPr>
              <w:spacing w:line="0" w:lineRule="atLeast"/>
              <w:jc w:val="center"/>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auto" w:sz="4" w:space="0"/>
              <w:right w:val="single" w:color="000000" w:sz="2" w:space="0"/>
            </w:tcBorders>
            <w:noWrap w:val="0"/>
            <w:vAlign w:val="center"/>
          </w:tcPr>
          <w:p w14:paraId="4C533702">
            <w:pPr>
              <w:spacing w:line="0" w:lineRule="atLeas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报价唯一</w:t>
            </w:r>
          </w:p>
        </w:tc>
        <w:tc>
          <w:tcPr>
            <w:tcW w:w="4971" w:type="dxa"/>
            <w:tcBorders>
              <w:top w:val="single" w:color="000000" w:sz="2" w:space="0"/>
              <w:left w:val="single" w:color="000000" w:sz="2" w:space="0"/>
              <w:bottom w:val="single" w:color="auto" w:sz="4" w:space="0"/>
              <w:right w:val="single" w:color="000000" w:sz="2" w:space="0"/>
            </w:tcBorders>
            <w:noWrap w:val="0"/>
            <w:vAlign w:val="center"/>
          </w:tcPr>
          <w:p w14:paraId="1D7C5D02">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只能有一个有效报价。</w:t>
            </w:r>
          </w:p>
        </w:tc>
      </w:tr>
      <w:tr w14:paraId="2475B2CE">
        <w:tblPrEx>
          <w:tblCellMar>
            <w:top w:w="0" w:type="dxa"/>
            <w:left w:w="108" w:type="dxa"/>
            <w:bottom w:w="0" w:type="dxa"/>
            <w:right w:w="108" w:type="dxa"/>
          </w:tblCellMar>
        </w:tblPrEx>
        <w:trPr>
          <w:trHeight w:val="1377" w:hRule="atLeast"/>
        </w:trPr>
        <w:tc>
          <w:tcPr>
            <w:tcW w:w="742" w:type="dxa"/>
            <w:vMerge w:val="restart"/>
            <w:tcBorders>
              <w:top w:val="single" w:color="auto" w:sz="4" w:space="0"/>
              <w:left w:val="single" w:color="auto" w:sz="4" w:space="0"/>
              <w:bottom w:val="single" w:color="auto" w:sz="4" w:space="0"/>
              <w:right w:val="single" w:color="000000" w:sz="2" w:space="0"/>
            </w:tcBorders>
            <w:noWrap w:val="0"/>
            <w:vAlign w:val="center"/>
          </w:tcPr>
          <w:p w14:paraId="0F976847">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824" w:type="dxa"/>
            <w:vMerge w:val="restart"/>
            <w:tcBorders>
              <w:top w:val="single" w:color="auto" w:sz="4" w:space="0"/>
              <w:left w:val="single" w:color="000000" w:sz="2" w:space="0"/>
              <w:bottom w:val="single" w:color="auto" w:sz="4" w:space="0"/>
              <w:right w:val="single" w:color="auto" w:sz="4" w:space="0"/>
            </w:tcBorders>
            <w:noWrap w:val="0"/>
            <w:vAlign w:val="center"/>
          </w:tcPr>
          <w:p w14:paraId="24E913C9">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资格评审标准</w:t>
            </w:r>
          </w:p>
        </w:tc>
        <w:tc>
          <w:tcPr>
            <w:tcW w:w="1777" w:type="dxa"/>
            <w:tcBorders>
              <w:top w:val="single" w:color="auto" w:sz="4" w:space="0"/>
              <w:left w:val="single" w:color="auto" w:sz="4" w:space="0"/>
              <w:right w:val="single" w:color="auto" w:sz="4" w:space="0"/>
            </w:tcBorders>
            <w:noWrap w:val="0"/>
            <w:vAlign w:val="center"/>
          </w:tcPr>
          <w:p w14:paraId="19C72B70">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营业执照</w:t>
            </w:r>
          </w:p>
        </w:tc>
        <w:tc>
          <w:tcPr>
            <w:tcW w:w="4971" w:type="dxa"/>
            <w:tcBorders>
              <w:top w:val="single" w:color="auto" w:sz="4" w:space="0"/>
              <w:left w:val="single" w:color="auto" w:sz="4" w:space="0"/>
              <w:bottom w:val="single" w:color="000000" w:sz="2" w:space="0"/>
              <w:right w:val="single" w:color="auto" w:sz="4" w:space="0"/>
            </w:tcBorders>
            <w:noWrap w:val="0"/>
            <w:vAlign w:val="center"/>
          </w:tcPr>
          <w:p w14:paraId="7AC4440E">
            <w:pPr>
              <w:autoSpaceDE w:val="0"/>
              <w:autoSpaceDN w:val="0"/>
              <w:adjustRightInd w:val="0"/>
              <w:spacing w:line="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供应商须应是在中华人民共和国境内注册、具有独立承担民事责任的能力的法人或其他组织；提供有效期内的营业执照标书内附复印件并加盖公章。</w:t>
            </w:r>
          </w:p>
          <w:p w14:paraId="5C52D855">
            <w:pPr>
              <w:autoSpaceDE w:val="0"/>
              <w:autoSpaceDN w:val="0"/>
              <w:adjustRightInd w:val="0"/>
              <w:spacing w:line="0" w:lineRule="atLeast"/>
              <w:rPr>
                <w:rFonts w:hint="default" w:ascii="仿宋" w:hAnsi="仿宋" w:eastAsia="仿宋" w:cs="仿宋"/>
                <w:color w:val="auto"/>
                <w:sz w:val="21"/>
                <w:szCs w:val="21"/>
                <w:highlight w:val="none"/>
                <w:lang w:val="en-US" w:eastAsia="zh-CN"/>
              </w:rPr>
            </w:pPr>
          </w:p>
        </w:tc>
      </w:tr>
      <w:tr w14:paraId="02DD9D1F">
        <w:tblPrEx>
          <w:tblCellMar>
            <w:top w:w="0" w:type="dxa"/>
            <w:left w:w="108" w:type="dxa"/>
            <w:bottom w:w="0" w:type="dxa"/>
            <w:right w:w="108" w:type="dxa"/>
          </w:tblCellMar>
        </w:tblPrEx>
        <w:trPr>
          <w:trHeight w:val="1377" w:hRule="atLeast"/>
        </w:trPr>
        <w:tc>
          <w:tcPr>
            <w:tcW w:w="742" w:type="dxa"/>
            <w:vMerge w:val="continue"/>
            <w:tcBorders>
              <w:left w:val="single" w:color="auto" w:sz="4" w:space="0"/>
              <w:right w:val="single" w:color="000000" w:sz="2" w:space="0"/>
            </w:tcBorders>
            <w:noWrap w:val="0"/>
            <w:vAlign w:val="center"/>
          </w:tcPr>
          <w:p w14:paraId="25D80F6F">
            <w:pPr>
              <w:spacing w:line="0" w:lineRule="atLeast"/>
              <w:jc w:val="center"/>
              <w:rPr>
                <w:rFonts w:hint="eastAsia" w:ascii="仿宋" w:hAnsi="仿宋" w:eastAsia="仿宋" w:cs="仿宋"/>
                <w:color w:val="auto"/>
                <w:sz w:val="21"/>
                <w:szCs w:val="21"/>
                <w:highlight w:val="none"/>
              </w:rPr>
            </w:pPr>
          </w:p>
        </w:tc>
        <w:tc>
          <w:tcPr>
            <w:tcW w:w="824" w:type="dxa"/>
            <w:vMerge w:val="continue"/>
            <w:tcBorders>
              <w:left w:val="single" w:color="000000" w:sz="2" w:space="0"/>
              <w:right w:val="single" w:color="auto" w:sz="4" w:space="0"/>
            </w:tcBorders>
            <w:noWrap w:val="0"/>
            <w:vAlign w:val="center"/>
          </w:tcPr>
          <w:p w14:paraId="4345BD5A">
            <w:pPr>
              <w:spacing w:line="0" w:lineRule="atLeast"/>
              <w:jc w:val="center"/>
              <w:rPr>
                <w:rFonts w:hint="eastAsia" w:ascii="仿宋" w:hAnsi="仿宋" w:eastAsia="仿宋" w:cs="仿宋"/>
                <w:color w:val="auto"/>
                <w:sz w:val="21"/>
                <w:szCs w:val="21"/>
                <w:highlight w:val="none"/>
              </w:rPr>
            </w:pPr>
          </w:p>
        </w:tc>
        <w:tc>
          <w:tcPr>
            <w:tcW w:w="1777" w:type="dxa"/>
            <w:tcBorders>
              <w:top w:val="single" w:color="auto" w:sz="4" w:space="0"/>
              <w:left w:val="single" w:color="auto" w:sz="4" w:space="0"/>
              <w:right w:val="single" w:color="auto" w:sz="4" w:space="0"/>
            </w:tcBorders>
            <w:noWrap w:val="0"/>
            <w:vAlign w:val="center"/>
          </w:tcPr>
          <w:p w14:paraId="14F10AC5">
            <w:pPr>
              <w:spacing w:line="0" w:lineRule="atLeast"/>
              <w:jc w:val="center"/>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资质要求</w:t>
            </w:r>
          </w:p>
        </w:tc>
        <w:tc>
          <w:tcPr>
            <w:tcW w:w="4971" w:type="dxa"/>
            <w:tcBorders>
              <w:top w:val="single" w:color="auto" w:sz="4" w:space="0"/>
              <w:left w:val="single" w:color="auto" w:sz="4" w:space="0"/>
              <w:bottom w:val="single" w:color="000000" w:sz="2" w:space="0"/>
              <w:right w:val="single" w:color="auto" w:sz="4" w:space="0"/>
            </w:tcBorders>
            <w:noWrap w:val="0"/>
            <w:vAlign w:val="center"/>
          </w:tcPr>
          <w:p w14:paraId="61A6BC0A">
            <w:pPr>
              <w:spacing w:line="0" w:lineRule="atLeast"/>
              <w:jc w:val="left"/>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（1）所投产品属第二类医疗器械的须具有《医疗器械经营备案凭证》，属第三类医疗器械的须具有《医疗器械经营许可证》（投标单位作为经销商适用）；</w:t>
            </w:r>
          </w:p>
          <w:p w14:paraId="7247B29E">
            <w:pPr>
              <w:spacing w:line="0" w:lineRule="atLeast"/>
              <w:jc w:val="left"/>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（2）所投产品属第一类医疗器械的须提供《医疗器械生产备案凭证》，属第二类、第三类医疗器械的须提供《医疗器械生产许可证》（投标单位作为生产商适用）；</w:t>
            </w:r>
          </w:p>
          <w:p w14:paraId="4A0F7C0D">
            <w:pPr>
              <w:spacing w:line="0" w:lineRule="atLeast"/>
              <w:jc w:val="left"/>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3）所投产品若纳入中华人民共和国医疗器械监督管理的，应取得监督管理部门颁发的相应的《中华人民共和国医疗器械注册证》及《医疗器械产品注册登记表》，若已办理两证合一，则只需提供《医疗器械注册证》；</w:t>
            </w:r>
          </w:p>
        </w:tc>
      </w:tr>
      <w:tr w14:paraId="5C4BF944">
        <w:tblPrEx>
          <w:tblCellMar>
            <w:top w:w="0" w:type="dxa"/>
            <w:left w:w="108" w:type="dxa"/>
            <w:bottom w:w="0" w:type="dxa"/>
            <w:right w:w="108" w:type="dxa"/>
          </w:tblCellMar>
        </w:tblPrEx>
        <w:trPr>
          <w:trHeight w:val="485"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74BE3B82">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2DC4F970">
            <w:pPr>
              <w:spacing w:line="0" w:lineRule="atLeast"/>
              <w:jc w:val="left"/>
              <w:rPr>
                <w:rFonts w:hint="eastAsia" w:ascii="仿宋" w:hAnsi="仿宋" w:eastAsia="仿宋" w:cs="仿宋"/>
                <w:color w:val="auto"/>
                <w:sz w:val="21"/>
                <w:szCs w:val="21"/>
                <w:highlight w:val="none"/>
              </w:rPr>
            </w:pPr>
          </w:p>
        </w:tc>
        <w:tc>
          <w:tcPr>
            <w:tcW w:w="1777" w:type="dxa"/>
            <w:tcBorders>
              <w:top w:val="single" w:color="auto" w:sz="4" w:space="0"/>
              <w:left w:val="single" w:color="auto" w:sz="4" w:space="0"/>
              <w:bottom w:val="single" w:color="000000" w:sz="2" w:space="0"/>
              <w:right w:val="single" w:color="000000" w:sz="2" w:space="0"/>
            </w:tcBorders>
            <w:noWrap w:val="0"/>
            <w:vAlign w:val="center"/>
          </w:tcPr>
          <w:p w14:paraId="65093BD5">
            <w:pPr>
              <w:pStyle w:val="5"/>
              <w:spacing w:line="28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财务要求</w:t>
            </w:r>
          </w:p>
        </w:tc>
        <w:tc>
          <w:tcPr>
            <w:tcW w:w="4971" w:type="dxa"/>
            <w:tcBorders>
              <w:top w:val="single" w:color="auto" w:sz="4" w:space="0"/>
              <w:left w:val="single" w:color="000000" w:sz="2" w:space="0"/>
              <w:bottom w:val="single" w:color="000000" w:sz="2" w:space="0"/>
              <w:right w:val="single" w:color="000000" w:sz="2" w:space="0"/>
            </w:tcBorders>
            <w:noWrap w:val="0"/>
            <w:vAlign w:val="center"/>
          </w:tcPr>
          <w:p w14:paraId="55B35875">
            <w:pPr>
              <w:spacing w:line="0" w:lineRule="atLeast"/>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应出具近三年（202</w:t>
            </w:r>
            <w:r>
              <w:rPr>
                <w:rFonts w:hint="eastAsia"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en-US" w:eastAsia="zh-CN"/>
              </w:rPr>
              <w:t>年至202</w:t>
            </w:r>
            <w:r>
              <w:rPr>
                <w:rFonts w:hint="eastAsia"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en-US" w:eastAsia="zh-CN"/>
              </w:rPr>
              <w:t>年）经会计师事务所审计的财务审计报告或财务报表（投标人的成立时间少于规定年份的，应提供成立以来至202</w:t>
            </w:r>
            <w:r>
              <w:rPr>
                <w:rFonts w:hint="eastAsia"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en-US" w:eastAsia="zh-CN"/>
              </w:rPr>
              <w:t>年的财务审计报告或财务报表；202</w:t>
            </w:r>
            <w:r>
              <w:rPr>
                <w:rFonts w:hint="eastAsia"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lang w:val="en-US" w:eastAsia="zh-CN"/>
              </w:rPr>
              <w:t>年以后新成立企业需提供近三个月内银行出具的公司资信证明</w:t>
            </w:r>
            <w:r>
              <w:rPr>
                <w:rFonts w:hint="eastAsia" w:cs="仿宋"/>
                <w:color w:val="auto"/>
                <w:kern w:val="0"/>
                <w:sz w:val="21"/>
                <w:szCs w:val="21"/>
                <w:highlight w:val="none"/>
                <w:lang w:val="en-US" w:eastAsia="zh-CN"/>
              </w:rPr>
              <w:t>并提供财务状况良好承诺</w:t>
            </w:r>
            <w:r>
              <w:rPr>
                <w:rFonts w:hint="eastAsia" w:ascii="仿宋" w:hAnsi="仿宋" w:eastAsia="仿宋" w:cs="仿宋"/>
                <w:color w:val="auto"/>
                <w:kern w:val="0"/>
                <w:sz w:val="21"/>
                <w:szCs w:val="21"/>
                <w:highlight w:val="none"/>
                <w:lang w:val="en-US" w:eastAsia="zh-CN"/>
              </w:rPr>
              <w:t>）</w:t>
            </w:r>
          </w:p>
        </w:tc>
      </w:tr>
      <w:tr w14:paraId="62B0592A">
        <w:tblPrEx>
          <w:tblCellMar>
            <w:top w:w="0" w:type="dxa"/>
            <w:left w:w="108" w:type="dxa"/>
            <w:bottom w:w="0" w:type="dxa"/>
            <w:right w:w="108" w:type="dxa"/>
          </w:tblCellMar>
        </w:tblPrEx>
        <w:trPr>
          <w:trHeight w:val="485"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2C8973DF">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15732883">
            <w:pPr>
              <w:spacing w:line="0" w:lineRule="atLeast"/>
              <w:jc w:val="left"/>
              <w:rPr>
                <w:rFonts w:hint="eastAsia" w:ascii="仿宋" w:hAnsi="仿宋" w:eastAsia="仿宋" w:cs="仿宋"/>
                <w:color w:val="auto"/>
                <w:sz w:val="21"/>
                <w:szCs w:val="21"/>
                <w:highlight w:val="none"/>
              </w:rPr>
            </w:pPr>
          </w:p>
        </w:tc>
        <w:tc>
          <w:tcPr>
            <w:tcW w:w="1777" w:type="dxa"/>
            <w:tcBorders>
              <w:top w:val="single" w:color="auto" w:sz="4" w:space="0"/>
              <w:left w:val="single" w:color="auto" w:sz="4" w:space="0"/>
              <w:bottom w:val="single" w:color="000000" w:sz="2" w:space="0"/>
              <w:right w:val="single" w:color="000000" w:sz="2" w:space="0"/>
            </w:tcBorders>
            <w:noWrap w:val="0"/>
            <w:vAlign w:val="center"/>
          </w:tcPr>
          <w:p w14:paraId="48BE1574">
            <w:pPr>
              <w:pStyle w:val="5"/>
              <w:spacing w:line="28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纳税及社保要求</w:t>
            </w:r>
          </w:p>
        </w:tc>
        <w:tc>
          <w:tcPr>
            <w:tcW w:w="4971" w:type="dxa"/>
            <w:tcBorders>
              <w:top w:val="single" w:color="auto" w:sz="4" w:space="0"/>
              <w:left w:val="single" w:color="000000" w:sz="2" w:space="0"/>
              <w:bottom w:val="single" w:color="000000" w:sz="2" w:space="0"/>
              <w:right w:val="single" w:color="000000" w:sz="2" w:space="0"/>
            </w:tcBorders>
            <w:noWrap w:val="0"/>
            <w:vAlign w:val="center"/>
          </w:tcPr>
          <w:p w14:paraId="6A18F68B">
            <w:pPr>
              <w:spacing w:line="0" w:lineRule="atLeast"/>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供应商应提供近六个月中至少一个月的社会缴纳社会保险的凭据（专用收据或社会保险缴纳清单）和良好缴纳税收的相关凭据（以税务机关提供的纳税凭据或银行入账单为准），并加盖本单位公章。202</w:t>
            </w:r>
            <w:r>
              <w:rPr>
                <w:rFonts w:hint="eastAsia"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en-US" w:eastAsia="zh-CN"/>
              </w:rPr>
              <w:t>年12月31日以后成立企业提供依法缴纳税收和社会保障资金的情况说明</w:t>
            </w:r>
          </w:p>
        </w:tc>
      </w:tr>
      <w:tr w14:paraId="580D168C">
        <w:tblPrEx>
          <w:tblCellMar>
            <w:top w:w="0" w:type="dxa"/>
            <w:left w:w="108" w:type="dxa"/>
            <w:bottom w:w="0" w:type="dxa"/>
            <w:right w:w="108" w:type="dxa"/>
          </w:tblCellMar>
        </w:tblPrEx>
        <w:trPr>
          <w:trHeight w:val="2573"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267A6854">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7372DDFB">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auto" w:sz="4" w:space="0"/>
              <w:bottom w:val="single" w:color="000000" w:sz="2" w:space="0"/>
              <w:right w:val="single" w:color="000000" w:sz="2" w:space="0"/>
            </w:tcBorders>
            <w:noWrap w:val="0"/>
            <w:vAlign w:val="center"/>
          </w:tcPr>
          <w:p w14:paraId="7871C83D">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信誉要求</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414C5930">
            <w:pPr>
              <w:autoSpaceDE w:val="0"/>
              <w:autoSpaceDN w:val="0"/>
              <w:adjustRightInd w:val="0"/>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1.拒绝列入政府不良行为记录期间的企业或个人参加投标。</w:t>
            </w:r>
          </w:p>
          <w:p w14:paraId="11CBE72B">
            <w:pPr>
              <w:autoSpaceDE w:val="0"/>
              <w:autoSpaceDN w:val="0"/>
              <w:adjustRightInd w:val="0"/>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（提供法定代表人（或授权代表）签字并加盖公章的承诺书。）</w:t>
            </w:r>
          </w:p>
          <w:p w14:paraId="1853DB35">
            <w:pPr>
              <w:autoSpaceDE w:val="0"/>
              <w:autoSpaceDN w:val="0"/>
              <w:adjustRightInd w:val="0"/>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2.供应商不能列入失信被执行人、重大税收违法案件当事人名单、政府采购严重违法失信行为记录名单（详见财库【2016】125号；</w:t>
            </w:r>
          </w:p>
          <w:p w14:paraId="517F6153">
            <w:pPr>
              <w:autoSpaceDE w:val="0"/>
              <w:autoSpaceDN w:val="0"/>
              <w:adjustRightInd w:val="0"/>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（提供信用中国”网站（www.creditchina.gov.cn）和中国政府采购网（www.ccgp.gov.cn）渠道查询相关信用记录的网站截图加盖公章。）</w:t>
            </w:r>
          </w:p>
        </w:tc>
      </w:tr>
      <w:tr w14:paraId="5F5C9572">
        <w:tblPrEx>
          <w:tblCellMar>
            <w:top w:w="0" w:type="dxa"/>
            <w:left w:w="108" w:type="dxa"/>
            <w:bottom w:w="0" w:type="dxa"/>
            <w:right w:w="108" w:type="dxa"/>
          </w:tblCellMar>
        </w:tblPrEx>
        <w:trPr>
          <w:trHeight w:val="667" w:hRule="atLeast"/>
        </w:trPr>
        <w:tc>
          <w:tcPr>
            <w:tcW w:w="742" w:type="dxa"/>
            <w:vMerge w:val="continue"/>
            <w:tcBorders>
              <w:top w:val="single" w:color="auto" w:sz="4" w:space="0"/>
              <w:left w:val="single" w:color="auto" w:sz="4" w:space="0"/>
              <w:bottom w:val="single" w:color="auto" w:sz="4" w:space="0"/>
              <w:right w:val="single" w:color="000000" w:sz="2" w:space="0"/>
            </w:tcBorders>
            <w:noWrap w:val="0"/>
            <w:vAlign w:val="center"/>
          </w:tcPr>
          <w:p w14:paraId="21780906">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64418BA4">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auto" w:sz="4" w:space="0"/>
              <w:bottom w:val="single" w:color="auto" w:sz="4" w:space="0"/>
              <w:right w:val="single" w:color="000000" w:sz="2" w:space="0"/>
            </w:tcBorders>
            <w:noWrap w:val="0"/>
            <w:vAlign w:val="center"/>
          </w:tcPr>
          <w:p w14:paraId="1CB34218">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其他要求</w:t>
            </w:r>
          </w:p>
        </w:tc>
        <w:tc>
          <w:tcPr>
            <w:tcW w:w="4971" w:type="dxa"/>
            <w:tcBorders>
              <w:top w:val="single" w:color="000000" w:sz="2" w:space="0"/>
              <w:left w:val="single" w:color="000000" w:sz="2" w:space="0"/>
              <w:bottom w:val="single" w:color="auto" w:sz="4" w:space="0"/>
              <w:right w:val="single" w:color="000000" w:sz="2" w:space="0"/>
            </w:tcBorders>
            <w:noWrap w:val="0"/>
            <w:vAlign w:val="center"/>
          </w:tcPr>
          <w:p w14:paraId="14EB2A21">
            <w:pPr>
              <w:spacing w:line="0" w:lineRule="atLeas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投标人不得存在下列情形之一：</w:t>
            </w:r>
          </w:p>
          <w:p w14:paraId="45E4171F">
            <w:pPr>
              <w:numPr>
                <w:ilvl w:val="0"/>
                <w:numId w:val="32"/>
              </w:numPr>
              <w:spacing w:line="0" w:lineRule="atLeas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为采购人不具有独立法人资格的附属机构(单位)；</w:t>
            </w:r>
          </w:p>
          <w:p w14:paraId="1FA896FC">
            <w:pPr>
              <w:numPr>
                <w:ilvl w:val="0"/>
                <w:numId w:val="32"/>
              </w:numPr>
              <w:spacing w:line="0" w:lineRule="atLeas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为本项目提供采购代理服务的；</w:t>
            </w:r>
          </w:p>
          <w:p w14:paraId="0EB14854">
            <w:pPr>
              <w:numPr>
                <w:ilvl w:val="0"/>
                <w:numId w:val="32"/>
              </w:numPr>
              <w:spacing w:line="0" w:lineRule="atLeas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被责令停业的；</w:t>
            </w:r>
          </w:p>
          <w:p w14:paraId="1BD9B18E">
            <w:pPr>
              <w:numPr>
                <w:ilvl w:val="0"/>
                <w:numId w:val="32"/>
              </w:numPr>
              <w:spacing w:line="0" w:lineRule="atLeas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被暂停或取消投标资格的；</w:t>
            </w:r>
          </w:p>
          <w:p w14:paraId="0EEE3923">
            <w:pPr>
              <w:numPr>
                <w:ilvl w:val="0"/>
                <w:numId w:val="32"/>
              </w:numPr>
              <w:spacing w:line="0" w:lineRule="atLeas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财产被接管或冻结的；</w:t>
            </w:r>
          </w:p>
          <w:p w14:paraId="67EEBCBE">
            <w:pPr>
              <w:numPr>
                <w:ilvl w:val="0"/>
                <w:numId w:val="32"/>
              </w:numPr>
              <w:spacing w:line="0" w:lineRule="atLeas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在最近三年内有骗取中标或严重违约或重大项目质量问题的。</w:t>
            </w:r>
          </w:p>
          <w:p w14:paraId="6B6FD46A">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投标文件内附法定代表人或其授权委托人签字并加盖公章的承诺书。</w:t>
            </w:r>
          </w:p>
        </w:tc>
      </w:tr>
      <w:tr w14:paraId="2D36486D">
        <w:tblPrEx>
          <w:tblCellMar>
            <w:top w:w="0" w:type="dxa"/>
            <w:left w:w="108" w:type="dxa"/>
            <w:bottom w:w="0" w:type="dxa"/>
            <w:right w:w="108" w:type="dxa"/>
          </w:tblCellMar>
        </w:tblPrEx>
        <w:trPr>
          <w:trHeight w:val="454" w:hRule="atLeast"/>
        </w:trPr>
        <w:tc>
          <w:tcPr>
            <w:tcW w:w="742" w:type="dxa"/>
            <w:vMerge w:val="restart"/>
            <w:tcBorders>
              <w:top w:val="single" w:color="auto" w:sz="4" w:space="0"/>
              <w:left w:val="single" w:color="000000" w:sz="2" w:space="0"/>
              <w:bottom w:val="single" w:color="auto" w:sz="4" w:space="0"/>
              <w:right w:val="single" w:color="000000" w:sz="2" w:space="0"/>
            </w:tcBorders>
            <w:noWrap w:val="0"/>
            <w:vAlign w:val="center"/>
          </w:tcPr>
          <w:p w14:paraId="69B46AE1">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824" w:type="dxa"/>
            <w:vMerge w:val="restart"/>
            <w:tcBorders>
              <w:top w:val="single" w:color="auto" w:sz="4" w:space="0"/>
              <w:left w:val="single" w:color="000000" w:sz="2" w:space="0"/>
              <w:bottom w:val="single" w:color="auto" w:sz="4" w:space="0"/>
              <w:right w:val="single" w:color="000000" w:sz="2" w:space="0"/>
            </w:tcBorders>
            <w:noWrap w:val="0"/>
            <w:vAlign w:val="center"/>
          </w:tcPr>
          <w:p w14:paraId="5763D1C2">
            <w:pPr>
              <w:spacing w:line="0" w:lineRule="atLeast"/>
              <w:jc w:val="center"/>
              <w:rPr>
                <w:rFonts w:hint="eastAsia" w:ascii="仿宋" w:hAnsi="仿宋" w:eastAsia="仿宋" w:cs="仿宋"/>
                <w:color w:val="auto"/>
                <w:sz w:val="21"/>
                <w:szCs w:val="21"/>
                <w:highlight w:val="none"/>
              </w:rPr>
            </w:pPr>
            <w:r>
              <w:rPr>
                <w:rFonts w:hint="eastAsia" w:cs="仿宋"/>
                <w:color w:val="auto"/>
                <w:sz w:val="21"/>
                <w:szCs w:val="21"/>
                <w:highlight w:val="none"/>
                <w:lang w:val="en-US" w:eastAsia="zh-CN"/>
              </w:rPr>
              <w:t>符合性</w:t>
            </w:r>
            <w:r>
              <w:rPr>
                <w:rFonts w:hint="eastAsia" w:ascii="仿宋" w:hAnsi="仿宋" w:eastAsia="仿宋" w:cs="仿宋"/>
                <w:color w:val="auto"/>
                <w:sz w:val="21"/>
                <w:szCs w:val="21"/>
                <w:highlight w:val="none"/>
              </w:rPr>
              <w:t>评审标准</w:t>
            </w: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716BEA14">
            <w:pPr>
              <w:spacing w:line="0" w:lineRule="atLeas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投标内容</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39A4C8A4">
            <w:pPr>
              <w:spacing w:line="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符合招标文件要求</w:t>
            </w:r>
            <w:r>
              <w:rPr>
                <w:rFonts w:hint="eastAsia" w:cs="仿宋"/>
                <w:color w:val="auto"/>
                <w:sz w:val="21"/>
                <w:szCs w:val="21"/>
                <w:highlight w:val="none"/>
                <w:lang w:eastAsia="zh-CN"/>
              </w:rPr>
              <w:t>，</w:t>
            </w:r>
            <w:r>
              <w:rPr>
                <w:rFonts w:hint="eastAsia" w:ascii="仿宋" w:hAnsi="仿宋" w:eastAsia="仿宋" w:cs="仿宋"/>
                <w:color w:val="auto"/>
                <w:sz w:val="21"/>
                <w:szCs w:val="21"/>
                <w:highlight w:val="none"/>
              </w:rPr>
              <w:t>投标文件完全满足招标文件的</w:t>
            </w:r>
            <w:r>
              <w:rPr>
                <w:rFonts w:hint="eastAsia" w:cs="仿宋"/>
                <w:color w:val="auto"/>
                <w:sz w:val="21"/>
                <w:szCs w:val="21"/>
                <w:highlight w:val="none"/>
                <w:lang w:val="en-US" w:eastAsia="zh-CN"/>
              </w:rPr>
              <w:t>要求</w:t>
            </w:r>
            <w:r>
              <w:rPr>
                <w:rFonts w:hint="eastAsia" w:ascii="仿宋" w:hAnsi="仿宋" w:eastAsia="仿宋" w:cs="仿宋"/>
                <w:color w:val="auto"/>
                <w:sz w:val="21"/>
                <w:szCs w:val="21"/>
                <w:highlight w:val="none"/>
              </w:rPr>
              <w:t>无负偏离的</w:t>
            </w:r>
          </w:p>
        </w:tc>
      </w:tr>
      <w:tr w14:paraId="03FB8D5C">
        <w:tblPrEx>
          <w:tblCellMar>
            <w:top w:w="0" w:type="dxa"/>
            <w:left w:w="108" w:type="dxa"/>
            <w:bottom w:w="0" w:type="dxa"/>
            <w:right w:w="108" w:type="dxa"/>
          </w:tblCellMar>
        </w:tblPrEx>
        <w:trPr>
          <w:trHeight w:val="454"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0E3B4B97">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1253444A">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auto" w:sz="4" w:space="0"/>
              <w:right w:val="single" w:color="000000" w:sz="2" w:space="0"/>
            </w:tcBorders>
            <w:noWrap w:val="0"/>
            <w:vAlign w:val="center"/>
          </w:tcPr>
          <w:p w14:paraId="139641A0">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供货期</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2B3662A7">
            <w:pPr>
              <w:bidi w:val="0"/>
              <w:spacing w:line="240" w:lineRule="auto"/>
              <w:ind w:firstLine="0" w:firstLineChars="0"/>
              <w:rPr>
                <w:rFonts w:hint="default" w:ascii="仿宋" w:hAnsi="仿宋" w:eastAsia="仿宋" w:cs="仿宋"/>
                <w:color w:val="auto"/>
                <w:sz w:val="21"/>
                <w:szCs w:val="21"/>
                <w:highlight w:val="none"/>
                <w:lang w:val="en-US" w:eastAsia="zh-CN"/>
              </w:rPr>
            </w:pPr>
            <w:r>
              <w:rPr>
                <w:rFonts w:hint="eastAsia" w:cs="仿宋"/>
                <w:color w:val="auto"/>
                <w:sz w:val="21"/>
                <w:szCs w:val="21"/>
                <w:highlight w:val="none"/>
                <w:lang w:val="en-US" w:eastAsia="zh-CN"/>
              </w:rPr>
              <w:t>28日历天</w:t>
            </w:r>
            <w:r>
              <w:rPr>
                <w:rFonts w:hint="eastAsia" w:ascii="仿宋" w:hAnsi="仿宋" w:eastAsia="仿宋" w:cs="仿宋"/>
                <w:color w:val="auto"/>
                <w:sz w:val="21"/>
                <w:szCs w:val="21"/>
                <w:highlight w:val="none"/>
                <w:lang w:val="en-US" w:eastAsia="zh-CN"/>
              </w:rPr>
              <w:t>(具体时间以签订合同为准)</w:t>
            </w:r>
          </w:p>
        </w:tc>
      </w:tr>
      <w:tr w14:paraId="20804605">
        <w:tblPrEx>
          <w:tblCellMar>
            <w:top w:w="0" w:type="dxa"/>
            <w:left w:w="108" w:type="dxa"/>
            <w:bottom w:w="0" w:type="dxa"/>
            <w:right w:w="108" w:type="dxa"/>
          </w:tblCellMar>
        </w:tblPrEx>
        <w:trPr>
          <w:trHeight w:val="1133"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513A3EF5">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4EFD190C">
            <w:pPr>
              <w:spacing w:line="0" w:lineRule="atLeast"/>
              <w:jc w:val="left"/>
              <w:rPr>
                <w:rFonts w:hint="eastAsia" w:ascii="仿宋" w:hAnsi="仿宋" w:eastAsia="仿宋" w:cs="仿宋"/>
                <w:color w:val="auto"/>
                <w:sz w:val="21"/>
                <w:szCs w:val="21"/>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1AF7A808">
            <w:pPr>
              <w:spacing w:line="0" w:lineRule="atLeast"/>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质量标准</w:t>
            </w:r>
          </w:p>
        </w:tc>
        <w:tc>
          <w:tcPr>
            <w:tcW w:w="4971" w:type="dxa"/>
            <w:tcBorders>
              <w:top w:val="single" w:color="000000" w:sz="2" w:space="0"/>
              <w:left w:val="single" w:color="auto" w:sz="4" w:space="0"/>
              <w:bottom w:val="single" w:color="000000" w:sz="2" w:space="0"/>
              <w:right w:val="single" w:color="000000" w:sz="2" w:space="0"/>
            </w:tcBorders>
            <w:noWrap w:val="0"/>
            <w:vAlign w:val="center"/>
          </w:tcPr>
          <w:p w14:paraId="2C97CD87">
            <w:pPr>
              <w:bidi w:val="0"/>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达到国家、行业现行的合格标准及验收规范、且满足采购人使用要求</w:t>
            </w:r>
          </w:p>
        </w:tc>
      </w:tr>
      <w:tr w14:paraId="206AAA5C">
        <w:tblPrEx>
          <w:tblCellMar>
            <w:top w:w="0" w:type="dxa"/>
            <w:left w:w="108" w:type="dxa"/>
            <w:bottom w:w="0" w:type="dxa"/>
            <w:right w:w="108" w:type="dxa"/>
          </w:tblCellMar>
        </w:tblPrEx>
        <w:trPr>
          <w:trHeight w:val="499"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4E09BA56">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auto" w:sz="4" w:space="0"/>
            </w:tcBorders>
            <w:noWrap w:val="0"/>
            <w:vAlign w:val="center"/>
          </w:tcPr>
          <w:p w14:paraId="01530146">
            <w:pPr>
              <w:spacing w:line="0" w:lineRule="atLeast"/>
              <w:jc w:val="left"/>
              <w:rPr>
                <w:rFonts w:hint="eastAsia" w:ascii="仿宋" w:hAnsi="仿宋" w:eastAsia="仿宋" w:cs="仿宋"/>
                <w:color w:val="auto"/>
                <w:sz w:val="21"/>
                <w:szCs w:val="21"/>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6CF940DA">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投标有效期</w:t>
            </w:r>
          </w:p>
        </w:tc>
        <w:tc>
          <w:tcPr>
            <w:tcW w:w="4971" w:type="dxa"/>
            <w:tcBorders>
              <w:top w:val="single" w:color="000000" w:sz="2" w:space="0"/>
              <w:left w:val="single" w:color="auto" w:sz="4" w:space="0"/>
              <w:bottom w:val="single" w:color="000000" w:sz="2" w:space="0"/>
              <w:right w:val="single" w:color="000000" w:sz="2" w:space="0"/>
            </w:tcBorders>
            <w:noWrap w:val="0"/>
            <w:vAlign w:val="center"/>
          </w:tcPr>
          <w:p w14:paraId="7872ABA9">
            <w:pPr>
              <w:spacing w:line="0" w:lineRule="atLeast"/>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90天</w:t>
            </w:r>
          </w:p>
        </w:tc>
      </w:tr>
      <w:tr w14:paraId="13D4FFE9">
        <w:tblPrEx>
          <w:tblCellMar>
            <w:top w:w="0" w:type="dxa"/>
            <w:left w:w="108" w:type="dxa"/>
            <w:bottom w:w="0" w:type="dxa"/>
            <w:right w:w="108" w:type="dxa"/>
          </w:tblCellMar>
        </w:tblPrEx>
        <w:trPr>
          <w:trHeight w:val="499"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26671177">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48EF0586">
            <w:pPr>
              <w:spacing w:line="0" w:lineRule="atLeast"/>
              <w:jc w:val="left"/>
              <w:rPr>
                <w:rFonts w:hint="eastAsia" w:ascii="仿宋" w:hAnsi="仿宋" w:eastAsia="仿宋" w:cs="仿宋"/>
                <w:color w:val="auto"/>
                <w:sz w:val="21"/>
                <w:szCs w:val="21"/>
                <w:highlight w:val="none"/>
              </w:rPr>
            </w:pPr>
          </w:p>
        </w:tc>
        <w:tc>
          <w:tcPr>
            <w:tcW w:w="1777" w:type="dxa"/>
            <w:tcBorders>
              <w:top w:val="single" w:color="auto" w:sz="4" w:space="0"/>
              <w:left w:val="single" w:color="000000" w:sz="2" w:space="0"/>
              <w:bottom w:val="single" w:color="000000" w:sz="2" w:space="0"/>
              <w:right w:val="single" w:color="000000" w:sz="2" w:space="0"/>
            </w:tcBorders>
            <w:noWrap w:val="0"/>
            <w:vAlign w:val="center"/>
          </w:tcPr>
          <w:p w14:paraId="05B39A6C">
            <w:pPr>
              <w:spacing w:line="0" w:lineRule="atLeas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投标保证金</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4BBAA6CF">
            <w:pPr>
              <w:spacing w:line="0" w:lineRule="atLeas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有缴纳投标保证金凭证原件加盖公章，基本账户开户许可证复印件加盖公章【要求件清晰可见】</w:t>
            </w:r>
          </w:p>
        </w:tc>
      </w:tr>
      <w:tr w14:paraId="563AB9A0">
        <w:tblPrEx>
          <w:tblCellMar>
            <w:top w:w="0" w:type="dxa"/>
            <w:left w:w="108" w:type="dxa"/>
            <w:bottom w:w="0" w:type="dxa"/>
            <w:right w:w="108" w:type="dxa"/>
          </w:tblCellMar>
        </w:tblPrEx>
        <w:trPr>
          <w:trHeight w:val="454" w:hRule="atLeast"/>
        </w:trPr>
        <w:tc>
          <w:tcPr>
            <w:tcW w:w="742" w:type="dxa"/>
            <w:vMerge w:val="continue"/>
            <w:tcBorders>
              <w:top w:val="single" w:color="auto" w:sz="4" w:space="0"/>
              <w:left w:val="single" w:color="000000" w:sz="2" w:space="0"/>
              <w:bottom w:val="single" w:color="auto" w:sz="4" w:space="0"/>
              <w:right w:val="single" w:color="000000" w:sz="2" w:space="0"/>
            </w:tcBorders>
            <w:noWrap w:val="0"/>
            <w:vAlign w:val="center"/>
          </w:tcPr>
          <w:p w14:paraId="6B57D414">
            <w:pPr>
              <w:spacing w:line="0" w:lineRule="atLeast"/>
              <w:jc w:val="left"/>
              <w:rPr>
                <w:rFonts w:hint="eastAsia" w:ascii="仿宋" w:hAnsi="仿宋" w:eastAsia="仿宋" w:cs="仿宋"/>
                <w:color w:val="auto"/>
                <w:sz w:val="21"/>
                <w:szCs w:val="21"/>
                <w:highlight w:val="none"/>
              </w:rPr>
            </w:pPr>
          </w:p>
        </w:tc>
        <w:tc>
          <w:tcPr>
            <w:tcW w:w="824" w:type="dxa"/>
            <w:vMerge w:val="continue"/>
            <w:tcBorders>
              <w:top w:val="single" w:color="auto" w:sz="4" w:space="0"/>
              <w:left w:val="single" w:color="000000" w:sz="2" w:space="0"/>
              <w:bottom w:val="single" w:color="auto" w:sz="4" w:space="0"/>
              <w:right w:val="single" w:color="000000" w:sz="2" w:space="0"/>
            </w:tcBorders>
            <w:noWrap w:val="0"/>
            <w:vAlign w:val="center"/>
          </w:tcPr>
          <w:p w14:paraId="0B7AB7AE">
            <w:pPr>
              <w:spacing w:line="0" w:lineRule="atLeast"/>
              <w:jc w:val="left"/>
              <w:rPr>
                <w:rFonts w:hint="eastAsia" w:ascii="仿宋" w:hAnsi="仿宋" w:eastAsia="仿宋" w:cs="仿宋"/>
                <w:color w:val="auto"/>
                <w:sz w:val="21"/>
                <w:szCs w:val="21"/>
                <w:highlight w:val="none"/>
              </w:rPr>
            </w:pPr>
          </w:p>
        </w:tc>
        <w:tc>
          <w:tcPr>
            <w:tcW w:w="1777" w:type="dxa"/>
            <w:tcBorders>
              <w:top w:val="single" w:color="000000" w:sz="2" w:space="0"/>
              <w:left w:val="single" w:color="000000" w:sz="2" w:space="0"/>
              <w:bottom w:val="single" w:color="000000" w:sz="2" w:space="0"/>
              <w:right w:val="single" w:color="000000" w:sz="2" w:space="0"/>
            </w:tcBorders>
            <w:noWrap w:val="0"/>
            <w:vAlign w:val="center"/>
          </w:tcPr>
          <w:p w14:paraId="22532E10">
            <w:pPr>
              <w:spacing w:line="0" w:lineRule="atLeast"/>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投标报价</w:t>
            </w:r>
          </w:p>
        </w:tc>
        <w:tc>
          <w:tcPr>
            <w:tcW w:w="4971" w:type="dxa"/>
            <w:tcBorders>
              <w:top w:val="single" w:color="000000" w:sz="2" w:space="0"/>
              <w:left w:val="single" w:color="000000" w:sz="2" w:space="0"/>
              <w:bottom w:val="single" w:color="000000" w:sz="2" w:space="0"/>
              <w:right w:val="single" w:color="000000" w:sz="2" w:space="0"/>
            </w:tcBorders>
            <w:noWrap w:val="0"/>
            <w:vAlign w:val="center"/>
          </w:tcPr>
          <w:p w14:paraId="0816627B">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不超过采购预算，超过采购预算的投标报价，其投标将被否决</w:t>
            </w:r>
          </w:p>
        </w:tc>
      </w:tr>
    </w:tbl>
    <w:p w14:paraId="7748B8A8">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5A23CB39">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附表</w:t>
      </w:r>
      <w:r>
        <w:rPr>
          <w:rFonts w:hint="eastAsia"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val="en-US" w:eastAsia="zh-CN"/>
        </w:rPr>
        <w:t>、</w:t>
      </w:r>
      <w:r>
        <w:rPr>
          <w:rFonts w:hint="eastAsia" w:cs="仿宋"/>
          <w:b/>
          <w:bCs/>
          <w:color w:val="auto"/>
          <w:sz w:val="24"/>
          <w:szCs w:val="24"/>
          <w:highlight w:val="none"/>
          <w:lang w:val="en-US" w:eastAsia="zh-CN"/>
        </w:rPr>
        <w:t>详细评审表</w:t>
      </w:r>
    </w:p>
    <w:tbl>
      <w:tblPr>
        <w:tblStyle w:val="18"/>
        <w:tblW w:w="831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29"/>
        <w:gridCol w:w="5750"/>
        <w:gridCol w:w="735"/>
      </w:tblGrid>
      <w:tr w14:paraId="6E2C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6D409B4E">
            <w:pPr>
              <w:bidi w:val="0"/>
              <w:rPr>
                <w:rFonts w:hint="eastAsia" w:ascii="仿宋" w:hAnsi="仿宋" w:eastAsia="仿宋" w:cs="仿宋"/>
                <w:highlight w:val="none"/>
              </w:rPr>
            </w:pPr>
            <w:r>
              <w:rPr>
                <w:rFonts w:hint="eastAsia" w:ascii="仿宋" w:hAnsi="仿宋" w:eastAsia="仿宋" w:cs="仿宋"/>
                <w:highlight w:val="none"/>
              </w:rPr>
              <w:t>评审因素</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7A35641">
            <w:pPr>
              <w:bidi w:val="0"/>
              <w:rPr>
                <w:rFonts w:hint="eastAsia" w:ascii="仿宋" w:hAnsi="仿宋" w:eastAsia="仿宋" w:cs="仿宋"/>
                <w:highlight w:val="none"/>
              </w:rPr>
            </w:pPr>
            <w:r>
              <w:rPr>
                <w:rFonts w:hint="eastAsia" w:ascii="仿宋" w:hAnsi="仿宋" w:eastAsia="仿宋" w:cs="仿宋"/>
                <w:highlight w:val="none"/>
              </w:rPr>
              <w:t>分项名称</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77DAC3C4">
            <w:pPr>
              <w:bidi w:val="0"/>
              <w:rPr>
                <w:rFonts w:hint="eastAsia" w:ascii="仿宋" w:hAnsi="仿宋" w:eastAsia="仿宋" w:cs="仿宋"/>
                <w:highlight w:val="none"/>
              </w:rPr>
            </w:pPr>
            <w:r>
              <w:rPr>
                <w:rFonts w:hint="eastAsia" w:ascii="仿宋" w:hAnsi="仿宋" w:eastAsia="仿宋" w:cs="仿宋"/>
                <w:highlight w:val="none"/>
              </w:rPr>
              <w:t>评分标准</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1C7BDC5">
            <w:pPr>
              <w:bidi w:val="0"/>
              <w:rPr>
                <w:rFonts w:hint="eastAsia" w:ascii="仿宋" w:hAnsi="仿宋" w:eastAsia="仿宋" w:cs="仿宋"/>
                <w:highlight w:val="none"/>
              </w:rPr>
            </w:pPr>
            <w:r>
              <w:rPr>
                <w:rFonts w:hint="eastAsia" w:ascii="仿宋" w:hAnsi="仿宋" w:eastAsia="仿宋" w:cs="仿宋"/>
                <w:highlight w:val="none"/>
              </w:rPr>
              <w:t>满分</w:t>
            </w:r>
          </w:p>
        </w:tc>
      </w:tr>
      <w:tr w14:paraId="1AFA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14:paraId="32DE2AFF">
            <w:pPr>
              <w:bidi w:val="0"/>
              <w:rPr>
                <w:rFonts w:hint="eastAsia" w:ascii="仿宋" w:hAnsi="仿宋" w:eastAsia="仿宋" w:cs="仿宋"/>
                <w:highlight w:val="none"/>
                <w:lang w:val="en-US" w:eastAsia="zh-CN"/>
              </w:rPr>
            </w:pPr>
            <w:r>
              <w:rPr>
                <w:rFonts w:hint="eastAsia" w:ascii="仿宋" w:hAnsi="仿宋" w:eastAsia="仿宋" w:cs="仿宋"/>
                <w:highlight w:val="none"/>
              </w:rPr>
              <w:t>价格部分</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7996D98">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投标报价</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60E800EA">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价格分采用低价优先法计算，即满足招标文件要求且投标报价最低的投标报价为投标基准价，其价格分为满分。其他投标人的价格分统一按照下列公式计算：</w:t>
            </w:r>
          </w:p>
          <w:p w14:paraId="1A779C3D">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投标报价得分=（投标基准价/评标报价）×30</w:t>
            </w:r>
          </w:p>
          <w:p w14:paraId="0EE68451">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（得分按四舍五入的方式保留小数点后二位）</w:t>
            </w:r>
          </w:p>
          <w:p w14:paraId="3DC919ED">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1、根据《政府采购货物和服务招标投标管理办法》第六条规定：评标委员会认为投标人的报价明显低于其他通过符合性审查投标人的报价，有可能或者不能诚信履约的，应当要求其在评标现场合理的时间内提供书面说明，必要时提交相关证明材料；投标人不能证明其报价合理性的，评标委员会应当将其作为无效投标处理。</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2F10DDD">
            <w:pPr>
              <w:bidi w:val="0"/>
              <w:rPr>
                <w:rFonts w:hint="eastAsia" w:ascii="仿宋" w:hAnsi="仿宋" w:eastAsia="仿宋" w:cs="仿宋"/>
                <w:highlight w:val="none"/>
                <w:lang w:val="en-US" w:eastAsia="zh-CN"/>
              </w:rPr>
            </w:pPr>
            <w:r>
              <w:rPr>
                <w:rFonts w:hint="eastAsia" w:ascii="仿宋" w:hAnsi="仿宋" w:eastAsia="仿宋" w:cs="仿宋"/>
                <w:highlight w:val="none"/>
              </w:rPr>
              <w:t>30</w:t>
            </w:r>
          </w:p>
        </w:tc>
      </w:tr>
      <w:tr w14:paraId="4087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Merge w:val="restart"/>
            <w:tcBorders>
              <w:top w:val="single" w:color="auto" w:sz="4" w:space="0"/>
              <w:left w:val="single" w:color="auto" w:sz="4" w:space="0"/>
              <w:right w:val="single" w:color="auto" w:sz="4" w:space="0"/>
            </w:tcBorders>
            <w:noWrap w:val="0"/>
            <w:vAlign w:val="center"/>
          </w:tcPr>
          <w:p w14:paraId="7F76DFDA">
            <w:pPr>
              <w:bidi w:val="0"/>
              <w:rPr>
                <w:rFonts w:hint="eastAsia" w:ascii="仿宋" w:hAnsi="仿宋" w:eastAsia="仿宋" w:cs="仿宋"/>
                <w:highlight w:val="none"/>
              </w:rPr>
            </w:pPr>
            <w:r>
              <w:rPr>
                <w:rFonts w:hint="eastAsia" w:ascii="仿宋" w:hAnsi="仿宋" w:eastAsia="仿宋" w:cs="仿宋"/>
                <w:highlight w:val="none"/>
              </w:rPr>
              <w:t>技术部分</w:t>
            </w:r>
          </w:p>
        </w:tc>
        <w:tc>
          <w:tcPr>
            <w:tcW w:w="1029" w:type="dxa"/>
            <w:tcBorders>
              <w:top w:val="single" w:color="auto" w:sz="4" w:space="0"/>
              <w:left w:val="single" w:color="auto" w:sz="4" w:space="0"/>
              <w:right w:val="single" w:color="auto" w:sz="4" w:space="0"/>
            </w:tcBorders>
            <w:noWrap w:val="0"/>
            <w:vAlign w:val="center"/>
          </w:tcPr>
          <w:p w14:paraId="14DE3768">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重要技术参数响应情况</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32C3D852">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所投</w:t>
            </w:r>
            <w:r>
              <w:rPr>
                <w:rFonts w:hint="eastAsia" w:cs="仿宋"/>
                <w:highlight w:val="none"/>
                <w:lang w:val="en-US" w:eastAsia="zh-CN"/>
              </w:rPr>
              <w:t>核心</w:t>
            </w:r>
            <w:r>
              <w:rPr>
                <w:rFonts w:hint="eastAsia" w:ascii="仿宋" w:hAnsi="仿宋" w:eastAsia="仿宋" w:cs="仿宋"/>
                <w:highlight w:val="none"/>
                <w:lang w:val="en-US" w:eastAsia="zh-CN"/>
              </w:rPr>
              <w:t>产品每有一项标注▲号条款的技术参数优于“技术指标参数”中标记▲号条款（即重要条款）技术条款要求的，得</w:t>
            </w:r>
            <w:r>
              <w:rPr>
                <w:rFonts w:hint="eastAsia" w:cs="仿宋"/>
                <w:highlight w:val="none"/>
                <w:lang w:val="en-US" w:eastAsia="zh-CN"/>
              </w:rPr>
              <w:t>1</w:t>
            </w:r>
            <w:r>
              <w:rPr>
                <w:rFonts w:hint="eastAsia" w:ascii="仿宋" w:hAnsi="仿宋" w:eastAsia="仿宋" w:cs="仿宋"/>
                <w:highlight w:val="none"/>
                <w:lang w:val="en-US" w:eastAsia="zh-CN"/>
              </w:rPr>
              <w:t>分；</w:t>
            </w:r>
            <w:r>
              <w:rPr>
                <w:rFonts w:hint="eastAsia" w:cs="仿宋"/>
                <w:highlight w:val="none"/>
                <w:lang w:val="en-US" w:eastAsia="zh-CN"/>
              </w:rPr>
              <w:t>满分27分，</w:t>
            </w:r>
            <w:r>
              <w:rPr>
                <w:rFonts w:hint="eastAsia" w:ascii="仿宋" w:hAnsi="仿宋" w:eastAsia="仿宋" w:cs="仿宋"/>
                <w:highlight w:val="none"/>
                <w:lang w:val="en-US" w:eastAsia="zh-CN"/>
              </w:rPr>
              <w:t>本项最低得</w:t>
            </w:r>
            <w:r>
              <w:rPr>
                <w:rFonts w:hint="eastAsia" w:cs="仿宋"/>
                <w:highlight w:val="none"/>
                <w:lang w:val="en-US" w:eastAsia="zh-CN"/>
              </w:rPr>
              <w:t>0</w:t>
            </w:r>
            <w:r>
              <w:rPr>
                <w:rFonts w:hint="eastAsia" w:ascii="仿宋" w:hAnsi="仿宋" w:eastAsia="仿宋" w:cs="仿宋"/>
                <w:highlight w:val="none"/>
                <w:lang w:val="en-US" w:eastAsia="zh-CN"/>
              </w:rPr>
              <w:t>分。</w:t>
            </w:r>
          </w:p>
          <w:p w14:paraId="038A61B7">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备注：技术参数佐证材料按采购需求要求内容提供。投标人应如实在《采购需求条款响应一览表》中填报具体响应情况，如存在虚假响应或提供佐证材料为虚假材料的，按相关法律法规及供应商的承诺函对应条款处理。</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00661255">
            <w:pPr>
              <w:bidi w:val="0"/>
              <w:rPr>
                <w:rFonts w:hint="default" w:ascii="仿宋" w:hAnsi="仿宋" w:eastAsia="仿宋" w:cs="仿宋"/>
                <w:highlight w:val="none"/>
                <w:lang w:val="en-US" w:eastAsia="zh-CN"/>
              </w:rPr>
            </w:pPr>
            <w:r>
              <w:rPr>
                <w:rFonts w:hint="eastAsia" w:cs="仿宋"/>
                <w:highlight w:val="none"/>
                <w:lang w:val="en-US" w:eastAsia="zh-CN"/>
              </w:rPr>
              <w:t>27</w:t>
            </w:r>
          </w:p>
        </w:tc>
      </w:tr>
      <w:tr w14:paraId="083A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805" w:type="dxa"/>
            <w:vMerge w:val="continue"/>
            <w:tcBorders>
              <w:left w:val="single" w:color="auto" w:sz="4" w:space="0"/>
              <w:right w:val="single" w:color="auto" w:sz="4" w:space="0"/>
            </w:tcBorders>
            <w:noWrap w:val="0"/>
            <w:vAlign w:val="center"/>
          </w:tcPr>
          <w:p w14:paraId="034657F3">
            <w:pPr>
              <w:bidi w:val="0"/>
              <w:rPr>
                <w:rFonts w:hint="eastAsia" w:ascii="仿宋" w:hAnsi="仿宋" w:eastAsia="仿宋" w:cs="仿宋"/>
                <w:highlight w:val="none"/>
              </w:rPr>
            </w:pPr>
          </w:p>
        </w:tc>
        <w:tc>
          <w:tcPr>
            <w:tcW w:w="1029" w:type="dxa"/>
            <w:tcBorders>
              <w:top w:val="single" w:color="auto" w:sz="4" w:space="0"/>
              <w:left w:val="single" w:color="auto" w:sz="4" w:space="0"/>
              <w:right w:val="single" w:color="auto" w:sz="4" w:space="0"/>
            </w:tcBorders>
            <w:noWrap w:val="0"/>
            <w:vAlign w:val="top"/>
          </w:tcPr>
          <w:p w14:paraId="2BB0DFF3">
            <w:pPr>
              <w:bidi w:val="0"/>
              <w:rPr>
                <w:rFonts w:hint="eastAsia" w:ascii="仿宋" w:hAnsi="仿宋" w:eastAsia="仿宋" w:cs="仿宋"/>
                <w:highlight w:val="none"/>
                <w:lang w:val="zh-CN" w:eastAsia="zh-CN"/>
              </w:rPr>
            </w:pPr>
            <w:r>
              <w:rPr>
                <w:rFonts w:hint="eastAsia" w:ascii="仿宋" w:hAnsi="仿宋" w:eastAsia="仿宋" w:cs="仿宋"/>
                <w:highlight w:val="none"/>
                <w:lang w:val="en-US" w:eastAsia="zh-CN"/>
              </w:rPr>
              <w:t>供货方案</w:t>
            </w:r>
          </w:p>
        </w:tc>
        <w:tc>
          <w:tcPr>
            <w:tcW w:w="5750" w:type="dxa"/>
            <w:tcBorders>
              <w:top w:val="single" w:color="auto" w:sz="4" w:space="0"/>
              <w:left w:val="single" w:color="auto" w:sz="4" w:space="0"/>
              <w:right w:val="single" w:color="auto" w:sz="4" w:space="0"/>
            </w:tcBorders>
            <w:noWrap w:val="0"/>
            <w:vAlign w:val="top"/>
          </w:tcPr>
          <w:p w14:paraId="1953D5EB">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审查投标人提供的供货方案的详尽程度、完善性、合理性以及是否满足招标文件要求。供货方案至少包括：①供货时间安排；②供货人员安排；③产品的配送流程；④包装方式及产品保护措施。</w:t>
            </w:r>
          </w:p>
          <w:p w14:paraId="28BD60AC">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方案措施详细、完善、合理并完全满足采购需求，得</w:t>
            </w:r>
            <w:r>
              <w:rPr>
                <w:rFonts w:hint="eastAsia" w:cs="仿宋"/>
                <w:highlight w:val="none"/>
                <w:lang w:val="en-US" w:eastAsia="zh-CN"/>
              </w:rPr>
              <w:t>8</w:t>
            </w:r>
            <w:r>
              <w:rPr>
                <w:rFonts w:hint="eastAsia" w:ascii="仿宋" w:hAnsi="仿宋" w:eastAsia="仿宋" w:cs="仿宋"/>
                <w:highlight w:val="none"/>
                <w:lang w:val="en-US" w:eastAsia="zh-CN"/>
              </w:rPr>
              <w:t>分；每存在一处内容缺陷扣</w:t>
            </w:r>
            <w:r>
              <w:rPr>
                <w:rFonts w:hint="eastAsia" w:cs="仿宋"/>
                <w:highlight w:val="none"/>
                <w:lang w:val="en-US" w:eastAsia="zh-CN"/>
              </w:rPr>
              <w:t>2</w:t>
            </w:r>
            <w:r>
              <w:rPr>
                <w:rFonts w:hint="eastAsia" w:ascii="仿宋" w:hAnsi="仿宋" w:eastAsia="仿宋" w:cs="仿宋"/>
                <w:highlight w:val="none"/>
                <w:lang w:val="en-US" w:eastAsia="zh-CN"/>
              </w:rPr>
              <w:t>分。缺陷是指：方案未提供；内容与本项目无关；凭空编造；语句有歧义；内容前后矛盾；套用其他方案；不满足采购需求；虽有内容但描述存在偏离、内容脱离项目实际情况；实施地点、涉及的规范、标准与本项目要求不一致等任意一种情形。</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ACCA5FE">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8</w:t>
            </w:r>
          </w:p>
        </w:tc>
      </w:tr>
      <w:tr w14:paraId="5025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05" w:type="dxa"/>
            <w:vMerge w:val="continue"/>
            <w:tcBorders>
              <w:left w:val="single" w:color="auto" w:sz="4" w:space="0"/>
              <w:right w:val="single" w:color="auto" w:sz="4" w:space="0"/>
            </w:tcBorders>
            <w:noWrap w:val="0"/>
            <w:vAlign w:val="center"/>
          </w:tcPr>
          <w:p w14:paraId="578C6DC9">
            <w:pPr>
              <w:bidi w:val="0"/>
              <w:rPr>
                <w:rFonts w:hint="eastAsia" w:ascii="仿宋" w:hAnsi="仿宋" w:eastAsia="仿宋" w:cs="仿宋"/>
                <w:highlight w:val="none"/>
              </w:rPr>
            </w:pPr>
          </w:p>
        </w:tc>
        <w:tc>
          <w:tcPr>
            <w:tcW w:w="1029" w:type="dxa"/>
            <w:tcBorders>
              <w:top w:val="single" w:color="auto" w:sz="4" w:space="0"/>
              <w:left w:val="single" w:color="auto" w:sz="4" w:space="0"/>
              <w:right w:val="single" w:color="auto" w:sz="4" w:space="0"/>
            </w:tcBorders>
            <w:noWrap w:val="0"/>
            <w:vAlign w:val="center"/>
          </w:tcPr>
          <w:p w14:paraId="676272CE">
            <w:pPr>
              <w:bidi w:val="0"/>
              <w:rPr>
                <w:rFonts w:hint="eastAsia" w:ascii="仿宋" w:hAnsi="仿宋" w:eastAsia="仿宋" w:cs="仿宋"/>
                <w:highlight w:val="none"/>
                <w:lang w:val="zh-CN" w:eastAsia="zh-CN"/>
              </w:rPr>
            </w:pPr>
            <w:r>
              <w:rPr>
                <w:rFonts w:hint="eastAsia" w:ascii="仿宋" w:hAnsi="仿宋" w:eastAsia="仿宋" w:cs="仿宋"/>
                <w:highlight w:val="none"/>
                <w:lang w:val="en-US" w:eastAsia="zh-CN"/>
              </w:rPr>
              <w:t>质量保证体系及措施</w:t>
            </w:r>
          </w:p>
        </w:tc>
        <w:tc>
          <w:tcPr>
            <w:tcW w:w="5750" w:type="dxa"/>
            <w:tcBorders>
              <w:top w:val="single" w:color="auto" w:sz="4" w:space="0"/>
              <w:left w:val="single" w:color="auto" w:sz="4" w:space="0"/>
              <w:right w:val="single" w:color="auto" w:sz="4" w:space="0"/>
            </w:tcBorders>
            <w:noWrap w:val="0"/>
            <w:vAlign w:val="center"/>
          </w:tcPr>
          <w:p w14:paraId="1C76A9FB">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审查投标人提供的质量保证体系及措施的详尽程度、完善性、合理性以及是否满足招标文件要求。措施至少包括：①货物出厂运输保护措施；②安装调试质量保障措施；③所投产品合法来源渠道；④质量保证制度。</w:t>
            </w:r>
          </w:p>
          <w:p w14:paraId="2BA8E645">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方案措施详细、完善、合理并完全满足采购需求，得4分；每存在一处内容缺陷扣1分。缺陷是指：方案未提供；内容与本项目无关；凭空编造；语句有歧义；内容前后矛盾；套用其他方案；不满足采购需求；虽有内容但描述存在偏离、内容脱离项目实际情况；实施地点、涉及的规范、标准与本项目要求不一致等任意一种情形。</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2568551F">
            <w:pPr>
              <w:bidi w:val="0"/>
              <w:rPr>
                <w:rFonts w:hint="default" w:ascii="仿宋" w:hAnsi="仿宋" w:eastAsia="仿宋" w:cs="仿宋"/>
                <w:highlight w:val="none"/>
                <w:lang w:val="en-US" w:eastAsia="zh-CN"/>
              </w:rPr>
            </w:pPr>
            <w:r>
              <w:rPr>
                <w:rFonts w:hint="eastAsia" w:cs="仿宋"/>
                <w:highlight w:val="none"/>
                <w:lang w:val="en-US" w:eastAsia="zh-CN"/>
              </w:rPr>
              <w:t>4</w:t>
            </w:r>
          </w:p>
        </w:tc>
      </w:tr>
      <w:tr w14:paraId="2EF4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05" w:type="dxa"/>
            <w:vMerge w:val="continue"/>
            <w:tcBorders>
              <w:left w:val="single" w:color="auto" w:sz="4" w:space="0"/>
              <w:right w:val="single" w:color="auto" w:sz="4" w:space="0"/>
            </w:tcBorders>
            <w:noWrap w:val="0"/>
            <w:vAlign w:val="center"/>
          </w:tcPr>
          <w:p w14:paraId="53818047">
            <w:pPr>
              <w:bidi w:val="0"/>
              <w:rPr>
                <w:rFonts w:hint="eastAsia" w:ascii="仿宋" w:hAnsi="仿宋" w:eastAsia="仿宋" w:cs="仿宋"/>
                <w:highlight w:val="none"/>
              </w:rPr>
            </w:pPr>
          </w:p>
        </w:tc>
        <w:tc>
          <w:tcPr>
            <w:tcW w:w="1029" w:type="dxa"/>
            <w:tcBorders>
              <w:top w:val="single" w:color="auto" w:sz="4" w:space="0"/>
              <w:left w:val="single" w:color="auto" w:sz="4" w:space="0"/>
              <w:right w:val="single" w:color="auto" w:sz="4" w:space="0"/>
            </w:tcBorders>
            <w:noWrap w:val="0"/>
            <w:vAlign w:val="center"/>
          </w:tcPr>
          <w:p w14:paraId="0BCE4806">
            <w:pPr>
              <w:bidi w:val="0"/>
              <w:rPr>
                <w:rFonts w:hint="eastAsia" w:ascii="仿宋" w:hAnsi="仿宋" w:eastAsia="仿宋" w:cs="仿宋"/>
                <w:highlight w:val="none"/>
                <w:lang w:val="zh-CN" w:eastAsia="zh-CN"/>
              </w:rPr>
            </w:pPr>
            <w:r>
              <w:rPr>
                <w:rFonts w:hint="eastAsia" w:ascii="仿宋" w:hAnsi="仿宋" w:eastAsia="仿宋" w:cs="仿宋"/>
                <w:highlight w:val="none"/>
                <w:lang w:val="en-US" w:eastAsia="zh-CN"/>
              </w:rPr>
              <w:t>售后服务方案</w:t>
            </w:r>
          </w:p>
        </w:tc>
        <w:tc>
          <w:tcPr>
            <w:tcW w:w="5750" w:type="dxa"/>
            <w:tcBorders>
              <w:top w:val="single" w:color="auto" w:sz="4" w:space="0"/>
              <w:left w:val="single" w:color="auto" w:sz="4" w:space="0"/>
              <w:right w:val="single" w:color="auto" w:sz="4" w:space="0"/>
            </w:tcBorders>
            <w:noWrap w:val="0"/>
            <w:vAlign w:val="center"/>
          </w:tcPr>
          <w:p w14:paraId="53DF9C19">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审查投标人提供的售后服务方案的详尽程度、完善性、合理性以及是否满足招标文件要求。售后服务方案至少包括：①售后服务网点的设定；②拟投入售后服务人员配置情况；③日常维护保养，运行、维修等各种保修方案、费用、消耗品价格等；④项目交付用户后出现故障响应时间及措施。</w:t>
            </w:r>
          </w:p>
          <w:p w14:paraId="2B1CA52C">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方案措施详细、完善、合理并完全满足采购需求，得4分；每存在一处内容缺陷扣1分。缺陷是指：方案未提供；内容与本项目无关；凭空编造；语句有歧义；内容前后矛盾；套用其他方案；不满足采购需求；虽有内容但描述存在偏离、内容脱离项目实际情况；实施地点、涉及的规范、标准与本项目要求不一致等任意一种情形。</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F76BE9B">
            <w:pPr>
              <w:bidi w:val="0"/>
              <w:rPr>
                <w:rFonts w:hint="eastAsia" w:ascii="仿宋" w:hAnsi="仿宋" w:eastAsia="仿宋" w:cs="仿宋"/>
                <w:highlight w:val="none"/>
                <w:lang w:val="en-US" w:eastAsia="zh-CN"/>
              </w:rPr>
            </w:pPr>
            <w:r>
              <w:rPr>
                <w:rFonts w:hint="eastAsia" w:cs="仿宋"/>
                <w:highlight w:val="none"/>
                <w:lang w:val="en-US" w:eastAsia="zh-CN"/>
              </w:rPr>
              <w:t>4</w:t>
            </w:r>
          </w:p>
        </w:tc>
      </w:tr>
      <w:tr w14:paraId="087C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Merge w:val="continue"/>
            <w:tcBorders>
              <w:left w:val="single" w:color="auto" w:sz="4" w:space="0"/>
              <w:right w:val="single" w:color="auto" w:sz="4" w:space="0"/>
            </w:tcBorders>
            <w:noWrap w:val="0"/>
            <w:vAlign w:val="center"/>
          </w:tcPr>
          <w:p w14:paraId="429EC001">
            <w:pPr>
              <w:bidi w:val="0"/>
              <w:rPr>
                <w:rFonts w:hint="eastAsia" w:ascii="仿宋" w:hAnsi="仿宋" w:eastAsia="仿宋" w:cs="仿宋"/>
                <w:highlight w:val="none"/>
              </w:rPr>
            </w:pPr>
          </w:p>
        </w:tc>
        <w:tc>
          <w:tcPr>
            <w:tcW w:w="1029" w:type="dxa"/>
            <w:tcBorders>
              <w:top w:val="single" w:color="auto" w:sz="4" w:space="0"/>
              <w:left w:val="single" w:color="auto" w:sz="4" w:space="0"/>
              <w:right w:val="single" w:color="auto" w:sz="4" w:space="0"/>
            </w:tcBorders>
            <w:noWrap w:val="0"/>
            <w:vAlign w:val="center"/>
          </w:tcPr>
          <w:p w14:paraId="67269D90">
            <w:pPr>
              <w:bidi w:val="0"/>
              <w:rPr>
                <w:rFonts w:hint="eastAsia" w:ascii="仿宋" w:hAnsi="仿宋" w:eastAsia="仿宋" w:cs="仿宋"/>
                <w:highlight w:val="none"/>
                <w:lang w:val="zh-CN" w:eastAsia="zh-CN"/>
              </w:rPr>
            </w:pPr>
            <w:r>
              <w:rPr>
                <w:rFonts w:hint="eastAsia" w:ascii="仿宋" w:hAnsi="仿宋" w:eastAsia="仿宋" w:cs="仿宋"/>
                <w:highlight w:val="none"/>
                <w:lang w:val="en-US" w:eastAsia="zh-CN"/>
              </w:rPr>
              <w:t>培训方案</w:t>
            </w:r>
          </w:p>
        </w:tc>
        <w:tc>
          <w:tcPr>
            <w:tcW w:w="5750" w:type="dxa"/>
            <w:tcBorders>
              <w:top w:val="single" w:color="auto" w:sz="4" w:space="0"/>
              <w:left w:val="single" w:color="auto" w:sz="4" w:space="0"/>
              <w:right w:val="single" w:color="auto" w:sz="4" w:space="0"/>
            </w:tcBorders>
            <w:noWrap w:val="0"/>
            <w:vAlign w:val="center"/>
          </w:tcPr>
          <w:p w14:paraId="233AEDFC">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审查投标人提供的培训方案的详尽程度、完善性、合理性以及是否满足招标文件要求。培训方案至少包括：①培训时间、培训人数；②培训人员；③培训方式；④培训内容应包括所提供产品的原理和技术性能、操作维护方法、安装调试、排除故障等各个方面。方案措施详细、完善、合理并完全满足采购需求，得4分；每存在一处内容缺陷扣1分。缺陷是指：方案未提供；内容与本项目无关；凭空编造；语句有歧义；内容前后矛盾；套用其他方案；不满足采购需求；虽有内容但描述存在偏离、内容脱离项目实际情况；实施地点、涉及的规范、标准与本项目要求不一致等任意一种情形。</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BE8A854">
            <w:pPr>
              <w:bidi w:val="0"/>
              <w:rPr>
                <w:rFonts w:hint="default" w:ascii="仿宋" w:hAnsi="仿宋" w:eastAsia="仿宋" w:cs="仿宋"/>
                <w:highlight w:val="none"/>
                <w:lang w:val="en-US" w:eastAsia="zh-CN"/>
              </w:rPr>
            </w:pPr>
            <w:r>
              <w:rPr>
                <w:rFonts w:hint="eastAsia" w:cs="仿宋"/>
                <w:highlight w:val="none"/>
                <w:lang w:val="en-US" w:eastAsia="zh-CN"/>
              </w:rPr>
              <w:t>4</w:t>
            </w:r>
          </w:p>
        </w:tc>
      </w:tr>
      <w:tr w14:paraId="6D8C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5" w:type="dxa"/>
            <w:vMerge w:val="restart"/>
            <w:noWrap w:val="0"/>
            <w:vAlign w:val="center"/>
          </w:tcPr>
          <w:p w14:paraId="05650E41">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商务部分</w:t>
            </w:r>
          </w:p>
        </w:tc>
        <w:tc>
          <w:tcPr>
            <w:tcW w:w="1029" w:type="dxa"/>
            <w:noWrap w:val="0"/>
            <w:vAlign w:val="center"/>
          </w:tcPr>
          <w:p w14:paraId="3AE61BA0">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企业业绩</w:t>
            </w:r>
          </w:p>
        </w:tc>
        <w:tc>
          <w:tcPr>
            <w:tcW w:w="5750" w:type="dxa"/>
            <w:shd w:val="clear" w:color="auto" w:fill="auto"/>
            <w:noWrap w:val="0"/>
            <w:vAlign w:val="center"/>
          </w:tcPr>
          <w:p w14:paraId="7CD59090">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对所投同品牌的核心产品近三年（2022年1月1日至今）的产品业绩进行评议，投标人或制造商每具备一个业绩得</w:t>
            </w:r>
            <w:r>
              <w:rPr>
                <w:rFonts w:hint="eastAsia" w:cs="仿宋"/>
                <w:highlight w:val="none"/>
                <w:lang w:val="en-US" w:eastAsia="zh-CN"/>
              </w:rPr>
              <w:t>3</w:t>
            </w:r>
            <w:r>
              <w:rPr>
                <w:rFonts w:hint="eastAsia" w:ascii="仿宋" w:hAnsi="仿宋" w:eastAsia="仿宋" w:cs="仿宋"/>
                <w:highlight w:val="none"/>
                <w:lang w:val="en-US" w:eastAsia="zh-CN"/>
              </w:rPr>
              <w:t>分，最高</w:t>
            </w:r>
            <w:r>
              <w:rPr>
                <w:rFonts w:hint="eastAsia" w:cs="仿宋"/>
                <w:highlight w:val="none"/>
                <w:lang w:val="en-US" w:eastAsia="zh-CN"/>
              </w:rPr>
              <w:t>12</w:t>
            </w:r>
            <w:r>
              <w:rPr>
                <w:rFonts w:hint="eastAsia" w:ascii="仿宋" w:hAnsi="仿宋" w:eastAsia="仿宋" w:cs="仿宋"/>
                <w:highlight w:val="none"/>
                <w:lang w:val="en-US" w:eastAsia="zh-CN"/>
              </w:rPr>
              <w:t>分。提供所投同品牌的核心产品</w:t>
            </w:r>
            <w:r>
              <w:rPr>
                <w:rFonts w:hint="eastAsia" w:cs="仿宋"/>
                <w:highlight w:val="none"/>
                <w:lang w:val="en-US" w:eastAsia="zh-CN"/>
              </w:rPr>
              <w:t>中标通知书和发票和</w:t>
            </w:r>
            <w:r>
              <w:rPr>
                <w:rFonts w:hint="eastAsia" w:ascii="仿宋" w:hAnsi="仿宋" w:eastAsia="仿宋" w:cs="仿宋"/>
                <w:highlight w:val="none"/>
                <w:lang w:val="en-US" w:eastAsia="zh-CN"/>
              </w:rPr>
              <w:t>供货合同关键页复印件（含合同项目名称、合同内容包含所投同品牌产品、签订合同双方的单位名称、落款盖章、签订日期的关键页）加盖投标人公章。</w:t>
            </w:r>
          </w:p>
        </w:tc>
        <w:tc>
          <w:tcPr>
            <w:tcW w:w="735" w:type="dxa"/>
            <w:noWrap w:val="0"/>
            <w:vAlign w:val="center"/>
          </w:tcPr>
          <w:p w14:paraId="2F42B730">
            <w:pPr>
              <w:bidi w:val="0"/>
              <w:rPr>
                <w:rFonts w:hint="default" w:ascii="仿宋" w:hAnsi="仿宋" w:eastAsia="仿宋" w:cs="仿宋"/>
                <w:highlight w:val="none"/>
                <w:lang w:val="en-US" w:eastAsia="zh-CN"/>
              </w:rPr>
            </w:pPr>
            <w:r>
              <w:rPr>
                <w:rFonts w:hint="eastAsia" w:cs="仿宋"/>
                <w:highlight w:val="none"/>
                <w:lang w:val="en-US" w:eastAsia="zh-CN"/>
              </w:rPr>
              <w:t>12</w:t>
            </w:r>
          </w:p>
        </w:tc>
      </w:tr>
      <w:tr w14:paraId="07D8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5" w:type="dxa"/>
            <w:vMerge w:val="continue"/>
            <w:noWrap w:val="0"/>
            <w:vAlign w:val="center"/>
          </w:tcPr>
          <w:p w14:paraId="538E685C">
            <w:pPr>
              <w:bidi w:val="0"/>
              <w:rPr>
                <w:rFonts w:hint="eastAsia" w:ascii="仿宋" w:hAnsi="仿宋" w:eastAsia="仿宋" w:cs="仿宋"/>
                <w:highlight w:val="none"/>
                <w:lang w:val="en-US" w:eastAsia="zh-CN"/>
              </w:rPr>
            </w:pPr>
          </w:p>
        </w:tc>
        <w:tc>
          <w:tcPr>
            <w:tcW w:w="1029" w:type="dxa"/>
            <w:noWrap w:val="0"/>
            <w:vAlign w:val="top"/>
          </w:tcPr>
          <w:p w14:paraId="01DFD8B3">
            <w:pPr>
              <w:bidi w:val="0"/>
              <w:rPr>
                <w:rFonts w:hint="default" w:ascii="仿宋" w:hAnsi="仿宋" w:eastAsia="仿宋" w:cs="仿宋"/>
                <w:highlight w:val="none"/>
                <w:lang w:val="en-US" w:eastAsia="zh-CN"/>
              </w:rPr>
            </w:pPr>
            <w:r>
              <w:rPr>
                <w:rFonts w:hint="eastAsia" w:ascii="仿宋" w:hAnsi="仿宋" w:eastAsia="仿宋" w:cs="仿宋"/>
                <w:highlight w:val="none"/>
                <w:lang w:val="en-US" w:eastAsia="zh-CN"/>
              </w:rPr>
              <w:t>技术服务团队</w:t>
            </w:r>
          </w:p>
        </w:tc>
        <w:tc>
          <w:tcPr>
            <w:tcW w:w="5750" w:type="dxa"/>
            <w:shd w:val="clear" w:color="auto" w:fill="auto"/>
            <w:noWrap w:val="0"/>
            <w:vAlign w:val="top"/>
          </w:tcPr>
          <w:p w14:paraId="7F640477">
            <w:pPr>
              <w:bidi w:val="0"/>
              <w:rPr>
                <w:rFonts w:hint="eastAsia" w:cs="仿宋"/>
                <w:highlight w:val="none"/>
                <w:lang w:val="en-US" w:eastAsia="zh-CN"/>
              </w:rPr>
            </w:pPr>
            <w:r>
              <w:rPr>
                <w:rFonts w:hint="eastAsia" w:ascii="仿宋" w:hAnsi="仿宋" w:eastAsia="仿宋" w:cs="仿宋"/>
                <w:highlight w:val="none"/>
                <w:lang w:val="en-US" w:eastAsia="zh-CN"/>
              </w:rPr>
              <w:t>根据投标人拟投入本项目人员情况进行评审（项目经理及管理技术人员一览表应包括：①安装调试人员；②质保期内设备维护人员；③伴随技术服务人员；④培训人员）：技术服务团队人员配备合理，从事类似项目的经验丰富，技术服务团队人员</w:t>
            </w:r>
            <w:r>
              <w:rPr>
                <w:rFonts w:hint="eastAsia" w:cs="仿宋"/>
                <w:highlight w:val="none"/>
                <w:lang w:val="en-US" w:eastAsia="zh-CN"/>
              </w:rPr>
              <w:t>人数50人及以上</w:t>
            </w:r>
            <w:r>
              <w:rPr>
                <w:rFonts w:hint="eastAsia" w:ascii="仿宋" w:hAnsi="仿宋" w:eastAsia="仿宋" w:cs="仿宋"/>
                <w:highlight w:val="none"/>
                <w:lang w:val="en-US" w:eastAsia="zh-CN"/>
              </w:rPr>
              <w:t>，得</w:t>
            </w:r>
            <w:r>
              <w:rPr>
                <w:rFonts w:hint="eastAsia" w:cs="仿宋"/>
                <w:highlight w:val="none"/>
                <w:lang w:val="en-US" w:eastAsia="zh-CN"/>
              </w:rPr>
              <w:t>11</w:t>
            </w:r>
            <w:r>
              <w:rPr>
                <w:rFonts w:hint="eastAsia" w:ascii="仿宋" w:hAnsi="仿宋" w:eastAsia="仿宋" w:cs="仿宋"/>
                <w:highlight w:val="none"/>
                <w:lang w:val="en-US" w:eastAsia="zh-CN"/>
              </w:rPr>
              <w:t>分，技术服务团队人员</w:t>
            </w:r>
            <w:r>
              <w:rPr>
                <w:rFonts w:hint="eastAsia" w:cs="仿宋"/>
                <w:highlight w:val="none"/>
                <w:lang w:val="en-US" w:eastAsia="zh-CN"/>
              </w:rPr>
              <w:t>人数30-49人</w:t>
            </w:r>
            <w:r>
              <w:rPr>
                <w:rFonts w:hint="eastAsia" w:ascii="仿宋" w:hAnsi="仿宋" w:eastAsia="仿宋" w:cs="仿宋"/>
                <w:highlight w:val="none"/>
                <w:lang w:val="en-US" w:eastAsia="zh-CN"/>
              </w:rPr>
              <w:t>，得</w:t>
            </w:r>
            <w:r>
              <w:rPr>
                <w:rFonts w:hint="eastAsia" w:cs="仿宋"/>
                <w:highlight w:val="none"/>
                <w:lang w:val="en-US" w:eastAsia="zh-CN"/>
              </w:rPr>
              <w:t>8</w:t>
            </w:r>
            <w:r>
              <w:rPr>
                <w:rFonts w:hint="eastAsia" w:ascii="仿宋" w:hAnsi="仿宋" w:eastAsia="仿宋" w:cs="仿宋"/>
                <w:highlight w:val="none"/>
                <w:lang w:val="en-US" w:eastAsia="zh-CN"/>
              </w:rPr>
              <w:t>分</w:t>
            </w:r>
            <w:r>
              <w:rPr>
                <w:rFonts w:hint="eastAsia" w:cs="仿宋"/>
                <w:highlight w:val="none"/>
                <w:lang w:val="en-US" w:eastAsia="zh-CN"/>
              </w:rPr>
              <w:t>，</w:t>
            </w:r>
            <w:r>
              <w:rPr>
                <w:rFonts w:hint="eastAsia" w:ascii="仿宋" w:hAnsi="仿宋" w:eastAsia="仿宋" w:cs="仿宋"/>
                <w:highlight w:val="none"/>
                <w:lang w:val="en-US" w:eastAsia="zh-CN"/>
              </w:rPr>
              <w:t>技术服务团队人员</w:t>
            </w:r>
            <w:r>
              <w:rPr>
                <w:rFonts w:hint="eastAsia" w:cs="仿宋"/>
                <w:highlight w:val="none"/>
                <w:lang w:val="en-US" w:eastAsia="zh-CN"/>
              </w:rPr>
              <w:t>人数15-29人</w:t>
            </w:r>
            <w:r>
              <w:rPr>
                <w:rFonts w:hint="eastAsia" w:ascii="仿宋" w:hAnsi="仿宋" w:eastAsia="仿宋" w:cs="仿宋"/>
                <w:highlight w:val="none"/>
                <w:lang w:val="en-US" w:eastAsia="zh-CN"/>
              </w:rPr>
              <w:t>，得</w:t>
            </w:r>
            <w:r>
              <w:rPr>
                <w:rFonts w:hint="eastAsia" w:cs="仿宋"/>
                <w:highlight w:val="none"/>
                <w:lang w:val="en-US" w:eastAsia="zh-CN"/>
              </w:rPr>
              <w:t>4</w:t>
            </w:r>
            <w:r>
              <w:rPr>
                <w:rFonts w:hint="eastAsia" w:ascii="仿宋" w:hAnsi="仿宋" w:eastAsia="仿宋" w:cs="仿宋"/>
                <w:highlight w:val="none"/>
                <w:lang w:val="en-US" w:eastAsia="zh-CN"/>
              </w:rPr>
              <w:t>分</w:t>
            </w:r>
            <w:r>
              <w:rPr>
                <w:rFonts w:hint="eastAsia" w:cs="仿宋"/>
                <w:highlight w:val="none"/>
                <w:lang w:val="en-US" w:eastAsia="zh-CN"/>
              </w:rPr>
              <w:t>，</w:t>
            </w:r>
            <w:r>
              <w:rPr>
                <w:rFonts w:hint="eastAsia" w:ascii="仿宋" w:hAnsi="仿宋" w:eastAsia="仿宋" w:cs="仿宋"/>
                <w:highlight w:val="none"/>
                <w:lang w:val="en-US" w:eastAsia="zh-CN"/>
              </w:rPr>
              <w:t>技术服务团队人员</w:t>
            </w:r>
            <w:r>
              <w:rPr>
                <w:rFonts w:hint="eastAsia" w:cs="仿宋"/>
                <w:highlight w:val="none"/>
                <w:lang w:val="en-US" w:eastAsia="zh-CN"/>
              </w:rPr>
              <w:t>人数少于15人，得2分，无不得分</w:t>
            </w:r>
          </w:p>
          <w:p w14:paraId="0CBD1F99">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备注：提供技术服务人员</w:t>
            </w:r>
            <w:r>
              <w:rPr>
                <w:rFonts w:hint="eastAsia" w:cs="仿宋"/>
                <w:highlight w:val="none"/>
                <w:lang w:val="en-US" w:eastAsia="zh-CN"/>
              </w:rPr>
              <w:t>相关</w:t>
            </w:r>
            <w:r>
              <w:rPr>
                <w:rFonts w:hint="eastAsia" w:ascii="仿宋" w:hAnsi="仿宋" w:eastAsia="仿宋" w:cs="仿宋"/>
                <w:highlight w:val="none"/>
                <w:lang w:val="en-US" w:eastAsia="zh-CN"/>
              </w:rPr>
              <w:t>证明材料复印件（身份证、毕业证、</w:t>
            </w:r>
            <w:r>
              <w:rPr>
                <w:rFonts w:hint="eastAsia" w:cs="仿宋"/>
                <w:highlight w:val="none"/>
                <w:lang w:val="en-US" w:eastAsia="zh-CN"/>
              </w:rPr>
              <w:t>社保证明及劳动合同</w:t>
            </w:r>
            <w:r>
              <w:rPr>
                <w:rFonts w:hint="eastAsia" w:ascii="仿宋" w:hAnsi="仿宋" w:eastAsia="仿宋" w:cs="仿宋"/>
                <w:highlight w:val="none"/>
                <w:lang w:val="en-US" w:eastAsia="zh-CN"/>
              </w:rPr>
              <w:t>等）</w:t>
            </w:r>
          </w:p>
        </w:tc>
        <w:tc>
          <w:tcPr>
            <w:tcW w:w="735" w:type="dxa"/>
            <w:noWrap w:val="0"/>
            <w:vAlign w:val="center"/>
          </w:tcPr>
          <w:p w14:paraId="1204409E">
            <w:pPr>
              <w:bidi w:val="0"/>
              <w:rPr>
                <w:rFonts w:hint="default" w:ascii="仿宋" w:hAnsi="仿宋" w:eastAsia="仿宋" w:cs="仿宋"/>
                <w:highlight w:val="none"/>
                <w:lang w:val="en-US" w:eastAsia="zh-CN"/>
              </w:rPr>
            </w:pPr>
            <w:r>
              <w:rPr>
                <w:rFonts w:hint="eastAsia" w:cs="仿宋"/>
                <w:highlight w:val="none"/>
                <w:lang w:val="en-US" w:eastAsia="zh-CN"/>
              </w:rPr>
              <w:t>11</w:t>
            </w:r>
          </w:p>
        </w:tc>
      </w:tr>
      <w:tr w14:paraId="63B1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584" w:type="dxa"/>
            <w:gridSpan w:val="3"/>
            <w:noWrap w:val="0"/>
            <w:vAlign w:val="center"/>
          </w:tcPr>
          <w:p w14:paraId="6F851F9A">
            <w:pPr>
              <w:bidi w:val="0"/>
              <w:rPr>
                <w:rFonts w:hint="eastAsia" w:ascii="仿宋" w:hAnsi="仿宋" w:eastAsia="仿宋" w:cs="仿宋"/>
                <w:highlight w:val="none"/>
                <w:lang w:val="en-US" w:eastAsia="zh-CN"/>
              </w:rPr>
            </w:pPr>
            <w:r>
              <w:rPr>
                <w:rFonts w:hint="eastAsia" w:ascii="仿宋" w:hAnsi="仿宋" w:eastAsia="仿宋" w:cs="仿宋"/>
                <w:highlight w:val="none"/>
              </w:rPr>
              <w:t>合计</w:t>
            </w:r>
          </w:p>
        </w:tc>
        <w:tc>
          <w:tcPr>
            <w:tcW w:w="735" w:type="dxa"/>
            <w:noWrap w:val="0"/>
            <w:vAlign w:val="center"/>
          </w:tcPr>
          <w:p w14:paraId="6E97D174">
            <w:pP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100</w:t>
            </w:r>
          </w:p>
        </w:tc>
      </w:tr>
    </w:tbl>
    <w:p w14:paraId="43B7C5EE">
      <w:pPr>
        <w:keepNext w:val="0"/>
        <w:keepLines w:val="0"/>
        <w:pageBreakBefore w:val="0"/>
        <w:widowControl/>
        <w:kinsoku/>
        <w:wordWrap/>
        <w:overflowPunct/>
        <w:topLinePunct w:val="0"/>
        <w:autoSpaceDE/>
        <w:autoSpaceDN/>
        <w:bidi w:val="0"/>
        <w:adjustRightInd/>
        <w:snapToGrid/>
        <w:spacing w:before="136" w:beforeLines="50" w:after="136" w:afterLines="50" w:line="240" w:lineRule="auto"/>
        <w:ind w:left="0" w:leftChars="0" w:firstLine="0" w:firstLineChars="0"/>
        <w:textAlignment w:val="auto"/>
        <w:outlineLvl w:val="1"/>
        <w:rPr>
          <w:rFonts w:hint="eastAsia" w:cs="仿宋"/>
          <w:b/>
          <w:bCs/>
          <w:color w:val="auto"/>
          <w:sz w:val="24"/>
          <w:szCs w:val="24"/>
          <w:highlight w:val="none"/>
          <w:lang w:val="en-US" w:eastAsia="zh-CN"/>
        </w:rPr>
      </w:pPr>
    </w:p>
    <w:p w14:paraId="4C999C09">
      <w:pPr>
        <w:pStyle w:val="9"/>
        <w:rPr>
          <w:rFonts w:hint="eastAsia"/>
          <w:color w:val="auto"/>
          <w:highlight w:val="none"/>
          <w:lang w:val="en-US" w:eastAsia="zh-CN"/>
        </w:rPr>
      </w:pPr>
    </w:p>
    <w:sectPr>
      <w:headerReference r:id="rId9" w:type="default"/>
      <w:footerReference r:id="rId10"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仿宋"/>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dobeSongStd-Light">
    <w:altName w:val="宋体"/>
    <w:panose1 w:val="00000000000000000000"/>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8452">
    <w:pPr>
      <w:pStyle w:val="10"/>
      <w:ind w:firstLine="3600" w:firstLineChars="2000"/>
      <w:rPr>
        <w:rFonts w:hint="eastAsia" w:eastAsia="仿宋"/>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F0398">
    <w:pPr>
      <w:pStyle w:val="10"/>
      <w:ind w:firstLine="3600" w:firstLineChars="2000"/>
      <w:rPr>
        <w:rFonts w:hint="eastAsia" w:eastAsia="仿宋"/>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3FE5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33FE5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0FC">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76ACB8">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F76ACB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73D3">
    <w:pPr>
      <w:pStyle w:val="10"/>
      <w:ind w:firstLine="360"/>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B380E">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AB380E">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BC9CE">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75019">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3F7A8"/>
    <w:multiLevelType w:val="singleLevel"/>
    <w:tmpl w:val="8A73F7A8"/>
    <w:lvl w:ilvl="0" w:tentative="0">
      <w:start w:val="1"/>
      <w:numFmt w:val="decimal"/>
      <w:lvlText w:val="%1."/>
      <w:lvlJc w:val="left"/>
      <w:pPr>
        <w:ind w:left="425" w:hanging="425"/>
      </w:pPr>
      <w:rPr>
        <w:rFonts w:hint="default"/>
      </w:rPr>
    </w:lvl>
  </w:abstractNum>
  <w:abstractNum w:abstractNumId="1">
    <w:nsid w:val="8F8FAA81"/>
    <w:multiLevelType w:val="singleLevel"/>
    <w:tmpl w:val="8F8FAA81"/>
    <w:lvl w:ilvl="0" w:tentative="0">
      <w:start w:val="1"/>
      <w:numFmt w:val="decimal"/>
      <w:suff w:val="nothing"/>
      <w:lvlText w:val="%1、"/>
      <w:lvlJc w:val="left"/>
    </w:lvl>
  </w:abstractNum>
  <w:abstractNum w:abstractNumId="2">
    <w:nsid w:val="A81144A8"/>
    <w:multiLevelType w:val="multilevel"/>
    <w:tmpl w:val="A81144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B595AF8A"/>
    <w:multiLevelType w:val="singleLevel"/>
    <w:tmpl w:val="B595AF8A"/>
    <w:lvl w:ilvl="0" w:tentative="0">
      <w:start w:val="1"/>
      <w:numFmt w:val="decimal"/>
      <w:lvlText w:val="%1."/>
      <w:lvlJc w:val="left"/>
      <w:pPr>
        <w:tabs>
          <w:tab w:val="left" w:pos="312"/>
        </w:tabs>
      </w:pPr>
    </w:lvl>
  </w:abstractNum>
  <w:abstractNum w:abstractNumId="4">
    <w:nsid w:val="BA71BB4B"/>
    <w:multiLevelType w:val="singleLevel"/>
    <w:tmpl w:val="BA71BB4B"/>
    <w:lvl w:ilvl="0" w:tentative="0">
      <w:start w:val="1"/>
      <w:numFmt w:val="decimal"/>
      <w:lvlText w:val="(%1)"/>
      <w:lvlJc w:val="left"/>
      <w:pPr>
        <w:tabs>
          <w:tab w:val="left" w:pos="0"/>
        </w:tabs>
        <w:ind w:left="425" w:hanging="425"/>
      </w:pPr>
      <w:rPr>
        <w:rFonts w:hint="default"/>
      </w:rPr>
    </w:lvl>
  </w:abstractNum>
  <w:abstractNum w:abstractNumId="5">
    <w:nsid w:val="BDFFC5DD"/>
    <w:multiLevelType w:val="singleLevel"/>
    <w:tmpl w:val="BDFFC5DD"/>
    <w:lvl w:ilvl="0" w:tentative="0">
      <w:start w:val="1"/>
      <w:numFmt w:val="decimal"/>
      <w:lvlText w:val="%1."/>
      <w:lvlJc w:val="left"/>
      <w:pPr>
        <w:tabs>
          <w:tab w:val="left" w:pos="312"/>
        </w:tabs>
      </w:pPr>
    </w:lvl>
  </w:abstractNum>
  <w:abstractNum w:abstractNumId="6">
    <w:nsid w:val="CB953798"/>
    <w:multiLevelType w:val="singleLevel"/>
    <w:tmpl w:val="CB953798"/>
    <w:lvl w:ilvl="0" w:tentative="0">
      <w:start w:val="21"/>
      <w:numFmt w:val="decimal"/>
      <w:suff w:val="space"/>
      <w:lvlText w:val="%1."/>
      <w:lvlJc w:val="left"/>
    </w:lvl>
  </w:abstractNum>
  <w:abstractNum w:abstractNumId="7">
    <w:nsid w:val="CD36667C"/>
    <w:multiLevelType w:val="singleLevel"/>
    <w:tmpl w:val="CD36667C"/>
    <w:lvl w:ilvl="0" w:tentative="0">
      <w:start w:val="1"/>
      <w:numFmt w:val="decimal"/>
      <w:lvlText w:val="%1."/>
      <w:lvlJc w:val="left"/>
      <w:pPr>
        <w:tabs>
          <w:tab w:val="left" w:pos="312"/>
        </w:tabs>
      </w:pPr>
    </w:lvl>
  </w:abstractNum>
  <w:abstractNum w:abstractNumId="8">
    <w:nsid w:val="DC2D0C16"/>
    <w:multiLevelType w:val="singleLevel"/>
    <w:tmpl w:val="DC2D0C16"/>
    <w:lvl w:ilvl="0" w:tentative="0">
      <w:start w:val="1"/>
      <w:numFmt w:val="decimal"/>
      <w:suff w:val="nothing"/>
      <w:lvlText w:val="%1．"/>
      <w:lvlJc w:val="left"/>
    </w:lvl>
  </w:abstractNum>
  <w:abstractNum w:abstractNumId="9">
    <w:nsid w:val="E7740424"/>
    <w:multiLevelType w:val="singleLevel"/>
    <w:tmpl w:val="E7740424"/>
    <w:lvl w:ilvl="0" w:tentative="0">
      <w:start w:val="1"/>
      <w:numFmt w:val="decimal"/>
      <w:lvlText w:val="%1."/>
      <w:lvlJc w:val="left"/>
      <w:pPr>
        <w:tabs>
          <w:tab w:val="left" w:pos="312"/>
        </w:tabs>
      </w:pPr>
    </w:lvl>
  </w:abstractNum>
  <w:abstractNum w:abstractNumId="10">
    <w:nsid w:val="E8D3984B"/>
    <w:multiLevelType w:val="singleLevel"/>
    <w:tmpl w:val="E8D3984B"/>
    <w:lvl w:ilvl="0" w:tentative="0">
      <w:start w:val="1"/>
      <w:numFmt w:val="chineseCounting"/>
      <w:suff w:val="nothing"/>
      <w:lvlText w:val="%1、"/>
      <w:lvlJc w:val="left"/>
      <w:pPr>
        <w:tabs>
          <w:tab w:val="left" w:pos="0"/>
        </w:tabs>
        <w:ind w:left="0" w:firstLine="0"/>
      </w:pPr>
      <w:rPr>
        <w:rFonts w:hint="eastAsia"/>
      </w:rPr>
    </w:lvl>
  </w:abstractNum>
  <w:abstractNum w:abstractNumId="11">
    <w:nsid w:val="EA2878BB"/>
    <w:multiLevelType w:val="singleLevel"/>
    <w:tmpl w:val="EA2878BB"/>
    <w:lvl w:ilvl="0" w:tentative="0">
      <w:start w:val="5"/>
      <w:numFmt w:val="chineseCounting"/>
      <w:suff w:val="space"/>
      <w:lvlText w:val="第%1章"/>
      <w:lvlJc w:val="left"/>
      <w:rPr>
        <w:rFonts w:hint="eastAsia"/>
      </w:rPr>
    </w:lvl>
  </w:abstractNum>
  <w:abstractNum w:abstractNumId="12">
    <w:nsid w:val="F21B5EF6"/>
    <w:multiLevelType w:val="singleLevel"/>
    <w:tmpl w:val="F21B5EF6"/>
    <w:lvl w:ilvl="0" w:tentative="0">
      <w:start w:val="1"/>
      <w:numFmt w:val="decimal"/>
      <w:suff w:val="nothing"/>
      <w:lvlText w:val="（%1）"/>
      <w:lvlJc w:val="left"/>
    </w:lvl>
  </w:abstractNum>
  <w:abstractNum w:abstractNumId="13">
    <w:nsid w:val="005D28C5"/>
    <w:multiLevelType w:val="multilevel"/>
    <w:tmpl w:val="005D28C5"/>
    <w:lvl w:ilvl="0" w:tentative="0">
      <w:start w:val="3"/>
      <w:numFmt w:val="japaneseCounting"/>
      <w:lvlText w:val="%1、"/>
      <w:lvlJc w:val="left"/>
      <w:pPr>
        <w:ind w:left="840" w:hanging="420"/>
      </w:pPr>
    </w:lvl>
    <w:lvl w:ilvl="1" w:tentative="0">
      <w:start w:val="1"/>
      <w:numFmt w:val="decimal"/>
      <w:lvlText w:val="%2."/>
      <w:lvlJc w:val="left"/>
      <w:pPr>
        <w:ind w:left="1260" w:hanging="420"/>
      </w:pPr>
    </w:lvl>
    <w:lvl w:ilvl="2" w:tentative="0">
      <w:start w:val="1"/>
      <w:numFmt w:val="bullet"/>
      <w:lvlText w:val="＊"/>
      <w:lvlJc w:val="left"/>
      <w:pPr>
        <w:ind w:left="1620" w:hanging="360"/>
      </w:pPr>
      <w:rPr>
        <w:rFonts w:hint="eastAsia" w:ascii="微软雅黑" w:hAnsi="微软雅黑" w:eastAsia="微软雅黑" w:cs="Arial"/>
        <w:b/>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48A1574"/>
    <w:multiLevelType w:val="singleLevel"/>
    <w:tmpl w:val="048A1574"/>
    <w:lvl w:ilvl="0" w:tentative="0">
      <w:start w:val="1"/>
      <w:numFmt w:val="decimal"/>
      <w:lvlText w:val="%1."/>
      <w:lvlJc w:val="left"/>
      <w:pPr>
        <w:ind w:left="425" w:hanging="425"/>
      </w:pPr>
      <w:rPr>
        <w:rFonts w:hint="default"/>
      </w:rPr>
    </w:lvl>
  </w:abstractNum>
  <w:abstractNum w:abstractNumId="15">
    <w:nsid w:val="0FF8525E"/>
    <w:multiLevelType w:val="singleLevel"/>
    <w:tmpl w:val="0FF8525E"/>
    <w:lvl w:ilvl="0" w:tentative="0">
      <w:start w:val="3"/>
      <w:numFmt w:val="decimal"/>
      <w:suff w:val="nothing"/>
      <w:lvlText w:val="%1、"/>
      <w:lvlJc w:val="left"/>
    </w:lvl>
  </w:abstractNum>
  <w:abstractNum w:abstractNumId="16">
    <w:nsid w:val="117B792F"/>
    <w:multiLevelType w:val="singleLevel"/>
    <w:tmpl w:val="117B792F"/>
    <w:lvl w:ilvl="0" w:tentative="0">
      <w:start w:val="1"/>
      <w:numFmt w:val="decimal"/>
      <w:lvlText w:val="%1."/>
      <w:lvlJc w:val="left"/>
      <w:pPr>
        <w:ind w:left="425" w:hanging="425"/>
      </w:pPr>
      <w:rPr>
        <w:rFonts w:hint="default"/>
      </w:rPr>
    </w:lvl>
  </w:abstractNum>
  <w:abstractNum w:abstractNumId="17">
    <w:nsid w:val="222107B4"/>
    <w:multiLevelType w:val="multilevel"/>
    <w:tmpl w:val="222107B4"/>
    <w:lvl w:ilvl="0" w:tentative="0">
      <w:start w:val="1"/>
      <w:numFmt w:val="chineseCountingThousand"/>
      <w:pStyle w:val="3"/>
      <w:suff w:val="nothing"/>
      <w:lvlText w:val="%1、"/>
      <w:lvlJc w:val="left"/>
      <w:pPr>
        <w:ind w:left="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2D4DD6B"/>
    <w:multiLevelType w:val="singleLevel"/>
    <w:tmpl w:val="22D4DD6B"/>
    <w:lvl w:ilvl="0" w:tentative="0">
      <w:start w:val="1"/>
      <w:numFmt w:val="decimal"/>
      <w:suff w:val="nothing"/>
      <w:lvlText w:val="（%1）"/>
      <w:lvlJc w:val="left"/>
    </w:lvl>
  </w:abstractNum>
  <w:abstractNum w:abstractNumId="19">
    <w:nsid w:val="45A467ED"/>
    <w:multiLevelType w:val="multilevel"/>
    <w:tmpl w:val="45A467ED"/>
    <w:lvl w:ilvl="0" w:tentative="0">
      <w:start w:val="1"/>
      <w:numFmt w:val="decimal"/>
      <w:lvlText w:val="%1、"/>
      <w:lvlJc w:val="left"/>
      <w:pPr>
        <w:tabs>
          <w:tab w:val="left" w:pos="465"/>
        </w:tabs>
        <w:ind w:left="465" w:hanging="36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20">
    <w:nsid w:val="4F7C76B3"/>
    <w:multiLevelType w:val="singleLevel"/>
    <w:tmpl w:val="4F7C76B3"/>
    <w:lvl w:ilvl="0" w:tentative="0">
      <w:start w:val="2"/>
      <w:numFmt w:val="chineseCounting"/>
      <w:suff w:val="nothing"/>
      <w:lvlText w:val="（%1）"/>
      <w:lvlJc w:val="left"/>
      <w:rPr>
        <w:rFonts w:hint="eastAsia"/>
      </w:rPr>
    </w:lvl>
  </w:abstractNum>
  <w:abstractNum w:abstractNumId="21">
    <w:nsid w:val="560C896C"/>
    <w:multiLevelType w:val="multilevel"/>
    <w:tmpl w:val="560C896C"/>
    <w:lvl w:ilvl="0" w:tentative="0">
      <w:start w:val="1"/>
      <w:numFmt w:val="decimal"/>
      <w:lvlText w:val="%1."/>
      <w:lvlJc w:val="left"/>
      <w:pPr>
        <w:tabs>
          <w:tab w:val="left" w:pos="312"/>
        </w:tabs>
        <w:ind w:left="21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59F337E6"/>
    <w:multiLevelType w:val="singleLevel"/>
    <w:tmpl w:val="59F337E6"/>
    <w:lvl w:ilvl="0" w:tentative="0">
      <w:start w:val="1"/>
      <w:numFmt w:val="decimal"/>
      <w:suff w:val="nothing"/>
      <w:lvlText w:val="（%1）"/>
      <w:lvlJc w:val="left"/>
    </w:lvl>
  </w:abstractNum>
  <w:abstractNum w:abstractNumId="23">
    <w:nsid w:val="6367C9C3"/>
    <w:multiLevelType w:val="singleLevel"/>
    <w:tmpl w:val="6367C9C3"/>
    <w:lvl w:ilvl="0" w:tentative="0">
      <w:start w:val="1"/>
      <w:numFmt w:val="decimal"/>
      <w:lvlText w:val="%1."/>
      <w:lvlJc w:val="left"/>
      <w:pPr>
        <w:ind w:left="425" w:hanging="425"/>
      </w:pPr>
      <w:rPr>
        <w:rFonts w:hint="default"/>
      </w:rPr>
    </w:lvl>
  </w:abstractNum>
  <w:abstractNum w:abstractNumId="24">
    <w:nsid w:val="6B2A30D2"/>
    <w:multiLevelType w:val="singleLevel"/>
    <w:tmpl w:val="6B2A30D2"/>
    <w:lvl w:ilvl="0" w:tentative="0">
      <w:start w:val="1"/>
      <w:numFmt w:val="decimal"/>
      <w:lvlText w:val="%1."/>
      <w:lvlJc w:val="left"/>
      <w:pPr>
        <w:ind w:left="425" w:hanging="425"/>
      </w:pPr>
      <w:rPr>
        <w:rFonts w:hint="default"/>
      </w:rPr>
    </w:lvl>
  </w:abstractNum>
  <w:abstractNum w:abstractNumId="25">
    <w:nsid w:val="6E49BC2A"/>
    <w:multiLevelType w:val="multilevel"/>
    <w:tmpl w:val="6E49BC2A"/>
    <w:lvl w:ilvl="0" w:tentative="0">
      <w:start w:val="1"/>
      <w:numFmt w:val="chineseCountingThousand"/>
      <w:pStyle w:val="42"/>
      <w:lvlText w:val="第%1章"/>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70F43A51"/>
    <w:multiLevelType w:val="singleLevel"/>
    <w:tmpl w:val="70F43A51"/>
    <w:lvl w:ilvl="0" w:tentative="0">
      <w:start w:val="1"/>
      <w:numFmt w:val="decimal"/>
      <w:suff w:val="space"/>
      <w:lvlText w:val="%1."/>
      <w:lvlJc w:val="left"/>
    </w:lvl>
  </w:abstractNum>
  <w:abstractNum w:abstractNumId="27">
    <w:nsid w:val="7555475A"/>
    <w:multiLevelType w:val="singleLevel"/>
    <w:tmpl w:val="7555475A"/>
    <w:lvl w:ilvl="0" w:tentative="0">
      <w:start w:val="1"/>
      <w:numFmt w:val="decimal"/>
      <w:lvlText w:val="%1."/>
      <w:lvlJc w:val="left"/>
      <w:pPr>
        <w:tabs>
          <w:tab w:val="left" w:pos="312"/>
        </w:tabs>
      </w:pPr>
    </w:lvl>
  </w:abstractNum>
  <w:abstractNum w:abstractNumId="28">
    <w:nsid w:val="77BE13AC"/>
    <w:multiLevelType w:val="multilevel"/>
    <w:tmpl w:val="77BE13AC"/>
    <w:lvl w:ilvl="0" w:tentative="0">
      <w:start w:val="1"/>
      <w:numFmt w:val="lowerLetter"/>
      <w:lvlText w:val="%1)"/>
      <w:lvlJc w:val="left"/>
      <w:pPr>
        <w:ind w:left="647" w:hanging="420"/>
      </w:pPr>
    </w:lvl>
    <w:lvl w:ilvl="1" w:tentative="0">
      <w:start w:val="1"/>
      <w:numFmt w:val="lowerLetter"/>
      <w:lvlText w:val="%2)"/>
      <w:lvlJc w:val="left"/>
      <w:pPr>
        <w:ind w:left="1067" w:hanging="420"/>
      </w:pPr>
    </w:lvl>
    <w:lvl w:ilvl="2" w:tentative="0">
      <w:start w:val="1"/>
      <w:numFmt w:val="lowerRoman"/>
      <w:lvlText w:val="%3."/>
      <w:lvlJc w:val="right"/>
      <w:pPr>
        <w:ind w:left="1487" w:hanging="420"/>
      </w:pPr>
    </w:lvl>
    <w:lvl w:ilvl="3" w:tentative="0">
      <w:start w:val="1"/>
      <w:numFmt w:val="decimal"/>
      <w:lvlText w:val="%4."/>
      <w:lvlJc w:val="left"/>
      <w:pPr>
        <w:ind w:left="1907" w:hanging="420"/>
      </w:pPr>
    </w:lvl>
    <w:lvl w:ilvl="4" w:tentative="0">
      <w:start w:val="1"/>
      <w:numFmt w:val="lowerLetter"/>
      <w:lvlText w:val="%5)"/>
      <w:lvlJc w:val="left"/>
      <w:pPr>
        <w:ind w:left="2327" w:hanging="420"/>
      </w:pPr>
    </w:lvl>
    <w:lvl w:ilvl="5" w:tentative="0">
      <w:start w:val="1"/>
      <w:numFmt w:val="lowerRoman"/>
      <w:lvlText w:val="%6."/>
      <w:lvlJc w:val="right"/>
      <w:pPr>
        <w:ind w:left="2747" w:hanging="420"/>
      </w:pPr>
    </w:lvl>
    <w:lvl w:ilvl="6" w:tentative="0">
      <w:start w:val="1"/>
      <w:numFmt w:val="decimal"/>
      <w:lvlText w:val="%7."/>
      <w:lvlJc w:val="left"/>
      <w:pPr>
        <w:ind w:left="3167" w:hanging="420"/>
      </w:pPr>
    </w:lvl>
    <w:lvl w:ilvl="7" w:tentative="0">
      <w:start w:val="1"/>
      <w:numFmt w:val="lowerLetter"/>
      <w:lvlText w:val="%8)"/>
      <w:lvlJc w:val="left"/>
      <w:pPr>
        <w:ind w:left="3587" w:hanging="420"/>
      </w:pPr>
    </w:lvl>
    <w:lvl w:ilvl="8" w:tentative="0">
      <w:start w:val="1"/>
      <w:numFmt w:val="lowerRoman"/>
      <w:lvlText w:val="%9."/>
      <w:lvlJc w:val="right"/>
      <w:pPr>
        <w:ind w:left="4007" w:hanging="420"/>
      </w:pPr>
    </w:lvl>
  </w:abstractNum>
  <w:abstractNum w:abstractNumId="29">
    <w:nsid w:val="798FE18A"/>
    <w:multiLevelType w:val="singleLevel"/>
    <w:tmpl w:val="798FE18A"/>
    <w:lvl w:ilvl="0" w:tentative="0">
      <w:start w:val="1"/>
      <w:numFmt w:val="decimal"/>
      <w:lvlText w:val="%1."/>
      <w:lvlJc w:val="left"/>
      <w:pPr>
        <w:tabs>
          <w:tab w:val="left" w:pos="312"/>
        </w:tabs>
      </w:pPr>
    </w:lvl>
  </w:abstractNum>
  <w:abstractNum w:abstractNumId="30">
    <w:nsid w:val="7E70560E"/>
    <w:multiLevelType w:val="multilevel"/>
    <w:tmpl w:val="7E70560E"/>
    <w:lvl w:ilvl="0" w:tentative="0">
      <w:start w:val="1"/>
      <w:numFmt w:val="decimal"/>
      <w:lvlText w:val="%1."/>
      <w:lvlJc w:val="left"/>
      <w:pPr>
        <w:tabs>
          <w:tab w:val="left" w:pos="420"/>
        </w:tabs>
        <w:ind w:left="420" w:hanging="42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F7EECF1"/>
    <w:multiLevelType w:val="singleLevel"/>
    <w:tmpl w:val="7F7EECF1"/>
    <w:lvl w:ilvl="0" w:tentative="0">
      <w:start w:val="1"/>
      <w:numFmt w:val="decimal"/>
      <w:lvlText w:val="(%1)"/>
      <w:lvlJc w:val="left"/>
      <w:pPr>
        <w:tabs>
          <w:tab w:val="left" w:pos="312"/>
        </w:tabs>
      </w:pPr>
    </w:lvl>
  </w:abstractNum>
  <w:num w:numId="1">
    <w:abstractNumId w:val="17"/>
  </w:num>
  <w:num w:numId="2">
    <w:abstractNumId w:val="25"/>
  </w:num>
  <w:num w:numId="3">
    <w:abstractNumId w:val="2"/>
  </w:num>
  <w:num w:numId="4">
    <w:abstractNumId w:val="22"/>
  </w:num>
  <w:num w:numId="5">
    <w:abstractNumId w:val="4"/>
  </w:num>
  <w:num w:numId="6">
    <w:abstractNumId w:val="8"/>
  </w:num>
  <w:num w:numId="7">
    <w:abstractNumId w:val="18"/>
  </w:num>
  <w:num w:numId="8">
    <w:abstractNumId w:val="12"/>
  </w:num>
  <w:num w:numId="9">
    <w:abstractNumId w:val="15"/>
  </w:num>
  <w:num w:numId="10">
    <w:abstractNumId w:val="6"/>
  </w:num>
  <w:num w:numId="11">
    <w:abstractNumId w:val="10"/>
  </w:num>
  <w:num w:numId="12">
    <w:abstractNumId w:val="11"/>
  </w:num>
  <w:num w:numId="13">
    <w:abstractNumId w:val="30"/>
  </w:num>
  <w:num w:numId="14">
    <w:abstractNumId w:val="14"/>
  </w:num>
  <w:num w:numId="15">
    <w:abstractNumId w:val="1"/>
  </w:num>
  <w:num w:numId="16">
    <w:abstractNumId w:val="23"/>
  </w:num>
  <w:num w:numId="17">
    <w:abstractNumId w:val="19"/>
  </w:num>
  <w:num w:numId="18">
    <w:abstractNumId w:val="16"/>
  </w:num>
  <w:num w:numId="19">
    <w:abstractNumId w:val="0"/>
  </w:num>
  <w:num w:numId="20">
    <w:abstractNumId w:val="21"/>
  </w:num>
  <w:num w:numId="21">
    <w:abstractNumId w:val="3"/>
  </w:num>
  <w:num w:numId="22">
    <w:abstractNumId w:val="5"/>
  </w:num>
  <w:num w:numId="23">
    <w:abstractNumId w:val="13"/>
    <w:lvlOverride w:ilvl="0">
      <w:startOverride w:val="3"/>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7"/>
  </w:num>
  <w:num w:numId="26">
    <w:abstractNumId w:val="24"/>
  </w:num>
  <w:num w:numId="27">
    <w:abstractNumId w:val="29"/>
  </w:num>
  <w:num w:numId="28">
    <w:abstractNumId w:val="9"/>
  </w:num>
  <w:num w:numId="29">
    <w:abstractNumId w:val="27"/>
  </w:num>
  <w:num w:numId="30">
    <w:abstractNumId w:val="20"/>
  </w:num>
  <w:num w:numId="31">
    <w:abstractNumId w:val="2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NzNmNTJiNTNhOGI3YzZhODE3ODdlNjNjMjNlNGEifQ=="/>
  </w:docVars>
  <w:rsids>
    <w:rsidRoot w:val="2FB71898"/>
    <w:rsid w:val="00481283"/>
    <w:rsid w:val="006E2C58"/>
    <w:rsid w:val="007B77E8"/>
    <w:rsid w:val="009275FC"/>
    <w:rsid w:val="00BC757B"/>
    <w:rsid w:val="00E84814"/>
    <w:rsid w:val="01121891"/>
    <w:rsid w:val="016D6AC7"/>
    <w:rsid w:val="017D1F02"/>
    <w:rsid w:val="018B248D"/>
    <w:rsid w:val="01DC65FE"/>
    <w:rsid w:val="02313F99"/>
    <w:rsid w:val="02380E83"/>
    <w:rsid w:val="02501A64"/>
    <w:rsid w:val="02821EB4"/>
    <w:rsid w:val="028916DF"/>
    <w:rsid w:val="028D7421"/>
    <w:rsid w:val="02CB7F49"/>
    <w:rsid w:val="02EE5303"/>
    <w:rsid w:val="02F70D3E"/>
    <w:rsid w:val="02F82B20"/>
    <w:rsid w:val="03516A45"/>
    <w:rsid w:val="03F82FC0"/>
    <w:rsid w:val="040550C3"/>
    <w:rsid w:val="0422003D"/>
    <w:rsid w:val="043F299D"/>
    <w:rsid w:val="0453738C"/>
    <w:rsid w:val="045A09FE"/>
    <w:rsid w:val="045A1DC6"/>
    <w:rsid w:val="04602913"/>
    <w:rsid w:val="04974587"/>
    <w:rsid w:val="04B769D7"/>
    <w:rsid w:val="04BB2016"/>
    <w:rsid w:val="04C81581"/>
    <w:rsid w:val="05031C1C"/>
    <w:rsid w:val="051E4730"/>
    <w:rsid w:val="05492252"/>
    <w:rsid w:val="05553469"/>
    <w:rsid w:val="05646EE5"/>
    <w:rsid w:val="057F6DC9"/>
    <w:rsid w:val="05810D93"/>
    <w:rsid w:val="060043AE"/>
    <w:rsid w:val="066C559F"/>
    <w:rsid w:val="068C4FEE"/>
    <w:rsid w:val="06C7385B"/>
    <w:rsid w:val="06D215AC"/>
    <w:rsid w:val="06F2533E"/>
    <w:rsid w:val="07101279"/>
    <w:rsid w:val="076116BA"/>
    <w:rsid w:val="07635520"/>
    <w:rsid w:val="076B1CFB"/>
    <w:rsid w:val="07BE53C7"/>
    <w:rsid w:val="081415B7"/>
    <w:rsid w:val="08326D3B"/>
    <w:rsid w:val="085610C9"/>
    <w:rsid w:val="085E53BC"/>
    <w:rsid w:val="08897181"/>
    <w:rsid w:val="088A61B1"/>
    <w:rsid w:val="08AB6853"/>
    <w:rsid w:val="08D5567E"/>
    <w:rsid w:val="08F1713F"/>
    <w:rsid w:val="08FC3269"/>
    <w:rsid w:val="0902763F"/>
    <w:rsid w:val="0929337E"/>
    <w:rsid w:val="092B4563"/>
    <w:rsid w:val="092D54BA"/>
    <w:rsid w:val="0946657C"/>
    <w:rsid w:val="0959014C"/>
    <w:rsid w:val="09740048"/>
    <w:rsid w:val="09945539"/>
    <w:rsid w:val="09C000DC"/>
    <w:rsid w:val="09CA7455"/>
    <w:rsid w:val="09E46037"/>
    <w:rsid w:val="09F14739"/>
    <w:rsid w:val="0A167E37"/>
    <w:rsid w:val="0A2F0219"/>
    <w:rsid w:val="0A39280F"/>
    <w:rsid w:val="0A623AA2"/>
    <w:rsid w:val="0A7916DA"/>
    <w:rsid w:val="0A911994"/>
    <w:rsid w:val="0A9E290F"/>
    <w:rsid w:val="0AC81D1D"/>
    <w:rsid w:val="0B291CB1"/>
    <w:rsid w:val="0B460AB5"/>
    <w:rsid w:val="0B6A36D6"/>
    <w:rsid w:val="0B705B32"/>
    <w:rsid w:val="0B84338B"/>
    <w:rsid w:val="0B966CA4"/>
    <w:rsid w:val="0BBE689D"/>
    <w:rsid w:val="0BED0F30"/>
    <w:rsid w:val="0C2A3F33"/>
    <w:rsid w:val="0C7C16FC"/>
    <w:rsid w:val="0C9D6863"/>
    <w:rsid w:val="0CEF255C"/>
    <w:rsid w:val="0D1E3CD2"/>
    <w:rsid w:val="0D41698F"/>
    <w:rsid w:val="0D552A3E"/>
    <w:rsid w:val="0D733887"/>
    <w:rsid w:val="0D961154"/>
    <w:rsid w:val="0D985EB0"/>
    <w:rsid w:val="0DAD4E1B"/>
    <w:rsid w:val="0DBC505E"/>
    <w:rsid w:val="0DCE6F95"/>
    <w:rsid w:val="0DF977D2"/>
    <w:rsid w:val="0DFE5677"/>
    <w:rsid w:val="0E1C7049"/>
    <w:rsid w:val="0E212590"/>
    <w:rsid w:val="0E653000"/>
    <w:rsid w:val="0E6A098F"/>
    <w:rsid w:val="0E6B152D"/>
    <w:rsid w:val="0EA87391"/>
    <w:rsid w:val="0F0B5D2E"/>
    <w:rsid w:val="0F1862C4"/>
    <w:rsid w:val="0F662CE2"/>
    <w:rsid w:val="0F786D63"/>
    <w:rsid w:val="1021389E"/>
    <w:rsid w:val="103532AC"/>
    <w:rsid w:val="10392A02"/>
    <w:rsid w:val="104F3F68"/>
    <w:rsid w:val="10516984"/>
    <w:rsid w:val="105B5392"/>
    <w:rsid w:val="10796E21"/>
    <w:rsid w:val="10D73F5D"/>
    <w:rsid w:val="10F16C99"/>
    <w:rsid w:val="114D6D0B"/>
    <w:rsid w:val="115534F9"/>
    <w:rsid w:val="117B3BCF"/>
    <w:rsid w:val="11E20E0C"/>
    <w:rsid w:val="11E52F0D"/>
    <w:rsid w:val="12103BCB"/>
    <w:rsid w:val="1215069D"/>
    <w:rsid w:val="1226519C"/>
    <w:rsid w:val="122D0E8D"/>
    <w:rsid w:val="123258EF"/>
    <w:rsid w:val="124F5306"/>
    <w:rsid w:val="12785620"/>
    <w:rsid w:val="129C545E"/>
    <w:rsid w:val="12B4189F"/>
    <w:rsid w:val="12FE2B88"/>
    <w:rsid w:val="13A36B8D"/>
    <w:rsid w:val="13D80CF1"/>
    <w:rsid w:val="13EE1CEA"/>
    <w:rsid w:val="13F8346F"/>
    <w:rsid w:val="14357918"/>
    <w:rsid w:val="14531B4D"/>
    <w:rsid w:val="145533A6"/>
    <w:rsid w:val="145558C5"/>
    <w:rsid w:val="147E12BF"/>
    <w:rsid w:val="147F4AAC"/>
    <w:rsid w:val="14802DE2"/>
    <w:rsid w:val="15155645"/>
    <w:rsid w:val="153C6A85"/>
    <w:rsid w:val="155913E5"/>
    <w:rsid w:val="15A22D8C"/>
    <w:rsid w:val="15E74C42"/>
    <w:rsid w:val="15F03D40"/>
    <w:rsid w:val="16001DC0"/>
    <w:rsid w:val="16043A1B"/>
    <w:rsid w:val="16076D94"/>
    <w:rsid w:val="162F6427"/>
    <w:rsid w:val="16752D96"/>
    <w:rsid w:val="167D1103"/>
    <w:rsid w:val="16CB6435"/>
    <w:rsid w:val="16DE7DF3"/>
    <w:rsid w:val="16F13FCB"/>
    <w:rsid w:val="17034227"/>
    <w:rsid w:val="17035AAC"/>
    <w:rsid w:val="17536943"/>
    <w:rsid w:val="17EE4066"/>
    <w:rsid w:val="1807337A"/>
    <w:rsid w:val="183E51DD"/>
    <w:rsid w:val="1862744F"/>
    <w:rsid w:val="18773984"/>
    <w:rsid w:val="18A961DF"/>
    <w:rsid w:val="18B15ACD"/>
    <w:rsid w:val="18D373E6"/>
    <w:rsid w:val="1940240E"/>
    <w:rsid w:val="19937CC3"/>
    <w:rsid w:val="19B01DC9"/>
    <w:rsid w:val="19F0407C"/>
    <w:rsid w:val="19FF69FF"/>
    <w:rsid w:val="1A1C3315"/>
    <w:rsid w:val="1A3432C2"/>
    <w:rsid w:val="1A7343D2"/>
    <w:rsid w:val="1A7F5449"/>
    <w:rsid w:val="1A8707A2"/>
    <w:rsid w:val="1A9572CA"/>
    <w:rsid w:val="1AD734D7"/>
    <w:rsid w:val="1AEB593E"/>
    <w:rsid w:val="1B0A74B1"/>
    <w:rsid w:val="1B0B4F2F"/>
    <w:rsid w:val="1B3100EF"/>
    <w:rsid w:val="1B920893"/>
    <w:rsid w:val="1B9C5F55"/>
    <w:rsid w:val="1BBB776C"/>
    <w:rsid w:val="1BC17CE4"/>
    <w:rsid w:val="1BC95A7E"/>
    <w:rsid w:val="1BCB1647"/>
    <w:rsid w:val="1BF15DCA"/>
    <w:rsid w:val="1C4B6A21"/>
    <w:rsid w:val="1C730B7F"/>
    <w:rsid w:val="1C8A2BDE"/>
    <w:rsid w:val="1CA76EDA"/>
    <w:rsid w:val="1CE27F12"/>
    <w:rsid w:val="1D0E157D"/>
    <w:rsid w:val="1D2D5631"/>
    <w:rsid w:val="1D464944"/>
    <w:rsid w:val="1D540E0F"/>
    <w:rsid w:val="1D7C3EC2"/>
    <w:rsid w:val="1DA91A6B"/>
    <w:rsid w:val="1DB418AE"/>
    <w:rsid w:val="1DDD2891"/>
    <w:rsid w:val="1DF32929"/>
    <w:rsid w:val="1E320F02"/>
    <w:rsid w:val="1E39096C"/>
    <w:rsid w:val="1E5A048F"/>
    <w:rsid w:val="1E85324A"/>
    <w:rsid w:val="1E8C282B"/>
    <w:rsid w:val="1EBA7398"/>
    <w:rsid w:val="1EC43D73"/>
    <w:rsid w:val="1ECE2E43"/>
    <w:rsid w:val="1EDF295B"/>
    <w:rsid w:val="1EEE0272"/>
    <w:rsid w:val="1EFC2878"/>
    <w:rsid w:val="1F2F5B9E"/>
    <w:rsid w:val="1F710A77"/>
    <w:rsid w:val="1F982AAA"/>
    <w:rsid w:val="1FAD0CAB"/>
    <w:rsid w:val="1FD46E59"/>
    <w:rsid w:val="1FEC48D3"/>
    <w:rsid w:val="1FFE1506"/>
    <w:rsid w:val="203C360B"/>
    <w:rsid w:val="205B0E05"/>
    <w:rsid w:val="206210A1"/>
    <w:rsid w:val="2079293B"/>
    <w:rsid w:val="20B72AF8"/>
    <w:rsid w:val="20C95670"/>
    <w:rsid w:val="20D9162C"/>
    <w:rsid w:val="20F5782E"/>
    <w:rsid w:val="21023621"/>
    <w:rsid w:val="21221225"/>
    <w:rsid w:val="21494A03"/>
    <w:rsid w:val="217557F8"/>
    <w:rsid w:val="217B5198"/>
    <w:rsid w:val="21AA1873"/>
    <w:rsid w:val="21B27E52"/>
    <w:rsid w:val="21D02380"/>
    <w:rsid w:val="21D118C9"/>
    <w:rsid w:val="21D30974"/>
    <w:rsid w:val="22212FA6"/>
    <w:rsid w:val="227368B6"/>
    <w:rsid w:val="22877591"/>
    <w:rsid w:val="22947F00"/>
    <w:rsid w:val="22BD1205"/>
    <w:rsid w:val="22E04EF3"/>
    <w:rsid w:val="23045086"/>
    <w:rsid w:val="232E7BA6"/>
    <w:rsid w:val="23783011"/>
    <w:rsid w:val="237D2742"/>
    <w:rsid w:val="23AC6A02"/>
    <w:rsid w:val="23E97DD8"/>
    <w:rsid w:val="240B5FA0"/>
    <w:rsid w:val="248A5117"/>
    <w:rsid w:val="248E2DE1"/>
    <w:rsid w:val="249939BB"/>
    <w:rsid w:val="24B639B5"/>
    <w:rsid w:val="24CD50BD"/>
    <w:rsid w:val="25360A76"/>
    <w:rsid w:val="253B27E5"/>
    <w:rsid w:val="255D409B"/>
    <w:rsid w:val="25B53A5B"/>
    <w:rsid w:val="25DD4AD6"/>
    <w:rsid w:val="262275D1"/>
    <w:rsid w:val="26B64F55"/>
    <w:rsid w:val="26DE51C9"/>
    <w:rsid w:val="26F74440"/>
    <w:rsid w:val="271E5FEA"/>
    <w:rsid w:val="276B56D3"/>
    <w:rsid w:val="27A40BE5"/>
    <w:rsid w:val="27AB3D22"/>
    <w:rsid w:val="27BD67A8"/>
    <w:rsid w:val="27E5331B"/>
    <w:rsid w:val="27FE55BF"/>
    <w:rsid w:val="28090723"/>
    <w:rsid w:val="28282F4D"/>
    <w:rsid w:val="284A2EB1"/>
    <w:rsid w:val="285443B9"/>
    <w:rsid w:val="28A735EC"/>
    <w:rsid w:val="28B430AA"/>
    <w:rsid w:val="28DC59CE"/>
    <w:rsid w:val="2900009D"/>
    <w:rsid w:val="292677AA"/>
    <w:rsid w:val="29716DA9"/>
    <w:rsid w:val="29F6324E"/>
    <w:rsid w:val="2A491627"/>
    <w:rsid w:val="2A513ECF"/>
    <w:rsid w:val="2A6D3510"/>
    <w:rsid w:val="2AB33FB7"/>
    <w:rsid w:val="2ACA0963"/>
    <w:rsid w:val="2AE8528D"/>
    <w:rsid w:val="2AED3214"/>
    <w:rsid w:val="2B2A31B0"/>
    <w:rsid w:val="2B3A3495"/>
    <w:rsid w:val="2B7470A5"/>
    <w:rsid w:val="2B7D534D"/>
    <w:rsid w:val="2BDB094E"/>
    <w:rsid w:val="2C1856FE"/>
    <w:rsid w:val="2C2F76B8"/>
    <w:rsid w:val="2C513B81"/>
    <w:rsid w:val="2C960362"/>
    <w:rsid w:val="2CAE1A8C"/>
    <w:rsid w:val="2CE324F5"/>
    <w:rsid w:val="2D2D7E99"/>
    <w:rsid w:val="2D2E0C20"/>
    <w:rsid w:val="2D362006"/>
    <w:rsid w:val="2D3E1194"/>
    <w:rsid w:val="2D6E3085"/>
    <w:rsid w:val="2D825525"/>
    <w:rsid w:val="2DDE64D3"/>
    <w:rsid w:val="2DEA131C"/>
    <w:rsid w:val="2E03505B"/>
    <w:rsid w:val="2E1A575D"/>
    <w:rsid w:val="2E3875B6"/>
    <w:rsid w:val="2E6903FD"/>
    <w:rsid w:val="2E7438E5"/>
    <w:rsid w:val="2E930E27"/>
    <w:rsid w:val="2E936B8B"/>
    <w:rsid w:val="2EA119DB"/>
    <w:rsid w:val="2EEE0998"/>
    <w:rsid w:val="2F236894"/>
    <w:rsid w:val="2F650C5A"/>
    <w:rsid w:val="2FAF45CB"/>
    <w:rsid w:val="2FB71898"/>
    <w:rsid w:val="2FDA56AD"/>
    <w:rsid w:val="2FE94AE6"/>
    <w:rsid w:val="2FEF07E3"/>
    <w:rsid w:val="301618AB"/>
    <w:rsid w:val="305A3EEF"/>
    <w:rsid w:val="3094742E"/>
    <w:rsid w:val="30BD4AC6"/>
    <w:rsid w:val="312672A5"/>
    <w:rsid w:val="31624854"/>
    <w:rsid w:val="316E2057"/>
    <w:rsid w:val="32021B22"/>
    <w:rsid w:val="32292413"/>
    <w:rsid w:val="322C2D57"/>
    <w:rsid w:val="322F554F"/>
    <w:rsid w:val="32453847"/>
    <w:rsid w:val="325B2C7D"/>
    <w:rsid w:val="325D2288"/>
    <w:rsid w:val="327D2A43"/>
    <w:rsid w:val="328C4750"/>
    <w:rsid w:val="329A6E6D"/>
    <w:rsid w:val="32A23F73"/>
    <w:rsid w:val="32C42361"/>
    <w:rsid w:val="33122EA7"/>
    <w:rsid w:val="33292AF7"/>
    <w:rsid w:val="333202A7"/>
    <w:rsid w:val="333746BC"/>
    <w:rsid w:val="33B03F3F"/>
    <w:rsid w:val="33CA3782"/>
    <w:rsid w:val="34022B77"/>
    <w:rsid w:val="34691C96"/>
    <w:rsid w:val="348C6744"/>
    <w:rsid w:val="34FA1BBB"/>
    <w:rsid w:val="3518362C"/>
    <w:rsid w:val="35B77D36"/>
    <w:rsid w:val="35EB3E83"/>
    <w:rsid w:val="36317CF4"/>
    <w:rsid w:val="3643781B"/>
    <w:rsid w:val="36767BF1"/>
    <w:rsid w:val="36BF0745"/>
    <w:rsid w:val="36D260DF"/>
    <w:rsid w:val="36D87F64"/>
    <w:rsid w:val="373D24BC"/>
    <w:rsid w:val="374C49E0"/>
    <w:rsid w:val="374E0505"/>
    <w:rsid w:val="37574B34"/>
    <w:rsid w:val="378C0D4E"/>
    <w:rsid w:val="37DD09A1"/>
    <w:rsid w:val="38054D7E"/>
    <w:rsid w:val="38090DB7"/>
    <w:rsid w:val="38111241"/>
    <w:rsid w:val="38156F95"/>
    <w:rsid w:val="382A5BF2"/>
    <w:rsid w:val="384E55E9"/>
    <w:rsid w:val="385E6B8E"/>
    <w:rsid w:val="386362F4"/>
    <w:rsid w:val="38906A99"/>
    <w:rsid w:val="39106E64"/>
    <w:rsid w:val="391F631E"/>
    <w:rsid w:val="394368B9"/>
    <w:rsid w:val="39A72A32"/>
    <w:rsid w:val="39AE76A2"/>
    <w:rsid w:val="39B86BC9"/>
    <w:rsid w:val="39C81BB2"/>
    <w:rsid w:val="39DA0497"/>
    <w:rsid w:val="39EE487A"/>
    <w:rsid w:val="3A022290"/>
    <w:rsid w:val="3A0860BC"/>
    <w:rsid w:val="3AB331C1"/>
    <w:rsid w:val="3ACF78CF"/>
    <w:rsid w:val="3B0532F1"/>
    <w:rsid w:val="3B2A4A8F"/>
    <w:rsid w:val="3BF53366"/>
    <w:rsid w:val="3BFD4CF9"/>
    <w:rsid w:val="3BFE3EA6"/>
    <w:rsid w:val="3C3C1F52"/>
    <w:rsid w:val="3C6504EB"/>
    <w:rsid w:val="3CB60D47"/>
    <w:rsid w:val="3CC64D02"/>
    <w:rsid w:val="3CD27F98"/>
    <w:rsid w:val="3D3F6F8E"/>
    <w:rsid w:val="3D723C25"/>
    <w:rsid w:val="3D78424E"/>
    <w:rsid w:val="3D820C03"/>
    <w:rsid w:val="3D8D69A3"/>
    <w:rsid w:val="3D9B3BF3"/>
    <w:rsid w:val="3DC254CA"/>
    <w:rsid w:val="3DDF607B"/>
    <w:rsid w:val="3DF42024"/>
    <w:rsid w:val="3E012496"/>
    <w:rsid w:val="3E015FF2"/>
    <w:rsid w:val="3E0738E2"/>
    <w:rsid w:val="3E543BED"/>
    <w:rsid w:val="3E5F0F6A"/>
    <w:rsid w:val="3EC3033B"/>
    <w:rsid w:val="3EC51715"/>
    <w:rsid w:val="3EFE0783"/>
    <w:rsid w:val="3F2D206F"/>
    <w:rsid w:val="3F79605C"/>
    <w:rsid w:val="3F9F3D14"/>
    <w:rsid w:val="3FC217B1"/>
    <w:rsid w:val="3FDF6807"/>
    <w:rsid w:val="3FFD0A3B"/>
    <w:rsid w:val="400805D3"/>
    <w:rsid w:val="400F07A1"/>
    <w:rsid w:val="40160806"/>
    <w:rsid w:val="40593003"/>
    <w:rsid w:val="40630F8D"/>
    <w:rsid w:val="408F6A49"/>
    <w:rsid w:val="40C8729B"/>
    <w:rsid w:val="40EA7211"/>
    <w:rsid w:val="418256E1"/>
    <w:rsid w:val="41A8103D"/>
    <w:rsid w:val="422D7327"/>
    <w:rsid w:val="423918C5"/>
    <w:rsid w:val="42674891"/>
    <w:rsid w:val="427852E6"/>
    <w:rsid w:val="428E0070"/>
    <w:rsid w:val="42A41642"/>
    <w:rsid w:val="42B15B0D"/>
    <w:rsid w:val="42C817D4"/>
    <w:rsid w:val="42F44377"/>
    <w:rsid w:val="431F37D9"/>
    <w:rsid w:val="43397FDC"/>
    <w:rsid w:val="435766B4"/>
    <w:rsid w:val="438374A9"/>
    <w:rsid w:val="438F3402"/>
    <w:rsid w:val="439B162A"/>
    <w:rsid w:val="43B104BA"/>
    <w:rsid w:val="43C57AC2"/>
    <w:rsid w:val="43EF0FE2"/>
    <w:rsid w:val="43FE4D82"/>
    <w:rsid w:val="44441786"/>
    <w:rsid w:val="447137A5"/>
    <w:rsid w:val="449A5D63"/>
    <w:rsid w:val="457C0654"/>
    <w:rsid w:val="457E67CF"/>
    <w:rsid w:val="45FB7CEC"/>
    <w:rsid w:val="461C4723"/>
    <w:rsid w:val="46205483"/>
    <w:rsid w:val="463B406B"/>
    <w:rsid w:val="46625A9C"/>
    <w:rsid w:val="466435C2"/>
    <w:rsid w:val="466D1C42"/>
    <w:rsid w:val="46914EE7"/>
    <w:rsid w:val="46A902D3"/>
    <w:rsid w:val="46E13C61"/>
    <w:rsid w:val="47122C92"/>
    <w:rsid w:val="47177F58"/>
    <w:rsid w:val="471E7C15"/>
    <w:rsid w:val="472C7F1C"/>
    <w:rsid w:val="47411B55"/>
    <w:rsid w:val="475E1429"/>
    <w:rsid w:val="47680E90"/>
    <w:rsid w:val="477C780F"/>
    <w:rsid w:val="47A76D05"/>
    <w:rsid w:val="47B02837"/>
    <w:rsid w:val="47C357D6"/>
    <w:rsid w:val="480E6A5C"/>
    <w:rsid w:val="48111527"/>
    <w:rsid w:val="48164D90"/>
    <w:rsid w:val="488A6A97"/>
    <w:rsid w:val="48AE4FC8"/>
    <w:rsid w:val="48DE348E"/>
    <w:rsid w:val="48F41770"/>
    <w:rsid w:val="4924528A"/>
    <w:rsid w:val="494D658F"/>
    <w:rsid w:val="494E7BD9"/>
    <w:rsid w:val="49575B2E"/>
    <w:rsid w:val="497A478D"/>
    <w:rsid w:val="49A82C35"/>
    <w:rsid w:val="4A031344"/>
    <w:rsid w:val="4A08695A"/>
    <w:rsid w:val="4A4611D5"/>
    <w:rsid w:val="4A5E6069"/>
    <w:rsid w:val="4A985F30"/>
    <w:rsid w:val="4AE03433"/>
    <w:rsid w:val="4B1569D7"/>
    <w:rsid w:val="4B3A65C3"/>
    <w:rsid w:val="4B3C2D5F"/>
    <w:rsid w:val="4B7122DD"/>
    <w:rsid w:val="4B78366B"/>
    <w:rsid w:val="4B8B15F1"/>
    <w:rsid w:val="4B8D3D6B"/>
    <w:rsid w:val="4BC3391C"/>
    <w:rsid w:val="4BFD0F3F"/>
    <w:rsid w:val="4C137A41"/>
    <w:rsid w:val="4C4A3EEE"/>
    <w:rsid w:val="4C650094"/>
    <w:rsid w:val="4C7B603F"/>
    <w:rsid w:val="4C93708C"/>
    <w:rsid w:val="4D187FC0"/>
    <w:rsid w:val="4D1A2C2C"/>
    <w:rsid w:val="4D1A7301"/>
    <w:rsid w:val="4D4D2858"/>
    <w:rsid w:val="4D583754"/>
    <w:rsid w:val="4D6D377D"/>
    <w:rsid w:val="4D7164BA"/>
    <w:rsid w:val="4D924EB8"/>
    <w:rsid w:val="4DAD54A5"/>
    <w:rsid w:val="4DAE15C6"/>
    <w:rsid w:val="4DB54F8B"/>
    <w:rsid w:val="4DC808DA"/>
    <w:rsid w:val="4E1A1B54"/>
    <w:rsid w:val="4E4953E3"/>
    <w:rsid w:val="4E5100EF"/>
    <w:rsid w:val="4E6C395B"/>
    <w:rsid w:val="4F0F2539"/>
    <w:rsid w:val="4F735774"/>
    <w:rsid w:val="4FA830FD"/>
    <w:rsid w:val="4FAC2659"/>
    <w:rsid w:val="4FB74A0E"/>
    <w:rsid w:val="50446212"/>
    <w:rsid w:val="505B3C87"/>
    <w:rsid w:val="50662AAA"/>
    <w:rsid w:val="50880BD9"/>
    <w:rsid w:val="50953002"/>
    <w:rsid w:val="50A43B2D"/>
    <w:rsid w:val="50B25872"/>
    <w:rsid w:val="50E13A61"/>
    <w:rsid w:val="50EA57CF"/>
    <w:rsid w:val="510D4856"/>
    <w:rsid w:val="514522B7"/>
    <w:rsid w:val="51856AE2"/>
    <w:rsid w:val="518E3CBC"/>
    <w:rsid w:val="519D5BA2"/>
    <w:rsid w:val="51A374F7"/>
    <w:rsid w:val="51BF63E8"/>
    <w:rsid w:val="51C25640"/>
    <w:rsid w:val="51CA64B4"/>
    <w:rsid w:val="51CB10C5"/>
    <w:rsid w:val="51D13AD5"/>
    <w:rsid w:val="51ED634E"/>
    <w:rsid w:val="51F85506"/>
    <w:rsid w:val="52020133"/>
    <w:rsid w:val="520B5239"/>
    <w:rsid w:val="52102850"/>
    <w:rsid w:val="52195BA8"/>
    <w:rsid w:val="521D4F6D"/>
    <w:rsid w:val="52214A5D"/>
    <w:rsid w:val="524424F9"/>
    <w:rsid w:val="524E24FC"/>
    <w:rsid w:val="52734B8D"/>
    <w:rsid w:val="528079D5"/>
    <w:rsid w:val="52833022"/>
    <w:rsid w:val="52F061DD"/>
    <w:rsid w:val="530F48B5"/>
    <w:rsid w:val="531E0F9C"/>
    <w:rsid w:val="53350E5B"/>
    <w:rsid w:val="533D62D3"/>
    <w:rsid w:val="53CF453C"/>
    <w:rsid w:val="54047E50"/>
    <w:rsid w:val="54300F87"/>
    <w:rsid w:val="54505185"/>
    <w:rsid w:val="549922CD"/>
    <w:rsid w:val="549E0B9F"/>
    <w:rsid w:val="54A37966"/>
    <w:rsid w:val="54AD25D8"/>
    <w:rsid w:val="54C94F38"/>
    <w:rsid w:val="54E029AD"/>
    <w:rsid w:val="54E63D3C"/>
    <w:rsid w:val="555B0188"/>
    <w:rsid w:val="558F10A6"/>
    <w:rsid w:val="559266D3"/>
    <w:rsid w:val="56156687"/>
    <w:rsid w:val="5621327D"/>
    <w:rsid w:val="562B360A"/>
    <w:rsid w:val="56505911"/>
    <w:rsid w:val="565928AA"/>
    <w:rsid w:val="569D1575"/>
    <w:rsid w:val="56C63FA1"/>
    <w:rsid w:val="571C1EF8"/>
    <w:rsid w:val="572172AD"/>
    <w:rsid w:val="57311684"/>
    <w:rsid w:val="5790175B"/>
    <w:rsid w:val="57A6268A"/>
    <w:rsid w:val="57C24573"/>
    <w:rsid w:val="57E33993"/>
    <w:rsid w:val="57F14F89"/>
    <w:rsid w:val="57FC2215"/>
    <w:rsid w:val="585600F5"/>
    <w:rsid w:val="5866663A"/>
    <w:rsid w:val="586E05E2"/>
    <w:rsid w:val="58883E9A"/>
    <w:rsid w:val="58D5293F"/>
    <w:rsid w:val="58FA188B"/>
    <w:rsid w:val="59170968"/>
    <w:rsid w:val="59352B9C"/>
    <w:rsid w:val="597B3B9D"/>
    <w:rsid w:val="59814033"/>
    <w:rsid w:val="598B72DF"/>
    <w:rsid w:val="598D212C"/>
    <w:rsid w:val="59C339BE"/>
    <w:rsid w:val="59C746FC"/>
    <w:rsid w:val="59C97EB4"/>
    <w:rsid w:val="5A13386E"/>
    <w:rsid w:val="5A6279C1"/>
    <w:rsid w:val="5A86434D"/>
    <w:rsid w:val="5AAB580B"/>
    <w:rsid w:val="5AC5138E"/>
    <w:rsid w:val="5AEB20AC"/>
    <w:rsid w:val="5B061518"/>
    <w:rsid w:val="5B2479CD"/>
    <w:rsid w:val="5B476268"/>
    <w:rsid w:val="5B540F34"/>
    <w:rsid w:val="5BB47213"/>
    <w:rsid w:val="5BE8230B"/>
    <w:rsid w:val="5BEB0157"/>
    <w:rsid w:val="5C3240D6"/>
    <w:rsid w:val="5C3D458D"/>
    <w:rsid w:val="5C5B25F2"/>
    <w:rsid w:val="5C7834CB"/>
    <w:rsid w:val="5C7B35AB"/>
    <w:rsid w:val="5C957803"/>
    <w:rsid w:val="5CA95D7B"/>
    <w:rsid w:val="5D0607CD"/>
    <w:rsid w:val="5D076885"/>
    <w:rsid w:val="5D2D2508"/>
    <w:rsid w:val="5D810890"/>
    <w:rsid w:val="5D8510BF"/>
    <w:rsid w:val="5D997B9D"/>
    <w:rsid w:val="5DD15589"/>
    <w:rsid w:val="5E0A70FE"/>
    <w:rsid w:val="5E3577AE"/>
    <w:rsid w:val="5E79177D"/>
    <w:rsid w:val="5E8428DD"/>
    <w:rsid w:val="5E897C12"/>
    <w:rsid w:val="5EA6559A"/>
    <w:rsid w:val="5EB17168"/>
    <w:rsid w:val="5ED757DD"/>
    <w:rsid w:val="5EFF443C"/>
    <w:rsid w:val="5F1F7653"/>
    <w:rsid w:val="5F634EED"/>
    <w:rsid w:val="5FA43E6F"/>
    <w:rsid w:val="5FBC6FBB"/>
    <w:rsid w:val="600918F6"/>
    <w:rsid w:val="600D6620"/>
    <w:rsid w:val="6065020A"/>
    <w:rsid w:val="607E4984"/>
    <w:rsid w:val="60843F56"/>
    <w:rsid w:val="60A01243"/>
    <w:rsid w:val="60DE739B"/>
    <w:rsid w:val="60E80F1B"/>
    <w:rsid w:val="61033096"/>
    <w:rsid w:val="610712C2"/>
    <w:rsid w:val="610C0686"/>
    <w:rsid w:val="611A79C2"/>
    <w:rsid w:val="6126799A"/>
    <w:rsid w:val="6155074D"/>
    <w:rsid w:val="618A1849"/>
    <w:rsid w:val="618B1EF3"/>
    <w:rsid w:val="619F38DC"/>
    <w:rsid w:val="61A02E51"/>
    <w:rsid w:val="61B41449"/>
    <w:rsid w:val="61D04CEA"/>
    <w:rsid w:val="61D45648"/>
    <w:rsid w:val="61F93300"/>
    <w:rsid w:val="62083543"/>
    <w:rsid w:val="62275704"/>
    <w:rsid w:val="627029F7"/>
    <w:rsid w:val="62964ADB"/>
    <w:rsid w:val="63053892"/>
    <w:rsid w:val="63276DF7"/>
    <w:rsid w:val="63456658"/>
    <w:rsid w:val="63FE3188"/>
    <w:rsid w:val="640038D4"/>
    <w:rsid w:val="6408782B"/>
    <w:rsid w:val="646066A0"/>
    <w:rsid w:val="646B1B68"/>
    <w:rsid w:val="64A16418"/>
    <w:rsid w:val="64A565FB"/>
    <w:rsid w:val="64AA6B34"/>
    <w:rsid w:val="64F920B9"/>
    <w:rsid w:val="651B17E0"/>
    <w:rsid w:val="656071F2"/>
    <w:rsid w:val="65B22539"/>
    <w:rsid w:val="66284E41"/>
    <w:rsid w:val="66304E17"/>
    <w:rsid w:val="665C68CF"/>
    <w:rsid w:val="668272C8"/>
    <w:rsid w:val="66BE68C6"/>
    <w:rsid w:val="66C62D20"/>
    <w:rsid w:val="66DC0AFB"/>
    <w:rsid w:val="66ED2D08"/>
    <w:rsid w:val="66F016F9"/>
    <w:rsid w:val="67981871"/>
    <w:rsid w:val="67A55390"/>
    <w:rsid w:val="67C12E0B"/>
    <w:rsid w:val="67D30150"/>
    <w:rsid w:val="67EA10C7"/>
    <w:rsid w:val="67EB4FC1"/>
    <w:rsid w:val="67F236CB"/>
    <w:rsid w:val="682B3AE8"/>
    <w:rsid w:val="682E05BC"/>
    <w:rsid w:val="68330BEE"/>
    <w:rsid w:val="685A43DB"/>
    <w:rsid w:val="686B660F"/>
    <w:rsid w:val="687E6E09"/>
    <w:rsid w:val="689A5EF2"/>
    <w:rsid w:val="68A8338A"/>
    <w:rsid w:val="68D15B28"/>
    <w:rsid w:val="68F24043"/>
    <w:rsid w:val="691B347E"/>
    <w:rsid w:val="698E4C21"/>
    <w:rsid w:val="69B72903"/>
    <w:rsid w:val="69B97EB3"/>
    <w:rsid w:val="69BD4C13"/>
    <w:rsid w:val="69D65E84"/>
    <w:rsid w:val="69D72179"/>
    <w:rsid w:val="69D95E9A"/>
    <w:rsid w:val="69E76134"/>
    <w:rsid w:val="69E93C5A"/>
    <w:rsid w:val="69EC72A7"/>
    <w:rsid w:val="6A49294B"/>
    <w:rsid w:val="6A505BEF"/>
    <w:rsid w:val="6A871420"/>
    <w:rsid w:val="6A8C74B9"/>
    <w:rsid w:val="6AAA3288"/>
    <w:rsid w:val="6AE542D7"/>
    <w:rsid w:val="6AF042AC"/>
    <w:rsid w:val="6B427AC6"/>
    <w:rsid w:val="6B4F21E3"/>
    <w:rsid w:val="6B736FC6"/>
    <w:rsid w:val="6B797260"/>
    <w:rsid w:val="6B856401"/>
    <w:rsid w:val="6B8A57A4"/>
    <w:rsid w:val="6BA32C54"/>
    <w:rsid w:val="6BF20B30"/>
    <w:rsid w:val="6C580C23"/>
    <w:rsid w:val="6C865790"/>
    <w:rsid w:val="6C9205D9"/>
    <w:rsid w:val="6CD96208"/>
    <w:rsid w:val="6D4225A4"/>
    <w:rsid w:val="6D4703B9"/>
    <w:rsid w:val="6D827D2B"/>
    <w:rsid w:val="6DCF4166"/>
    <w:rsid w:val="6DE035C6"/>
    <w:rsid w:val="6E1E4550"/>
    <w:rsid w:val="6E251368"/>
    <w:rsid w:val="6E837E8E"/>
    <w:rsid w:val="6EE43D75"/>
    <w:rsid w:val="6EE964AB"/>
    <w:rsid w:val="6F3620D6"/>
    <w:rsid w:val="6F4C13FC"/>
    <w:rsid w:val="6F5A4CB2"/>
    <w:rsid w:val="6F886897"/>
    <w:rsid w:val="6FA25934"/>
    <w:rsid w:val="6FAC19B2"/>
    <w:rsid w:val="6FAE40AE"/>
    <w:rsid w:val="6FB9098C"/>
    <w:rsid w:val="6FFD3FBC"/>
    <w:rsid w:val="701D453F"/>
    <w:rsid w:val="70456701"/>
    <w:rsid w:val="70657DB3"/>
    <w:rsid w:val="70876228"/>
    <w:rsid w:val="70877D29"/>
    <w:rsid w:val="70B56644"/>
    <w:rsid w:val="71502811"/>
    <w:rsid w:val="717C7162"/>
    <w:rsid w:val="71A212BE"/>
    <w:rsid w:val="71EA67C2"/>
    <w:rsid w:val="71ED62B2"/>
    <w:rsid w:val="723A2045"/>
    <w:rsid w:val="724E0824"/>
    <w:rsid w:val="72712A3F"/>
    <w:rsid w:val="727A7B45"/>
    <w:rsid w:val="72D2048F"/>
    <w:rsid w:val="73644352"/>
    <w:rsid w:val="737C5B3F"/>
    <w:rsid w:val="739B6C81"/>
    <w:rsid w:val="73A82490"/>
    <w:rsid w:val="73C90FC0"/>
    <w:rsid w:val="73FF760C"/>
    <w:rsid w:val="74464015"/>
    <w:rsid w:val="74566390"/>
    <w:rsid w:val="745E6FF3"/>
    <w:rsid w:val="7487654A"/>
    <w:rsid w:val="74B35814"/>
    <w:rsid w:val="74B84955"/>
    <w:rsid w:val="74BA6F8A"/>
    <w:rsid w:val="74C27582"/>
    <w:rsid w:val="74CC145C"/>
    <w:rsid w:val="750D2EF3"/>
    <w:rsid w:val="75263FB5"/>
    <w:rsid w:val="758D7B90"/>
    <w:rsid w:val="75C722E6"/>
    <w:rsid w:val="76157B85"/>
    <w:rsid w:val="761B33ED"/>
    <w:rsid w:val="764861AD"/>
    <w:rsid w:val="764F3097"/>
    <w:rsid w:val="76992564"/>
    <w:rsid w:val="76A52D66"/>
    <w:rsid w:val="76C45833"/>
    <w:rsid w:val="775F70F1"/>
    <w:rsid w:val="77E93077"/>
    <w:rsid w:val="780703CA"/>
    <w:rsid w:val="7815719B"/>
    <w:rsid w:val="782F2414"/>
    <w:rsid w:val="786C6E8A"/>
    <w:rsid w:val="78743289"/>
    <w:rsid w:val="79181E66"/>
    <w:rsid w:val="7922228B"/>
    <w:rsid w:val="794310DE"/>
    <w:rsid w:val="797F3C93"/>
    <w:rsid w:val="79800EF9"/>
    <w:rsid w:val="79DA711C"/>
    <w:rsid w:val="79E42378"/>
    <w:rsid w:val="79ED50A1"/>
    <w:rsid w:val="7A6115EB"/>
    <w:rsid w:val="7A622D11"/>
    <w:rsid w:val="7A6A3710"/>
    <w:rsid w:val="7A6D6859"/>
    <w:rsid w:val="7A922E92"/>
    <w:rsid w:val="7AD67CB1"/>
    <w:rsid w:val="7AF35895"/>
    <w:rsid w:val="7AFB559C"/>
    <w:rsid w:val="7B134C7D"/>
    <w:rsid w:val="7B156F4B"/>
    <w:rsid w:val="7B3860D2"/>
    <w:rsid w:val="7B5D0004"/>
    <w:rsid w:val="7B7A2964"/>
    <w:rsid w:val="7B835697"/>
    <w:rsid w:val="7BE10C35"/>
    <w:rsid w:val="7BF070CA"/>
    <w:rsid w:val="7C077F70"/>
    <w:rsid w:val="7C2131D4"/>
    <w:rsid w:val="7C846278"/>
    <w:rsid w:val="7CC54FDF"/>
    <w:rsid w:val="7CDD50BB"/>
    <w:rsid w:val="7D5B747C"/>
    <w:rsid w:val="7D642A0B"/>
    <w:rsid w:val="7DAE3D9D"/>
    <w:rsid w:val="7DE20C95"/>
    <w:rsid w:val="7E19039E"/>
    <w:rsid w:val="7E292823"/>
    <w:rsid w:val="7E2F12D7"/>
    <w:rsid w:val="7E5E656D"/>
    <w:rsid w:val="7E7D753D"/>
    <w:rsid w:val="7EA21DFD"/>
    <w:rsid w:val="7F71407E"/>
    <w:rsid w:val="7F964BF5"/>
    <w:rsid w:val="7FA23452"/>
    <w:rsid w:val="7FFA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0" w:firstLineChars="0"/>
    </w:pPr>
    <w:rPr>
      <w:rFonts w:ascii="仿宋" w:hAnsi="仿宋" w:eastAsia="仿宋" w:cs="Times New Roman"/>
      <w:kern w:val="2"/>
      <w:sz w:val="24"/>
      <w:szCs w:val="28"/>
      <w:lang w:val="en-US" w:eastAsia="zh-CN" w:bidi="ar-SA"/>
    </w:rPr>
  </w:style>
  <w:style w:type="paragraph" w:styleId="2">
    <w:name w:val="heading 1"/>
    <w:basedOn w:val="1"/>
    <w:next w:val="1"/>
    <w:link w:val="43"/>
    <w:autoRedefine/>
    <w:qFormat/>
    <w:uiPriority w:val="0"/>
    <w:pPr>
      <w:keepNext/>
      <w:keepLines/>
      <w:spacing w:beforeLines="0" w:after="50" w:afterLines="50" w:line="240" w:lineRule="auto"/>
      <w:ind w:right="0" w:rightChars="0" w:firstLine="0" w:firstLineChars="0"/>
      <w:jc w:val="center"/>
      <w:outlineLvl w:val="0"/>
    </w:pPr>
    <w:rPr>
      <w:b/>
      <w:bCs/>
      <w:kern w:val="44"/>
      <w:sz w:val="44"/>
      <w:szCs w:val="44"/>
    </w:rPr>
  </w:style>
  <w:style w:type="paragraph" w:styleId="3">
    <w:name w:val="heading 2"/>
    <w:basedOn w:val="4"/>
    <w:next w:val="1"/>
    <w:autoRedefine/>
    <w:qFormat/>
    <w:uiPriority w:val="0"/>
    <w:pPr>
      <w:keepNext/>
      <w:keepLines/>
      <w:widowControl w:val="0"/>
      <w:numPr>
        <w:ilvl w:val="0"/>
        <w:numId w:val="1"/>
      </w:numPr>
      <w:spacing w:before="260" w:after="260"/>
      <w:ind w:firstLine="0" w:firstLineChars="0"/>
      <w:jc w:val="both"/>
      <w:outlineLvl w:val="1"/>
    </w:pPr>
    <w:rPr>
      <w:rFonts w:ascii="黑体" w:hAnsi="黑体" w:eastAsia="黑体" w:cs="宋体"/>
    </w:rPr>
  </w:style>
  <w:style w:type="paragraph" w:styleId="4">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99"/>
    <w:pPr>
      <w:ind w:firstLine="420"/>
    </w:pPr>
    <w:rPr>
      <w:rFonts w:ascii="Arial Unicode MS" w:hAnsi="Arial Unicode MS" w:eastAsia="仿宋_GB2312"/>
      <w:sz w:val="32"/>
    </w:rPr>
  </w:style>
  <w:style w:type="paragraph" w:styleId="6">
    <w:name w:val="Body Text 3"/>
    <w:basedOn w:val="1"/>
    <w:autoRedefine/>
    <w:qFormat/>
    <w:uiPriority w:val="0"/>
    <w:rPr>
      <w:rFonts w:ascii="宋体"/>
      <w:sz w:val="24"/>
      <w:szCs w:val="20"/>
    </w:rPr>
  </w:style>
  <w:style w:type="paragraph" w:styleId="7">
    <w:name w:val="Body Text"/>
    <w:basedOn w:val="1"/>
    <w:autoRedefine/>
    <w:qFormat/>
    <w:uiPriority w:val="0"/>
    <w:pPr>
      <w:spacing w:after="120" w:afterLines="0"/>
    </w:pPr>
  </w:style>
  <w:style w:type="paragraph" w:styleId="8">
    <w:name w:val="Body Text Indent"/>
    <w:basedOn w:val="1"/>
    <w:next w:val="1"/>
    <w:autoRedefine/>
    <w:qFormat/>
    <w:uiPriority w:val="0"/>
    <w:pPr>
      <w:spacing w:after="120" w:afterLines="0"/>
      <w:ind w:left="420" w:leftChars="200"/>
    </w:pPr>
  </w:style>
  <w:style w:type="paragraph" w:styleId="9">
    <w:name w:val="Plain Text"/>
    <w:basedOn w:val="1"/>
    <w:autoRedefine/>
    <w:qFormat/>
    <w:uiPriority w:val="0"/>
    <w:rPr>
      <w:rFonts w:ascii="宋体" w:hAnsi="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envelope return"/>
    <w:basedOn w:val="1"/>
    <w:autoRedefine/>
    <w:qFormat/>
    <w:uiPriority w:val="99"/>
    <w:pPr>
      <w:snapToGrid w:val="0"/>
    </w:pPr>
    <w:rPr>
      <w:rFonts w:ascii="Arial" w:hAnsi="Arial" w:cs="Arial"/>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beforeLines="0" w:after="120" w:afterLines="0"/>
      <w:jc w:val="left"/>
    </w:pPr>
    <w:rPr>
      <w:b/>
      <w:bCs/>
      <w:caps/>
      <w:sz w:val="20"/>
      <w:szCs w:val="20"/>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16">
    <w:name w:val="Body Text First Indent"/>
    <w:basedOn w:val="7"/>
    <w:next w:val="1"/>
    <w:autoRedefine/>
    <w:qFormat/>
    <w:uiPriority w:val="0"/>
    <w:pPr>
      <w:spacing w:line="312" w:lineRule="auto"/>
      <w:ind w:firstLine="420"/>
    </w:pPr>
  </w:style>
  <w:style w:type="paragraph" w:styleId="17">
    <w:name w:val="Body Text First Indent 2"/>
    <w:basedOn w:val="8"/>
    <w:next w:val="1"/>
    <w:autoRedefine/>
    <w:unhideWhenUsed/>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style>
  <w:style w:type="character" w:styleId="22">
    <w:name w:val="page number"/>
    <w:basedOn w:val="20"/>
    <w:autoRedefine/>
    <w:qFormat/>
    <w:uiPriority w:val="0"/>
    <w:rPr>
      <w:rFonts w:eastAsia="宋体"/>
      <w:lang w:val="en-US" w:eastAsia="zh-CN" w:bidi="ar-SA"/>
    </w:rPr>
  </w:style>
  <w:style w:type="character" w:styleId="23">
    <w:name w:val="FollowedHyperlink"/>
    <w:basedOn w:val="20"/>
    <w:autoRedefine/>
    <w:qFormat/>
    <w:uiPriority w:val="0"/>
    <w:rPr>
      <w:color w:val="333333"/>
      <w:u w:val="none"/>
    </w:rPr>
  </w:style>
  <w:style w:type="character" w:styleId="24">
    <w:name w:val="Emphasis"/>
    <w:basedOn w:val="20"/>
    <w:autoRedefine/>
    <w:qFormat/>
    <w:uiPriority w:val="0"/>
  </w:style>
  <w:style w:type="character" w:styleId="25">
    <w:name w:val="HTML Definition"/>
    <w:basedOn w:val="20"/>
    <w:autoRedefine/>
    <w:qFormat/>
    <w:uiPriority w:val="0"/>
  </w:style>
  <w:style w:type="character" w:styleId="26">
    <w:name w:val="HTML Typewriter"/>
    <w:basedOn w:val="20"/>
    <w:autoRedefine/>
    <w:qFormat/>
    <w:uiPriority w:val="0"/>
    <w:rPr>
      <w:rFonts w:hint="default" w:ascii="monospace" w:hAnsi="monospace" w:eastAsia="monospace" w:cs="monospace"/>
      <w:sz w:val="20"/>
    </w:rPr>
  </w:style>
  <w:style w:type="character" w:styleId="27">
    <w:name w:val="HTML Acronym"/>
    <w:basedOn w:val="20"/>
    <w:autoRedefine/>
    <w:qFormat/>
    <w:uiPriority w:val="0"/>
  </w:style>
  <w:style w:type="character" w:styleId="28">
    <w:name w:val="HTML Variable"/>
    <w:basedOn w:val="20"/>
    <w:autoRedefine/>
    <w:qFormat/>
    <w:uiPriority w:val="0"/>
  </w:style>
  <w:style w:type="character" w:styleId="29">
    <w:name w:val="Hyperlink"/>
    <w:basedOn w:val="20"/>
    <w:autoRedefine/>
    <w:qFormat/>
    <w:uiPriority w:val="0"/>
    <w:rPr>
      <w:color w:val="333333"/>
      <w:u w:val="none"/>
    </w:rPr>
  </w:style>
  <w:style w:type="character" w:styleId="30">
    <w:name w:val="HTML Code"/>
    <w:basedOn w:val="20"/>
    <w:autoRedefine/>
    <w:qFormat/>
    <w:uiPriority w:val="0"/>
    <w:rPr>
      <w:rFonts w:ascii="monospace" w:hAnsi="monospace" w:eastAsia="monospace" w:cs="monospace"/>
      <w:sz w:val="20"/>
    </w:rPr>
  </w:style>
  <w:style w:type="character" w:styleId="31">
    <w:name w:val="HTML Cite"/>
    <w:basedOn w:val="20"/>
    <w:autoRedefine/>
    <w:qFormat/>
    <w:uiPriority w:val="0"/>
  </w:style>
  <w:style w:type="character" w:styleId="32">
    <w:name w:val="HTML Keyboard"/>
    <w:basedOn w:val="20"/>
    <w:autoRedefine/>
    <w:qFormat/>
    <w:uiPriority w:val="0"/>
    <w:rPr>
      <w:rFonts w:hint="default" w:ascii="monospace" w:hAnsi="monospace" w:eastAsia="monospace" w:cs="monospace"/>
      <w:sz w:val="20"/>
    </w:rPr>
  </w:style>
  <w:style w:type="character" w:styleId="33">
    <w:name w:val="HTML Sample"/>
    <w:basedOn w:val="20"/>
    <w:autoRedefine/>
    <w:qFormat/>
    <w:uiPriority w:val="0"/>
    <w:rPr>
      <w:rFonts w:hint="default" w:ascii="monospace" w:hAnsi="monospace" w:eastAsia="monospace" w:cs="monospace"/>
    </w:rPr>
  </w:style>
  <w:style w:type="paragraph" w:customStyle="1" w:styleId="3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5">
    <w:name w:val="List Paragraph"/>
    <w:basedOn w:val="1"/>
    <w:autoRedefine/>
    <w:qFormat/>
    <w:uiPriority w:val="34"/>
    <w:pPr>
      <w:widowControl w:val="0"/>
      <w:spacing w:line="240" w:lineRule="auto"/>
      <w:ind w:firstLine="420"/>
      <w:jc w:val="both"/>
    </w:pPr>
    <w:rPr>
      <w:rFonts w:ascii="Times New Roman" w:hAnsi="Times New Roman" w:eastAsia="宋体"/>
      <w:sz w:val="21"/>
      <w:szCs w:val="24"/>
    </w:rPr>
  </w:style>
  <w:style w:type="paragraph" w:customStyle="1" w:styleId="36">
    <w:name w:val="样式 小四 段前: 5 磅 段后: 5 磅 首行缩进:  2 字符"/>
    <w:basedOn w:val="1"/>
    <w:autoRedefine/>
    <w:qFormat/>
    <w:uiPriority w:val="0"/>
    <w:pPr>
      <w:spacing w:line="360" w:lineRule="auto"/>
    </w:pPr>
    <w:rPr>
      <w:rFonts w:ascii="宋体" w:hAnsi="宋体"/>
      <w:sz w:val="24"/>
      <w:szCs w:val="21"/>
    </w:rPr>
  </w:style>
  <w:style w:type="paragraph" w:customStyle="1" w:styleId="37">
    <w:name w:val="默认段落字体 Para Char"/>
    <w:basedOn w:val="1"/>
    <w:next w:val="1"/>
    <w:autoRedefine/>
    <w:qFormat/>
    <w:uiPriority w:val="0"/>
    <w:pPr>
      <w:adjustRightInd/>
      <w:snapToGrid/>
    </w:pPr>
    <w:rPr>
      <w:rFonts w:ascii="宋体" w:hAnsi="宋体" w:cs="宋体"/>
      <w:sz w:val="24"/>
    </w:rPr>
  </w:style>
  <w:style w:type="character" w:customStyle="1" w:styleId="38">
    <w:name w:val="font101"/>
    <w:basedOn w:val="20"/>
    <w:autoRedefine/>
    <w:qFormat/>
    <w:uiPriority w:val="0"/>
    <w:rPr>
      <w:rFonts w:hint="eastAsia" w:ascii="宋体" w:hAnsi="宋体" w:eastAsia="宋体" w:cs="宋体"/>
      <w:color w:val="000000"/>
      <w:sz w:val="20"/>
      <w:szCs w:val="20"/>
      <w:u w:val="none"/>
    </w:rPr>
  </w:style>
  <w:style w:type="paragraph" w:customStyle="1" w:styleId="39">
    <w:name w:val="样式 样式 标题 1 + 仿宋_GB2312 三号 左侧:  1 字符 首行缩进:  2 字符 右侧:  1 字符 行距: ....."/>
    <w:basedOn w:val="40"/>
    <w:autoRedefine/>
    <w:qFormat/>
    <w:uiPriority w:val="0"/>
    <w:pPr>
      <w:ind w:firstLine="100" w:firstLineChars="100"/>
    </w:pPr>
  </w:style>
  <w:style w:type="paragraph" w:customStyle="1" w:styleId="40">
    <w:name w:val="样式 标题 1 + 仿宋_GB2312 三号 左侧:  1 字符 首行缩进:  2 字符 右侧:  1 字符 行距: ..."/>
    <w:basedOn w:val="2"/>
    <w:autoRedefine/>
    <w:qFormat/>
    <w:uiPriority w:val="0"/>
    <w:pPr>
      <w:spacing w:line="500" w:lineRule="exact"/>
      <w:ind w:left="100" w:right="100" w:firstLine="0" w:firstLineChars="0"/>
    </w:pPr>
    <w:rPr>
      <w:rFonts w:ascii="仿宋_GB2312" w:eastAsia="仿宋_GB2312" w:cs="宋体"/>
      <w:sz w:val="32"/>
      <w:szCs w:val="20"/>
    </w:rPr>
  </w:style>
  <w:style w:type="paragraph" w:customStyle="1" w:styleId="41">
    <w:name w:val="须知 标题"/>
    <w:basedOn w:val="3"/>
    <w:autoRedefine/>
    <w:qFormat/>
    <w:uiPriority w:val="0"/>
    <w:pPr>
      <w:numPr>
        <w:numId w:val="0"/>
      </w:numPr>
      <w:snapToGrid w:val="0"/>
      <w:spacing w:line="360" w:lineRule="auto"/>
      <w:jc w:val="center"/>
    </w:pPr>
    <w:rPr>
      <w:rFonts w:ascii="微软雅黑" w:hAnsi="微软雅黑" w:eastAsia="微软雅黑" w:cs="微软雅黑"/>
      <w:spacing w:val="10"/>
      <w:sz w:val="24"/>
      <w:szCs w:val="24"/>
    </w:rPr>
  </w:style>
  <w:style w:type="paragraph" w:customStyle="1" w:styleId="42">
    <w:name w:val="章标题"/>
    <w:basedOn w:val="1"/>
    <w:next w:val="1"/>
    <w:autoRedefine/>
    <w:qFormat/>
    <w:uiPriority w:val="0"/>
    <w:pPr>
      <w:keepNext/>
      <w:keepLines/>
      <w:numPr>
        <w:ilvl w:val="0"/>
        <w:numId w:val="2"/>
      </w:numPr>
      <w:spacing w:before="340" w:beforeLines="0" w:after="330" w:afterLines="0"/>
      <w:ind w:left="420" w:hanging="420" w:firstLineChars="0"/>
      <w:jc w:val="center"/>
      <w:outlineLvl w:val="0"/>
    </w:pPr>
    <w:rPr>
      <w:rFonts w:hint="eastAsia" w:ascii="宋体" w:hAnsi="宋体" w:eastAsia="宋体" w:cs="宋体"/>
      <w:b/>
      <w:bCs/>
      <w:color w:val="auto"/>
      <w:kern w:val="44"/>
      <w:sz w:val="36"/>
      <w:szCs w:val="36"/>
    </w:rPr>
  </w:style>
  <w:style w:type="character" w:customStyle="1" w:styleId="43">
    <w:name w:val="标题 1 Char"/>
    <w:link w:val="2"/>
    <w:autoRedefine/>
    <w:qFormat/>
    <w:uiPriority w:val="0"/>
    <w:rPr>
      <w:rFonts w:eastAsia="仿宋"/>
      <w:b/>
      <w:bCs/>
      <w:kern w:val="44"/>
      <w:sz w:val="44"/>
      <w:szCs w:val="44"/>
    </w:rPr>
  </w:style>
  <w:style w:type="paragraph" w:styleId="44">
    <w:name w:val="No Spacing"/>
    <w:qFormat/>
    <w:uiPriority w:val="1"/>
    <w:rPr>
      <w:rFonts w:ascii="Calibri" w:hAnsi="Calibri" w:eastAsia="宋体" w:cs="Times New Roman"/>
      <w:sz w:val="22"/>
      <w:szCs w:val="22"/>
      <w:lang w:val="en-US" w:eastAsia="zh-CN" w:bidi="ar-SA"/>
    </w:rPr>
  </w:style>
  <w:style w:type="paragraph" w:customStyle="1" w:styleId="45">
    <w:name w:val="Table Paragraph"/>
    <w:basedOn w:val="1"/>
    <w:qFormat/>
    <w:uiPriority w:val="1"/>
    <w:rPr>
      <w:rFonts w:ascii="宋体" w:hAnsi="宋体" w:cs="宋体"/>
      <w:lang w:val="zh-CN" w:bidi="zh-CN"/>
    </w:rPr>
  </w:style>
  <w:style w:type="paragraph" w:customStyle="1" w:styleId="46">
    <w:name w:val="List Paragraph_8306deb5-92ad-4d7c-9ec8-4e818e936cf1"/>
    <w:basedOn w:val="1"/>
    <w:qFormat/>
    <w:uiPriority w:val="0"/>
    <w:pPr>
      <w:tabs>
        <w:tab w:val="left" w:pos="900"/>
      </w:tabs>
      <w:ind w:firstLine="200" w:firstLineChars="200"/>
    </w:pPr>
  </w:style>
  <w:style w:type="paragraph" w:customStyle="1" w:styleId="47">
    <w:name w:val="列表段落1"/>
    <w:basedOn w:val="1"/>
    <w:qFormat/>
    <w:uiPriority w:val="0"/>
    <w:pPr>
      <w:ind w:firstLine="420" w:firstLineChars="200"/>
    </w:pPr>
    <w:rPr>
      <w:rFonts w:hint="eastAsia" w:ascii="等线" w:hAnsi="等线" w:eastAsia="等线"/>
      <w:sz w:val="28"/>
      <w:szCs w:val="22"/>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仿宋" w:hAnsi="仿宋" w:eastAsia="仿宋" w:cs="仿宋"/>
      <w:sz w:val="24"/>
      <w:szCs w:val="24"/>
      <w:lang w:val="en-US" w:eastAsia="en-US" w:bidi="ar-SA"/>
    </w:rPr>
  </w:style>
  <w:style w:type="paragraph" w:customStyle="1" w:styleId="50">
    <w:name w:val="_Style 1"/>
    <w:basedOn w:val="1"/>
    <w:qFormat/>
    <w:uiPriority w:val="34"/>
    <w:pPr>
      <w:ind w:firstLine="420" w:firstLineChars="200"/>
    </w:pPr>
  </w:style>
  <w:style w:type="paragraph" w:customStyle="1" w:styleId="51">
    <w:name w:val="样式1"/>
    <w:basedOn w:val="3"/>
    <w:qFormat/>
    <w:uiPriority w:val="0"/>
    <w:pPr>
      <w:spacing w:before="100" w:beforeAutospacing="1" w:after="100" w:afterAutospacing="1"/>
      <w:ind w:left="678" w:leftChars="100" w:right="100" w:rightChars="100" w:hanging="578"/>
    </w:pPr>
    <w:rPr>
      <w:b w:val="0"/>
      <w:sz w:val="21"/>
    </w:rPr>
  </w:style>
  <w:style w:type="paragraph" w:customStyle="1" w:styleId="52">
    <w:name w:val="a"/>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146</Pages>
  <Words>5814</Words>
  <Characters>6668</Characters>
  <Lines>0</Lines>
  <Paragraphs>0</Paragraphs>
  <TotalTime>58</TotalTime>
  <ScaleCrop>false</ScaleCrop>
  <LinksUpToDate>false</LinksUpToDate>
  <CharactersWithSpaces>6675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2022-08-03T01:35:00Z</dcterms:created>
  <dc:creator>不吃胡萝卜的兔子小姐</dc:creator>
  <cp:lastModifiedBy>ZZ</cp:lastModifiedBy>
  <dcterms:modified xsi:type="dcterms:W3CDTF">2025-07-09T01:03:15Z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F7D7A72AB70F4531B05DF0C99B39DF39_13</vt:lpwstr>
  </property>
  <property fmtid="{D5CDD505-2E9C-101B-9397-08002B2CF9AE}" pid="4" name="KSOTemplateDocerSaveRecord">
    <vt:lpwstr>eyJoZGlkIjoiYTUwMjY0MjlmYjhlMDMxYWQ4ZjQ4MWE3NGFjN2M4NzYiLCJ1c2VySWQiOiIxNDQwODA4ODkyIn0=</vt:lpwstr>
  </property>
</Properties>
</file>