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F2D84">
      <w:pPr>
        <w:ind w:firstLine="1044"/>
        <w:jc w:val="center"/>
        <w:rPr>
          <w:rFonts w:ascii="宋体" w:hAnsi="宋体"/>
          <w:b/>
          <w:color w:val="auto"/>
          <w:sz w:val="52"/>
          <w:szCs w:val="52"/>
          <w:highlight w:val="none"/>
        </w:rPr>
      </w:pPr>
    </w:p>
    <w:p w14:paraId="2AC2B119">
      <w:pPr>
        <w:jc w:val="center"/>
        <w:rPr>
          <w:rFonts w:hint="eastAsia" w:ascii="宋体" w:hAnsi="宋体" w:eastAsia="宋体"/>
          <w:b/>
          <w:color w:val="auto"/>
          <w:sz w:val="52"/>
          <w:szCs w:val="52"/>
          <w:highlight w:val="none"/>
          <w:lang w:val="en-US" w:eastAsia="zh-CN"/>
        </w:rPr>
      </w:pPr>
      <w:r>
        <w:rPr>
          <w:rFonts w:hint="eastAsia" w:ascii="宋体" w:hAnsi="宋体"/>
          <w:b/>
          <w:color w:val="auto"/>
          <w:sz w:val="52"/>
          <w:szCs w:val="52"/>
          <w:highlight w:val="none"/>
          <w:lang w:eastAsia="zh-CN"/>
        </w:rPr>
        <w:t>吉林水利电力职业学院校园宿舍安全管理建设项目</w:t>
      </w:r>
    </w:p>
    <w:p w14:paraId="4A3AC0B1">
      <w:pPr>
        <w:ind w:firstLine="1044"/>
        <w:jc w:val="center"/>
        <w:rPr>
          <w:rFonts w:ascii="宋体" w:hAnsi="宋体"/>
          <w:b/>
          <w:color w:val="auto"/>
          <w:sz w:val="52"/>
          <w:szCs w:val="52"/>
          <w:highlight w:val="none"/>
        </w:rPr>
      </w:pPr>
    </w:p>
    <w:p w14:paraId="240DC838">
      <w:pPr>
        <w:ind w:firstLine="1044"/>
        <w:jc w:val="center"/>
        <w:rPr>
          <w:rFonts w:ascii="宋体" w:hAnsi="宋体"/>
          <w:b/>
          <w:color w:val="auto"/>
          <w:sz w:val="52"/>
          <w:szCs w:val="52"/>
          <w:highlight w:val="none"/>
        </w:rPr>
      </w:pPr>
    </w:p>
    <w:p w14:paraId="0D76AF3C">
      <w:pPr>
        <w:ind w:firstLine="1044"/>
        <w:rPr>
          <w:rFonts w:ascii="宋体" w:hAnsi="宋体"/>
          <w:b/>
          <w:color w:val="auto"/>
          <w:sz w:val="52"/>
          <w:szCs w:val="52"/>
          <w:highlight w:val="none"/>
        </w:rPr>
      </w:pPr>
    </w:p>
    <w:p w14:paraId="30A80248">
      <w:pPr>
        <w:jc w:val="center"/>
        <w:rPr>
          <w:rFonts w:ascii="宋体" w:hAnsi="宋体"/>
          <w:b/>
          <w:color w:val="auto"/>
          <w:sz w:val="100"/>
          <w:szCs w:val="100"/>
          <w:highlight w:val="none"/>
        </w:rPr>
      </w:pPr>
      <w:r>
        <w:rPr>
          <w:rFonts w:hint="eastAsia" w:ascii="宋体" w:hAnsi="宋体"/>
          <w:b/>
          <w:color w:val="auto"/>
          <w:sz w:val="72"/>
          <w:szCs w:val="72"/>
          <w:highlight w:val="none"/>
        </w:rPr>
        <w:t>竞争性谈判文件</w:t>
      </w:r>
    </w:p>
    <w:p w14:paraId="34934E3F">
      <w:pPr>
        <w:jc w:val="center"/>
        <w:rPr>
          <w:rFonts w:hint="eastAsia" w:ascii="宋体" w:hAnsi="宋体"/>
          <w:b/>
          <w:color w:val="auto"/>
          <w:sz w:val="28"/>
          <w:szCs w:val="28"/>
          <w:highlight w:val="none"/>
        </w:rPr>
      </w:pPr>
    </w:p>
    <w:p w14:paraId="2185BFCC">
      <w:pPr>
        <w:jc w:val="center"/>
        <w:rPr>
          <w:rFonts w:hint="eastAsia" w:ascii="宋体" w:hAnsi="宋体" w:eastAsia="宋体" w:cs="宋体"/>
          <w:b/>
          <w:bCs/>
          <w:color w:val="auto"/>
          <w:sz w:val="28"/>
          <w:szCs w:val="28"/>
          <w:highlight w:val="none"/>
          <w:lang w:val="zh-CN"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采购计划-[2025]-07244号-1</w:t>
      </w:r>
    </w:p>
    <w:p w14:paraId="47B8F6EB">
      <w:pPr>
        <w:spacing w:line="400" w:lineRule="exact"/>
        <w:jc w:val="center"/>
        <w:rPr>
          <w:rFonts w:hint="eastAsia" w:ascii="宋体" w:hAnsi="宋体"/>
          <w:b/>
          <w:color w:val="auto"/>
          <w:sz w:val="32"/>
          <w:szCs w:val="32"/>
          <w:highlight w:val="none"/>
        </w:rPr>
      </w:pPr>
    </w:p>
    <w:p w14:paraId="7489A9DE">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（副本）</w:t>
      </w:r>
    </w:p>
    <w:p w14:paraId="06DA84AD">
      <w:pPr>
        <w:spacing w:line="400" w:lineRule="exact"/>
        <w:rPr>
          <w:rFonts w:ascii="宋体" w:hAnsi="宋体"/>
          <w:color w:val="auto"/>
          <w:highlight w:val="none"/>
        </w:rPr>
      </w:pPr>
    </w:p>
    <w:p w14:paraId="3EFFAFEB">
      <w:pPr>
        <w:spacing w:line="400" w:lineRule="exact"/>
        <w:rPr>
          <w:rFonts w:ascii="宋体" w:hAnsi="宋体"/>
          <w:color w:val="auto"/>
          <w:highlight w:val="none"/>
        </w:rPr>
      </w:pPr>
    </w:p>
    <w:p w14:paraId="4452273F">
      <w:pPr>
        <w:spacing w:line="400" w:lineRule="exact"/>
        <w:rPr>
          <w:rFonts w:ascii="宋体" w:hAnsi="宋体"/>
          <w:color w:val="auto"/>
          <w:highlight w:val="none"/>
        </w:rPr>
      </w:pPr>
    </w:p>
    <w:p w14:paraId="0FFFB676">
      <w:pPr>
        <w:spacing w:line="400" w:lineRule="exact"/>
        <w:rPr>
          <w:rFonts w:ascii="宋体" w:hAnsi="宋体"/>
          <w:color w:val="auto"/>
          <w:highlight w:val="none"/>
        </w:rPr>
      </w:pPr>
    </w:p>
    <w:p w14:paraId="2F7AE4BE">
      <w:pPr>
        <w:spacing w:line="400" w:lineRule="exact"/>
        <w:rPr>
          <w:rFonts w:ascii="宋体" w:hAnsi="宋体"/>
          <w:color w:val="auto"/>
          <w:highlight w:val="none"/>
        </w:rPr>
      </w:pPr>
    </w:p>
    <w:p w14:paraId="41E576D1">
      <w:pPr>
        <w:spacing w:line="400" w:lineRule="exact"/>
        <w:rPr>
          <w:rFonts w:ascii="宋体" w:hAnsi="宋体"/>
          <w:color w:val="auto"/>
          <w:highlight w:val="none"/>
        </w:rPr>
      </w:pPr>
    </w:p>
    <w:p w14:paraId="1C2F846D">
      <w:pPr>
        <w:spacing w:line="400" w:lineRule="exact"/>
        <w:rPr>
          <w:rFonts w:ascii="宋体" w:hAnsi="宋体"/>
          <w:color w:val="auto"/>
          <w:highlight w:val="none"/>
        </w:rPr>
      </w:pPr>
    </w:p>
    <w:p w14:paraId="04E896C1">
      <w:pPr>
        <w:spacing w:line="400" w:lineRule="exact"/>
        <w:rPr>
          <w:rFonts w:ascii="宋体" w:hAnsi="宋体"/>
          <w:color w:val="auto"/>
          <w:highlight w:val="none"/>
        </w:rPr>
      </w:pPr>
    </w:p>
    <w:p w14:paraId="59264FA6">
      <w:pPr>
        <w:spacing w:line="400" w:lineRule="exact"/>
        <w:rPr>
          <w:rFonts w:ascii="宋体" w:hAnsi="宋体"/>
          <w:color w:val="auto"/>
          <w:highlight w:val="none"/>
        </w:rPr>
      </w:pPr>
    </w:p>
    <w:p w14:paraId="647381F1">
      <w:pPr>
        <w:spacing w:line="400" w:lineRule="exact"/>
        <w:rPr>
          <w:rFonts w:ascii="宋体" w:hAnsi="宋体"/>
          <w:color w:val="auto"/>
          <w:highlight w:val="none"/>
        </w:rPr>
      </w:pPr>
    </w:p>
    <w:p w14:paraId="39828C62">
      <w:pPr>
        <w:adjustRightInd w:val="0"/>
        <w:snapToGrid w:val="0"/>
        <w:spacing w:line="360" w:lineRule="auto"/>
        <w:ind w:firstLine="1807" w:firstLineChars="600"/>
        <w:jc w:val="both"/>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采   购   人：</w:t>
      </w:r>
      <w:r>
        <w:rPr>
          <w:rFonts w:hint="eastAsia" w:ascii="宋体" w:hAnsi="宋体"/>
          <w:b/>
          <w:color w:val="auto"/>
          <w:sz w:val="30"/>
          <w:szCs w:val="30"/>
          <w:highlight w:val="none"/>
          <w:u w:val="single"/>
          <w:lang w:eastAsia="zh-CN"/>
        </w:rPr>
        <w:t>吉林水利电力职业学院</w:t>
      </w:r>
    </w:p>
    <w:p w14:paraId="384998A9">
      <w:pPr>
        <w:adjustRightInd w:val="0"/>
        <w:snapToGrid w:val="0"/>
        <w:spacing w:line="360" w:lineRule="auto"/>
        <w:ind w:firstLine="1973" w:firstLineChars="655"/>
        <w:jc w:val="left"/>
        <w:rPr>
          <w:rFonts w:ascii="宋体" w:hAnsi="宋体"/>
          <w:b/>
          <w:color w:val="auto"/>
          <w:sz w:val="30"/>
          <w:szCs w:val="30"/>
          <w:highlight w:val="none"/>
        </w:rPr>
      </w:pPr>
    </w:p>
    <w:p w14:paraId="5B19C520">
      <w:pPr>
        <w:adjustRightInd w:val="0"/>
        <w:snapToGri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采购代理机构：</w:t>
      </w:r>
      <w:r>
        <w:rPr>
          <w:rFonts w:hint="eastAsia" w:ascii="宋体" w:hAnsi="宋体"/>
          <w:b/>
          <w:color w:val="auto"/>
          <w:sz w:val="30"/>
          <w:szCs w:val="30"/>
          <w:highlight w:val="none"/>
          <w:u w:val="single"/>
        </w:rPr>
        <w:t>吉林省晟裕工程咨询有限公司</w:t>
      </w:r>
    </w:p>
    <w:p w14:paraId="7FBAE22F">
      <w:pPr>
        <w:adjustRightInd w:val="0"/>
        <w:snapToGrid w:val="0"/>
        <w:spacing w:line="360" w:lineRule="auto"/>
        <w:ind w:firstLine="1343" w:firstLineChars="446"/>
        <w:jc w:val="left"/>
        <w:rPr>
          <w:rFonts w:ascii="宋体" w:hAnsi="宋体"/>
          <w:b/>
          <w:color w:val="auto"/>
          <w:sz w:val="30"/>
          <w:szCs w:val="30"/>
          <w:highlight w:val="none"/>
        </w:rPr>
      </w:pPr>
    </w:p>
    <w:p w14:paraId="11A1283B">
      <w:pPr>
        <w:jc w:val="center"/>
        <w:rPr>
          <w:rFonts w:ascii="宋体" w:hAnsi="宋体"/>
          <w:color w:val="auto"/>
          <w:highlight w:val="none"/>
        </w:rPr>
      </w:pPr>
      <w:r>
        <w:rPr>
          <w:rFonts w:hint="eastAsia" w:ascii="宋体" w:hAnsi="宋体"/>
          <w:b/>
          <w:color w:val="auto"/>
          <w:sz w:val="30"/>
          <w:szCs w:val="30"/>
          <w:highlight w:val="none"/>
        </w:rPr>
        <w:t>日        期：二○二</w:t>
      </w:r>
      <w:r>
        <w:rPr>
          <w:rFonts w:hint="eastAsia" w:ascii="宋体" w:hAnsi="宋体"/>
          <w:b/>
          <w:color w:val="auto"/>
          <w:sz w:val="30"/>
          <w:szCs w:val="30"/>
          <w:highlight w:val="none"/>
          <w:lang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六</w:t>
      </w:r>
      <w:r>
        <w:rPr>
          <w:rFonts w:hint="eastAsia" w:ascii="宋体" w:hAnsi="宋体"/>
          <w:b/>
          <w:color w:val="auto"/>
          <w:sz w:val="30"/>
          <w:szCs w:val="30"/>
          <w:highlight w:val="none"/>
        </w:rPr>
        <w:t>月</w:t>
      </w:r>
    </w:p>
    <w:p w14:paraId="0462F9A9">
      <w:pPr>
        <w:pStyle w:val="34"/>
        <w:ind w:firstLine="803"/>
        <w:jc w:val="center"/>
        <w:rPr>
          <w:rFonts w:ascii="宋体" w:hAnsi="宋体" w:cs="宋体"/>
          <w:color w:val="auto"/>
          <w:sz w:val="40"/>
          <w:highlight w:val="none"/>
        </w:rPr>
      </w:pPr>
    </w:p>
    <w:p w14:paraId="4E74BD9C">
      <w:pPr>
        <w:rPr>
          <w:color w:val="auto"/>
          <w:highlight w:val="none"/>
        </w:rPr>
      </w:pPr>
    </w:p>
    <w:p w14:paraId="4DB29E1F">
      <w:pPr>
        <w:pStyle w:val="34"/>
        <w:ind w:left="0" w:firstLine="803"/>
        <w:rPr>
          <w:rFonts w:ascii="宋体" w:hAnsi="宋体" w:cs="宋体"/>
          <w:color w:val="auto"/>
          <w:sz w:val="40"/>
          <w:highlight w:val="none"/>
        </w:rPr>
        <w:sectPr>
          <w:headerReference r:id="rId5" w:type="first"/>
          <w:headerReference r:id="rId3" w:type="default"/>
          <w:headerReference r:id="rId4" w:type="even"/>
          <w:footerReference r:id="rId6" w:type="even"/>
          <w:pgSz w:w="11907" w:h="16840"/>
          <w:pgMar w:top="1418" w:right="1249" w:bottom="1134" w:left="1218" w:header="680" w:footer="907" w:gutter="0"/>
          <w:cols w:space="720" w:num="1"/>
          <w:titlePg/>
        </w:sectPr>
      </w:pPr>
    </w:p>
    <w:p w14:paraId="77678A2B">
      <w:pPr>
        <w:pStyle w:val="34"/>
        <w:ind w:firstLine="803"/>
        <w:jc w:val="center"/>
        <w:rPr>
          <w:rFonts w:ascii="宋体" w:hAnsi="宋体" w:cs="宋体"/>
          <w:color w:val="auto"/>
          <w:sz w:val="40"/>
          <w:highlight w:val="none"/>
        </w:rPr>
      </w:pPr>
      <w:r>
        <w:rPr>
          <w:rFonts w:hint="eastAsia" w:ascii="宋体" w:hAnsi="宋体" w:cs="宋体"/>
          <w:color w:val="auto"/>
          <w:sz w:val="40"/>
          <w:highlight w:val="none"/>
        </w:rPr>
        <w:t>目   录</w:t>
      </w:r>
    </w:p>
    <w:sdt>
      <w:sdtPr>
        <w:rPr>
          <w:rFonts w:ascii="宋体" w:hAnsi="宋体" w:eastAsia="宋体" w:cs="Times New Roman"/>
          <w:color w:val="auto"/>
          <w:kern w:val="2"/>
          <w:sz w:val="21"/>
          <w:szCs w:val="24"/>
          <w:highlight w:val="none"/>
          <w:lang w:val="en-US" w:eastAsia="zh-CN" w:bidi="ar-SA"/>
        </w:rPr>
        <w:id w:val="147473937"/>
        <w15:color w:val="DBDBDB"/>
        <w:docPartObj>
          <w:docPartGallery w:val="Table of Contents"/>
          <w:docPartUnique/>
        </w:docPartObj>
      </w:sdtPr>
      <w:sdtEndPr>
        <w:rPr>
          <w:rFonts w:ascii="华文楷体" w:hAnsi="华文楷体" w:eastAsia="华文楷体" w:cs="华文楷体"/>
          <w:color w:val="auto"/>
          <w:kern w:val="2"/>
          <w:sz w:val="22"/>
          <w:szCs w:val="21"/>
          <w:highlight w:val="none"/>
          <w:lang w:val="en-US" w:eastAsia="zh-CN" w:bidi="ar-SA"/>
        </w:rPr>
      </w:sdtEndPr>
      <w:sdtContent>
        <w:p w14:paraId="2C54F658">
          <w:pPr>
            <w:spacing w:before="0" w:beforeLines="0" w:after="0" w:afterLines="0" w:line="240" w:lineRule="auto"/>
            <w:ind w:left="0" w:leftChars="0" w:right="0" w:rightChars="0" w:firstLine="0" w:firstLineChars="0"/>
            <w:jc w:val="center"/>
            <w:rPr>
              <w:color w:val="auto"/>
              <w:highlight w:val="none"/>
            </w:rPr>
          </w:pPr>
        </w:p>
        <w:p w14:paraId="7BBA3E4E">
          <w:pPr>
            <w:pStyle w:val="34"/>
            <w:tabs>
              <w:tab w:val="right" w:leader="middleDot" w:pos="9440"/>
              <w:tab w:val="clear" w:pos="9345"/>
            </w:tabs>
            <w:spacing w:line="480" w:lineRule="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_Toc24728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第一部分  竞争性谈判公告</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_Toc24728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70543B5B">
          <w:pPr>
            <w:pStyle w:val="34"/>
            <w:tabs>
              <w:tab w:val="right" w:leader="middleDot" w:pos="9440"/>
              <w:tab w:val="clear" w:pos="9345"/>
            </w:tabs>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_Toc32482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第二部分 竞争性谈判须知</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_Toc32482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5D14D573">
          <w:pPr>
            <w:pStyle w:val="34"/>
            <w:tabs>
              <w:tab w:val="right" w:leader="middleDot" w:pos="9440"/>
              <w:tab w:val="clear" w:pos="9345"/>
            </w:tabs>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_Toc23005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xml:space="preserve">第三部分 </w:t>
          </w:r>
          <w:r>
            <w:rPr>
              <w:rFonts w:hint="eastAsia" w:ascii="宋体" w:hAnsi="宋体" w:eastAsia="宋体" w:cs="宋体"/>
              <w:b w:val="0"/>
              <w:bCs/>
              <w:color w:val="auto"/>
              <w:sz w:val="24"/>
              <w:szCs w:val="24"/>
              <w:highlight w:val="none"/>
            </w:rPr>
            <w:t>合同专用条款</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_Toc23005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19</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70ED91F4">
          <w:pPr>
            <w:pStyle w:val="34"/>
            <w:tabs>
              <w:tab w:val="right" w:leader="middleDot" w:pos="9440"/>
              <w:tab w:val="clear" w:pos="9345"/>
            </w:tabs>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_Toc25565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第四部分 项目需求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_Toc25565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20</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73C50032">
          <w:pPr>
            <w:pStyle w:val="34"/>
            <w:tabs>
              <w:tab w:val="right" w:leader="middleDot" w:pos="9440"/>
              <w:tab w:val="clear" w:pos="9345"/>
            </w:tabs>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_Toc18293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第五部分 响应文件格式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_Toc18293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146403A1">
          <w:pPr>
            <w:pStyle w:val="34"/>
            <w:tabs>
              <w:tab w:val="right" w:leader="middleDot" w:pos="9440"/>
              <w:tab w:val="clear" w:pos="9345"/>
            </w:tabs>
            <w:spacing w:line="48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_Toc14614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第六部分 谈判原则和成交标准</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_Toc14614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46</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5AA3C2F3">
          <w:pPr>
            <w:pStyle w:val="59"/>
            <w:spacing w:line="480" w:lineRule="auto"/>
            <w:rPr>
              <w:rFonts w:ascii="华文楷体" w:hAnsi="华文楷体" w:eastAsia="华文楷体" w:cs="华文楷体"/>
              <w:color w:val="auto"/>
              <w:sz w:val="22"/>
              <w:szCs w:val="21"/>
              <w:highlight w:val="none"/>
              <w:lang w:val="en-US" w:eastAsia="zh-CN" w:bidi="ar-SA"/>
            </w:rPr>
          </w:pPr>
          <w:r>
            <w:rPr>
              <w:rFonts w:hint="eastAsia" w:ascii="宋体" w:hAnsi="宋体" w:eastAsia="宋体" w:cs="宋体"/>
              <w:color w:val="auto"/>
              <w:sz w:val="24"/>
              <w:szCs w:val="24"/>
              <w:highlight w:val="none"/>
            </w:rPr>
            <w:fldChar w:fldCharType="end"/>
          </w:r>
        </w:p>
      </w:sdtContent>
    </w:sdt>
    <w:p w14:paraId="7F50BE70">
      <w:pPr>
        <w:pStyle w:val="59"/>
        <w:rPr>
          <w:rFonts w:ascii="华文楷体" w:hAnsi="华文楷体" w:eastAsia="华文楷体" w:cs="华文楷体"/>
          <w:color w:val="auto"/>
          <w:sz w:val="22"/>
          <w:szCs w:val="21"/>
          <w:highlight w:val="none"/>
          <w:lang w:val="en-US" w:eastAsia="zh-CN" w:bidi="ar-SA"/>
        </w:rPr>
      </w:pPr>
    </w:p>
    <w:p w14:paraId="0BA39389">
      <w:pPr>
        <w:pStyle w:val="34"/>
        <w:ind w:firstLine="643"/>
        <w:rPr>
          <w:rFonts w:ascii="宋体" w:hAnsi="宋体" w:cstheme="minorBidi"/>
          <w:b w:val="0"/>
          <w:bCs/>
          <w:smallCaps w:val="0"/>
          <w:color w:val="auto"/>
          <w:sz w:val="18"/>
          <w:szCs w:val="20"/>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TOC \o "1-4" \h \z \u </w:instrText>
      </w:r>
      <w:r>
        <w:rPr>
          <w:rFonts w:hint="eastAsia" w:ascii="宋体" w:hAnsi="宋体" w:cs="宋体"/>
          <w:color w:val="auto"/>
          <w:sz w:val="28"/>
          <w:szCs w:val="28"/>
          <w:highlight w:val="none"/>
        </w:rPr>
        <w:fldChar w:fldCharType="separate"/>
      </w:r>
    </w:p>
    <w:p w14:paraId="722BA140">
      <w:pPr>
        <w:pStyle w:val="30"/>
        <w:tabs>
          <w:tab w:val="right" w:leader="dot" w:pos="9335"/>
        </w:tabs>
        <w:rPr>
          <w:rFonts w:ascii="宋体" w:hAnsi="宋体" w:cstheme="minorBidi"/>
          <w:color w:val="auto"/>
          <w:sz w:val="21"/>
          <w:szCs w:val="22"/>
          <w:highlight w:val="none"/>
        </w:rPr>
      </w:pPr>
    </w:p>
    <w:p w14:paraId="7232E4E4">
      <w:pPr>
        <w:spacing w:line="360" w:lineRule="auto"/>
        <w:rPr>
          <w:rFonts w:ascii="宋体" w:hAnsi="宋体" w:cs="宋体"/>
          <w:color w:val="auto"/>
          <w:sz w:val="24"/>
          <w:highlight w:val="none"/>
        </w:rPr>
      </w:pPr>
      <w:r>
        <w:rPr>
          <w:rFonts w:hint="eastAsia" w:ascii="宋体" w:hAnsi="宋体" w:cs="宋体"/>
          <w:color w:val="auto"/>
          <w:szCs w:val="28"/>
          <w:highlight w:val="none"/>
        </w:rPr>
        <w:fldChar w:fldCharType="end"/>
      </w:r>
    </w:p>
    <w:p w14:paraId="47FF1CEE">
      <w:pPr>
        <w:jc w:val="center"/>
        <w:rPr>
          <w:rFonts w:ascii="宋体" w:hAnsi="宋体" w:cs="宋体"/>
          <w:color w:val="auto"/>
          <w:highlight w:val="none"/>
        </w:rPr>
      </w:pPr>
    </w:p>
    <w:p w14:paraId="447C8FB2">
      <w:pPr>
        <w:rPr>
          <w:rFonts w:ascii="宋体" w:hAnsi="宋体" w:cs="宋体"/>
          <w:color w:val="auto"/>
          <w:highlight w:val="none"/>
        </w:rPr>
      </w:pPr>
    </w:p>
    <w:p w14:paraId="74F280CC">
      <w:pPr>
        <w:rPr>
          <w:rFonts w:ascii="宋体" w:hAnsi="宋体" w:cs="宋体"/>
          <w:color w:val="auto"/>
          <w:highlight w:val="none"/>
        </w:rPr>
      </w:pPr>
    </w:p>
    <w:p w14:paraId="7B3AE4E4">
      <w:pPr>
        <w:rPr>
          <w:rFonts w:ascii="宋体" w:hAnsi="宋体" w:cs="宋体"/>
          <w:color w:val="auto"/>
          <w:highlight w:val="none"/>
        </w:rPr>
      </w:pPr>
    </w:p>
    <w:p w14:paraId="2F8169BE">
      <w:pPr>
        <w:rPr>
          <w:rFonts w:ascii="宋体" w:hAnsi="宋体" w:cs="宋体"/>
          <w:color w:val="auto"/>
          <w:highlight w:val="none"/>
        </w:rPr>
      </w:pPr>
    </w:p>
    <w:p w14:paraId="62C1008D">
      <w:pPr>
        <w:pStyle w:val="3"/>
        <w:jc w:val="center"/>
        <w:rPr>
          <w:rFonts w:cs="宋体"/>
          <w:b/>
          <w:color w:val="auto"/>
          <w:sz w:val="28"/>
          <w:szCs w:val="28"/>
          <w:highlight w:val="none"/>
        </w:rPr>
      </w:pPr>
      <w:bookmarkStart w:id="273" w:name="_GoBack"/>
      <w:bookmarkEnd w:id="273"/>
      <w:r>
        <w:rPr>
          <w:rFonts w:hint="eastAsia" w:cs="宋体"/>
          <w:color w:val="auto"/>
          <w:highlight w:val="none"/>
        </w:rPr>
        <w:br w:type="page"/>
      </w:r>
      <w:bookmarkStart w:id="0" w:name="_Toc7168755"/>
      <w:bookmarkStart w:id="1" w:name="_Toc24728"/>
      <w:r>
        <w:rPr>
          <w:rFonts w:hint="default" w:eastAsia="宋体" w:cs="宋体" w:asciiTheme="majorAscii" w:hAnsiTheme="majorAscii"/>
          <w:color w:val="auto"/>
          <w:sz w:val="40"/>
          <w:szCs w:val="18"/>
          <w:highlight w:val="none"/>
        </w:rPr>
        <w:t xml:space="preserve">第一部分  </w:t>
      </w:r>
      <w:bookmarkEnd w:id="0"/>
      <w:r>
        <w:rPr>
          <w:rFonts w:hint="default" w:eastAsia="宋体" w:cs="宋体" w:asciiTheme="majorAscii" w:hAnsiTheme="majorAscii"/>
          <w:color w:val="auto"/>
          <w:sz w:val="40"/>
          <w:szCs w:val="18"/>
          <w:highlight w:val="none"/>
        </w:rPr>
        <w:t>竞争性谈判公告</w:t>
      </w:r>
      <w:bookmarkEnd w:id="1"/>
    </w:p>
    <w:p w14:paraId="51E63B3A">
      <w:pPr>
        <w:topLinePunct/>
        <w:adjustRightInd w:val="0"/>
        <w:snapToGrid w:val="0"/>
        <w:spacing w:before="36" w:beforeLines="15"/>
        <w:jc w:val="center"/>
        <w:rPr>
          <w:rFonts w:ascii="宋体" w:hAnsi="宋体"/>
          <w:bCs/>
          <w:color w:val="auto"/>
          <w:highlight w:val="none"/>
        </w:rPr>
      </w:pPr>
    </w:p>
    <w:p w14:paraId="4CB576D1">
      <w:pPr>
        <w:pBdr>
          <w:top w:val="single" w:color="auto" w:sz="4" w:space="1"/>
          <w:left w:val="single" w:color="auto" w:sz="4" w:space="4"/>
          <w:bottom w:val="single" w:color="auto" w:sz="4" w:space="1"/>
          <w:right w:val="single" w:color="auto" w:sz="4" w:space="4"/>
        </w:pBdr>
        <w:spacing w:line="312" w:lineRule="auto"/>
        <w:rPr>
          <w:rFonts w:ascii="宋体" w:hAnsi="宋体"/>
          <w:color w:val="auto"/>
          <w:szCs w:val="21"/>
          <w:highlight w:val="none"/>
        </w:rPr>
      </w:pPr>
      <w:r>
        <w:rPr>
          <w:rFonts w:hint="eastAsia" w:ascii="宋体" w:hAnsi="宋体"/>
          <w:color w:val="auto"/>
          <w:szCs w:val="21"/>
          <w:highlight w:val="none"/>
        </w:rPr>
        <w:t>项目概况</w:t>
      </w:r>
    </w:p>
    <w:p w14:paraId="59C2F5B0">
      <w:pPr>
        <w:pBdr>
          <w:top w:val="single" w:color="auto" w:sz="4" w:space="1"/>
          <w:left w:val="single" w:color="auto" w:sz="4" w:space="4"/>
          <w:bottom w:val="single" w:color="auto" w:sz="4" w:space="1"/>
          <w:right w:val="single" w:color="auto" w:sz="4" w:space="4"/>
        </w:pBdr>
        <w:spacing w:line="312"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lang w:eastAsia="zh-CN"/>
        </w:rPr>
        <w:t>吉林水利电力职业学院校园宿舍安全管理建设项目</w:t>
      </w:r>
      <w:r>
        <w:rPr>
          <w:rFonts w:hint="eastAsia" w:ascii="宋体" w:hAnsi="宋体"/>
          <w:color w:val="auto"/>
          <w:szCs w:val="21"/>
          <w:highlight w:val="none"/>
        </w:rPr>
        <w:t>的潜在供应商应</w:t>
      </w:r>
      <w:r>
        <w:rPr>
          <w:rFonts w:hint="eastAsia" w:ascii="宋体" w:hAnsi="宋体"/>
          <w:color w:val="auto"/>
          <w:szCs w:val="21"/>
          <w:highlight w:val="none"/>
          <w:lang w:val="en-US" w:eastAsia="zh-CN"/>
        </w:rPr>
        <w:t>在“政采云”平台（https://www.zcygov.cn/）获取（下载）竞争性谈判文件</w:t>
      </w:r>
      <w:r>
        <w:rPr>
          <w:rFonts w:hint="eastAsia" w:ascii="宋体" w:hAnsi="宋体"/>
          <w:color w:val="auto"/>
          <w:szCs w:val="21"/>
          <w:highlight w:val="none"/>
        </w:rPr>
        <w:t>，并于</w:t>
      </w:r>
      <w:r>
        <w:rPr>
          <w:rFonts w:hint="eastAsia" w:ascii="宋体" w:hAnsi="宋体"/>
          <w:bCs/>
          <w:color w:val="auto"/>
          <w:szCs w:val="21"/>
          <w:highlight w:val="none"/>
          <w:u w:val="single"/>
          <w:lang w:val="en-US" w:eastAsia="zh-CN"/>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时00分</w:t>
      </w:r>
      <w:r>
        <w:rPr>
          <w:rFonts w:hint="eastAsia" w:ascii="宋体" w:hAnsi="宋体"/>
          <w:bCs/>
          <w:color w:val="auto"/>
          <w:szCs w:val="21"/>
          <w:highlight w:val="none"/>
          <w:u w:val="single"/>
        </w:rPr>
        <w:t>（</w:t>
      </w:r>
      <w:r>
        <w:rPr>
          <w:rFonts w:hint="eastAsia" w:ascii="宋体" w:hAnsi="宋体"/>
          <w:bCs/>
          <w:color w:val="auto"/>
          <w:szCs w:val="21"/>
          <w:highlight w:val="none"/>
        </w:rPr>
        <w:t>北</w:t>
      </w:r>
      <w:r>
        <w:rPr>
          <w:rFonts w:hint="eastAsia" w:ascii="宋体" w:hAnsi="宋体"/>
          <w:bCs/>
          <w:color w:val="auto"/>
          <w:szCs w:val="21"/>
          <w:highlight w:val="none"/>
        </w:rPr>
        <w:t>京时间）前递交响应文件</w:t>
      </w:r>
      <w:r>
        <w:rPr>
          <w:rFonts w:hint="eastAsia" w:ascii="宋体" w:hAnsi="宋体"/>
          <w:color w:val="auto"/>
          <w:szCs w:val="21"/>
          <w:highlight w:val="none"/>
        </w:rPr>
        <w:t>。</w:t>
      </w:r>
    </w:p>
    <w:p w14:paraId="120572BC">
      <w:pPr>
        <w:pStyle w:val="3"/>
        <w:pageBreakBefore w:val="0"/>
        <w:kinsoku/>
        <w:wordWrap/>
        <w:overflowPunct/>
        <w:autoSpaceDE/>
        <w:autoSpaceDN/>
        <w:bidi w:val="0"/>
        <w:adjustRightInd w:val="0"/>
        <w:snapToGrid w:val="0"/>
        <w:spacing w:line="360" w:lineRule="auto"/>
        <w:ind w:left="0"/>
        <w:jc w:val="left"/>
        <w:textAlignment w:val="auto"/>
        <w:rPr>
          <w:rFonts w:cs="宋体"/>
          <w:color w:val="auto"/>
          <w:sz w:val="21"/>
          <w:szCs w:val="21"/>
          <w:highlight w:val="none"/>
        </w:rPr>
      </w:pPr>
      <w:bookmarkStart w:id="2" w:name="_Toc28359079"/>
      <w:bookmarkStart w:id="3" w:name="_Toc35393621"/>
      <w:bookmarkStart w:id="4" w:name="_Toc35393790"/>
      <w:bookmarkStart w:id="5" w:name="_Toc28359002"/>
      <w:bookmarkStart w:id="6" w:name="_Toc26369"/>
      <w:bookmarkStart w:id="7" w:name="_Hlk24379207"/>
      <w:r>
        <w:rPr>
          <w:rFonts w:hint="eastAsia" w:cs="宋体"/>
          <w:color w:val="auto"/>
          <w:sz w:val="21"/>
          <w:szCs w:val="21"/>
          <w:highlight w:val="none"/>
        </w:rPr>
        <w:t>一、项目基本情况</w:t>
      </w:r>
      <w:bookmarkEnd w:id="2"/>
      <w:bookmarkEnd w:id="3"/>
      <w:bookmarkEnd w:id="4"/>
      <w:bookmarkEnd w:id="5"/>
      <w:r>
        <w:rPr>
          <w:rFonts w:hint="eastAsia" w:cs="宋体"/>
          <w:color w:val="auto"/>
          <w:sz w:val="21"/>
          <w:szCs w:val="21"/>
          <w:highlight w:val="none"/>
        </w:rPr>
        <w:t>：</w:t>
      </w:r>
      <w:bookmarkEnd w:id="6"/>
    </w:p>
    <w:p w14:paraId="0C4AFBA0">
      <w:pPr>
        <w:pageBreakBefore w:val="0"/>
        <w:kinsoku/>
        <w:wordWrap/>
        <w:overflowPunct/>
        <w:autoSpaceDE/>
        <w:autoSpaceDN/>
        <w:bidi w:val="0"/>
        <w:adjustRightInd w:val="0"/>
        <w:snapToGrid w:val="0"/>
        <w:spacing w:line="360" w:lineRule="auto"/>
        <w:ind w:left="0"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1.项目编号：</w:t>
      </w:r>
      <w:r>
        <w:rPr>
          <w:rFonts w:hint="eastAsia" w:ascii="宋体" w:hAnsi="宋体"/>
          <w:color w:val="auto"/>
          <w:szCs w:val="21"/>
          <w:highlight w:val="none"/>
          <w:lang w:eastAsia="zh-CN"/>
        </w:rPr>
        <w:t>采购计划-[2025]-07244号-1</w:t>
      </w:r>
    </w:p>
    <w:p w14:paraId="458A10D5">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2.项目名称：</w:t>
      </w:r>
      <w:r>
        <w:rPr>
          <w:rFonts w:hint="eastAsia" w:ascii="宋体" w:hAnsi="宋体"/>
          <w:color w:val="auto"/>
          <w:szCs w:val="21"/>
          <w:highlight w:val="none"/>
          <w:lang w:eastAsia="zh-CN"/>
        </w:rPr>
        <w:t>吉林水利电力职业学院校园宿舍安全管理建设项目</w:t>
      </w:r>
      <w:r>
        <w:rPr>
          <w:rFonts w:hint="eastAsia" w:ascii="宋体" w:hAnsi="宋体"/>
          <w:color w:val="auto"/>
          <w:szCs w:val="21"/>
          <w:highlight w:val="none"/>
        </w:rPr>
        <w:t>。</w:t>
      </w:r>
    </w:p>
    <w:bookmarkEnd w:id="7"/>
    <w:p w14:paraId="27270D0D">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3.采购方式：竞争性谈判。</w:t>
      </w:r>
    </w:p>
    <w:p w14:paraId="244CEF5C">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bCs/>
          <w:color w:val="auto"/>
          <w:szCs w:val="21"/>
          <w:highlight w:val="none"/>
        </w:rPr>
      </w:pPr>
      <w:r>
        <w:rPr>
          <w:rFonts w:hint="eastAsia" w:ascii="宋体" w:hAnsi="宋体"/>
          <w:color w:val="auto"/>
          <w:szCs w:val="21"/>
          <w:highlight w:val="none"/>
        </w:rPr>
        <w:t>4.预算金额：</w:t>
      </w:r>
      <w:r>
        <w:rPr>
          <w:rFonts w:hint="eastAsia" w:ascii="宋体" w:hAnsi="宋体"/>
          <w:bCs/>
          <w:color w:val="auto"/>
          <w:szCs w:val="21"/>
          <w:highlight w:val="none"/>
          <w:lang w:val="en-US" w:eastAsia="zh-CN"/>
        </w:rPr>
        <w:t>95</w:t>
      </w:r>
      <w:r>
        <w:rPr>
          <w:rFonts w:hint="eastAsia" w:ascii="宋体" w:hAnsi="宋体"/>
          <w:bCs/>
          <w:color w:val="auto"/>
          <w:szCs w:val="21"/>
          <w:highlight w:val="none"/>
        </w:rPr>
        <w:t>万元。</w:t>
      </w:r>
    </w:p>
    <w:p w14:paraId="6CD7A2EB">
      <w:pPr>
        <w:pageBreakBefore w:val="0"/>
        <w:kinsoku/>
        <w:wordWrap/>
        <w:overflowPunct/>
        <w:autoSpaceDE/>
        <w:autoSpaceDN/>
        <w:bidi w:val="0"/>
        <w:adjustRightInd w:val="0"/>
        <w:snapToGrid w:val="0"/>
        <w:spacing w:line="360" w:lineRule="auto"/>
        <w:ind w:left="0" w:firstLine="420" w:firstLineChars="200"/>
        <w:jc w:val="left"/>
        <w:textAlignment w:val="auto"/>
        <w:rPr>
          <w:rFonts w:hint="eastAsia" w:ascii="宋体" w:hAnsi="宋体" w:eastAsia="宋体"/>
          <w:b w:val="0"/>
          <w:bCs/>
          <w:color w:val="auto"/>
          <w:szCs w:val="21"/>
          <w:highlight w:val="none"/>
          <w:lang w:eastAsia="zh-CN"/>
        </w:rPr>
      </w:pPr>
      <w:r>
        <w:rPr>
          <w:rFonts w:hint="eastAsia" w:ascii="宋体" w:hAnsi="宋体"/>
          <w:bCs/>
          <w:color w:val="auto"/>
          <w:szCs w:val="21"/>
          <w:highlight w:val="none"/>
        </w:rPr>
        <w:t>5.采购需求：</w:t>
      </w:r>
      <w:r>
        <w:rPr>
          <w:rFonts w:hint="eastAsia" w:ascii="宋体" w:hAnsi="宋体"/>
          <w:b w:val="0"/>
          <w:bCs/>
          <w:color w:val="auto"/>
          <w:szCs w:val="21"/>
          <w:highlight w:val="none"/>
          <w:lang w:eastAsia="zh-CN"/>
        </w:rPr>
        <w:t>808套宿舍用电控制器、1套宿舍用电管理平台、1套应急管理系统、7台应急管理终端、84台可视通讯终端、364套香烟感烟探测仪等（详见竞争性谈判文件第四部分项目需求）</w:t>
      </w:r>
    </w:p>
    <w:p w14:paraId="35249041">
      <w:pPr>
        <w:pageBreakBefore w:val="0"/>
        <w:kinsoku/>
        <w:wordWrap/>
        <w:overflowPunct/>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olor w:val="auto"/>
          <w:szCs w:val="21"/>
          <w:highlight w:val="none"/>
        </w:rPr>
        <w:t>6.</w:t>
      </w:r>
      <w:r>
        <w:rPr>
          <w:rFonts w:hint="eastAsia" w:ascii="宋体" w:hAnsi="宋体" w:cs="宋体"/>
          <w:bCs/>
          <w:color w:val="auto"/>
          <w:szCs w:val="21"/>
          <w:highlight w:val="none"/>
        </w:rPr>
        <w:t>合同履行期限（</w:t>
      </w:r>
      <w:r>
        <w:rPr>
          <w:rFonts w:hint="eastAsia" w:ascii="宋体" w:hAnsi="宋体"/>
          <w:bCs/>
          <w:color w:val="auto"/>
          <w:szCs w:val="21"/>
          <w:highlight w:val="none"/>
        </w:rPr>
        <w:t>供货期限</w:t>
      </w:r>
      <w:r>
        <w:rPr>
          <w:rFonts w:hint="eastAsia" w:ascii="宋体" w:hAnsi="宋体" w:cs="宋体"/>
          <w:bCs/>
          <w:color w:val="auto"/>
          <w:szCs w:val="21"/>
          <w:highlight w:val="none"/>
        </w:rPr>
        <w:t>）</w:t>
      </w:r>
      <w:r>
        <w:rPr>
          <w:rFonts w:hint="eastAsia" w:ascii="宋体" w:hAnsi="宋体"/>
          <w:bCs/>
          <w:color w:val="auto"/>
          <w:szCs w:val="21"/>
          <w:highlight w:val="none"/>
        </w:rPr>
        <w:t>：</w:t>
      </w:r>
      <w:r>
        <w:rPr>
          <w:rFonts w:hint="eastAsia" w:ascii="宋体" w:hAnsi="宋体"/>
          <w:bCs/>
          <w:color w:val="auto"/>
          <w:szCs w:val="21"/>
          <w:highlight w:val="none"/>
          <w:lang w:eastAsia="zh-CN"/>
        </w:rPr>
        <w:t>合同订立后40天内能完成供货安装。</w:t>
      </w:r>
    </w:p>
    <w:p w14:paraId="573E29B3">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color w:val="auto"/>
          <w:szCs w:val="21"/>
          <w:highlight w:val="none"/>
        </w:rPr>
      </w:pPr>
      <w:r>
        <w:rPr>
          <w:rFonts w:hint="eastAsia" w:ascii="宋体" w:hAnsi="宋体" w:cs="宋体"/>
          <w:bCs/>
          <w:color w:val="auto"/>
          <w:szCs w:val="21"/>
          <w:highlight w:val="none"/>
        </w:rPr>
        <w:t>7.</w:t>
      </w:r>
      <w:r>
        <w:rPr>
          <w:rFonts w:hint="eastAsia" w:ascii="宋体" w:hAnsi="宋体"/>
          <w:bCs/>
          <w:color w:val="auto"/>
          <w:szCs w:val="21"/>
          <w:highlight w:val="none"/>
        </w:rPr>
        <w:t>供货地</w:t>
      </w:r>
      <w:r>
        <w:rPr>
          <w:rFonts w:hint="eastAsia" w:ascii="宋体" w:hAnsi="宋体"/>
          <w:bCs/>
          <w:color w:val="auto"/>
          <w:szCs w:val="21"/>
          <w:highlight w:val="none"/>
        </w:rPr>
        <w:t>点：</w:t>
      </w:r>
      <w:r>
        <w:rPr>
          <w:rFonts w:hint="eastAsia" w:ascii="宋体" w:hAnsi="宋体"/>
          <w:bCs/>
          <w:color w:val="auto"/>
          <w:szCs w:val="21"/>
          <w:highlight w:val="none"/>
          <w:lang w:eastAsia="zh-CN"/>
        </w:rPr>
        <w:t>吉林水利电力职业学院</w:t>
      </w:r>
      <w:r>
        <w:rPr>
          <w:rFonts w:hint="eastAsia" w:ascii="宋体" w:hAnsi="宋体"/>
          <w:bCs/>
          <w:color w:val="auto"/>
          <w:szCs w:val="21"/>
          <w:highlight w:val="none"/>
        </w:rPr>
        <w:t>。</w:t>
      </w:r>
    </w:p>
    <w:p w14:paraId="218D7049">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8.</w:t>
      </w:r>
      <w:r>
        <w:rPr>
          <w:rFonts w:hint="eastAsia" w:ascii="宋体" w:hAnsi="宋体"/>
          <w:bCs/>
          <w:color w:val="auto"/>
          <w:szCs w:val="21"/>
          <w:highlight w:val="none"/>
        </w:rPr>
        <w:t>质量标准：符合国家、行业标准及竞争性谈判文件要求。</w:t>
      </w:r>
    </w:p>
    <w:p w14:paraId="3A99B71E">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9.本项目不接受联合体。</w:t>
      </w:r>
    </w:p>
    <w:p w14:paraId="1EBBA810">
      <w:pPr>
        <w:pStyle w:val="3"/>
        <w:pageBreakBefore w:val="0"/>
        <w:kinsoku/>
        <w:wordWrap/>
        <w:overflowPunct/>
        <w:autoSpaceDE/>
        <w:autoSpaceDN/>
        <w:bidi w:val="0"/>
        <w:adjustRightInd w:val="0"/>
        <w:snapToGrid w:val="0"/>
        <w:spacing w:line="360" w:lineRule="auto"/>
        <w:ind w:left="0"/>
        <w:jc w:val="left"/>
        <w:textAlignment w:val="auto"/>
        <w:rPr>
          <w:rFonts w:cs="宋体"/>
          <w:color w:val="auto"/>
          <w:sz w:val="21"/>
          <w:szCs w:val="21"/>
          <w:highlight w:val="none"/>
        </w:rPr>
      </w:pPr>
      <w:bookmarkStart w:id="8" w:name="_Toc28359080"/>
      <w:bookmarkStart w:id="9" w:name="_Toc35393622"/>
      <w:bookmarkStart w:id="10" w:name="_Toc29163"/>
      <w:bookmarkStart w:id="11" w:name="_Toc35393791"/>
      <w:bookmarkStart w:id="12" w:name="_Toc28359003"/>
      <w:r>
        <w:rPr>
          <w:rFonts w:hint="eastAsia" w:cs="宋体"/>
          <w:color w:val="auto"/>
          <w:sz w:val="21"/>
          <w:szCs w:val="21"/>
          <w:highlight w:val="none"/>
        </w:rPr>
        <w:t>二、申请人的资格要求：</w:t>
      </w:r>
      <w:bookmarkEnd w:id="8"/>
      <w:bookmarkEnd w:id="9"/>
      <w:bookmarkEnd w:id="10"/>
      <w:bookmarkEnd w:id="11"/>
      <w:bookmarkEnd w:id="12"/>
    </w:p>
    <w:p w14:paraId="478F54CB">
      <w:pPr>
        <w:snapToGrid w:val="0"/>
        <w:spacing w:line="360" w:lineRule="auto"/>
        <w:ind w:firstLine="420" w:firstLineChars="200"/>
        <w:rPr>
          <w:rFonts w:hint="eastAsia" w:ascii="宋体" w:hAnsi="宋体" w:eastAsia="宋体" w:cs="宋体"/>
          <w:color w:val="auto"/>
          <w:szCs w:val="21"/>
          <w:highlight w:val="none"/>
        </w:rPr>
      </w:pPr>
      <w:bookmarkStart w:id="13" w:name="_Toc28359004"/>
      <w:bookmarkStart w:id="14" w:name="_Toc35393623"/>
      <w:bookmarkStart w:id="15" w:name="_Toc35393792"/>
      <w:bookmarkStart w:id="16" w:name="_Toc28359081"/>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满足《中华人民共和国政府采购法》第二十二条规定。</w:t>
      </w:r>
    </w:p>
    <w:p w14:paraId="2541BF9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落实政府采购政策需满足的资格要求：</w:t>
      </w:r>
    </w:p>
    <w:p w14:paraId="59E31B1C">
      <w:pPr>
        <w:spacing w:line="360" w:lineRule="auto"/>
        <w:ind w:firstLine="405" w:firstLineChars="193"/>
        <w:jc w:val="left"/>
        <w:outlineLvl w:val="9"/>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（1）按照《财政部关于在政府采购活动中查询及使用信用记录有关问题的通知》（财库〔2016〕125号）的要求，根据</w:t>
      </w:r>
      <w:r>
        <w:rPr>
          <w:rFonts w:hint="eastAsia" w:ascii="宋体" w:hAnsi="宋体" w:eastAsia="宋体" w:cs="宋体"/>
          <w:color w:val="auto"/>
          <w:sz w:val="21"/>
          <w:szCs w:val="21"/>
          <w:highlight w:val="none"/>
          <w:lang w:eastAsia="zh-CN" w:bidi="ar-SA"/>
        </w:rPr>
        <w:t>递交响应文件截止时间前</w:t>
      </w:r>
      <w:r>
        <w:rPr>
          <w:rFonts w:hint="eastAsia" w:ascii="宋体" w:hAnsi="宋体" w:eastAsia="宋体" w:cs="宋体"/>
          <w:color w:val="auto"/>
          <w:sz w:val="21"/>
          <w:szCs w:val="21"/>
          <w:highlight w:val="none"/>
          <w:lang w:bidi="ar-SA"/>
        </w:rPr>
        <w:t>“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w:t>
      </w:r>
    </w:p>
    <w:p w14:paraId="72446B1F">
      <w:pPr>
        <w:spacing w:line="360" w:lineRule="auto"/>
        <w:ind w:firstLine="405" w:firstLineChars="193"/>
        <w:jc w:val="left"/>
        <w:outlineLvl w:val="9"/>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（2）</w:t>
      </w:r>
      <w:r>
        <w:rPr>
          <w:rFonts w:hint="eastAsia" w:ascii="宋体" w:hAnsi="宋体" w:eastAsia="宋体" w:cs="宋体"/>
          <w:bCs/>
          <w:color w:val="auto"/>
          <w:sz w:val="21"/>
          <w:szCs w:val="21"/>
          <w:highlight w:val="none"/>
          <w:lang w:bidi="ar-SA"/>
        </w:rPr>
        <w:t>根据《政府采购促进中小企业发展管理办法》（财库〔2020〕46号）规定，本项目专门面向中小企业采购，</w:t>
      </w:r>
      <w:r>
        <w:rPr>
          <w:rFonts w:hint="eastAsia" w:ascii="宋体" w:hAnsi="宋体" w:eastAsia="宋体" w:cs="宋体"/>
          <w:b/>
          <w:bCs/>
          <w:color w:val="auto"/>
          <w:sz w:val="21"/>
          <w:szCs w:val="21"/>
          <w:highlight w:val="none"/>
          <w:lang w:bidi="ar-SA"/>
        </w:rPr>
        <w:t>不接受非中小企业参与本项目</w:t>
      </w:r>
      <w:r>
        <w:rPr>
          <w:rFonts w:hint="eastAsia" w:ascii="宋体" w:hAnsi="宋体" w:eastAsia="宋体" w:cs="宋体"/>
          <w:color w:val="auto"/>
          <w:sz w:val="21"/>
          <w:szCs w:val="21"/>
          <w:highlight w:val="none"/>
          <w:lang w:bidi="ar-SA"/>
        </w:rPr>
        <w:t>。</w:t>
      </w:r>
    </w:p>
    <w:p w14:paraId="42F744FD">
      <w:pPr>
        <w:spacing w:line="360" w:lineRule="auto"/>
        <w:ind w:firstLine="405" w:firstLineChars="193"/>
        <w:jc w:val="left"/>
        <w:outlineLvl w:val="9"/>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w:t>
      </w:r>
      <w:r>
        <w:rPr>
          <w:rFonts w:hint="eastAsia"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bidi="ar-SA"/>
        </w:rPr>
        <w:t>）</w:t>
      </w:r>
      <w:r>
        <w:rPr>
          <w:rFonts w:hint="eastAsia" w:ascii="宋体" w:hAnsi="宋体" w:eastAsia="宋体" w:cs="宋体"/>
          <w:bCs/>
          <w:color w:val="auto"/>
          <w:sz w:val="21"/>
          <w:szCs w:val="21"/>
          <w:highlight w:val="none"/>
          <w:lang w:bidi="ar-SA"/>
        </w:rPr>
        <w:t>根据《关于政府采购支持监狱企业发展有关问题的通知》规定，在政府采购活动中，监狱企业视同小型、微型企业，享受预留份额、评审中价格扣除等政府采购促进中小企业发展的政府采购政策。</w:t>
      </w:r>
    </w:p>
    <w:p w14:paraId="21E701AC">
      <w:pPr>
        <w:spacing w:line="360" w:lineRule="auto"/>
        <w:ind w:firstLine="405" w:firstLineChars="193"/>
        <w:jc w:val="left"/>
        <w:outlineLvl w:val="9"/>
        <w:rPr>
          <w:rFonts w:hint="eastAsia" w:ascii="宋体" w:hAnsi="宋体" w:eastAsia="宋体" w:cs="宋体"/>
          <w:bCs/>
          <w:color w:val="auto"/>
          <w:sz w:val="21"/>
          <w:szCs w:val="21"/>
          <w:highlight w:val="none"/>
          <w:lang w:bidi="ar-SA"/>
        </w:rPr>
      </w:pPr>
      <w:r>
        <w:rPr>
          <w:rFonts w:hint="eastAsia" w:ascii="宋体" w:hAnsi="宋体" w:eastAsia="宋体" w:cs="宋体"/>
          <w:color w:val="auto"/>
          <w:sz w:val="21"/>
          <w:szCs w:val="21"/>
          <w:highlight w:val="none"/>
          <w:lang w:bidi="ar-SA"/>
        </w:rPr>
        <w:t>（</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bidi="ar-SA"/>
        </w:rPr>
        <w:t>）</w:t>
      </w:r>
      <w:r>
        <w:rPr>
          <w:rFonts w:hint="eastAsia" w:ascii="宋体" w:hAnsi="宋体" w:eastAsia="宋体" w:cs="宋体"/>
          <w:bCs/>
          <w:color w:val="auto"/>
          <w:sz w:val="21"/>
          <w:szCs w:val="21"/>
          <w:highlight w:val="none"/>
          <w:lang w:bidi="ar-SA"/>
        </w:rPr>
        <w:t>根据《关于促进残疾人就业政府采购政策的通知》规定，在政府采购活动中，残疾人福利性单位视同小型、微型企业，享受预留份额、评审中价格扣除等促进中小企业发展的政府采购政策。</w:t>
      </w:r>
    </w:p>
    <w:p w14:paraId="510D89D0">
      <w:pPr>
        <w:spacing w:line="360" w:lineRule="auto"/>
        <w:ind w:firstLine="405" w:firstLineChars="193"/>
        <w:jc w:val="left"/>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bidi="ar-SA"/>
        </w:rPr>
        <w:t>注：</w:t>
      </w:r>
      <w:r>
        <w:rPr>
          <w:rFonts w:hint="eastAsia" w:ascii="宋体" w:hAnsi="宋体" w:eastAsia="宋体" w:cs="宋体"/>
          <w:bCs/>
          <w:color w:val="auto"/>
          <w:sz w:val="21"/>
          <w:szCs w:val="21"/>
          <w:highlight w:val="none"/>
          <w:lang w:eastAsia="zh-CN" w:bidi="ar-SA"/>
        </w:rPr>
        <w:t>①</w:t>
      </w:r>
      <w:r>
        <w:rPr>
          <w:rFonts w:hint="eastAsia" w:ascii="宋体" w:hAnsi="宋体" w:eastAsia="宋体" w:cs="宋体"/>
          <w:bCs/>
          <w:color w:val="auto"/>
          <w:sz w:val="21"/>
          <w:szCs w:val="21"/>
          <w:highlight w:val="none"/>
          <w:lang w:bidi="ar-SA"/>
        </w:rPr>
        <w:t>中小企业参加政府采购活动（依据《中小企业划型标准规定》中</w:t>
      </w:r>
      <w:r>
        <w:rPr>
          <w:rFonts w:hint="eastAsia" w:ascii="宋体" w:hAnsi="宋体"/>
          <w:b/>
          <w:bCs/>
          <w:color w:val="auto"/>
          <w:szCs w:val="21"/>
          <w:highlight w:val="none"/>
          <w:u w:val="single"/>
          <w:lang w:eastAsia="zh-CN"/>
        </w:rPr>
        <w:t>工业、</w:t>
      </w:r>
      <w:r>
        <w:rPr>
          <w:rFonts w:hint="eastAsia" w:ascii="宋体" w:hAnsi="宋体"/>
          <w:b/>
          <w:bCs/>
          <w:color w:val="auto"/>
          <w:szCs w:val="21"/>
          <w:highlight w:val="none"/>
          <w:u w:val="single"/>
          <w:lang w:val="en-US" w:eastAsia="zh-CN"/>
        </w:rPr>
        <w:t>软件和信息技术服务业</w:t>
      </w:r>
      <w:r>
        <w:rPr>
          <w:rFonts w:hint="eastAsia" w:ascii="宋体" w:hAnsi="宋体" w:eastAsia="宋体" w:cs="宋体"/>
          <w:bCs/>
          <w:color w:val="auto"/>
          <w:sz w:val="21"/>
          <w:szCs w:val="21"/>
          <w:highlight w:val="none"/>
          <w:lang w:bidi="ar-SA"/>
        </w:rPr>
        <w:t>），应当出具《政府采购促进中小企业发展管理办法》规定的《中小企业声明函》，否则不得享受相关中小企业扶持政策。</w:t>
      </w:r>
      <w:r>
        <w:rPr>
          <w:rFonts w:hint="eastAsia" w:ascii="宋体" w:hAnsi="宋体" w:eastAsia="宋体" w:cs="宋体"/>
          <w:bCs/>
          <w:color w:val="auto"/>
          <w:sz w:val="21"/>
          <w:szCs w:val="21"/>
          <w:highlight w:val="none"/>
          <w:lang w:val="en-US" w:eastAsia="zh-CN" w:bidi="ar-SA"/>
        </w:rPr>
        <w:t xml:space="preserve">       </w:t>
      </w:r>
    </w:p>
    <w:p w14:paraId="0CB73D1A">
      <w:pPr>
        <w:spacing w:line="360" w:lineRule="auto"/>
        <w:ind w:firstLine="630" w:firstLineChars="300"/>
        <w:jc w:val="left"/>
        <w:outlineLvl w:val="9"/>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eastAsia="zh-CN" w:bidi="ar-SA"/>
        </w:rPr>
        <w:t>②</w:t>
      </w:r>
      <w:r>
        <w:rPr>
          <w:rFonts w:hint="eastAsia" w:ascii="宋体" w:hAnsi="宋体" w:eastAsia="宋体" w:cs="宋体"/>
          <w:bCs/>
          <w:color w:val="auto"/>
          <w:sz w:val="21"/>
          <w:szCs w:val="21"/>
          <w:highlight w:val="none"/>
          <w:lang w:bidi="ar-SA"/>
        </w:rPr>
        <w:t>监狱企业参加政府采购活动时，应当提供由省级以上监狱管理局、戒毒管理局（含新疆生产建设兵团）出具的属于监狱企业的证明文件。</w:t>
      </w:r>
    </w:p>
    <w:p w14:paraId="3B26ED52">
      <w:pPr>
        <w:spacing w:line="360" w:lineRule="auto"/>
        <w:ind w:firstLine="613" w:firstLineChars="292"/>
        <w:jc w:val="left"/>
        <w:outlineLvl w:val="9"/>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eastAsia="zh-CN" w:bidi="ar-SA"/>
        </w:rPr>
        <w:t>③</w:t>
      </w:r>
      <w:r>
        <w:rPr>
          <w:rFonts w:hint="eastAsia" w:ascii="宋体" w:hAnsi="宋体" w:eastAsia="宋体" w:cs="宋体"/>
          <w:bCs/>
          <w:color w:val="auto"/>
          <w:sz w:val="21"/>
          <w:szCs w:val="21"/>
          <w:highlight w:val="none"/>
          <w:lang w:bidi="ar-SA"/>
        </w:rPr>
        <w:t>残疾人福利性单位在参加政府采购活动时，应当按规定提供《残疾人福利性单位声明函》，并对声明的真实性负责。</w:t>
      </w:r>
    </w:p>
    <w:p w14:paraId="1B3E2E68">
      <w:pPr>
        <w:spacing w:line="360" w:lineRule="auto"/>
        <w:ind w:firstLine="613" w:firstLineChars="292"/>
        <w:jc w:val="left"/>
        <w:outlineLvl w:val="9"/>
        <w:rPr>
          <w:rFonts w:hint="eastAsia" w:ascii="宋体" w:hAnsi="宋体" w:eastAsia="宋体" w:cs="宋体"/>
          <w:bCs/>
          <w:color w:val="auto"/>
          <w:sz w:val="21"/>
          <w:szCs w:val="21"/>
          <w:highlight w:val="none"/>
          <w:lang w:eastAsia="zh-CN" w:bidi="ar-SA"/>
        </w:rPr>
      </w:pPr>
      <w:r>
        <w:rPr>
          <w:rFonts w:hint="eastAsia" w:ascii="宋体" w:hAnsi="宋体" w:eastAsia="宋体" w:cs="宋体"/>
          <w:bCs/>
          <w:color w:val="auto"/>
          <w:sz w:val="21"/>
          <w:szCs w:val="21"/>
          <w:highlight w:val="none"/>
          <w:lang w:bidi="ar-SA"/>
        </w:rPr>
        <w:t>未按要求提供相应材料的，不享受相应的优惠政策；以上政策不重复享受</w:t>
      </w:r>
      <w:r>
        <w:rPr>
          <w:rFonts w:hint="eastAsia" w:ascii="宋体" w:hAnsi="宋体" w:eastAsia="宋体" w:cs="宋体"/>
          <w:bCs/>
          <w:color w:val="auto"/>
          <w:sz w:val="21"/>
          <w:szCs w:val="21"/>
          <w:highlight w:val="none"/>
          <w:lang w:eastAsia="zh-CN" w:bidi="ar-SA"/>
        </w:rPr>
        <w:t>。</w:t>
      </w:r>
    </w:p>
    <w:p w14:paraId="3B8855DB">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3.本项目的特定资格要求：</w:t>
      </w:r>
    </w:p>
    <w:p w14:paraId="771E065B">
      <w:pPr>
        <w:pageBreakBefore w:val="0"/>
        <w:kinsoku/>
        <w:wordWrap/>
        <w:overflowPunct/>
        <w:autoSpaceDE/>
        <w:autoSpaceDN/>
        <w:bidi w:val="0"/>
        <w:adjustRightInd w:val="0"/>
        <w:snapToGrid w:val="0"/>
        <w:spacing w:line="360" w:lineRule="auto"/>
        <w:ind w:left="0"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（1）本次采购要求供应商应符合《中华人民共和国政府采购法》第二十二条的相关规定，是具有独立法人资格的供应商，具有有效的营业执照，并具有履行合同所必</w:t>
      </w:r>
      <w:r>
        <w:rPr>
          <w:rFonts w:hint="eastAsia" w:ascii="宋体" w:hAnsi="宋体"/>
          <w:bCs/>
          <w:color w:val="auto"/>
          <w:szCs w:val="21"/>
          <w:highlight w:val="none"/>
        </w:rPr>
        <w:t>需的经营和供货能力。</w:t>
      </w:r>
    </w:p>
    <w:p w14:paraId="7BD3A968">
      <w:pPr>
        <w:pageBreakBefore w:val="0"/>
        <w:kinsoku/>
        <w:wordWrap/>
        <w:overflowPunct/>
        <w:autoSpaceDE/>
        <w:autoSpaceDN/>
        <w:bidi w:val="0"/>
        <w:adjustRightInd w:val="0"/>
        <w:snapToGrid w:val="0"/>
        <w:spacing w:line="360" w:lineRule="auto"/>
        <w:ind w:left="0" w:firstLine="420" w:firstLineChars="200"/>
        <w:jc w:val="left"/>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）供应商近三年（202</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年、202</w:t>
      </w:r>
      <w:r>
        <w:rPr>
          <w:rFonts w:hint="eastAsia" w:ascii="宋体" w:hAnsi="宋体"/>
          <w:bCs/>
          <w:color w:val="auto"/>
          <w:szCs w:val="21"/>
          <w:highlight w:val="none"/>
          <w:lang w:val="en-US" w:eastAsia="zh-CN"/>
        </w:rPr>
        <w:t>3</w:t>
      </w:r>
      <w:r>
        <w:rPr>
          <w:rFonts w:hint="eastAsia" w:ascii="宋体" w:hAnsi="宋体"/>
          <w:bCs/>
          <w:color w:val="auto"/>
          <w:szCs w:val="21"/>
          <w:highlight w:val="none"/>
          <w:lang w:eastAsia="zh-CN"/>
        </w:rPr>
        <w:t>年、202</w:t>
      </w:r>
      <w:r>
        <w:rPr>
          <w:rFonts w:hint="eastAsia" w:ascii="宋体" w:hAnsi="宋体"/>
          <w:bCs/>
          <w:color w:val="auto"/>
          <w:szCs w:val="21"/>
          <w:highlight w:val="none"/>
          <w:lang w:val="en-US" w:eastAsia="zh-CN"/>
        </w:rPr>
        <w:t>4</w:t>
      </w:r>
      <w:r>
        <w:rPr>
          <w:rFonts w:hint="eastAsia" w:ascii="宋体" w:hAnsi="宋体"/>
          <w:bCs/>
          <w:color w:val="auto"/>
          <w:szCs w:val="21"/>
          <w:highlight w:val="none"/>
          <w:lang w:eastAsia="zh-CN"/>
        </w:rPr>
        <w:t>年）具有经会计师事务所审计的财务审计报告（新成立公司提供现有年限即可）或具有基本账户开户银行出具的资信证明（须于202</w:t>
      </w:r>
      <w:r>
        <w:rPr>
          <w:rFonts w:hint="eastAsia" w:ascii="宋体" w:hAnsi="宋体"/>
          <w:bCs/>
          <w:color w:val="auto"/>
          <w:szCs w:val="21"/>
          <w:highlight w:val="none"/>
          <w:lang w:val="en-US" w:eastAsia="zh-CN"/>
        </w:rPr>
        <w:t>5</w:t>
      </w:r>
      <w:r>
        <w:rPr>
          <w:rFonts w:hint="eastAsia" w:ascii="宋体" w:hAnsi="宋体"/>
          <w:bCs/>
          <w:color w:val="auto"/>
          <w:szCs w:val="21"/>
          <w:highlight w:val="none"/>
          <w:lang w:eastAsia="zh-CN"/>
        </w:rPr>
        <w:t>年出具），并具有2024年依法缴纳税收和2024年依法缴纳社会保障资金的良好记录(依法免税或不需要缴纳社会保障资金的供应商，应提供相应文件证明其依法免税或不需要缴纳社会保障资金）。</w:t>
      </w:r>
    </w:p>
    <w:p w14:paraId="7A9EC071">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）不接受被政府列入取消投标资格期限内的企业或个人参加；</w:t>
      </w:r>
      <w:r>
        <w:rPr>
          <w:rFonts w:hint="eastAsia" w:ascii="宋体" w:hAnsi="宋体"/>
          <w:bCs/>
          <w:color w:val="auto"/>
          <w:szCs w:val="21"/>
          <w:highlight w:val="none"/>
          <w:lang w:eastAsia="zh-CN"/>
        </w:rPr>
        <w:t>参加政府采购活动前三年内在经营活动中没有重大违法记录</w:t>
      </w:r>
      <w:r>
        <w:rPr>
          <w:rFonts w:hint="eastAsia" w:ascii="宋体" w:hAnsi="宋体"/>
          <w:bCs/>
          <w:color w:val="auto"/>
          <w:szCs w:val="21"/>
          <w:highlight w:val="none"/>
        </w:rPr>
        <w:t>。</w:t>
      </w:r>
    </w:p>
    <w:p w14:paraId="7DBEF12C">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）本项目不接受被列入失信被执行人、重大税收违法案件当事人名单、政府采购严重违法失信行为记录名单的供应商参与本项目（详见财库[2016]125号文件）。</w:t>
      </w:r>
    </w:p>
    <w:p w14:paraId="3A9E1CEC">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5</w:t>
      </w:r>
      <w:r>
        <w:rPr>
          <w:rFonts w:hint="eastAsia" w:ascii="宋体" w:hAnsi="宋体"/>
          <w:bCs/>
          <w:color w:val="auto"/>
          <w:szCs w:val="21"/>
          <w:highlight w:val="none"/>
        </w:rPr>
        <w:t>）与采购人存在利害关系可能影响采购公正性的法人、其它组织或者个人，不得参加本项目；单位负责人为同一人或者存在直接控股、管理关系的不同供应商，不得参加同一合同项下的政府采购活动。否则相关响应文件均无效。</w:t>
      </w:r>
    </w:p>
    <w:p w14:paraId="6D171ADF">
      <w:pPr>
        <w:pStyle w:val="3"/>
        <w:pageBreakBefore w:val="0"/>
        <w:kinsoku/>
        <w:wordWrap/>
        <w:overflowPunct/>
        <w:autoSpaceDE/>
        <w:autoSpaceDN/>
        <w:bidi w:val="0"/>
        <w:adjustRightInd w:val="0"/>
        <w:snapToGrid w:val="0"/>
        <w:spacing w:line="360" w:lineRule="auto"/>
        <w:ind w:left="0"/>
        <w:jc w:val="left"/>
        <w:textAlignment w:val="auto"/>
        <w:rPr>
          <w:rFonts w:cs="宋体"/>
          <w:color w:val="auto"/>
          <w:sz w:val="21"/>
          <w:szCs w:val="21"/>
          <w:highlight w:val="none"/>
        </w:rPr>
      </w:pPr>
      <w:bookmarkStart w:id="17" w:name="_Toc22505"/>
      <w:r>
        <w:rPr>
          <w:rFonts w:hint="eastAsia" w:cs="宋体"/>
          <w:color w:val="auto"/>
          <w:sz w:val="21"/>
          <w:szCs w:val="21"/>
          <w:highlight w:val="none"/>
        </w:rPr>
        <w:t>三、获取竞争性谈判文件</w:t>
      </w:r>
      <w:bookmarkEnd w:id="13"/>
      <w:bookmarkEnd w:id="14"/>
      <w:bookmarkEnd w:id="15"/>
      <w:bookmarkEnd w:id="16"/>
      <w:r>
        <w:rPr>
          <w:rFonts w:hint="eastAsia" w:cs="宋体"/>
          <w:color w:val="auto"/>
          <w:sz w:val="21"/>
          <w:szCs w:val="21"/>
          <w:highlight w:val="none"/>
        </w:rPr>
        <w:t>：</w:t>
      </w:r>
      <w:bookmarkEnd w:id="17"/>
    </w:p>
    <w:p w14:paraId="330291D8">
      <w:pPr>
        <w:pageBreakBefore w:val="0"/>
        <w:kinsoku/>
        <w:wordWrap/>
        <w:overflowPunct/>
        <w:topLinePunct/>
        <w:autoSpaceDE/>
        <w:autoSpaceDN/>
        <w:bidi w:val="0"/>
        <w:adjustRightInd w:val="0"/>
        <w:snapToGrid w:val="0"/>
        <w:spacing w:line="360" w:lineRule="auto"/>
        <w:ind w:left="0" w:firstLine="420" w:firstLineChars="200"/>
        <w:jc w:val="left"/>
        <w:textAlignment w:val="auto"/>
        <w:rPr>
          <w:rFonts w:ascii="宋体" w:hAnsi="宋体" w:cs="宋体"/>
          <w:bCs/>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rPr>
        <w:t>：</w:t>
      </w:r>
      <w:r>
        <w:rPr>
          <w:rFonts w:hint="eastAsia" w:ascii="宋体" w:hAnsi="宋体" w:cs="宋体"/>
          <w:bCs/>
          <w:color w:val="auto"/>
          <w:szCs w:val="21"/>
          <w:highlight w:val="none"/>
        </w:rPr>
        <w:t>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日</w:t>
      </w:r>
      <w:r>
        <w:rPr>
          <w:rFonts w:hint="eastAsia" w:ascii="宋体" w:hAnsi="宋体" w:cs="宋体"/>
          <w:bCs/>
          <w:color w:val="auto"/>
          <w:szCs w:val="21"/>
          <w:highlight w:val="none"/>
        </w:rPr>
        <w:t>09时00分至</w:t>
      </w:r>
      <w:r>
        <w:rPr>
          <w:rFonts w:hint="eastAsia" w:ascii="宋体" w:hAnsi="宋体" w:cs="宋体"/>
          <w:bCs/>
          <w:color w:val="auto"/>
          <w:szCs w:val="21"/>
          <w:highlight w:val="none"/>
        </w:rPr>
        <w:t>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24</w:t>
      </w:r>
      <w:r>
        <w:rPr>
          <w:rFonts w:hint="eastAsia" w:ascii="宋体" w:hAnsi="宋体" w:cs="宋体"/>
          <w:bCs/>
          <w:color w:val="auto"/>
          <w:szCs w:val="21"/>
          <w:highlight w:val="none"/>
        </w:rPr>
        <w:t>日</w:t>
      </w:r>
      <w:r>
        <w:rPr>
          <w:rFonts w:hint="eastAsia" w:ascii="宋体" w:hAnsi="宋体" w:cs="宋体"/>
          <w:bCs/>
          <w:color w:val="auto"/>
          <w:szCs w:val="21"/>
          <w:highlight w:val="none"/>
        </w:rPr>
        <w:t>16时</w:t>
      </w:r>
      <w:r>
        <w:rPr>
          <w:rFonts w:hint="eastAsia" w:ascii="宋体" w:hAnsi="宋体" w:cs="宋体"/>
          <w:bCs/>
          <w:color w:val="auto"/>
          <w:szCs w:val="21"/>
          <w:highlight w:val="none"/>
        </w:rPr>
        <w:t>00分（北京时间）。</w:t>
      </w:r>
    </w:p>
    <w:p w14:paraId="1A41BB77">
      <w:pPr>
        <w:pageBreakBefore w:val="0"/>
        <w:kinsoku/>
        <w:wordWrap/>
        <w:overflowPunct/>
        <w:topLinePunct/>
        <w:autoSpaceDE/>
        <w:autoSpaceDN/>
        <w:bidi w:val="0"/>
        <w:adjustRightInd w:val="0"/>
        <w:snapToGrid w:val="0"/>
        <w:spacing w:line="360" w:lineRule="auto"/>
        <w:ind w:left="0" w:firstLine="420" w:firstLineChars="200"/>
        <w:jc w:val="left"/>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rPr>
        <w:t>2.方式：网上免费获取</w:t>
      </w:r>
      <w:r>
        <w:rPr>
          <w:rFonts w:hint="eastAsia" w:ascii="宋体" w:hAnsi="宋体" w:cs="宋体"/>
          <w:bCs/>
          <w:color w:val="auto"/>
          <w:szCs w:val="21"/>
          <w:highlight w:val="none"/>
          <w:lang w:val="zh-CN"/>
        </w:rPr>
        <w:t>。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6B7DC339">
      <w:pPr>
        <w:pageBreakBefore w:val="0"/>
        <w:kinsoku/>
        <w:wordWrap/>
        <w:overflowPunct/>
        <w:topLinePunct/>
        <w:autoSpaceDE/>
        <w:autoSpaceDN/>
        <w:bidi w:val="0"/>
        <w:adjustRightInd w:val="0"/>
        <w:snapToGrid w:val="0"/>
        <w:spacing w:line="360" w:lineRule="auto"/>
        <w:ind w:left="0" w:firstLine="420" w:firstLineChars="200"/>
        <w:jc w:val="left"/>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eastAsia="zh-CN"/>
        </w:rPr>
        <w:t>售价：0 元</w:t>
      </w:r>
    </w:p>
    <w:p w14:paraId="548228ED">
      <w:pPr>
        <w:pageBreakBefore w:val="0"/>
        <w:tabs>
          <w:tab w:val="left" w:pos="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4.未进行网上注册的供应商将无法参与本次采购活动。</w:t>
      </w:r>
    </w:p>
    <w:p w14:paraId="5DCDD83C">
      <w:pPr>
        <w:pStyle w:val="3"/>
        <w:pageBreakBefore w:val="0"/>
        <w:kinsoku/>
        <w:wordWrap/>
        <w:overflowPunct/>
        <w:autoSpaceDE/>
        <w:autoSpaceDN/>
        <w:bidi w:val="0"/>
        <w:adjustRightInd w:val="0"/>
        <w:snapToGrid w:val="0"/>
        <w:spacing w:line="360" w:lineRule="auto"/>
        <w:ind w:left="0"/>
        <w:jc w:val="left"/>
        <w:textAlignment w:val="auto"/>
        <w:rPr>
          <w:rFonts w:cs="宋体"/>
          <w:color w:val="auto"/>
          <w:sz w:val="21"/>
          <w:szCs w:val="21"/>
          <w:highlight w:val="none"/>
        </w:rPr>
      </w:pPr>
      <w:bookmarkStart w:id="18" w:name="_Toc28359082"/>
      <w:bookmarkStart w:id="19" w:name="_Toc28359005"/>
      <w:bookmarkStart w:id="20" w:name="_Toc35393624"/>
      <w:bookmarkStart w:id="21" w:name="_Toc35393793"/>
      <w:bookmarkStart w:id="22" w:name="_Toc11820"/>
      <w:r>
        <w:rPr>
          <w:rFonts w:hint="eastAsia" w:cs="宋体"/>
          <w:color w:val="auto"/>
          <w:sz w:val="21"/>
          <w:szCs w:val="21"/>
          <w:highlight w:val="none"/>
        </w:rPr>
        <w:t>四、提交响应文件</w:t>
      </w:r>
      <w:bookmarkEnd w:id="18"/>
      <w:bookmarkEnd w:id="19"/>
      <w:r>
        <w:rPr>
          <w:rFonts w:hint="eastAsia" w:cs="宋体"/>
          <w:color w:val="auto"/>
          <w:sz w:val="21"/>
          <w:szCs w:val="21"/>
          <w:highlight w:val="none"/>
        </w:rPr>
        <w:t>截止时间和地点</w:t>
      </w:r>
      <w:bookmarkEnd w:id="20"/>
      <w:bookmarkEnd w:id="21"/>
      <w:bookmarkEnd w:id="22"/>
    </w:p>
    <w:p w14:paraId="3A80049B">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cs="宋体"/>
          <w:iCs/>
          <w:color w:val="auto"/>
          <w:szCs w:val="21"/>
          <w:highlight w:val="none"/>
          <w:u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时间</w:t>
      </w:r>
      <w:r>
        <w:rPr>
          <w:rFonts w:hint="eastAsia" w:ascii="宋体" w:hAnsi="宋体"/>
          <w:bCs/>
          <w:color w:val="auto"/>
          <w:szCs w:val="21"/>
          <w:highlight w:val="none"/>
        </w:rPr>
        <w:t>：</w:t>
      </w:r>
      <w:r>
        <w:rPr>
          <w:rFonts w:hint="eastAsia" w:ascii="宋体" w:hAnsi="宋体"/>
          <w:bCs/>
          <w:color w:val="auto"/>
          <w:szCs w:val="21"/>
          <w:highlight w:val="none"/>
          <w:u w:val="none"/>
        </w:rPr>
        <w:t>202</w:t>
      </w:r>
      <w:r>
        <w:rPr>
          <w:rFonts w:hint="eastAsia" w:ascii="宋体" w:hAnsi="宋体"/>
          <w:bCs/>
          <w:color w:val="auto"/>
          <w:szCs w:val="21"/>
          <w:highlight w:val="none"/>
          <w:u w:val="none"/>
          <w:lang w:val="en-US" w:eastAsia="zh-CN"/>
        </w:rPr>
        <w:t>5</w:t>
      </w:r>
      <w:r>
        <w:rPr>
          <w:rFonts w:hint="eastAsia" w:ascii="宋体" w:hAnsi="宋体"/>
          <w:bCs/>
          <w:color w:val="auto"/>
          <w:szCs w:val="21"/>
          <w:highlight w:val="none"/>
          <w:u w:val="none"/>
        </w:rPr>
        <w:t>年</w:t>
      </w:r>
      <w:r>
        <w:rPr>
          <w:rFonts w:hint="eastAsia" w:ascii="宋体" w:hAnsi="宋体"/>
          <w:bCs/>
          <w:color w:val="auto"/>
          <w:szCs w:val="21"/>
          <w:highlight w:val="none"/>
          <w:u w:val="none"/>
          <w:lang w:val="en-US" w:eastAsia="zh-CN"/>
        </w:rPr>
        <w:t>7</w:t>
      </w:r>
      <w:r>
        <w:rPr>
          <w:rFonts w:hint="eastAsia" w:ascii="宋体" w:hAnsi="宋体"/>
          <w:bCs/>
          <w:color w:val="auto"/>
          <w:szCs w:val="21"/>
          <w:highlight w:val="none"/>
          <w:u w:val="none"/>
        </w:rPr>
        <w:t>月</w:t>
      </w:r>
      <w:r>
        <w:rPr>
          <w:rFonts w:hint="eastAsia" w:ascii="宋体" w:hAnsi="宋体"/>
          <w:bCs/>
          <w:color w:val="auto"/>
          <w:szCs w:val="21"/>
          <w:highlight w:val="none"/>
          <w:u w:val="none"/>
          <w:lang w:val="en-US" w:eastAsia="zh-CN"/>
        </w:rPr>
        <w:t>4</w:t>
      </w:r>
      <w:r>
        <w:rPr>
          <w:rFonts w:hint="eastAsia" w:ascii="宋体" w:hAnsi="宋体"/>
          <w:bCs/>
          <w:color w:val="auto"/>
          <w:szCs w:val="21"/>
          <w:highlight w:val="none"/>
          <w:u w:val="none"/>
        </w:rPr>
        <w:t>日</w:t>
      </w:r>
      <w:r>
        <w:rPr>
          <w:rFonts w:hint="eastAsia" w:ascii="宋体" w:hAnsi="宋体"/>
          <w:bCs/>
          <w:color w:val="auto"/>
          <w:szCs w:val="21"/>
          <w:highlight w:val="none"/>
          <w:u w:val="none"/>
          <w:lang w:val="en-US" w:eastAsia="zh-CN"/>
        </w:rPr>
        <w:t>9</w:t>
      </w:r>
      <w:r>
        <w:rPr>
          <w:rFonts w:hint="eastAsia" w:ascii="宋体" w:hAnsi="宋体"/>
          <w:bCs/>
          <w:color w:val="auto"/>
          <w:szCs w:val="21"/>
          <w:highlight w:val="none"/>
          <w:u w:val="none"/>
        </w:rPr>
        <w:t>时00分（北京时间）</w:t>
      </w:r>
      <w:r>
        <w:rPr>
          <w:rFonts w:hint="eastAsia" w:ascii="宋体" w:hAnsi="宋体" w:cs="宋体"/>
          <w:iCs/>
          <w:color w:val="auto"/>
          <w:szCs w:val="21"/>
          <w:highlight w:val="none"/>
          <w:u w:val="none"/>
        </w:rPr>
        <w:t>；</w:t>
      </w:r>
    </w:p>
    <w:p w14:paraId="501E25A4">
      <w:pPr>
        <w:pageBreakBefore w:val="0"/>
        <w:kinsoku/>
        <w:wordWrap/>
        <w:overflowPunct/>
        <w:autoSpaceDE/>
        <w:autoSpaceDN/>
        <w:bidi w:val="0"/>
        <w:adjustRightInd w:val="0"/>
        <w:snapToGrid w:val="0"/>
        <w:spacing w:line="360" w:lineRule="auto"/>
        <w:ind w:left="0" w:firstLine="420" w:firstLineChars="200"/>
        <w:jc w:val="left"/>
        <w:textAlignment w:val="auto"/>
        <w:rPr>
          <w:rFonts w:hint="eastAsia" w:asciiTheme="minorEastAsia" w:hAnsiTheme="minorEastAsia" w:eastAsiaTheme="minorEastAsia"/>
          <w:bCs/>
          <w:color w:val="auto"/>
          <w:szCs w:val="21"/>
          <w:highlight w:val="none"/>
          <w:u w:val="none"/>
        </w:rPr>
      </w:pPr>
      <w:r>
        <w:rPr>
          <w:rFonts w:hint="eastAsia" w:ascii="宋体" w:hAnsi="宋体" w:cs="宋体"/>
          <w:iCs/>
          <w:color w:val="auto"/>
          <w:szCs w:val="21"/>
          <w:highlight w:val="none"/>
          <w:u w:val="none"/>
          <w:lang w:val="en-US" w:eastAsia="zh-CN"/>
        </w:rPr>
        <w:t>2.</w:t>
      </w:r>
      <w:r>
        <w:rPr>
          <w:rFonts w:hint="eastAsia" w:ascii="宋体" w:hAnsi="宋体" w:cs="宋体"/>
          <w:iCs/>
          <w:color w:val="auto"/>
          <w:szCs w:val="21"/>
          <w:highlight w:val="none"/>
          <w:u w:val="none"/>
        </w:rPr>
        <w:t>提交响应文件地点</w:t>
      </w:r>
      <w:r>
        <w:rPr>
          <w:rFonts w:hint="eastAsia" w:ascii="宋体" w:hAnsi="宋体" w:cs="宋体"/>
          <w:iCs/>
          <w:color w:val="auto"/>
          <w:szCs w:val="21"/>
          <w:highlight w:val="none"/>
          <w:u w:val="none"/>
        </w:rPr>
        <w:t>：</w:t>
      </w:r>
      <w:r>
        <w:rPr>
          <w:rFonts w:hint="eastAsia" w:ascii="宋体" w:hAnsi="宋体" w:cs="宋体"/>
          <w:color w:val="auto"/>
          <w:szCs w:val="21"/>
          <w:highlight w:val="none"/>
          <w:u w:val="none"/>
          <w:lang w:eastAsia="zh-CN"/>
        </w:rPr>
        <w:t>长春市高新区鸿达街248号吉林日报副楼4楼第三开标室</w:t>
      </w:r>
      <w:r>
        <w:rPr>
          <w:rFonts w:hint="eastAsia" w:ascii="宋体" w:hAnsi="宋体"/>
          <w:color w:val="auto"/>
          <w:szCs w:val="21"/>
          <w:highlight w:val="none"/>
          <w:u w:val="none"/>
        </w:rPr>
        <w:t>。</w:t>
      </w:r>
    </w:p>
    <w:p w14:paraId="29C10268">
      <w:pPr>
        <w:pStyle w:val="16"/>
        <w:pageBreakBefore w:val="0"/>
        <w:kinsoku/>
        <w:wordWrap/>
        <w:overflowPunct/>
        <w:autoSpaceDE/>
        <w:autoSpaceDN/>
        <w:bidi w:val="0"/>
        <w:adjustRightInd w:val="0"/>
        <w:snapToGrid w:val="0"/>
        <w:spacing w:line="360" w:lineRule="auto"/>
        <w:ind w:left="0" w:firstLine="420" w:firstLineChars="200"/>
        <w:textAlignment w:val="auto"/>
        <w:rPr>
          <w:rFonts w:hint="eastAsia" w:cs="Times New Roman" w:asciiTheme="minorEastAsia" w:hAnsiTheme="minorEastAsia" w:eastAsiaTheme="minorEastAsia"/>
          <w:bCs/>
          <w:color w:val="auto"/>
          <w:kern w:val="2"/>
          <w:sz w:val="21"/>
          <w:szCs w:val="21"/>
          <w:highlight w:val="none"/>
          <w:lang w:val="en-US" w:eastAsia="zh-CN" w:bidi="ar-SA"/>
        </w:rPr>
      </w:pPr>
      <w:r>
        <w:rPr>
          <w:rFonts w:hint="eastAsia" w:cs="Times New Roman" w:asciiTheme="minorEastAsia" w:hAnsiTheme="minorEastAsia" w:eastAsiaTheme="minorEastAsia"/>
          <w:bCs/>
          <w:color w:val="auto"/>
          <w:kern w:val="2"/>
          <w:sz w:val="21"/>
          <w:szCs w:val="21"/>
          <w:highlight w:val="none"/>
          <w:lang w:val="en-US" w:eastAsia="zh-CN" w:bidi="ar-SA"/>
        </w:rPr>
        <w:t>3.逾期送达的或者未送达指定地点的响应文件，采购人不予受理。</w:t>
      </w:r>
    </w:p>
    <w:p w14:paraId="773B85C3">
      <w:pPr>
        <w:pStyle w:val="16"/>
        <w:pageBreakBefore w:val="0"/>
        <w:kinsoku/>
        <w:wordWrap/>
        <w:overflowPunct/>
        <w:autoSpaceDE/>
        <w:autoSpaceDN/>
        <w:bidi w:val="0"/>
        <w:adjustRightInd w:val="0"/>
        <w:snapToGrid w:val="0"/>
        <w:spacing w:line="360" w:lineRule="auto"/>
        <w:ind w:left="0" w:firstLine="420" w:firstLineChars="200"/>
        <w:textAlignment w:val="auto"/>
        <w:rPr>
          <w:rFonts w:hint="eastAsia" w:cs="Times New Roman" w:asciiTheme="minorEastAsia" w:hAnsiTheme="minorEastAsia" w:eastAsiaTheme="minorEastAsia"/>
          <w:bCs/>
          <w:color w:val="auto"/>
          <w:kern w:val="2"/>
          <w:sz w:val="21"/>
          <w:szCs w:val="21"/>
          <w:highlight w:val="none"/>
          <w:lang w:val="en-US" w:eastAsia="zh-CN" w:bidi="ar-SA"/>
        </w:rPr>
      </w:pPr>
      <w:r>
        <w:rPr>
          <w:rFonts w:hint="eastAsia" w:cs="Times New Roman" w:asciiTheme="minorEastAsia" w:hAnsiTheme="minorEastAsia" w:eastAsiaTheme="minorEastAsia"/>
          <w:bCs/>
          <w:color w:val="auto"/>
          <w:kern w:val="2"/>
          <w:sz w:val="21"/>
          <w:szCs w:val="21"/>
          <w:highlight w:val="none"/>
          <w:lang w:val="en-US" w:eastAsia="zh-CN" w:bidi="ar-SA"/>
        </w:rPr>
        <w:t>4.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5517EE94">
      <w:pPr>
        <w:pStyle w:val="3"/>
        <w:pageBreakBefore w:val="0"/>
        <w:kinsoku/>
        <w:wordWrap/>
        <w:overflowPunct/>
        <w:autoSpaceDE/>
        <w:autoSpaceDN/>
        <w:bidi w:val="0"/>
        <w:adjustRightInd w:val="0"/>
        <w:snapToGrid w:val="0"/>
        <w:spacing w:line="360" w:lineRule="auto"/>
        <w:ind w:left="0"/>
        <w:jc w:val="left"/>
        <w:textAlignment w:val="auto"/>
        <w:rPr>
          <w:rFonts w:cs="宋体"/>
          <w:color w:val="auto"/>
          <w:sz w:val="21"/>
          <w:szCs w:val="21"/>
          <w:highlight w:val="none"/>
        </w:rPr>
      </w:pPr>
      <w:bookmarkStart w:id="23" w:name="_Toc35393794"/>
      <w:bookmarkStart w:id="24" w:name="_Toc35393625"/>
      <w:bookmarkStart w:id="25" w:name="_Toc28359084"/>
      <w:bookmarkStart w:id="26" w:name="_Toc28359007"/>
      <w:bookmarkStart w:id="27" w:name="_Toc32097"/>
      <w:r>
        <w:rPr>
          <w:rFonts w:hint="eastAsia" w:cs="宋体"/>
          <w:color w:val="auto"/>
          <w:sz w:val="21"/>
          <w:szCs w:val="21"/>
          <w:highlight w:val="none"/>
        </w:rPr>
        <w:t>五、</w:t>
      </w:r>
      <w:bookmarkEnd w:id="23"/>
      <w:bookmarkEnd w:id="24"/>
      <w:bookmarkEnd w:id="25"/>
      <w:bookmarkEnd w:id="26"/>
      <w:r>
        <w:rPr>
          <w:rFonts w:hint="eastAsia" w:cs="宋体"/>
          <w:color w:val="auto"/>
          <w:sz w:val="21"/>
          <w:szCs w:val="21"/>
          <w:highlight w:val="none"/>
        </w:rPr>
        <w:t>开启</w:t>
      </w:r>
      <w:bookmarkEnd w:id="27"/>
    </w:p>
    <w:p w14:paraId="2575DE6D">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时间：</w:t>
      </w:r>
      <w:r>
        <w:rPr>
          <w:rFonts w:hint="eastAsia" w:ascii="宋体" w:hAnsi="宋体"/>
          <w:bCs/>
          <w:color w:val="auto"/>
          <w:szCs w:val="21"/>
          <w:highlight w:val="none"/>
          <w:u w:val="none"/>
        </w:rPr>
        <w:t>202</w:t>
      </w:r>
      <w:r>
        <w:rPr>
          <w:rFonts w:hint="eastAsia" w:ascii="宋体" w:hAnsi="宋体"/>
          <w:bCs/>
          <w:color w:val="auto"/>
          <w:szCs w:val="21"/>
          <w:highlight w:val="none"/>
          <w:u w:val="none"/>
          <w:lang w:val="en-US" w:eastAsia="zh-CN"/>
        </w:rPr>
        <w:t>5</w:t>
      </w:r>
      <w:r>
        <w:rPr>
          <w:rFonts w:hint="eastAsia" w:ascii="宋体" w:hAnsi="宋体"/>
          <w:bCs/>
          <w:color w:val="auto"/>
          <w:szCs w:val="21"/>
          <w:highlight w:val="none"/>
          <w:u w:val="none"/>
        </w:rPr>
        <w:t>年</w:t>
      </w:r>
      <w:r>
        <w:rPr>
          <w:rFonts w:hint="eastAsia" w:ascii="宋体" w:hAnsi="宋体"/>
          <w:bCs/>
          <w:color w:val="auto"/>
          <w:szCs w:val="21"/>
          <w:highlight w:val="none"/>
          <w:u w:val="none"/>
          <w:lang w:val="en-US" w:eastAsia="zh-CN"/>
        </w:rPr>
        <w:t>7</w:t>
      </w:r>
      <w:r>
        <w:rPr>
          <w:rFonts w:hint="eastAsia" w:ascii="宋体" w:hAnsi="宋体"/>
          <w:bCs/>
          <w:color w:val="auto"/>
          <w:szCs w:val="21"/>
          <w:highlight w:val="none"/>
          <w:u w:val="none"/>
        </w:rPr>
        <w:t>月</w:t>
      </w:r>
      <w:r>
        <w:rPr>
          <w:rFonts w:hint="eastAsia" w:ascii="宋体" w:hAnsi="宋体"/>
          <w:bCs/>
          <w:color w:val="auto"/>
          <w:szCs w:val="21"/>
          <w:highlight w:val="none"/>
          <w:u w:val="none"/>
          <w:lang w:val="en-US" w:eastAsia="zh-CN"/>
        </w:rPr>
        <w:t>4</w:t>
      </w:r>
      <w:r>
        <w:rPr>
          <w:rFonts w:hint="eastAsia" w:ascii="宋体" w:hAnsi="宋体"/>
          <w:bCs/>
          <w:color w:val="auto"/>
          <w:szCs w:val="21"/>
          <w:highlight w:val="none"/>
          <w:u w:val="none"/>
        </w:rPr>
        <w:t>日</w:t>
      </w:r>
      <w:r>
        <w:rPr>
          <w:rFonts w:hint="eastAsia" w:ascii="宋体" w:hAnsi="宋体"/>
          <w:bCs/>
          <w:color w:val="auto"/>
          <w:szCs w:val="21"/>
          <w:highlight w:val="none"/>
          <w:u w:val="none"/>
          <w:lang w:val="en-US" w:eastAsia="zh-CN"/>
        </w:rPr>
        <w:t>9</w:t>
      </w:r>
      <w:r>
        <w:rPr>
          <w:rFonts w:hint="eastAsia" w:ascii="宋体" w:hAnsi="宋体"/>
          <w:bCs/>
          <w:color w:val="auto"/>
          <w:szCs w:val="21"/>
          <w:highlight w:val="none"/>
          <w:u w:val="none"/>
        </w:rPr>
        <w:t>时00分</w:t>
      </w:r>
      <w:r>
        <w:rPr>
          <w:rFonts w:hint="eastAsia" w:ascii="宋体" w:hAnsi="宋体" w:cs="宋体"/>
          <w:color w:val="auto"/>
          <w:kern w:val="0"/>
          <w:szCs w:val="21"/>
          <w:highlight w:val="none"/>
          <w:u w:val="none"/>
        </w:rPr>
        <w:t>（北京时间）；</w:t>
      </w:r>
    </w:p>
    <w:p w14:paraId="5FB36861">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地点</w:t>
      </w:r>
      <w:r>
        <w:rPr>
          <w:rFonts w:hint="eastAsia" w:ascii="宋体" w:hAnsi="宋体" w:cs="宋体"/>
          <w:color w:val="auto"/>
          <w:kern w:val="0"/>
          <w:szCs w:val="21"/>
          <w:highlight w:val="none"/>
          <w:u w:val="none"/>
        </w:rPr>
        <w:t>：</w:t>
      </w:r>
      <w:r>
        <w:rPr>
          <w:rFonts w:hint="eastAsia" w:ascii="宋体" w:hAnsi="宋体" w:cs="宋体"/>
          <w:color w:val="auto"/>
          <w:szCs w:val="21"/>
          <w:highlight w:val="none"/>
          <w:u w:val="none"/>
          <w:lang w:eastAsia="zh-CN"/>
        </w:rPr>
        <w:t>长春市高新区鸿达街248号吉林日报副楼4楼第三开标室</w:t>
      </w:r>
    </w:p>
    <w:p w14:paraId="6215DA3C">
      <w:pPr>
        <w:pStyle w:val="3"/>
        <w:pageBreakBefore w:val="0"/>
        <w:kinsoku/>
        <w:wordWrap/>
        <w:overflowPunct/>
        <w:autoSpaceDE/>
        <w:autoSpaceDN/>
        <w:bidi w:val="0"/>
        <w:adjustRightInd w:val="0"/>
        <w:snapToGrid w:val="0"/>
        <w:spacing w:line="360" w:lineRule="auto"/>
        <w:ind w:left="0"/>
        <w:jc w:val="left"/>
        <w:textAlignment w:val="auto"/>
        <w:rPr>
          <w:rFonts w:cs="宋体"/>
          <w:color w:val="auto"/>
          <w:sz w:val="21"/>
          <w:szCs w:val="21"/>
          <w:highlight w:val="none"/>
        </w:rPr>
      </w:pPr>
      <w:bookmarkStart w:id="28" w:name="_Toc6582"/>
      <w:r>
        <w:rPr>
          <w:rFonts w:hint="eastAsia" w:cs="宋体"/>
          <w:color w:val="auto"/>
          <w:sz w:val="21"/>
          <w:szCs w:val="21"/>
          <w:highlight w:val="none"/>
        </w:rPr>
        <w:t>六、公告期限</w:t>
      </w:r>
      <w:bookmarkEnd w:id="28"/>
    </w:p>
    <w:p w14:paraId="6C9C9CD3">
      <w:pPr>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12D59896">
      <w:pPr>
        <w:pStyle w:val="3"/>
        <w:pageBreakBefore w:val="0"/>
        <w:kinsoku/>
        <w:wordWrap/>
        <w:overflowPunct/>
        <w:autoSpaceDE/>
        <w:autoSpaceDN/>
        <w:bidi w:val="0"/>
        <w:adjustRightInd w:val="0"/>
        <w:snapToGrid w:val="0"/>
        <w:spacing w:line="360" w:lineRule="auto"/>
        <w:ind w:left="0"/>
        <w:jc w:val="left"/>
        <w:textAlignment w:val="auto"/>
        <w:rPr>
          <w:rFonts w:cs="宋体"/>
          <w:color w:val="auto"/>
          <w:sz w:val="21"/>
          <w:szCs w:val="21"/>
          <w:highlight w:val="none"/>
        </w:rPr>
      </w:pPr>
      <w:bookmarkStart w:id="29" w:name="_Toc35393795"/>
      <w:bookmarkStart w:id="30" w:name="_Toc26383"/>
      <w:bookmarkStart w:id="31" w:name="_Toc35393626"/>
      <w:r>
        <w:rPr>
          <w:rFonts w:hint="eastAsia" w:cs="宋体"/>
          <w:color w:val="auto"/>
          <w:sz w:val="21"/>
          <w:szCs w:val="21"/>
          <w:highlight w:val="none"/>
        </w:rPr>
        <w:t>七、其他补充事宜</w:t>
      </w:r>
      <w:bookmarkEnd w:id="29"/>
      <w:bookmarkEnd w:id="30"/>
      <w:bookmarkEnd w:id="31"/>
    </w:p>
    <w:p w14:paraId="267332F3">
      <w:pPr>
        <w:pStyle w:val="113"/>
        <w:pageBreakBefore w:val="0"/>
        <w:kinsoku/>
        <w:wordWrap/>
        <w:overflowPunct/>
        <w:autoSpaceDE/>
        <w:autoSpaceDN/>
        <w:bidi w:val="0"/>
        <w:adjustRightInd w:val="0"/>
        <w:snapToGrid w:val="0"/>
        <w:spacing w:line="360" w:lineRule="auto"/>
        <w:ind w:left="0"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有效供应商不足三家时，采购人另行组织采购。</w:t>
      </w:r>
    </w:p>
    <w:p w14:paraId="3662AF53">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发布公告的媒介：</w:t>
      </w:r>
      <w:r>
        <w:rPr>
          <w:rFonts w:hint="eastAsia" w:ascii="宋体" w:hAnsi="宋体"/>
          <w:bCs/>
          <w:color w:val="auto"/>
          <w:szCs w:val="21"/>
          <w:highlight w:val="none"/>
        </w:rPr>
        <w:t>本次竞争性谈判公告同时在“政采云”平台（https://www.zcygov.cn/）（同步推送到吉林省政府采购网、长春市公共资源交易网）、中国政府采购网</w:t>
      </w:r>
      <w:r>
        <w:rPr>
          <w:rFonts w:hint="eastAsia" w:ascii="宋体" w:hAnsi="宋体"/>
          <w:bCs/>
          <w:color w:val="auto"/>
          <w:szCs w:val="21"/>
          <w:highlight w:val="none"/>
          <w:lang w:eastAsia="zh-CN"/>
        </w:rPr>
        <w:t>、</w:t>
      </w:r>
      <w:r>
        <w:rPr>
          <w:rFonts w:hint="eastAsia" w:ascii="宋体" w:hAnsi="宋体"/>
          <w:bCs/>
          <w:color w:val="auto"/>
          <w:szCs w:val="21"/>
          <w:highlight w:val="none"/>
        </w:rPr>
        <w:t>中国招标投标公共服务平台发布</w:t>
      </w:r>
      <w:r>
        <w:rPr>
          <w:rFonts w:hint="eastAsia" w:ascii="宋体" w:hAnsi="宋体"/>
          <w:bCs/>
          <w:color w:val="auto"/>
          <w:szCs w:val="21"/>
          <w:highlight w:val="none"/>
          <w:lang w:eastAsia="zh-CN"/>
        </w:rPr>
        <w:t>。</w:t>
      </w:r>
    </w:p>
    <w:p w14:paraId="5847BE7D">
      <w:pPr>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7FEE08B4">
      <w:pPr>
        <w:pStyle w:val="3"/>
        <w:pageBreakBefore w:val="0"/>
        <w:kinsoku/>
        <w:wordWrap/>
        <w:overflowPunct/>
        <w:autoSpaceDE/>
        <w:autoSpaceDN/>
        <w:bidi w:val="0"/>
        <w:adjustRightInd w:val="0"/>
        <w:snapToGrid w:val="0"/>
        <w:spacing w:line="360" w:lineRule="auto"/>
        <w:ind w:left="0"/>
        <w:jc w:val="left"/>
        <w:textAlignment w:val="auto"/>
        <w:rPr>
          <w:rFonts w:cs="宋体"/>
          <w:color w:val="auto"/>
          <w:sz w:val="21"/>
          <w:szCs w:val="21"/>
          <w:highlight w:val="none"/>
        </w:rPr>
      </w:pPr>
      <w:bookmarkStart w:id="32" w:name="_Toc35393796"/>
      <w:bookmarkStart w:id="33" w:name="_Toc5991"/>
      <w:bookmarkStart w:id="34" w:name="_Toc28359085"/>
      <w:bookmarkStart w:id="35" w:name="_Toc35393627"/>
      <w:bookmarkStart w:id="36" w:name="_Toc28359008"/>
      <w:r>
        <w:rPr>
          <w:rFonts w:hint="eastAsia" w:cs="宋体"/>
          <w:color w:val="auto"/>
          <w:sz w:val="21"/>
          <w:szCs w:val="21"/>
          <w:highlight w:val="none"/>
        </w:rPr>
        <w:t>八、对本次招标提出询问，请按</w:t>
      </w:r>
      <w:r>
        <w:rPr>
          <w:rFonts w:cs="宋体"/>
          <w:color w:val="auto"/>
          <w:sz w:val="21"/>
          <w:szCs w:val="21"/>
          <w:highlight w:val="none"/>
        </w:rPr>
        <w:t>以下方式</w:t>
      </w:r>
      <w:r>
        <w:rPr>
          <w:rFonts w:hint="eastAsia" w:cs="宋体"/>
          <w:color w:val="auto"/>
          <w:sz w:val="21"/>
          <w:szCs w:val="21"/>
          <w:highlight w:val="none"/>
        </w:rPr>
        <w:t>联系。</w:t>
      </w:r>
      <w:bookmarkEnd w:id="32"/>
      <w:bookmarkEnd w:id="33"/>
      <w:bookmarkEnd w:id="34"/>
      <w:bookmarkEnd w:id="35"/>
      <w:bookmarkEnd w:id="36"/>
    </w:p>
    <w:p w14:paraId="4D5B065D">
      <w:pPr>
        <w:pageBreakBefore w:val="0"/>
        <w:kinsoku/>
        <w:wordWrap/>
        <w:overflowPunct/>
        <w:autoSpaceDE/>
        <w:autoSpaceDN/>
        <w:bidi w:val="0"/>
        <w:adjustRightInd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1.采购人信息</w:t>
      </w:r>
    </w:p>
    <w:p w14:paraId="0F649230">
      <w:pPr>
        <w:pageBreakBefore w:val="0"/>
        <w:kinsoku/>
        <w:wordWrap/>
        <w:overflowPunct/>
        <w:autoSpaceDE/>
        <w:autoSpaceDN/>
        <w:bidi w:val="0"/>
        <w:adjustRightInd w:val="0"/>
        <w:snapToGrid w:val="0"/>
        <w:spacing w:line="360" w:lineRule="auto"/>
        <w:ind w:firstLine="420" w:firstLineChars="200"/>
        <w:jc w:val="left"/>
        <w:textAlignment w:val="auto"/>
        <w:rPr>
          <w:rFonts w:ascii="宋体" w:hAnsi="宋体" w:cs="宋体"/>
          <w:color w:val="auto"/>
          <w:szCs w:val="21"/>
          <w:highlight w:val="none"/>
        </w:rPr>
      </w:pPr>
      <w:bookmarkStart w:id="37" w:name="_Toc28359086"/>
      <w:bookmarkStart w:id="38" w:name="_Toc28359009"/>
      <w:r>
        <w:rPr>
          <w:rFonts w:hint="eastAsia" w:ascii="宋体" w:hAnsi="宋体" w:cs="宋体"/>
          <w:color w:val="auto"/>
          <w:szCs w:val="21"/>
          <w:highlight w:val="none"/>
        </w:rPr>
        <w:t>采购单位名称：</w:t>
      </w:r>
      <w:r>
        <w:rPr>
          <w:rFonts w:hint="eastAsia" w:ascii="宋体" w:hAnsi="宋体" w:cs="宋体"/>
          <w:color w:val="auto"/>
          <w:szCs w:val="21"/>
          <w:highlight w:val="none"/>
          <w:lang w:eastAsia="zh-CN"/>
        </w:rPr>
        <w:t>吉林水利电力职业学院</w:t>
      </w:r>
      <w:r>
        <w:rPr>
          <w:rFonts w:hint="eastAsia" w:ascii="宋体" w:hAnsi="宋体" w:cs="宋体"/>
          <w:color w:val="auto"/>
          <w:szCs w:val="21"/>
          <w:highlight w:val="none"/>
        </w:rPr>
        <w:t xml:space="preserve"> </w:t>
      </w:r>
    </w:p>
    <w:p w14:paraId="46EBB35E">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长春市净月区聚业大街6566号</w:t>
      </w:r>
      <w:r>
        <w:rPr>
          <w:rFonts w:hint="eastAsia" w:ascii="宋体" w:hAnsi="宋体" w:cs="宋体"/>
          <w:color w:val="auto"/>
          <w:szCs w:val="21"/>
          <w:highlight w:val="none"/>
        </w:rPr>
        <w:t xml:space="preserve">  </w:t>
      </w:r>
    </w:p>
    <w:p w14:paraId="0F222FB2">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杨华</w:t>
      </w:r>
    </w:p>
    <w:p w14:paraId="1C4360FF">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0431-81120735</w:t>
      </w:r>
    </w:p>
    <w:p w14:paraId="1D6FF15C">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37"/>
      <w:bookmarkEnd w:id="38"/>
    </w:p>
    <w:p w14:paraId="769296F5">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rPr>
      </w:pPr>
      <w:bookmarkStart w:id="39" w:name="_Toc28359010"/>
      <w:bookmarkStart w:id="40" w:name="_Toc28359087"/>
      <w:r>
        <w:rPr>
          <w:rFonts w:hint="eastAsia" w:ascii="宋体" w:hAnsi="宋体" w:cs="宋体"/>
          <w:color w:val="auto"/>
          <w:szCs w:val="21"/>
          <w:highlight w:val="none"/>
        </w:rPr>
        <w:t xml:space="preserve">采购代理机构名称：吉林省晟裕工程咨询有限公司 </w:t>
      </w:r>
    </w:p>
    <w:p w14:paraId="33F4A43B">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地址：长春市绿园区龙腾文理新时代2号楼4楼</w:t>
      </w:r>
    </w:p>
    <w:p w14:paraId="603D2CD7">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季松涛</w:t>
      </w:r>
      <w:r>
        <w:rPr>
          <w:rFonts w:hint="eastAsia" w:ascii="宋体" w:hAnsi="宋体" w:cs="宋体"/>
          <w:color w:val="auto"/>
          <w:szCs w:val="21"/>
          <w:highlight w:val="none"/>
        </w:rPr>
        <w:t xml:space="preserve"> </w:t>
      </w:r>
    </w:p>
    <w:p w14:paraId="0CA2023E">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0431-87644668</w:t>
      </w:r>
    </w:p>
    <w:p w14:paraId="2E608CF0">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bookmarkEnd w:id="39"/>
      <w:bookmarkEnd w:id="40"/>
    </w:p>
    <w:p w14:paraId="51256F03">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季松涛</w:t>
      </w:r>
    </w:p>
    <w:p w14:paraId="25E511DC">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0431-87644668</w:t>
      </w:r>
    </w:p>
    <w:p w14:paraId="1F761E9B">
      <w:pPr>
        <w:pageBreakBefore w:val="0"/>
        <w:kinsoku/>
        <w:wordWrap/>
        <w:overflowPunct/>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监督部门：</w:t>
      </w:r>
      <w:r>
        <w:rPr>
          <w:rFonts w:hint="eastAsia" w:ascii="宋体" w:hAnsi="宋体" w:cs="宋体"/>
          <w:color w:val="auto"/>
          <w:szCs w:val="21"/>
          <w:highlight w:val="none"/>
          <w:lang w:val="en-US" w:eastAsia="zh-CN"/>
        </w:rPr>
        <w:t>吉林省财政厅政府采购管理处</w:t>
      </w:r>
    </w:p>
    <w:p w14:paraId="480E06E5">
      <w:pPr>
        <w:pageBreakBefore w:val="0"/>
        <w:kinsoku/>
        <w:wordWrap/>
        <w:overflowPunct/>
        <w:autoSpaceDE/>
        <w:autoSpaceDN/>
        <w:bidi w:val="0"/>
        <w:adjustRightInd w:val="0"/>
        <w:snapToGrid w:val="0"/>
        <w:spacing w:line="360" w:lineRule="auto"/>
        <w:ind w:firstLine="420" w:firstLineChars="200"/>
        <w:jc w:val="right"/>
        <w:textAlignment w:val="auto"/>
        <w:rPr>
          <w:rFonts w:hint="eastAsia" w:ascii="宋体" w:hAnsi="宋体" w:cs="宋体"/>
          <w:color w:val="auto"/>
          <w:szCs w:val="21"/>
          <w:highlight w:val="none"/>
        </w:rPr>
      </w:pPr>
    </w:p>
    <w:p w14:paraId="35D5676E">
      <w:pPr>
        <w:pageBreakBefore w:val="0"/>
        <w:kinsoku/>
        <w:wordWrap/>
        <w:overflowPunct/>
        <w:autoSpaceDE/>
        <w:autoSpaceDN/>
        <w:bidi w:val="0"/>
        <w:adjustRightInd w:val="0"/>
        <w:snapToGrid w:val="0"/>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p>
    <w:p w14:paraId="3EA21BE0">
      <w:pPr>
        <w:pStyle w:val="3"/>
        <w:jc w:val="center"/>
        <w:rPr>
          <w:rFonts w:hint="default" w:cs="宋体" w:asciiTheme="majorAscii" w:hAnsiTheme="majorAscii"/>
          <w:color w:val="auto"/>
          <w:sz w:val="40"/>
          <w:szCs w:val="18"/>
          <w:highlight w:val="none"/>
        </w:rPr>
      </w:pPr>
      <w:bookmarkStart w:id="41" w:name="_Toc32482"/>
      <w:bookmarkStart w:id="42" w:name="_Toc7168756"/>
    </w:p>
    <w:p w14:paraId="148CBF8F">
      <w:pPr>
        <w:rPr>
          <w:rFonts w:hint="default" w:cs="宋体" w:asciiTheme="majorAscii" w:hAnsiTheme="majorAscii"/>
          <w:color w:val="auto"/>
          <w:sz w:val="40"/>
          <w:szCs w:val="18"/>
          <w:highlight w:val="none"/>
        </w:rPr>
      </w:pPr>
      <w:r>
        <w:rPr>
          <w:rFonts w:hint="default" w:cs="宋体" w:asciiTheme="majorAscii" w:hAnsiTheme="majorAscii"/>
          <w:color w:val="auto"/>
          <w:sz w:val="40"/>
          <w:szCs w:val="18"/>
          <w:highlight w:val="none"/>
        </w:rPr>
        <w:br w:type="page"/>
      </w:r>
    </w:p>
    <w:p w14:paraId="164AFD7B">
      <w:pPr>
        <w:pStyle w:val="3"/>
        <w:jc w:val="center"/>
        <w:rPr>
          <w:rFonts w:hint="default" w:cs="宋体" w:asciiTheme="majorAscii" w:hAnsiTheme="majorAscii"/>
          <w:color w:val="auto"/>
          <w:highlight w:val="none"/>
        </w:rPr>
      </w:pPr>
      <w:r>
        <w:rPr>
          <w:rFonts w:hint="default" w:cs="宋体" w:asciiTheme="majorAscii" w:hAnsiTheme="majorAscii"/>
          <w:color w:val="auto"/>
          <w:sz w:val="40"/>
          <w:szCs w:val="18"/>
          <w:highlight w:val="none"/>
        </w:rPr>
        <w:t>第二部分 竞争性谈判须知</w:t>
      </w:r>
      <w:bookmarkEnd w:id="41"/>
      <w:bookmarkEnd w:id="42"/>
    </w:p>
    <w:p w14:paraId="42CE882F">
      <w:pPr>
        <w:pStyle w:val="4"/>
        <w:spacing w:line="240" w:lineRule="auto"/>
        <w:ind w:left="0" w:leftChars="0" w:firstLine="0" w:firstLineChars="0"/>
        <w:jc w:val="center"/>
        <w:rPr>
          <w:rFonts w:ascii="宋体" w:hAnsi="宋体" w:cs="宋体"/>
          <w:color w:val="auto"/>
          <w:highlight w:val="none"/>
        </w:rPr>
      </w:pPr>
      <w:bookmarkStart w:id="43" w:name="_Toc500513550"/>
      <w:bookmarkStart w:id="44" w:name="_Toc29917"/>
      <w:bookmarkStart w:id="45" w:name="_Toc500513507"/>
      <w:bookmarkStart w:id="46" w:name="_Toc7168757"/>
      <w:bookmarkStart w:id="47" w:name="_Toc7388"/>
      <w:bookmarkStart w:id="48" w:name="_Toc333415217"/>
      <w:bookmarkStart w:id="49" w:name="_Toc27896"/>
      <w:bookmarkStart w:id="50" w:name="_Toc358186909"/>
      <w:bookmarkStart w:id="51" w:name="_Toc333312463"/>
      <w:bookmarkStart w:id="52" w:name="_Toc421532552"/>
      <w:bookmarkStart w:id="53" w:name="_Toc500518655"/>
      <w:r>
        <w:rPr>
          <w:rFonts w:hint="eastAsia" w:ascii="宋体" w:hAnsi="宋体" w:cs="宋体"/>
          <w:color w:val="auto"/>
          <w:highlight w:val="none"/>
        </w:rPr>
        <w:t>一、竞争性谈判须知前附表</w:t>
      </w:r>
      <w:bookmarkEnd w:id="43"/>
      <w:bookmarkEnd w:id="44"/>
      <w:bookmarkEnd w:id="45"/>
      <w:bookmarkEnd w:id="46"/>
      <w:bookmarkEnd w:id="47"/>
      <w:bookmarkEnd w:id="48"/>
      <w:bookmarkEnd w:id="49"/>
      <w:bookmarkEnd w:id="50"/>
      <w:bookmarkEnd w:id="51"/>
      <w:bookmarkEnd w:id="52"/>
      <w:bookmarkEnd w:id="53"/>
    </w:p>
    <w:tbl>
      <w:tblPr>
        <w:tblStyle w:val="42"/>
        <w:tblW w:w="99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8990"/>
      </w:tblGrid>
      <w:tr w14:paraId="6FAA7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85" w:type="dxa"/>
            <w:tcBorders>
              <w:top w:val="single" w:color="000000" w:sz="4" w:space="0"/>
              <w:bottom w:val="single" w:color="000000" w:sz="4" w:space="0"/>
              <w:right w:val="single" w:color="auto" w:sz="4" w:space="0"/>
            </w:tcBorders>
            <w:vAlign w:val="center"/>
          </w:tcPr>
          <w:p w14:paraId="6638451F">
            <w:pPr>
              <w:adjustRightInd w:val="0"/>
              <w:snapToGrid w:val="0"/>
              <w:spacing w:before="36" w:beforeLines="15"/>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990" w:type="dxa"/>
            <w:tcBorders>
              <w:top w:val="single" w:color="000000" w:sz="4" w:space="0"/>
              <w:left w:val="single" w:color="auto" w:sz="4" w:space="0"/>
              <w:bottom w:val="single" w:color="000000" w:sz="4" w:space="0"/>
            </w:tcBorders>
            <w:vAlign w:val="center"/>
          </w:tcPr>
          <w:p w14:paraId="1B0B0E69">
            <w:pPr>
              <w:adjustRightInd w:val="0"/>
              <w:snapToGrid w:val="0"/>
              <w:spacing w:before="36" w:beforeLines="15"/>
              <w:jc w:val="center"/>
              <w:rPr>
                <w:rFonts w:ascii="宋体" w:hAnsi="宋体" w:cs="宋体"/>
                <w:color w:val="auto"/>
                <w:sz w:val="24"/>
                <w:highlight w:val="none"/>
              </w:rPr>
            </w:pPr>
            <w:r>
              <w:rPr>
                <w:rFonts w:hint="eastAsia" w:ascii="宋体" w:hAnsi="宋体" w:cs="宋体"/>
                <w:color w:val="auto"/>
                <w:szCs w:val="21"/>
                <w:highlight w:val="none"/>
              </w:rPr>
              <w:t>内      容</w:t>
            </w:r>
          </w:p>
        </w:tc>
      </w:tr>
      <w:tr w14:paraId="12B02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985" w:type="dxa"/>
            <w:tcBorders>
              <w:top w:val="single" w:color="000000" w:sz="4" w:space="0"/>
              <w:bottom w:val="single" w:color="000000" w:sz="4" w:space="0"/>
              <w:right w:val="single" w:color="auto" w:sz="4" w:space="0"/>
            </w:tcBorders>
            <w:vAlign w:val="center"/>
          </w:tcPr>
          <w:p w14:paraId="4C057541">
            <w:pPr>
              <w:adjustRightInd w:val="0"/>
              <w:snapToGrid w:val="0"/>
              <w:spacing w:before="36" w:beforeLines="15"/>
              <w:jc w:val="center"/>
              <w:rPr>
                <w:rFonts w:ascii="宋体" w:hAnsi="宋体" w:cs="宋体"/>
                <w:color w:val="auto"/>
                <w:szCs w:val="21"/>
                <w:highlight w:val="none"/>
              </w:rPr>
            </w:pPr>
            <w:r>
              <w:rPr>
                <w:rFonts w:hint="eastAsia" w:ascii="宋体" w:hAnsi="宋体" w:cs="宋体"/>
                <w:color w:val="auto"/>
                <w:szCs w:val="21"/>
                <w:highlight w:val="none"/>
              </w:rPr>
              <w:t>1</w:t>
            </w:r>
          </w:p>
        </w:tc>
        <w:tc>
          <w:tcPr>
            <w:tcW w:w="8990" w:type="dxa"/>
            <w:tcBorders>
              <w:top w:val="single" w:color="000000" w:sz="4" w:space="0"/>
              <w:left w:val="single" w:color="auto" w:sz="4" w:space="0"/>
              <w:bottom w:val="single" w:color="000000" w:sz="4" w:space="0"/>
            </w:tcBorders>
          </w:tcPr>
          <w:p w14:paraId="71DA9DE7">
            <w:pPr>
              <w:adjustRightInd w:val="0"/>
              <w:snapToGrid w:val="0"/>
              <w:spacing w:before="36" w:beforeLines="15"/>
              <w:ind w:left="1050" w:hanging="1050" w:hangingChars="5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吉林水利电力职业学院校园宿舍安全管理建设项目</w:t>
            </w:r>
          </w:p>
          <w:p w14:paraId="062CEC8A">
            <w:pPr>
              <w:adjustRightInd w:val="0"/>
              <w:snapToGrid w:val="0"/>
              <w:spacing w:before="36" w:beforeLines="15"/>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rPr>
              <w:t>：</w:t>
            </w:r>
            <w:r>
              <w:rPr>
                <w:rFonts w:hint="eastAsia" w:ascii="宋体" w:hAnsi="宋体"/>
                <w:color w:val="auto"/>
                <w:szCs w:val="21"/>
                <w:highlight w:val="none"/>
                <w:lang w:eastAsia="zh-CN"/>
              </w:rPr>
              <w:t>采购计划-[2025]-07244号-1</w:t>
            </w:r>
          </w:p>
        </w:tc>
      </w:tr>
      <w:tr w14:paraId="7B2B0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000000" w:sz="4" w:space="0"/>
              <w:bottom w:val="single" w:color="000000" w:sz="4" w:space="0"/>
              <w:right w:val="single" w:color="000000" w:sz="4" w:space="0"/>
            </w:tcBorders>
            <w:vAlign w:val="center"/>
          </w:tcPr>
          <w:p w14:paraId="52E2E1A3">
            <w:pPr>
              <w:adjustRightInd w:val="0"/>
              <w:snapToGrid w:val="0"/>
              <w:spacing w:before="36" w:beforeLines="15"/>
              <w:jc w:val="center"/>
              <w:rPr>
                <w:rFonts w:ascii="宋体" w:hAnsi="宋体" w:cs="宋体"/>
                <w:color w:val="auto"/>
                <w:szCs w:val="21"/>
                <w:highlight w:val="none"/>
              </w:rPr>
            </w:pPr>
            <w:r>
              <w:rPr>
                <w:rFonts w:hint="eastAsia" w:ascii="宋体" w:hAnsi="宋体" w:cs="宋体"/>
                <w:color w:val="auto"/>
                <w:szCs w:val="21"/>
                <w:highlight w:val="none"/>
              </w:rPr>
              <w:t>2</w:t>
            </w:r>
          </w:p>
        </w:tc>
        <w:tc>
          <w:tcPr>
            <w:tcW w:w="8990" w:type="dxa"/>
            <w:tcBorders>
              <w:top w:val="single" w:color="000000" w:sz="4" w:space="0"/>
              <w:left w:val="single" w:color="000000" w:sz="4" w:space="0"/>
              <w:bottom w:val="single" w:color="000000" w:sz="4" w:space="0"/>
              <w:right w:val="single" w:color="000000" w:sz="4" w:space="0"/>
            </w:tcBorders>
            <w:vAlign w:val="center"/>
          </w:tcPr>
          <w:p w14:paraId="754FCD27">
            <w:pPr>
              <w:adjustRightInd w:val="0"/>
              <w:snapToGrid w:val="0"/>
              <w:spacing w:before="36" w:beforeLines="1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吉林水利电力职业学院</w:t>
            </w:r>
          </w:p>
          <w:p w14:paraId="748DD147">
            <w:pPr>
              <w:adjustRightInd w:val="0"/>
              <w:snapToGrid w:val="0"/>
              <w:spacing w:before="36" w:beforeLines="1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长春市净月区聚业大街6566号</w:t>
            </w:r>
          </w:p>
          <w:p w14:paraId="7E8B6FC5">
            <w:pPr>
              <w:adjustRightInd w:val="0"/>
              <w:snapToGrid w:val="0"/>
              <w:spacing w:before="36" w:beforeLines="1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杨华</w:t>
            </w:r>
          </w:p>
          <w:p w14:paraId="3E2A167D">
            <w:pPr>
              <w:adjustRightInd w:val="0"/>
              <w:snapToGrid w:val="0"/>
              <w:spacing w:before="36" w:beforeLines="15"/>
              <w:rPr>
                <w:rFonts w:hint="eastAsia" w:ascii="宋体" w:hAnsi="宋体" w:eastAsia="宋体"/>
                <w:color w:val="auto"/>
                <w:szCs w:val="21"/>
                <w:highlight w:val="none"/>
                <w:lang w:val="zh-CN"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0431-81120735</w:t>
            </w:r>
          </w:p>
        </w:tc>
      </w:tr>
      <w:tr w14:paraId="4110A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000000" w:sz="4" w:space="0"/>
              <w:bottom w:val="single" w:color="000000" w:sz="4" w:space="0"/>
              <w:right w:val="single" w:color="000000" w:sz="4" w:space="0"/>
            </w:tcBorders>
            <w:vAlign w:val="center"/>
          </w:tcPr>
          <w:p w14:paraId="1CFB2D0D">
            <w:pPr>
              <w:adjustRightInd w:val="0"/>
              <w:snapToGrid w:val="0"/>
              <w:spacing w:before="36" w:beforeLines="15"/>
              <w:jc w:val="center"/>
              <w:rPr>
                <w:rFonts w:ascii="宋体" w:hAnsi="宋体" w:cs="宋体"/>
                <w:color w:val="auto"/>
                <w:szCs w:val="21"/>
                <w:highlight w:val="none"/>
              </w:rPr>
            </w:pPr>
            <w:r>
              <w:rPr>
                <w:rFonts w:hint="eastAsia" w:ascii="宋体" w:hAnsi="宋体" w:cs="宋体"/>
                <w:color w:val="auto"/>
                <w:szCs w:val="21"/>
                <w:highlight w:val="none"/>
              </w:rPr>
              <w:t>3</w:t>
            </w:r>
          </w:p>
        </w:tc>
        <w:tc>
          <w:tcPr>
            <w:tcW w:w="8990" w:type="dxa"/>
            <w:tcBorders>
              <w:top w:val="single" w:color="000000" w:sz="4" w:space="0"/>
              <w:left w:val="single" w:color="000000" w:sz="4" w:space="0"/>
              <w:bottom w:val="single" w:color="000000" w:sz="4" w:space="0"/>
              <w:right w:val="single" w:color="000000" w:sz="4" w:space="0"/>
            </w:tcBorders>
            <w:vAlign w:val="center"/>
          </w:tcPr>
          <w:p w14:paraId="0F676DDD">
            <w:pPr>
              <w:pStyle w:val="12"/>
              <w:adjustRightInd w:val="0"/>
              <w:snapToGrid w:val="0"/>
              <w:spacing w:before="36" w:beforeLines="15"/>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采购代理机构：吉林省晟裕工程咨询有限公司</w:t>
            </w:r>
          </w:p>
          <w:p w14:paraId="167D1A39">
            <w:pPr>
              <w:pStyle w:val="12"/>
              <w:adjustRightInd w:val="0"/>
              <w:snapToGrid w:val="0"/>
              <w:spacing w:before="36" w:beforeLines="15"/>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地  址：长春市绿园区龙腾文理新时代2号楼4楼</w:t>
            </w:r>
          </w:p>
          <w:p w14:paraId="350BABFA">
            <w:pPr>
              <w:pStyle w:val="12"/>
              <w:adjustRightInd w:val="0"/>
              <w:snapToGrid w:val="0"/>
              <w:spacing w:before="36" w:beforeLines="15"/>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eastAsia="zh-CN"/>
              </w:rPr>
              <w:t>季松涛</w:t>
            </w:r>
          </w:p>
          <w:p w14:paraId="39A5E9F0">
            <w:pPr>
              <w:pStyle w:val="12"/>
              <w:adjustRightInd w:val="0"/>
              <w:snapToGrid w:val="0"/>
              <w:spacing w:before="36" w:beforeLines="15"/>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eastAsia="zh-CN"/>
              </w:rPr>
              <w:t>0431-87644668</w:t>
            </w:r>
          </w:p>
          <w:p w14:paraId="16BEEEBF">
            <w:pPr>
              <w:adjustRightInd w:val="0"/>
              <w:snapToGrid w:val="0"/>
              <w:spacing w:before="36" w:beforeLines="1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电子邮箱：</w:t>
            </w:r>
            <w:r>
              <w:rPr>
                <w:rFonts w:hint="eastAsia" w:ascii="宋体" w:hAnsi="宋体" w:cs="宋体"/>
                <w:color w:val="auto"/>
                <w:szCs w:val="21"/>
                <w:highlight w:val="none"/>
                <w:lang w:eastAsia="zh-CN"/>
              </w:rPr>
              <w:t>syzb20240624@163.com</w:t>
            </w:r>
          </w:p>
        </w:tc>
      </w:tr>
      <w:tr w14:paraId="10A0A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000000" w:sz="4" w:space="0"/>
              <w:bottom w:val="single" w:color="000000" w:sz="4" w:space="0"/>
              <w:right w:val="single" w:color="000000" w:sz="4" w:space="0"/>
            </w:tcBorders>
            <w:vAlign w:val="center"/>
          </w:tcPr>
          <w:p w14:paraId="0C8FE4BA">
            <w:pPr>
              <w:adjustRightInd w:val="0"/>
              <w:snapToGrid w:val="0"/>
              <w:spacing w:before="36" w:beforeLines="15"/>
              <w:jc w:val="center"/>
              <w:rPr>
                <w:rFonts w:ascii="宋体" w:hAnsi="宋体" w:cs="宋体"/>
                <w:color w:val="auto"/>
                <w:szCs w:val="21"/>
                <w:highlight w:val="none"/>
              </w:rPr>
            </w:pPr>
            <w:r>
              <w:rPr>
                <w:rFonts w:hint="eastAsia" w:ascii="宋体" w:hAnsi="宋体" w:cs="宋体"/>
                <w:color w:val="auto"/>
                <w:szCs w:val="21"/>
                <w:highlight w:val="none"/>
              </w:rPr>
              <w:t>4</w:t>
            </w:r>
          </w:p>
        </w:tc>
        <w:tc>
          <w:tcPr>
            <w:tcW w:w="8990" w:type="dxa"/>
            <w:tcBorders>
              <w:top w:val="single" w:color="000000" w:sz="4" w:space="0"/>
              <w:left w:val="single" w:color="000000" w:sz="4" w:space="0"/>
              <w:bottom w:val="single" w:color="000000" w:sz="4" w:space="0"/>
            </w:tcBorders>
            <w:vAlign w:val="center"/>
          </w:tcPr>
          <w:p w14:paraId="5647E406">
            <w:pPr>
              <w:adjustRightInd w:val="0"/>
              <w:snapToGrid w:val="0"/>
              <w:spacing w:before="36" w:beforeLines="15"/>
              <w:rPr>
                <w:rFonts w:ascii="宋体" w:hAnsi="宋体" w:cs="宋体"/>
                <w:color w:val="auto"/>
                <w:sz w:val="24"/>
                <w:highlight w:val="none"/>
              </w:rPr>
            </w:pPr>
            <w:r>
              <w:rPr>
                <w:rFonts w:hint="eastAsia" w:ascii="宋体" w:hAnsi="宋体" w:cs="宋体"/>
                <w:color w:val="auto"/>
                <w:szCs w:val="21"/>
                <w:highlight w:val="none"/>
              </w:rPr>
              <w:t>采购方式：竞争性谈判</w:t>
            </w:r>
          </w:p>
        </w:tc>
      </w:tr>
      <w:tr w14:paraId="2FDC5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000000" w:sz="4" w:space="0"/>
              <w:bottom w:val="single" w:color="000000" w:sz="4" w:space="0"/>
              <w:right w:val="single" w:color="000000" w:sz="4" w:space="0"/>
            </w:tcBorders>
            <w:vAlign w:val="center"/>
          </w:tcPr>
          <w:p w14:paraId="0975B96C">
            <w:pPr>
              <w:adjustRightInd w:val="0"/>
              <w:snapToGrid w:val="0"/>
              <w:spacing w:before="36" w:beforeLines="15"/>
              <w:jc w:val="center"/>
              <w:rPr>
                <w:rFonts w:ascii="宋体" w:hAnsi="宋体" w:cs="宋体"/>
                <w:color w:val="auto"/>
                <w:szCs w:val="21"/>
                <w:highlight w:val="none"/>
              </w:rPr>
            </w:pPr>
            <w:r>
              <w:rPr>
                <w:rFonts w:hint="eastAsia" w:ascii="宋体" w:hAnsi="宋体" w:cs="宋体"/>
                <w:color w:val="auto"/>
                <w:szCs w:val="21"/>
                <w:highlight w:val="none"/>
              </w:rPr>
              <w:t>5</w:t>
            </w:r>
          </w:p>
        </w:tc>
        <w:tc>
          <w:tcPr>
            <w:tcW w:w="8990" w:type="dxa"/>
            <w:tcBorders>
              <w:top w:val="single" w:color="000000" w:sz="4" w:space="0"/>
              <w:left w:val="single" w:color="000000" w:sz="4" w:space="0"/>
              <w:bottom w:val="single" w:color="000000" w:sz="4" w:space="0"/>
            </w:tcBorders>
            <w:vAlign w:val="center"/>
          </w:tcPr>
          <w:p w14:paraId="425A64F8">
            <w:pPr>
              <w:adjustRightInd w:val="0"/>
              <w:snapToGrid w:val="0"/>
              <w:spacing w:before="36" w:beforeLines="1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供货地点：</w:t>
            </w:r>
            <w:r>
              <w:rPr>
                <w:rFonts w:hint="eastAsia" w:ascii="宋体" w:hAnsi="宋体"/>
                <w:bCs/>
                <w:color w:val="auto"/>
                <w:szCs w:val="21"/>
                <w:highlight w:val="none"/>
                <w:lang w:eastAsia="zh-CN"/>
              </w:rPr>
              <w:t>吉林水利电力职业学院</w:t>
            </w:r>
          </w:p>
        </w:tc>
      </w:tr>
      <w:tr w14:paraId="6523F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000000" w:sz="4" w:space="0"/>
              <w:bottom w:val="single" w:color="000000" w:sz="4" w:space="0"/>
              <w:right w:val="single" w:color="000000" w:sz="4" w:space="0"/>
            </w:tcBorders>
            <w:vAlign w:val="center"/>
          </w:tcPr>
          <w:p w14:paraId="35405756">
            <w:pPr>
              <w:adjustRightInd w:val="0"/>
              <w:snapToGrid w:val="0"/>
              <w:spacing w:before="36" w:beforeLines="15"/>
              <w:jc w:val="center"/>
              <w:rPr>
                <w:rFonts w:ascii="宋体" w:hAnsi="宋体" w:cs="宋体"/>
                <w:color w:val="auto"/>
                <w:szCs w:val="21"/>
                <w:highlight w:val="none"/>
              </w:rPr>
            </w:pPr>
            <w:r>
              <w:rPr>
                <w:rFonts w:hint="eastAsia" w:ascii="宋体" w:hAnsi="宋体" w:cs="宋体"/>
                <w:color w:val="auto"/>
                <w:szCs w:val="21"/>
                <w:highlight w:val="none"/>
              </w:rPr>
              <w:t>6</w:t>
            </w:r>
          </w:p>
        </w:tc>
        <w:tc>
          <w:tcPr>
            <w:tcW w:w="8990" w:type="dxa"/>
            <w:tcBorders>
              <w:top w:val="single" w:color="000000" w:sz="4" w:space="0"/>
              <w:left w:val="single" w:color="000000" w:sz="4" w:space="0"/>
              <w:bottom w:val="single" w:color="000000" w:sz="4" w:space="0"/>
            </w:tcBorders>
            <w:vAlign w:val="center"/>
          </w:tcPr>
          <w:p w14:paraId="1CEDB761">
            <w:pPr>
              <w:adjustRightInd w:val="0"/>
              <w:snapToGrid w:val="0"/>
              <w:spacing w:before="36" w:beforeLines="15"/>
              <w:rPr>
                <w:rFonts w:hint="eastAsia" w:ascii="宋体" w:hAnsi="宋体" w:eastAsia="宋体" w:cs="宋体"/>
                <w:color w:val="auto"/>
                <w:sz w:val="24"/>
                <w:highlight w:val="none"/>
                <w:lang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808套宿舍用电控制器、1套宿舍用电管理平台、1套应急管理系统、7台应急管理终端、84台可视通讯终端、364套香烟感烟探测仪等（详见竞争性谈判文件第四部分项目需求）</w:t>
            </w:r>
          </w:p>
        </w:tc>
      </w:tr>
      <w:tr w14:paraId="68A8F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000000" w:sz="4" w:space="0"/>
              <w:bottom w:val="single" w:color="auto" w:sz="4" w:space="0"/>
              <w:right w:val="single" w:color="000000" w:sz="4" w:space="0"/>
            </w:tcBorders>
            <w:vAlign w:val="center"/>
          </w:tcPr>
          <w:p w14:paraId="68F56999">
            <w:pPr>
              <w:adjustRightInd w:val="0"/>
              <w:snapToGrid w:val="0"/>
              <w:spacing w:before="36" w:beforeLines="15"/>
              <w:jc w:val="center"/>
              <w:rPr>
                <w:rFonts w:ascii="宋体" w:hAnsi="宋体" w:cs="宋体"/>
                <w:color w:val="auto"/>
                <w:szCs w:val="21"/>
                <w:highlight w:val="none"/>
              </w:rPr>
            </w:pPr>
            <w:r>
              <w:rPr>
                <w:rFonts w:hint="eastAsia" w:ascii="宋体" w:hAnsi="宋体" w:cs="宋体"/>
                <w:color w:val="auto"/>
                <w:szCs w:val="21"/>
                <w:highlight w:val="none"/>
              </w:rPr>
              <w:t>7</w:t>
            </w:r>
          </w:p>
        </w:tc>
        <w:tc>
          <w:tcPr>
            <w:tcW w:w="8990" w:type="dxa"/>
            <w:tcBorders>
              <w:top w:val="single" w:color="000000" w:sz="4" w:space="0"/>
              <w:left w:val="single" w:color="000000" w:sz="4" w:space="0"/>
              <w:bottom w:val="single" w:color="auto" w:sz="4" w:space="0"/>
            </w:tcBorders>
            <w:vAlign w:val="center"/>
          </w:tcPr>
          <w:p w14:paraId="38514F4D">
            <w:pPr>
              <w:adjustRightInd w:val="0"/>
              <w:snapToGrid w:val="0"/>
              <w:spacing w:before="36" w:beforeLines="15"/>
              <w:rPr>
                <w:rFonts w:ascii="宋体" w:hAnsi="宋体" w:cs="宋体"/>
                <w:color w:val="auto"/>
                <w:sz w:val="24"/>
                <w:highlight w:val="none"/>
              </w:rPr>
            </w:pPr>
            <w:r>
              <w:rPr>
                <w:rFonts w:hint="eastAsia" w:ascii="宋体" w:hAnsi="宋体" w:cs="宋体"/>
                <w:color w:val="auto"/>
                <w:szCs w:val="21"/>
                <w:highlight w:val="none"/>
              </w:rPr>
              <w:t>合同履行期限（供货期限）：</w:t>
            </w:r>
            <w:r>
              <w:rPr>
                <w:rFonts w:hint="eastAsia" w:ascii="宋体" w:hAnsi="宋体" w:cs="宋体"/>
                <w:color w:val="auto"/>
                <w:szCs w:val="21"/>
                <w:highlight w:val="none"/>
                <w:lang w:eastAsia="zh-CN"/>
              </w:rPr>
              <w:t>合同订立后40天内能完成供货安装</w:t>
            </w:r>
          </w:p>
        </w:tc>
      </w:tr>
      <w:tr w14:paraId="0E566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985" w:type="dxa"/>
            <w:tcBorders>
              <w:top w:val="single" w:color="000000" w:sz="4" w:space="0"/>
              <w:bottom w:val="single" w:color="auto" w:sz="4" w:space="0"/>
              <w:right w:val="single" w:color="000000" w:sz="4" w:space="0"/>
            </w:tcBorders>
            <w:vAlign w:val="center"/>
          </w:tcPr>
          <w:p w14:paraId="218C960A">
            <w:pPr>
              <w:adjustRightInd w:val="0"/>
              <w:snapToGrid w:val="0"/>
              <w:spacing w:before="36" w:beforeLines="15"/>
              <w:jc w:val="center"/>
              <w:rPr>
                <w:rFonts w:ascii="宋体" w:hAnsi="宋体" w:cs="宋体"/>
                <w:color w:val="auto"/>
                <w:szCs w:val="21"/>
                <w:highlight w:val="none"/>
              </w:rPr>
            </w:pPr>
            <w:r>
              <w:rPr>
                <w:rFonts w:hint="eastAsia" w:ascii="宋体" w:hAnsi="宋体" w:cs="宋体"/>
                <w:color w:val="auto"/>
                <w:szCs w:val="21"/>
                <w:highlight w:val="none"/>
              </w:rPr>
              <w:t>8</w:t>
            </w:r>
          </w:p>
        </w:tc>
        <w:tc>
          <w:tcPr>
            <w:tcW w:w="8990" w:type="dxa"/>
            <w:tcBorders>
              <w:top w:val="single" w:color="000000" w:sz="4" w:space="0"/>
              <w:left w:val="single" w:color="000000" w:sz="4" w:space="0"/>
              <w:bottom w:val="single" w:color="auto" w:sz="4" w:space="0"/>
            </w:tcBorders>
            <w:vAlign w:val="center"/>
          </w:tcPr>
          <w:p w14:paraId="045BED6F">
            <w:pPr>
              <w:adjustRightInd w:val="0"/>
              <w:snapToGrid w:val="0"/>
              <w:spacing w:before="36" w:beforeLines="15"/>
              <w:rPr>
                <w:rFonts w:hint="eastAsia" w:ascii="宋体" w:hAnsi="宋体" w:eastAsia="宋体" w:cs="宋体"/>
                <w:color w:val="auto"/>
                <w:szCs w:val="21"/>
                <w:highlight w:val="none"/>
                <w:lang w:eastAsia="zh-CN"/>
              </w:rPr>
            </w:pPr>
            <w:r>
              <w:rPr>
                <w:rFonts w:hint="eastAsia" w:asciiTheme="minorEastAsia" w:hAnsiTheme="minorEastAsia" w:eastAsiaTheme="minorEastAsia"/>
                <w:bCs/>
                <w:color w:val="auto"/>
                <w:szCs w:val="21"/>
                <w:highlight w:val="none"/>
              </w:rPr>
              <w:t>质量标准：</w:t>
            </w:r>
            <w:r>
              <w:rPr>
                <w:rFonts w:hint="eastAsia" w:ascii="宋体" w:hAnsi="宋体"/>
                <w:bCs/>
                <w:color w:val="auto"/>
                <w:szCs w:val="21"/>
                <w:highlight w:val="none"/>
              </w:rPr>
              <w:t>符合国家、行业标准及竞争性谈判文件要求</w:t>
            </w:r>
            <w:r>
              <w:rPr>
                <w:rFonts w:hint="eastAsia" w:ascii="宋体" w:hAnsi="宋体"/>
                <w:bCs/>
                <w:color w:val="auto"/>
                <w:szCs w:val="21"/>
                <w:highlight w:val="none"/>
                <w:lang w:eastAsia="zh-CN"/>
              </w:rPr>
              <w:t>。</w:t>
            </w:r>
          </w:p>
        </w:tc>
      </w:tr>
      <w:tr w14:paraId="3365C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6057682B">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8990" w:type="dxa"/>
            <w:tcBorders>
              <w:top w:val="single" w:color="auto" w:sz="4" w:space="0"/>
              <w:left w:val="single" w:color="000000" w:sz="4" w:space="0"/>
              <w:bottom w:val="single" w:color="auto" w:sz="4" w:space="0"/>
            </w:tcBorders>
            <w:vAlign w:val="center"/>
          </w:tcPr>
          <w:p w14:paraId="3AD97B37">
            <w:pPr>
              <w:adjustRightInd w:val="0"/>
              <w:snapToGrid w:val="0"/>
              <w:spacing w:before="36" w:beforeLines="15"/>
              <w:rPr>
                <w:rFonts w:hint="default" w:asciiTheme="minorEastAsia" w:hAnsiTheme="minorEastAsia" w:eastAsiaTheme="minorEastAsia"/>
                <w:bCs/>
                <w:color w:val="auto"/>
                <w:szCs w:val="21"/>
                <w:highlight w:val="none"/>
                <w:lang w:val="en-US" w:eastAsia="zh-CN"/>
              </w:rPr>
            </w:pPr>
            <w:r>
              <w:rPr>
                <w:rFonts w:hint="eastAsia" w:asciiTheme="minorEastAsia" w:hAnsiTheme="minorEastAsia" w:eastAsiaTheme="minorEastAsia"/>
                <w:bCs/>
                <w:color w:val="auto"/>
                <w:szCs w:val="21"/>
                <w:highlight w:val="none"/>
                <w:lang w:eastAsia="zh-CN"/>
              </w:rPr>
              <w:t>质量保证期：</w:t>
            </w:r>
            <w:r>
              <w:rPr>
                <w:rFonts w:hint="eastAsia" w:asciiTheme="minorEastAsia" w:hAnsiTheme="minorEastAsia" w:eastAsiaTheme="minorEastAsia"/>
                <w:bCs/>
                <w:color w:val="auto"/>
                <w:szCs w:val="21"/>
                <w:highlight w:val="none"/>
                <w:lang w:val="en-US" w:eastAsia="zh-CN"/>
              </w:rPr>
              <w:t>3年</w:t>
            </w:r>
          </w:p>
        </w:tc>
      </w:tr>
      <w:tr w14:paraId="66FB2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000000" w:sz="4" w:space="0"/>
              <w:bottom w:val="single" w:color="auto" w:sz="4" w:space="0"/>
              <w:right w:val="single" w:color="000000" w:sz="4" w:space="0"/>
            </w:tcBorders>
            <w:shd w:val="clear" w:color="auto" w:fill="auto"/>
            <w:vAlign w:val="center"/>
          </w:tcPr>
          <w:p w14:paraId="156B14AF">
            <w:pPr>
              <w:adjustRightInd w:val="0"/>
              <w:snapToGrid w:val="0"/>
              <w:spacing w:before="36" w:beforeLines="15"/>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8990" w:type="dxa"/>
            <w:tcBorders>
              <w:top w:val="single" w:color="000000" w:sz="4" w:space="0"/>
              <w:left w:val="single" w:color="000000" w:sz="4" w:space="0"/>
              <w:bottom w:val="single" w:color="auto" w:sz="4" w:space="0"/>
            </w:tcBorders>
            <w:vAlign w:val="center"/>
          </w:tcPr>
          <w:p w14:paraId="788D1762">
            <w:pPr>
              <w:adjustRightInd w:val="0"/>
              <w:snapToGrid w:val="0"/>
              <w:spacing w:before="36" w:beforeLines="15"/>
              <w:rPr>
                <w:rFonts w:ascii="宋体" w:hAnsi="宋体" w:cs="宋体"/>
                <w:color w:val="auto"/>
                <w:szCs w:val="21"/>
                <w:highlight w:val="none"/>
              </w:rPr>
            </w:pPr>
            <w:r>
              <w:rPr>
                <w:rFonts w:hint="eastAsia" w:ascii="宋体" w:hAnsi="宋体" w:cs="宋体"/>
                <w:color w:val="auto"/>
                <w:szCs w:val="21"/>
                <w:highlight w:val="none"/>
              </w:rPr>
              <w:t>资金来源及落实情况：</w:t>
            </w:r>
            <w:r>
              <w:rPr>
                <w:rFonts w:hint="eastAsia" w:ascii="宋体" w:hAnsi="宋体"/>
                <w:color w:val="auto"/>
                <w:szCs w:val="21"/>
                <w:highlight w:val="none"/>
              </w:rPr>
              <w:t>100%</w:t>
            </w:r>
            <w:r>
              <w:rPr>
                <w:rFonts w:hint="eastAsia" w:ascii="宋体" w:hAnsi="宋体"/>
                <w:color w:val="auto"/>
                <w:szCs w:val="21"/>
                <w:highlight w:val="none"/>
                <w:lang w:eastAsia="zh-CN"/>
              </w:rPr>
              <w:t>财政资金</w:t>
            </w:r>
            <w:r>
              <w:rPr>
                <w:rFonts w:hint="eastAsia" w:ascii="宋体" w:hAnsi="宋体"/>
                <w:color w:val="auto"/>
                <w:szCs w:val="21"/>
                <w:highlight w:val="none"/>
              </w:rPr>
              <w:t>，已落实</w:t>
            </w:r>
          </w:p>
        </w:tc>
      </w:tr>
      <w:tr w14:paraId="460F9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85" w:type="dxa"/>
            <w:tcBorders>
              <w:top w:val="single" w:color="000000" w:sz="4" w:space="0"/>
              <w:bottom w:val="single" w:color="auto" w:sz="4" w:space="0"/>
              <w:right w:val="single" w:color="000000" w:sz="4" w:space="0"/>
            </w:tcBorders>
            <w:shd w:val="clear" w:color="auto" w:fill="auto"/>
            <w:vAlign w:val="center"/>
          </w:tcPr>
          <w:p w14:paraId="5003A8EC">
            <w:pPr>
              <w:adjustRightInd w:val="0"/>
              <w:snapToGrid w:val="0"/>
              <w:spacing w:before="36" w:beforeLines="15"/>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11</w:t>
            </w:r>
          </w:p>
        </w:tc>
        <w:tc>
          <w:tcPr>
            <w:tcW w:w="8990" w:type="dxa"/>
            <w:tcBorders>
              <w:top w:val="single" w:color="000000" w:sz="4" w:space="0"/>
              <w:left w:val="single" w:color="000000" w:sz="4" w:space="0"/>
              <w:bottom w:val="single" w:color="auto" w:sz="4" w:space="0"/>
            </w:tcBorders>
            <w:vAlign w:val="center"/>
          </w:tcPr>
          <w:p w14:paraId="7AABD639">
            <w:pPr>
              <w:adjustRightInd w:val="0"/>
              <w:snapToGrid w:val="0"/>
              <w:spacing w:before="36" w:beforeLines="15"/>
              <w:rPr>
                <w:rFonts w:ascii="宋体" w:hAnsi="宋体"/>
                <w:color w:val="auto"/>
                <w:szCs w:val="21"/>
                <w:highlight w:val="none"/>
              </w:rPr>
            </w:pPr>
            <w:r>
              <w:rPr>
                <w:rFonts w:hint="eastAsia" w:ascii="宋体" w:hAnsi="宋体" w:cs="宋体"/>
                <w:color w:val="auto"/>
                <w:szCs w:val="21"/>
                <w:highlight w:val="none"/>
                <w:lang w:eastAsia="zh-CN"/>
              </w:rPr>
              <w:t>采购预算</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95</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，超过</w:t>
            </w:r>
            <w:r>
              <w:rPr>
                <w:rFonts w:hint="eastAsia" w:ascii="宋体" w:hAnsi="宋体" w:cs="宋体"/>
                <w:color w:val="auto"/>
                <w:szCs w:val="21"/>
                <w:highlight w:val="none"/>
              </w:rPr>
              <w:t>采购预算的响应文件将被否决。</w:t>
            </w:r>
          </w:p>
        </w:tc>
      </w:tr>
      <w:tr w14:paraId="6EF33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85" w:type="dxa"/>
            <w:tcBorders>
              <w:top w:val="single" w:color="000000" w:sz="4" w:space="0"/>
              <w:bottom w:val="single" w:color="auto" w:sz="4" w:space="0"/>
              <w:right w:val="single" w:color="000000" w:sz="4" w:space="0"/>
            </w:tcBorders>
            <w:shd w:val="clear" w:color="auto" w:fill="auto"/>
            <w:vAlign w:val="center"/>
          </w:tcPr>
          <w:p w14:paraId="197FE365">
            <w:pPr>
              <w:adjustRightInd w:val="0"/>
              <w:snapToGrid w:val="0"/>
              <w:spacing w:before="36" w:beforeLines="15"/>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8990" w:type="dxa"/>
            <w:tcBorders>
              <w:top w:val="single" w:color="000000" w:sz="4" w:space="0"/>
              <w:left w:val="single" w:color="000000" w:sz="4" w:space="0"/>
              <w:bottom w:val="single" w:color="auto" w:sz="4" w:space="0"/>
            </w:tcBorders>
            <w:vAlign w:val="center"/>
          </w:tcPr>
          <w:p w14:paraId="0228022D">
            <w:pPr>
              <w:adjustRightInd w:val="0"/>
              <w:snapToGrid w:val="0"/>
              <w:spacing w:before="36" w:beforeLines="15"/>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满足《中华人民共和国政府采购法》第二十二条规定。</w:t>
            </w:r>
          </w:p>
          <w:p w14:paraId="15A528CB">
            <w:pPr>
              <w:adjustRightInd w:val="0"/>
              <w:snapToGrid w:val="0"/>
              <w:spacing w:before="36" w:beforeLines="15"/>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落实政府采购政策需满足的资格要求：</w:t>
            </w:r>
          </w:p>
          <w:p w14:paraId="29218EC1">
            <w:pPr>
              <w:adjustRightInd w:val="0"/>
              <w:snapToGrid w:val="0"/>
              <w:spacing w:before="36" w:beforeLines="15"/>
              <w:rPr>
                <w:rFonts w:hint="eastAsia" w:ascii="宋体" w:hAnsi="宋体" w:cs="宋体"/>
                <w:color w:val="auto"/>
                <w:szCs w:val="21"/>
                <w:highlight w:val="none"/>
              </w:rPr>
            </w:pPr>
            <w:r>
              <w:rPr>
                <w:rFonts w:hint="eastAsia" w:ascii="宋体" w:hAnsi="宋体" w:cs="宋体"/>
                <w:color w:val="auto"/>
                <w:szCs w:val="21"/>
                <w:highlight w:val="none"/>
              </w:rPr>
              <w:t>（1）按照《财政部关于在政府采购活动中查询及使用信用记录有关问题的通知》（财库〔2016〕125号）的要求，根据</w:t>
            </w:r>
            <w:r>
              <w:rPr>
                <w:rFonts w:hint="eastAsia" w:ascii="宋体" w:hAnsi="宋体" w:cs="宋体"/>
                <w:color w:val="auto"/>
                <w:szCs w:val="21"/>
                <w:highlight w:val="none"/>
                <w:lang w:eastAsia="zh-CN"/>
              </w:rPr>
              <w:t>递交响应文件截止时间前</w:t>
            </w:r>
            <w:r>
              <w:rPr>
                <w:rFonts w:hint="eastAsia" w:ascii="宋体" w:hAnsi="宋体" w:cs="宋体"/>
                <w:color w:val="auto"/>
                <w:szCs w:val="21"/>
                <w:highlight w:val="none"/>
              </w:rPr>
              <w:t>“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w:t>
            </w:r>
          </w:p>
          <w:p w14:paraId="36042275">
            <w:pPr>
              <w:adjustRightInd w:val="0"/>
              <w:snapToGrid w:val="0"/>
              <w:spacing w:before="36" w:beforeLines="15"/>
              <w:rPr>
                <w:rFonts w:hint="eastAsia" w:ascii="宋体" w:hAnsi="宋体" w:cs="宋体"/>
                <w:color w:val="auto"/>
                <w:szCs w:val="21"/>
                <w:highlight w:val="none"/>
              </w:rPr>
            </w:pPr>
            <w:r>
              <w:rPr>
                <w:rFonts w:hint="eastAsia" w:ascii="宋体" w:hAnsi="宋体" w:cs="宋体"/>
                <w:color w:val="auto"/>
                <w:szCs w:val="21"/>
                <w:highlight w:val="none"/>
              </w:rPr>
              <w:t>（2）根据《政府采购促进中小企业发展管理办法》（财库〔2020〕46号）规定，本项目专门面向中小企业采购，不接受非中小企业参与本项目。</w:t>
            </w:r>
          </w:p>
          <w:p w14:paraId="1937CDB5">
            <w:pPr>
              <w:adjustRightInd w:val="0"/>
              <w:snapToGrid w:val="0"/>
              <w:spacing w:before="36" w:beforeLines="15"/>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）根据《关于政府采购支持监狱企业发展有关问题的通知》规定，在政府采购活动中，监狱企业视同小型、微型企业，享受预留份额、评审中价格扣除等政府采购促进中小企业发展的政府采购政策。</w:t>
            </w:r>
          </w:p>
          <w:p w14:paraId="4F8C2D74">
            <w:pPr>
              <w:adjustRightInd w:val="0"/>
              <w:snapToGrid w:val="0"/>
              <w:spacing w:before="36" w:beforeLines="15"/>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）根据《关于促进残疾人就业政府采购政策的通知》规定，在政府采购活动中，残疾人福利性单位视同小型、微型企业，享受预留份额、评审中价格扣除等促进中小企业发展的政府采购政策。</w:t>
            </w:r>
          </w:p>
          <w:p w14:paraId="67B355A2">
            <w:pPr>
              <w:adjustRightInd w:val="0"/>
              <w:snapToGrid w:val="0"/>
              <w:spacing w:before="36" w:beforeLines="15"/>
              <w:rPr>
                <w:rFonts w:hint="eastAsia" w:ascii="宋体" w:hAnsi="宋体" w:cs="宋体"/>
                <w:color w:val="auto"/>
                <w:szCs w:val="21"/>
                <w:highlight w:val="none"/>
                <w:lang w:val="en-US" w:eastAsia="zh-CN"/>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①</w:t>
            </w:r>
            <w:r>
              <w:rPr>
                <w:rFonts w:hint="eastAsia" w:ascii="宋体" w:hAnsi="宋体" w:cs="宋体"/>
                <w:color w:val="auto"/>
                <w:szCs w:val="21"/>
                <w:highlight w:val="none"/>
              </w:rPr>
              <w:t>中小企业参加政府采购活动（依据《中小企业划型标准规定》中</w:t>
            </w:r>
            <w:r>
              <w:rPr>
                <w:rFonts w:hint="eastAsia" w:ascii="宋体" w:hAnsi="宋体" w:cs="宋体"/>
                <w:color w:val="auto"/>
                <w:szCs w:val="21"/>
                <w:highlight w:val="none"/>
                <w:u w:val="single"/>
                <w:lang w:eastAsia="zh-CN"/>
              </w:rPr>
              <w:t>工业、</w:t>
            </w:r>
            <w:r>
              <w:rPr>
                <w:rFonts w:hint="eastAsia" w:ascii="宋体" w:hAnsi="宋体" w:cs="宋体"/>
                <w:color w:val="auto"/>
                <w:szCs w:val="21"/>
                <w:highlight w:val="none"/>
                <w:u w:val="single"/>
                <w:lang w:val="en-US" w:eastAsia="zh-CN"/>
              </w:rPr>
              <w:t>软件和信息技术服务业</w:t>
            </w:r>
            <w:r>
              <w:rPr>
                <w:rFonts w:hint="eastAsia" w:ascii="宋体" w:hAnsi="宋体" w:cs="宋体"/>
                <w:color w:val="auto"/>
                <w:szCs w:val="21"/>
                <w:highlight w:val="none"/>
              </w:rPr>
              <w:t>），应当出具《政府采购促进中小企业发展管理办法》规定的《中小企业声明函》，否则不得享受相关中小企业扶持政策。</w:t>
            </w:r>
            <w:r>
              <w:rPr>
                <w:rFonts w:hint="eastAsia" w:ascii="宋体" w:hAnsi="宋体" w:cs="宋体"/>
                <w:color w:val="auto"/>
                <w:szCs w:val="21"/>
                <w:highlight w:val="none"/>
                <w:lang w:val="en-US" w:eastAsia="zh-CN"/>
              </w:rPr>
              <w:t xml:space="preserve">       </w:t>
            </w:r>
          </w:p>
          <w:p w14:paraId="0041F773">
            <w:pPr>
              <w:adjustRightInd w:val="0"/>
              <w:snapToGrid w:val="0"/>
              <w:spacing w:before="36" w:beforeLines="15"/>
              <w:rPr>
                <w:rFonts w:hint="eastAsia" w:ascii="宋体" w:hAnsi="宋体" w:cs="宋体"/>
                <w:color w:val="auto"/>
                <w:szCs w:val="21"/>
                <w:highlight w:val="none"/>
              </w:rPr>
            </w:pPr>
            <w:r>
              <w:rPr>
                <w:rFonts w:hint="eastAsia" w:ascii="宋体" w:hAnsi="宋体" w:cs="宋体"/>
                <w:color w:val="auto"/>
                <w:szCs w:val="21"/>
                <w:highlight w:val="none"/>
                <w:lang w:eastAsia="zh-CN"/>
              </w:rPr>
              <w:t>②</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p>
          <w:p w14:paraId="31FBB5B4">
            <w:pPr>
              <w:adjustRightInd w:val="0"/>
              <w:snapToGrid w:val="0"/>
              <w:spacing w:before="36" w:beforeLines="15"/>
              <w:rPr>
                <w:rFonts w:hint="eastAsia" w:ascii="宋体" w:hAnsi="宋体" w:cs="宋体"/>
                <w:color w:val="auto"/>
                <w:szCs w:val="21"/>
                <w:highlight w:val="none"/>
              </w:rPr>
            </w:pPr>
            <w:r>
              <w:rPr>
                <w:rFonts w:hint="eastAsia" w:ascii="宋体" w:hAnsi="宋体" w:cs="宋体"/>
                <w:color w:val="auto"/>
                <w:szCs w:val="21"/>
                <w:highlight w:val="none"/>
                <w:lang w:eastAsia="zh-CN"/>
              </w:rPr>
              <w:t>③</w:t>
            </w:r>
            <w:r>
              <w:rPr>
                <w:rFonts w:hint="eastAsia" w:ascii="宋体" w:hAnsi="宋体" w:cs="宋体"/>
                <w:color w:val="auto"/>
                <w:szCs w:val="21"/>
                <w:highlight w:val="none"/>
              </w:rPr>
              <w:t>残疾人福利性单位在参加政府采购活动时，应当按规定提供《残疾人福利性单位声明函》，并对声明的真实性负责。</w:t>
            </w:r>
          </w:p>
          <w:p w14:paraId="607C23A6">
            <w:pPr>
              <w:adjustRightInd w:val="0"/>
              <w:snapToGrid w:val="0"/>
              <w:spacing w:before="36" w:beforeLines="15"/>
              <w:rPr>
                <w:rFonts w:hint="eastAsia" w:ascii="宋体" w:hAnsi="宋体" w:cs="宋体"/>
                <w:color w:val="auto"/>
                <w:szCs w:val="21"/>
                <w:highlight w:val="none"/>
                <w:lang w:eastAsia="zh-CN"/>
              </w:rPr>
            </w:pPr>
            <w:r>
              <w:rPr>
                <w:rFonts w:hint="eastAsia" w:ascii="宋体" w:hAnsi="宋体" w:cs="宋体"/>
                <w:color w:val="auto"/>
                <w:szCs w:val="21"/>
                <w:highlight w:val="none"/>
              </w:rPr>
              <w:t>未按要求提供相应材料的，不享受相应的优惠政策；以上政策不重复享受</w:t>
            </w:r>
            <w:r>
              <w:rPr>
                <w:rFonts w:hint="eastAsia" w:ascii="宋体" w:hAnsi="宋体" w:cs="宋体"/>
                <w:color w:val="auto"/>
                <w:szCs w:val="21"/>
                <w:highlight w:val="none"/>
                <w:lang w:eastAsia="zh-CN"/>
              </w:rPr>
              <w:t>。</w:t>
            </w:r>
          </w:p>
          <w:p w14:paraId="34C7E95D">
            <w:pPr>
              <w:adjustRightInd w:val="0"/>
              <w:snapToGrid w:val="0"/>
              <w:spacing w:before="36" w:beforeLines="15"/>
              <w:rPr>
                <w:rFonts w:ascii="宋体" w:hAnsi="宋体" w:cs="宋体"/>
                <w:color w:val="auto"/>
                <w:szCs w:val="21"/>
                <w:highlight w:val="none"/>
              </w:rPr>
            </w:pPr>
            <w:r>
              <w:rPr>
                <w:rFonts w:hint="eastAsia" w:ascii="宋体" w:hAnsi="宋体" w:cs="宋体"/>
                <w:color w:val="auto"/>
                <w:szCs w:val="21"/>
                <w:highlight w:val="none"/>
              </w:rPr>
              <w:t>3.本项目的特定资格要求：</w:t>
            </w:r>
          </w:p>
          <w:p w14:paraId="5AB9B8FD">
            <w:pPr>
              <w:adjustRightInd w:val="0"/>
              <w:snapToGrid w:val="0"/>
              <w:spacing w:before="36" w:beforeLines="15"/>
              <w:rPr>
                <w:rFonts w:hint="eastAsia" w:ascii="宋体" w:hAnsi="宋体" w:cs="宋体"/>
                <w:color w:val="auto"/>
                <w:szCs w:val="21"/>
                <w:highlight w:val="none"/>
              </w:rPr>
            </w:pPr>
            <w:r>
              <w:rPr>
                <w:rFonts w:hint="eastAsia" w:ascii="宋体" w:hAnsi="宋体" w:cs="宋体"/>
                <w:color w:val="auto"/>
                <w:szCs w:val="21"/>
                <w:highlight w:val="none"/>
              </w:rPr>
              <w:t>（1）本次采购要求供应商应符合《中华人民共和国政府采购法》第二十二条的相关规定，是具有独立法人资格的供应商，具有有效的营业执照，并具有履行合同所必需的经营和供货能力。</w:t>
            </w:r>
          </w:p>
          <w:p w14:paraId="42CE9015">
            <w:pPr>
              <w:adjustRightInd w:val="0"/>
              <w:snapToGrid w:val="0"/>
              <w:spacing w:before="36" w:beforeLines="15"/>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）供应商近三年（202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年）具有经会计师事务所审计的财务审计报告（新成立公司提供现有年限即可）或具有基本账户开户银行出具的资信证明（须于202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年出具），并具有2024年依法缴纳税收和2024年依法缴纳社会保障资金的良好记录(依法免税或不需要缴纳社会保障资金的供应商，应提供相应文件证明其依法免税或不需要缴纳社会保障资金）。</w:t>
            </w:r>
          </w:p>
          <w:p w14:paraId="3C8A853C">
            <w:pPr>
              <w:adjustRightInd w:val="0"/>
              <w:snapToGrid w:val="0"/>
              <w:spacing w:before="36" w:beforeLines="15"/>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）不接受被政府列入取消投标资格期限内的企业或个人参加；</w:t>
            </w:r>
            <w:r>
              <w:rPr>
                <w:rFonts w:hint="eastAsia" w:ascii="宋体" w:hAnsi="宋体" w:cs="宋体"/>
                <w:color w:val="auto"/>
                <w:szCs w:val="21"/>
                <w:highlight w:val="none"/>
                <w:lang w:eastAsia="zh-CN"/>
              </w:rPr>
              <w:t>参加政府采购活动前三年内在经营活动中没有重大违法记录</w:t>
            </w:r>
            <w:r>
              <w:rPr>
                <w:rFonts w:hint="eastAsia" w:ascii="宋体" w:hAnsi="宋体" w:cs="宋体"/>
                <w:color w:val="auto"/>
                <w:szCs w:val="21"/>
                <w:highlight w:val="none"/>
              </w:rPr>
              <w:t>。</w:t>
            </w:r>
          </w:p>
          <w:p w14:paraId="75FA488F">
            <w:pPr>
              <w:adjustRightInd w:val="0"/>
              <w:snapToGrid w:val="0"/>
              <w:spacing w:before="36" w:beforeLines="15"/>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）本项目不接受被列入失信被执行人、重大税收违法案件当事人名单、政府采购严重违法失信行为记录名单的供应商参与本项目（详见财库[2016]125号文件）。</w:t>
            </w:r>
          </w:p>
          <w:p w14:paraId="01AEE386">
            <w:pPr>
              <w:adjustRightInd w:val="0"/>
              <w:snapToGrid w:val="0"/>
              <w:spacing w:before="36" w:beforeLines="15"/>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与采购人存在利害关系可能影响采购公正性的法人、其它组织或者个人，不得参加本项目；单位负责人为同一人或者存在直接控股、管理关系的不同供应商，不得参加同一合同项下的政府采购活动。否则相关响应文件均无效。</w:t>
            </w:r>
          </w:p>
        </w:tc>
      </w:tr>
      <w:tr w14:paraId="1A5F9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85" w:type="dxa"/>
            <w:tcBorders>
              <w:top w:val="single" w:color="000000" w:sz="4" w:space="0"/>
              <w:bottom w:val="single" w:color="auto" w:sz="4" w:space="0"/>
              <w:right w:val="single" w:color="000000" w:sz="4" w:space="0"/>
            </w:tcBorders>
            <w:shd w:val="clear" w:color="auto" w:fill="auto"/>
            <w:vAlign w:val="center"/>
          </w:tcPr>
          <w:p w14:paraId="6E1E41EC">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13</w:t>
            </w:r>
          </w:p>
        </w:tc>
        <w:tc>
          <w:tcPr>
            <w:tcW w:w="8990" w:type="dxa"/>
            <w:tcBorders>
              <w:top w:val="single" w:color="000000" w:sz="4" w:space="0"/>
              <w:left w:val="single" w:color="000000" w:sz="4" w:space="0"/>
              <w:bottom w:val="single" w:color="auto" w:sz="4" w:space="0"/>
            </w:tcBorders>
            <w:shd w:val="clear" w:color="auto" w:fill="auto"/>
            <w:vAlign w:val="center"/>
          </w:tcPr>
          <w:p w14:paraId="7BB9CA66">
            <w:pPr>
              <w:adjustRightInd w:val="0"/>
              <w:snapToGrid w:val="0"/>
              <w:spacing w:before="36" w:beforeLines="15"/>
              <w:rPr>
                <w:rFonts w:ascii="宋体" w:hAnsi="宋体" w:eastAsia="宋体" w:cs="宋体"/>
                <w:b/>
                <w:color w:val="auto"/>
                <w:kern w:val="2"/>
                <w:sz w:val="21"/>
                <w:szCs w:val="21"/>
                <w:highlight w:val="none"/>
                <w:lang w:val="en-US" w:eastAsia="zh-CN" w:bidi="ar-SA"/>
              </w:rPr>
            </w:pP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rPr>
              <w:t>接受联合体投标</w:t>
            </w:r>
          </w:p>
        </w:tc>
      </w:tr>
      <w:tr w14:paraId="7914D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6421CD63">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14</w:t>
            </w:r>
          </w:p>
        </w:tc>
        <w:tc>
          <w:tcPr>
            <w:tcW w:w="8990" w:type="dxa"/>
            <w:tcBorders>
              <w:top w:val="single" w:color="auto" w:sz="4" w:space="0"/>
              <w:left w:val="single" w:color="000000" w:sz="4" w:space="0"/>
              <w:bottom w:val="single" w:color="auto" w:sz="4" w:space="0"/>
            </w:tcBorders>
            <w:shd w:val="clear" w:color="auto" w:fill="auto"/>
            <w:vAlign w:val="center"/>
          </w:tcPr>
          <w:p w14:paraId="151C7EF0">
            <w:pPr>
              <w:adjustRightInd w:val="0"/>
              <w:snapToGrid w:val="0"/>
              <w:spacing w:before="36" w:beforeLines="15"/>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zh-CN" w:eastAsia="zh-CN"/>
              </w:rPr>
              <w:t>踏勘：自行踏勘</w:t>
            </w:r>
          </w:p>
        </w:tc>
      </w:tr>
      <w:tr w14:paraId="340F8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000000" w:sz="4" w:space="0"/>
              <w:bottom w:val="single" w:color="auto" w:sz="4" w:space="0"/>
              <w:right w:val="single" w:color="000000" w:sz="4" w:space="0"/>
            </w:tcBorders>
            <w:shd w:val="clear" w:color="auto" w:fill="auto"/>
            <w:vAlign w:val="center"/>
          </w:tcPr>
          <w:p w14:paraId="23D06A10">
            <w:pPr>
              <w:adjustRightInd w:val="0"/>
              <w:snapToGrid w:val="0"/>
              <w:spacing w:before="36" w:beforeLines="15"/>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15</w:t>
            </w:r>
          </w:p>
        </w:tc>
        <w:tc>
          <w:tcPr>
            <w:tcW w:w="8990" w:type="dxa"/>
            <w:tcBorders>
              <w:top w:val="single" w:color="000000" w:sz="4" w:space="0"/>
              <w:left w:val="single" w:color="000000" w:sz="4" w:space="0"/>
              <w:bottom w:val="single" w:color="auto" w:sz="4" w:space="0"/>
            </w:tcBorders>
            <w:shd w:val="clear" w:color="auto" w:fill="auto"/>
            <w:vAlign w:val="center"/>
          </w:tcPr>
          <w:p w14:paraId="6EC070FA">
            <w:pPr>
              <w:adjustRightInd w:val="0"/>
              <w:snapToGrid w:val="0"/>
              <w:spacing w:before="36" w:beforeLines="15"/>
              <w:rPr>
                <w:rFonts w:ascii="宋体" w:hAnsi="宋体" w:cs="宋体"/>
                <w:color w:val="auto"/>
                <w:szCs w:val="21"/>
                <w:highlight w:val="none"/>
              </w:rPr>
            </w:pPr>
            <w:r>
              <w:rPr>
                <w:rFonts w:hint="eastAsia" w:ascii="宋体" w:hAnsi="宋体" w:cs="宋体"/>
                <w:color w:val="auto"/>
                <w:szCs w:val="21"/>
                <w:highlight w:val="none"/>
              </w:rPr>
              <w:t>疑问的提出：</w:t>
            </w:r>
          </w:p>
          <w:p w14:paraId="5A4CF573">
            <w:pPr>
              <w:adjustRightInd w:val="0"/>
              <w:snapToGrid w:val="0"/>
              <w:spacing w:before="36" w:beforeLines="15"/>
              <w:rPr>
                <w:rFonts w:ascii="宋体" w:hAnsi="宋体" w:cs="宋体"/>
                <w:color w:val="auto"/>
                <w:szCs w:val="21"/>
                <w:highlight w:val="none"/>
              </w:rPr>
            </w:pPr>
            <w:r>
              <w:rPr>
                <w:rFonts w:hint="eastAsia" w:ascii="宋体" w:hAnsi="宋体" w:cs="宋体"/>
                <w:color w:val="auto"/>
                <w:szCs w:val="21"/>
                <w:highlight w:val="none"/>
              </w:rPr>
              <w:t>供应商如对竞争性谈判文件有疑问，必须在</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日15时00分</w:t>
            </w:r>
            <w:r>
              <w:rPr>
                <w:rFonts w:hint="eastAsia" w:ascii="宋体" w:hAnsi="宋体" w:cs="宋体"/>
                <w:color w:val="auto"/>
                <w:szCs w:val="21"/>
                <w:highlight w:val="none"/>
              </w:rPr>
              <w:t>前</w:t>
            </w:r>
            <w:r>
              <w:rPr>
                <w:rFonts w:hint="eastAsia" w:ascii="宋体" w:hAnsi="宋体" w:cs="宋体"/>
                <w:color w:val="auto"/>
                <w:szCs w:val="21"/>
                <w:highlight w:val="none"/>
              </w:rPr>
              <w:t>，将疑问电子版文件传至采购代理公司邮箱</w:t>
            </w:r>
            <w:r>
              <w:rPr>
                <w:rFonts w:hint="eastAsia" w:ascii="宋体" w:hAnsi="宋体" w:cs="宋体"/>
                <w:color w:val="auto"/>
                <w:szCs w:val="21"/>
                <w:highlight w:val="none"/>
              </w:rPr>
              <w:t>（</w:t>
            </w:r>
            <w:r>
              <w:rPr>
                <w:rFonts w:hint="eastAsia" w:ascii="宋体" w:hAnsi="宋体" w:cs="宋体"/>
                <w:color w:val="auto"/>
                <w:szCs w:val="21"/>
                <w:highlight w:val="none"/>
                <w:lang w:eastAsia="zh-CN"/>
              </w:rPr>
              <w:t>syzb20240624@163.com</w:t>
            </w:r>
            <w:r>
              <w:rPr>
                <w:rFonts w:hint="eastAsia" w:ascii="宋体" w:hAnsi="宋体" w:cs="宋体"/>
                <w:color w:val="auto"/>
                <w:szCs w:val="21"/>
                <w:highlight w:val="none"/>
              </w:rPr>
              <w:t>），格式见附页，要求同时提交word版本及加盖公章（鲜章）的PDF扫描件版本。</w:t>
            </w:r>
          </w:p>
          <w:p w14:paraId="7AF0193F">
            <w:pPr>
              <w:adjustRightInd w:val="0"/>
              <w:snapToGrid w:val="0"/>
              <w:spacing w:before="36" w:beforeLines="1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eastAsia="zh-CN"/>
              </w:rPr>
              <w:t>季松涛</w:t>
            </w:r>
          </w:p>
          <w:p w14:paraId="27E468C0">
            <w:pPr>
              <w:adjustRightInd w:val="0"/>
              <w:snapToGrid w:val="0"/>
              <w:spacing w:before="36" w:beforeLines="1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0431-87644668</w:t>
            </w:r>
          </w:p>
          <w:p w14:paraId="166DCCB0">
            <w:pPr>
              <w:adjustRightInd w:val="0"/>
              <w:snapToGrid w:val="0"/>
              <w:spacing w:before="36" w:beforeLines="15"/>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注：相关疑问按上述要求递交外，还应按</w:t>
            </w:r>
            <w:r>
              <w:rPr>
                <w:rFonts w:hint="eastAsia" w:ascii="宋体" w:hAnsi="宋体" w:eastAsia="宋体" w:cs="宋体"/>
                <w:color w:val="auto"/>
                <w:sz w:val="21"/>
                <w:szCs w:val="21"/>
                <w:highlight w:val="none"/>
                <w:lang w:val="zh-CN" w:eastAsia="zh-CN" w:bidi="ar-SA"/>
              </w:rPr>
              <w:t>政府采购云平台电子标要求在政府采购云平台提出。</w:t>
            </w:r>
            <w:r>
              <w:rPr>
                <w:rFonts w:hint="eastAsia" w:ascii="宋体" w:hAnsi="宋体" w:eastAsia="宋体" w:cs="宋体"/>
                <w:color w:val="auto"/>
                <w:kern w:val="0"/>
                <w:szCs w:val="21"/>
                <w:highlight w:val="none"/>
              </w:rPr>
              <w:t>若供应商未按规定提交，则视为其无疑问。</w:t>
            </w:r>
          </w:p>
        </w:tc>
      </w:tr>
      <w:tr w14:paraId="3AD9D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000000" w:sz="4" w:space="0"/>
              <w:bottom w:val="single" w:color="auto" w:sz="4" w:space="0"/>
              <w:right w:val="single" w:color="000000" w:sz="4" w:space="0"/>
            </w:tcBorders>
            <w:shd w:val="clear" w:color="auto" w:fill="auto"/>
            <w:vAlign w:val="center"/>
          </w:tcPr>
          <w:p w14:paraId="224BF8E7">
            <w:pPr>
              <w:adjustRightInd w:val="0"/>
              <w:snapToGrid w:val="0"/>
              <w:spacing w:before="36" w:beforeLines="15"/>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16</w:t>
            </w:r>
          </w:p>
        </w:tc>
        <w:tc>
          <w:tcPr>
            <w:tcW w:w="8990" w:type="dxa"/>
            <w:tcBorders>
              <w:top w:val="single" w:color="000000" w:sz="4" w:space="0"/>
              <w:left w:val="single" w:color="000000" w:sz="4" w:space="0"/>
              <w:bottom w:val="single" w:color="auto" w:sz="4" w:space="0"/>
            </w:tcBorders>
            <w:shd w:val="clear" w:color="auto" w:fill="auto"/>
            <w:vAlign w:val="center"/>
          </w:tcPr>
          <w:p w14:paraId="30B40421">
            <w:pPr>
              <w:adjustRightInd w:val="0"/>
              <w:snapToGrid w:val="0"/>
              <w:spacing w:before="36" w:beforeLines="15"/>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报价有效期：60天</w:t>
            </w:r>
          </w:p>
        </w:tc>
      </w:tr>
      <w:tr w14:paraId="56217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3836396D">
            <w:pPr>
              <w:adjustRightInd w:val="0"/>
              <w:snapToGrid w:val="0"/>
              <w:spacing w:before="36" w:beforeLines="15"/>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17</w:t>
            </w:r>
          </w:p>
        </w:tc>
        <w:tc>
          <w:tcPr>
            <w:tcW w:w="8990" w:type="dxa"/>
            <w:tcBorders>
              <w:top w:val="single" w:color="auto" w:sz="4" w:space="0"/>
              <w:left w:val="single" w:color="000000" w:sz="4" w:space="0"/>
              <w:bottom w:val="single" w:color="auto" w:sz="4" w:space="0"/>
            </w:tcBorders>
            <w:shd w:val="clear" w:color="auto" w:fill="auto"/>
            <w:vAlign w:val="center"/>
          </w:tcPr>
          <w:p w14:paraId="0B6E75B6">
            <w:pPr>
              <w:spacing w:line="320" w:lineRule="exact"/>
              <w:rPr>
                <w:rFonts w:ascii="宋体" w:hAnsi="宋体" w:cs="Arial Unicode MS"/>
                <w:bCs/>
                <w:color w:val="auto"/>
                <w:szCs w:val="21"/>
                <w:highlight w:val="none"/>
              </w:rPr>
            </w:pPr>
            <w:r>
              <w:rPr>
                <w:rFonts w:hint="eastAsia" w:ascii="宋体" w:hAnsi="宋体" w:cs="Arial Unicode MS"/>
                <w:bCs/>
                <w:color w:val="auto"/>
                <w:szCs w:val="21"/>
                <w:highlight w:val="none"/>
              </w:rPr>
              <w:t>谈判保证金形式：</w:t>
            </w:r>
            <w:r>
              <w:rPr>
                <w:rFonts w:hint="eastAsia" w:ascii="宋体" w:hAnsi="宋体" w:cs="宋体"/>
                <w:color w:val="auto"/>
                <w:szCs w:val="21"/>
                <w:highlight w:val="none"/>
              </w:rPr>
              <w:t>谈判</w:t>
            </w:r>
            <w:r>
              <w:rPr>
                <w:rFonts w:hint="eastAsia" w:ascii="宋体" w:hAnsi="宋体" w:cs="Arial Unicode MS"/>
                <w:bCs/>
                <w:color w:val="auto"/>
                <w:szCs w:val="21"/>
                <w:highlight w:val="none"/>
              </w:rPr>
              <w:t>保证金应当以支票、汇票、本票或者金融机构、担保机构出具的保函等非现金形式提交。</w:t>
            </w:r>
          </w:p>
          <w:p w14:paraId="4DE3CF4E">
            <w:pPr>
              <w:spacing w:line="320" w:lineRule="exact"/>
              <w:rPr>
                <w:rFonts w:hint="eastAsia" w:ascii="宋体" w:hAnsi="宋体" w:cs="Arial Unicode MS"/>
                <w:bCs/>
                <w:color w:val="auto"/>
                <w:szCs w:val="21"/>
                <w:highlight w:val="none"/>
              </w:rPr>
            </w:pPr>
            <w:r>
              <w:rPr>
                <w:rFonts w:hint="eastAsia" w:ascii="宋体" w:hAnsi="宋体" w:cs="宋体"/>
                <w:color w:val="auto"/>
                <w:szCs w:val="21"/>
                <w:highlight w:val="none"/>
              </w:rPr>
              <w:t>谈判</w:t>
            </w:r>
            <w:r>
              <w:rPr>
                <w:rFonts w:hint="eastAsia" w:ascii="宋体" w:hAnsi="宋体" w:cs="Arial Unicode MS"/>
                <w:bCs/>
                <w:color w:val="auto"/>
                <w:szCs w:val="21"/>
                <w:highlight w:val="none"/>
              </w:rPr>
              <w:t>保证金：</w:t>
            </w:r>
            <w:r>
              <w:rPr>
                <w:rFonts w:hint="eastAsia" w:ascii="宋体" w:hAnsi="宋体" w:cs="Arial Unicode MS"/>
                <w:b/>
                <w:bCs/>
                <w:color w:val="auto"/>
                <w:szCs w:val="21"/>
                <w:highlight w:val="none"/>
              </w:rPr>
              <w:t>人民币</w:t>
            </w:r>
            <w:r>
              <w:rPr>
                <w:rFonts w:hint="eastAsia" w:ascii="宋体" w:hAnsi="宋体" w:cs="Arial Unicode MS"/>
                <w:b/>
                <w:bCs/>
                <w:color w:val="auto"/>
                <w:szCs w:val="21"/>
                <w:highlight w:val="none"/>
                <w:lang w:eastAsia="zh-CN"/>
              </w:rPr>
              <w:t>玖仟伍佰</w:t>
            </w:r>
            <w:r>
              <w:rPr>
                <w:rFonts w:hint="eastAsia" w:ascii="宋体" w:hAnsi="宋体" w:cs="Arial Unicode MS"/>
                <w:b/>
                <w:bCs/>
                <w:color w:val="auto"/>
                <w:szCs w:val="21"/>
                <w:highlight w:val="none"/>
              </w:rPr>
              <w:t>元整</w:t>
            </w:r>
            <w:r>
              <w:rPr>
                <w:rFonts w:hint="eastAsia" w:ascii="宋体" w:hAnsi="宋体" w:cs="Arial Unicode MS"/>
                <w:bCs/>
                <w:color w:val="auto"/>
                <w:szCs w:val="21"/>
                <w:highlight w:val="none"/>
              </w:rPr>
              <w:t>。</w:t>
            </w:r>
          </w:p>
          <w:p w14:paraId="1D8F7FC0">
            <w:pPr>
              <w:spacing w:line="320" w:lineRule="exact"/>
              <w:rPr>
                <w:rFonts w:ascii="宋体" w:hAnsi="宋体" w:cs="Arial Unicode MS"/>
                <w:bCs/>
                <w:color w:val="auto"/>
                <w:szCs w:val="21"/>
                <w:highlight w:val="none"/>
              </w:rPr>
            </w:pPr>
            <w:r>
              <w:rPr>
                <w:rFonts w:hint="eastAsia" w:ascii="宋体" w:hAnsi="宋体" w:cs="Arial Unicode MS"/>
                <w:bCs/>
                <w:color w:val="auto"/>
                <w:szCs w:val="21"/>
                <w:highlight w:val="none"/>
              </w:rPr>
              <w:t xml:space="preserve">单位名称：吉林省晟裕工程咨询有限公司 </w:t>
            </w:r>
          </w:p>
          <w:p w14:paraId="5E2B5758">
            <w:pPr>
              <w:spacing w:line="320" w:lineRule="exact"/>
              <w:rPr>
                <w:rFonts w:ascii="宋体" w:hAnsi="宋体" w:cs="Arial Unicode MS"/>
                <w:bCs/>
                <w:color w:val="auto"/>
                <w:szCs w:val="21"/>
                <w:highlight w:val="none"/>
              </w:rPr>
            </w:pPr>
            <w:r>
              <w:rPr>
                <w:rFonts w:hint="eastAsia" w:ascii="宋体" w:hAnsi="宋体" w:cs="Arial Unicode MS"/>
                <w:bCs/>
                <w:color w:val="auto"/>
                <w:szCs w:val="21"/>
                <w:highlight w:val="none"/>
              </w:rPr>
              <w:t>开户行全称：中信银行长春分行营业部</w:t>
            </w:r>
          </w:p>
          <w:p w14:paraId="053B2E07">
            <w:pPr>
              <w:spacing w:line="320" w:lineRule="exact"/>
              <w:rPr>
                <w:rFonts w:ascii="宋体" w:hAnsi="宋体" w:cs="Arial Unicode MS"/>
                <w:bCs/>
                <w:color w:val="auto"/>
                <w:szCs w:val="21"/>
                <w:highlight w:val="none"/>
              </w:rPr>
            </w:pPr>
            <w:r>
              <w:rPr>
                <w:rFonts w:hint="eastAsia" w:ascii="宋体" w:hAnsi="宋体" w:cs="Arial Unicode MS"/>
                <w:bCs/>
                <w:color w:val="auto"/>
                <w:szCs w:val="21"/>
                <w:highlight w:val="none"/>
              </w:rPr>
              <w:t>账  号：8113601013600022027</w:t>
            </w:r>
          </w:p>
          <w:p w14:paraId="416591AA">
            <w:pPr>
              <w:spacing w:line="320" w:lineRule="exact"/>
              <w:rPr>
                <w:rFonts w:ascii="宋体" w:hAnsi="宋体" w:cs="Arial Unicode MS"/>
                <w:bCs/>
                <w:color w:val="auto"/>
                <w:szCs w:val="21"/>
                <w:highlight w:val="none"/>
              </w:rPr>
            </w:pPr>
            <w:r>
              <w:rPr>
                <w:rFonts w:hint="eastAsia" w:ascii="宋体" w:hAnsi="宋体" w:cs="Arial Unicode MS"/>
                <w:bCs/>
                <w:color w:val="auto"/>
                <w:szCs w:val="21"/>
                <w:highlight w:val="none"/>
              </w:rPr>
              <w:t>联行号：302241000021</w:t>
            </w:r>
          </w:p>
          <w:p w14:paraId="24B8C419">
            <w:pPr>
              <w:spacing w:line="320" w:lineRule="exact"/>
              <w:rPr>
                <w:rFonts w:ascii="宋体" w:hAnsi="宋体" w:cs="Arial Unicode MS"/>
                <w:bCs/>
                <w:color w:val="auto"/>
                <w:szCs w:val="21"/>
                <w:highlight w:val="none"/>
              </w:rPr>
            </w:pPr>
            <w:r>
              <w:rPr>
                <w:rFonts w:hint="eastAsia" w:ascii="宋体" w:hAnsi="宋体" w:cs="Arial Unicode MS"/>
                <w:bCs/>
                <w:color w:val="auto"/>
                <w:szCs w:val="21"/>
                <w:highlight w:val="none"/>
              </w:rPr>
              <w:t>电话：0431-87652107</w:t>
            </w:r>
          </w:p>
          <w:p w14:paraId="67427D44">
            <w:pPr>
              <w:spacing w:line="320" w:lineRule="exact"/>
              <w:rPr>
                <w:rFonts w:hint="eastAsia" w:ascii="宋体" w:hAnsi="宋体" w:cs="Arial Unicode MS"/>
                <w:bCs/>
                <w:color w:val="auto"/>
                <w:szCs w:val="21"/>
                <w:highlight w:val="none"/>
              </w:rPr>
            </w:pPr>
            <w:r>
              <w:rPr>
                <w:rFonts w:hint="eastAsia" w:ascii="宋体" w:hAnsi="宋体" w:cs="Arial Unicode MS"/>
                <w:bCs/>
                <w:color w:val="auto"/>
                <w:szCs w:val="21"/>
                <w:highlight w:val="none"/>
                <w:lang w:eastAsia="zh-CN"/>
              </w:rPr>
              <w:t>备</w:t>
            </w:r>
            <w:r>
              <w:rPr>
                <w:rFonts w:hint="eastAsia" w:ascii="宋体" w:hAnsi="宋体" w:cs="Arial Unicode MS"/>
                <w:bCs/>
                <w:color w:val="auto"/>
                <w:szCs w:val="21"/>
                <w:highlight w:val="none"/>
              </w:rPr>
              <w:t>注：</w:t>
            </w:r>
          </w:p>
          <w:p w14:paraId="2184E788">
            <w:pPr>
              <w:spacing w:line="320" w:lineRule="exact"/>
              <w:rPr>
                <w:rFonts w:ascii="宋体" w:hAnsi="宋体" w:cs="Arial Unicode MS"/>
                <w:b w:val="0"/>
                <w:bCs/>
                <w:color w:val="auto"/>
                <w:szCs w:val="21"/>
                <w:highlight w:val="none"/>
              </w:rPr>
            </w:pPr>
            <w:r>
              <w:rPr>
                <w:rFonts w:hint="eastAsia" w:ascii="宋体" w:hAnsi="宋体" w:cs="Arial Unicode MS"/>
                <w:b w:val="0"/>
                <w:bCs/>
                <w:color w:val="auto"/>
                <w:szCs w:val="21"/>
                <w:highlight w:val="none"/>
                <w:lang w:val="en-US" w:eastAsia="zh-CN"/>
              </w:rPr>
              <w:t>1.</w:t>
            </w:r>
            <w:r>
              <w:rPr>
                <w:rFonts w:hint="eastAsia" w:ascii="宋体" w:hAnsi="宋体" w:cs="Arial Unicode MS"/>
                <w:b w:val="0"/>
                <w:bCs/>
                <w:color w:val="auto"/>
                <w:szCs w:val="21"/>
                <w:highlight w:val="none"/>
              </w:rPr>
              <w:t>供应商提交</w:t>
            </w:r>
            <w:r>
              <w:rPr>
                <w:rFonts w:hint="eastAsia" w:ascii="宋体" w:hAnsi="宋体" w:cs="宋体"/>
                <w:b w:val="0"/>
                <w:bCs/>
                <w:color w:val="auto"/>
                <w:szCs w:val="21"/>
                <w:highlight w:val="none"/>
              </w:rPr>
              <w:t>谈判</w:t>
            </w:r>
            <w:r>
              <w:rPr>
                <w:rFonts w:hint="eastAsia" w:ascii="宋体" w:hAnsi="宋体" w:cs="Arial Unicode MS"/>
                <w:b w:val="0"/>
                <w:bCs/>
                <w:color w:val="auto"/>
                <w:szCs w:val="21"/>
                <w:highlight w:val="none"/>
              </w:rPr>
              <w:t>保证金应当符合相关法律法规，并能够体现出用途、项目名称、供应商名称及联系方式以便核查。</w:t>
            </w:r>
          </w:p>
          <w:p w14:paraId="64EE4D0B">
            <w:pPr>
              <w:spacing w:line="320" w:lineRule="exact"/>
              <w:rPr>
                <w:rFonts w:hint="eastAsia" w:ascii="宋体" w:hAnsi="宋体" w:eastAsia="宋体" w:cs="Arial Unicode MS"/>
                <w:b w:val="0"/>
                <w:bCs/>
                <w:color w:val="auto"/>
                <w:szCs w:val="21"/>
                <w:highlight w:val="none"/>
                <w:lang w:eastAsia="zh-CN"/>
              </w:rPr>
            </w:pPr>
            <w:r>
              <w:rPr>
                <w:rFonts w:hint="eastAsia" w:ascii="宋体" w:hAnsi="宋体" w:cs="Arial Unicode MS"/>
                <w:b w:val="0"/>
                <w:bCs/>
                <w:color w:val="auto"/>
                <w:szCs w:val="21"/>
                <w:highlight w:val="none"/>
                <w:lang w:val="en-US" w:eastAsia="zh-CN"/>
              </w:rPr>
              <w:t>2.</w:t>
            </w:r>
            <w:r>
              <w:rPr>
                <w:rFonts w:hint="eastAsia" w:ascii="宋体" w:hAnsi="宋体" w:cs="Arial Unicode MS"/>
                <w:b w:val="0"/>
                <w:bCs/>
                <w:color w:val="auto"/>
                <w:szCs w:val="21"/>
                <w:highlight w:val="none"/>
              </w:rPr>
              <w:t>响应文件中附</w:t>
            </w:r>
            <w:r>
              <w:rPr>
                <w:rFonts w:hint="eastAsia" w:ascii="宋体" w:hAnsi="宋体" w:cs="宋体"/>
                <w:b w:val="0"/>
                <w:bCs/>
                <w:color w:val="auto"/>
                <w:szCs w:val="21"/>
                <w:highlight w:val="none"/>
              </w:rPr>
              <w:t>谈判</w:t>
            </w:r>
            <w:r>
              <w:rPr>
                <w:rFonts w:hint="eastAsia" w:ascii="宋体" w:hAnsi="宋体" w:cs="Arial Unicode MS"/>
                <w:b w:val="0"/>
                <w:bCs/>
                <w:color w:val="auto"/>
                <w:szCs w:val="21"/>
                <w:highlight w:val="none"/>
              </w:rPr>
              <w:t>保证金缴纳凭证及基本账户开户许可证复印件。</w:t>
            </w:r>
            <w:r>
              <w:rPr>
                <w:rFonts w:hint="eastAsia" w:ascii="宋体" w:hAnsi="宋体" w:cs="Arial Unicode MS"/>
                <w:b w:val="0"/>
                <w:bCs/>
                <w:color w:val="auto"/>
                <w:szCs w:val="21"/>
                <w:highlight w:val="none"/>
              </w:rPr>
              <w:t>以支票、汇票、本票、保函提交谈判保证金，</w:t>
            </w:r>
            <w:r>
              <w:rPr>
                <w:rFonts w:hint="eastAsia" w:ascii="宋体" w:hAnsi="宋体" w:cs="宋体"/>
                <w:b w:val="0"/>
                <w:bCs/>
                <w:color w:val="auto"/>
                <w:szCs w:val="21"/>
                <w:highlight w:val="none"/>
              </w:rPr>
              <w:t>将谈判保证金相关缴纳凭证原件应当</w:t>
            </w:r>
            <w:r>
              <w:rPr>
                <w:rFonts w:hint="eastAsia" w:ascii="宋体" w:hAnsi="宋体" w:cs="宋体"/>
                <w:b w:val="0"/>
                <w:bCs/>
                <w:i w:val="0"/>
                <w:iCs w:val="0"/>
                <w:color w:val="auto"/>
                <w:szCs w:val="21"/>
                <w:highlight w:val="none"/>
              </w:rPr>
              <w:t>于</w:t>
            </w:r>
            <w:r>
              <w:rPr>
                <w:rFonts w:hint="eastAsia" w:ascii="宋体" w:hAnsi="宋体" w:cs="宋体"/>
                <w:b w:val="0"/>
                <w:bCs/>
                <w:i w:val="0"/>
                <w:iCs w:val="0"/>
                <w:color w:val="auto"/>
                <w:szCs w:val="21"/>
                <w:highlight w:val="none"/>
                <w:lang w:eastAsia="zh-CN"/>
              </w:rPr>
              <w:t>递交响应文件截止时间</w:t>
            </w:r>
            <w:r>
              <w:rPr>
                <w:rFonts w:hint="eastAsia" w:ascii="宋体" w:hAnsi="宋体" w:cs="宋体"/>
                <w:b w:val="0"/>
                <w:bCs/>
                <w:i w:val="0"/>
                <w:iCs w:val="0"/>
                <w:color w:val="auto"/>
                <w:szCs w:val="21"/>
                <w:highlight w:val="none"/>
              </w:rPr>
              <w:t>前</w:t>
            </w:r>
            <w:r>
              <w:rPr>
                <w:rFonts w:hint="eastAsia" w:ascii="宋体" w:hAnsi="宋体" w:cs="宋体"/>
                <w:b w:val="0"/>
                <w:bCs/>
                <w:color w:val="auto"/>
                <w:szCs w:val="21"/>
                <w:highlight w:val="none"/>
              </w:rPr>
              <w:t>将原件递交至</w:t>
            </w:r>
            <w:r>
              <w:rPr>
                <w:rFonts w:hint="eastAsia" w:ascii="宋体" w:hAnsi="宋体" w:cs="宋体"/>
                <w:b w:val="0"/>
                <w:bCs/>
                <w:color w:val="auto"/>
                <w:szCs w:val="21"/>
                <w:highlight w:val="none"/>
                <w:lang w:eastAsia="zh-CN"/>
              </w:rPr>
              <w:t>采购</w:t>
            </w:r>
            <w:r>
              <w:rPr>
                <w:rFonts w:hint="eastAsia" w:ascii="宋体" w:hAnsi="宋体" w:cs="宋体"/>
                <w:b w:val="0"/>
                <w:bCs/>
                <w:color w:val="auto"/>
                <w:szCs w:val="21"/>
                <w:highlight w:val="none"/>
              </w:rPr>
              <w:t>代理机构</w:t>
            </w:r>
            <w:r>
              <w:rPr>
                <w:rFonts w:hint="eastAsia" w:ascii="宋体" w:hAnsi="宋体" w:cs="宋体"/>
                <w:b w:val="0"/>
                <w:bCs/>
                <w:color w:val="auto"/>
                <w:szCs w:val="21"/>
                <w:highlight w:val="none"/>
                <w:lang w:eastAsia="zh-CN"/>
              </w:rPr>
              <w:t>。</w:t>
            </w:r>
          </w:p>
          <w:p w14:paraId="3640F480">
            <w:pPr>
              <w:adjustRightInd w:val="0"/>
              <w:snapToGrid w:val="0"/>
              <w:spacing w:before="36" w:beforeLines="15"/>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3.</w:t>
            </w:r>
            <w:r>
              <w:rPr>
                <w:rFonts w:ascii="宋体" w:hAnsi="宋体" w:cs="宋体"/>
                <w:b w:val="0"/>
                <w:bCs/>
                <w:color w:val="auto"/>
                <w:szCs w:val="21"/>
                <w:highlight w:val="none"/>
              </w:rPr>
              <w:t>基本账户开户许可取消后新开立基本账户的</w:t>
            </w:r>
            <w:r>
              <w:rPr>
                <w:rFonts w:hint="eastAsia" w:ascii="宋体" w:hAnsi="宋体" w:cs="宋体"/>
                <w:b w:val="0"/>
                <w:bCs/>
                <w:color w:val="auto"/>
                <w:szCs w:val="21"/>
                <w:highlight w:val="none"/>
              </w:rPr>
              <w:t>供应商</w:t>
            </w:r>
            <w:r>
              <w:rPr>
                <w:rFonts w:ascii="宋体" w:hAnsi="宋体" w:cs="宋体"/>
                <w:b w:val="0"/>
                <w:bCs/>
                <w:color w:val="auto"/>
                <w:szCs w:val="21"/>
                <w:highlight w:val="none"/>
              </w:rPr>
              <w:t>，可以按照中国人民银行的相关文件规定提交银行打印的《基本存款账户信息》</w:t>
            </w:r>
            <w:r>
              <w:rPr>
                <w:rFonts w:hint="eastAsia" w:ascii="宋体" w:hAnsi="宋体" w:cs="宋体"/>
                <w:b w:val="0"/>
                <w:bCs/>
                <w:color w:val="auto"/>
                <w:szCs w:val="21"/>
                <w:highlight w:val="none"/>
                <w:lang w:eastAsia="zh-CN"/>
              </w:rPr>
              <w:t>。</w:t>
            </w:r>
          </w:p>
        </w:tc>
      </w:tr>
      <w:tr w14:paraId="5EEBA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3D38A9D6">
            <w:pPr>
              <w:adjustRightInd w:val="0"/>
              <w:snapToGrid w:val="0"/>
              <w:spacing w:before="36" w:beforeLines="15"/>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18</w:t>
            </w:r>
          </w:p>
        </w:tc>
        <w:tc>
          <w:tcPr>
            <w:tcW w:w="8990" w:type="dxa"/>
            <w:tcBorders>
              <w:top w:val="single" w:color="auto" w:sz="4" w:space="0"/>
              <w:left w:val="single" w:color="000000" w:sz="4" w:space="0"/>
              <w:bottom w:val="single" w:color="auto" w:sz="4" w:space="0"/>
            </w:tcBorders>
            <w:shd w:val="clear" w:color="auto" w:fill="auto"/>
            <w:vAlign w:val="center"/>
          </w:tcPr>
          <w:p w14:paraId="04A9AB2A">
            <w:pPr>
              <w:spacing w:line="320" w:lineRule="exac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eastAsia="zh-CN"/>
              </w:rPr>
              <w:t>近年发生诉讼及仲裁情况：</w:t>
            </w:r>
            <w:r>
              <w:rPr>
                <w:rFonts w:hint="eastAsia" w:ascii="宋体" w:hAnsi="宋体"/>
                <w:color w:val="auto"/>
                <w:szCs w:val="21"/>
                <w:highlight w:val="none"/>
                <w:lang w:val="en-US" w:eastAsia="zh-CN"/>
              </w:rPr>
              <w:t>指2022年01月01日至今</w:t>
            </w:r>
          </w:p>
        </w:tc>
      </w:tr>
      <w:tr w14:paraId="48117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85" w:type="dxa"/>
            <w:tcBorders>
              <w:top w:val="single" w:color="auto" w:sz="4" w:space="0"/>
              <w:bottom w:val="single" w:color="000000" w:sz="4" w:space="0"/>
              <w:right w:val="single" w:color="000000" w:sz="4" w:space="0"/>
            </w:tcBorders>
            <w:shd w:val="clear" w:color="auto" w:fill="auto"/>
            <w:vAlign w:val="center"/>
          </w:tcPr>
          <w:p w14:paraId="5903EC9F">
            <w:pPr>
              <w:adjustRightInd w:val="0"/>
              <w:snapToGrid w:val="0"/>
              <w:spacing w:before="36" w:beforeLines="15"/>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19</w:t>
            </w:r>
          </w:p>
        </w:tc>
        <w:tc>
          <w:tcPr>
            <w:tcW w:w="8990" w:type="dxa"/>
            <w:tcBorders>
              <w:top w:val="single" w:color="auto" w:sz="4" w:space="0"/>
              <w:left w:val="single" w:color="000000" w:sz="4" w:space="0"/>
              <w:bottom w:val="single" w:color="000000" w:sz="4" w:space="0"/>
            </w:tcBorders>
            <w:shd w:val="clear" w:color="auto" w:fill="auto"/>
            <w:vAlign w:val="center"/>
          </w:tcPr>
          <w:p w14:paraId="601BCA8F">
            <w:pPr>
              <w:adjustRightInd w:val="0"/>
              <w:snapToGrid w:val="0"/>
              <w:spacing w:before="36" w:beforeLines="15"/>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响应文件份数：</w:t>
            </w:r>
            <w:r>
              <w:rPr>
                <w:rFonts w:hint="eastAsia" w:ascii="宋体" w:hAnsi="宋体" w:eastAsia="宋体" w:cs="宋体"/>
                <w:color w:val="auto"/>
                <w:spacing w:val="-9"/>
                <w:sz w:val="21"/>
                <w:szCs w:val="21"/>
                <w:highlight w:val="none"/>
              </w:rPr>
              <w:t>本项目</w:t>
            </w:r>
            <w:r>
              <w:rPr>
                <w:rFonts w:hint="eastAsia" w:ascii="宋体" w:hAnsi="宋体" w:eastAsia="宋体" w:cs="宋体"/>
                <w:color w:val="auto"/>
                <w:spacing w:val="-9"/>
                <w:sz w:val="21"/>
                <w:szCs w:val="21"/>
                <w:highlight w:val="none"/>
                <w:lang w:eastAsia="zh-CN"/>
              </w:rPr>
              <w:t>无须递交</w:t>
            </w:r>
            <w:r>
              <w:rPr>
                <w:rFonts w:hint="eastAsia" w:ascii="宋体" w:hAnsi="宋体" w:eastAsia="宋体" w:cs="宋体"/>
                <w:color w:val="auto"/>
                <w:spacing w:val="-9"/>
                <w:sz w:val="21"/>
                <w:szCs w:val="21"/>
                <w:highlight w:val="none"/>
              </w:rPr>
              <w:t>纸质版</w:t>
            </w:r>
            <w:r>
              <w:rPr>
                <w:rFonts w:hint="eastAsia" w:ascii="宋体" w:hAnsi="宋体" w:eastAsia="宋体" w:cs="宋体"/>
                <w:color w:val="auto"/>
                <w:spacing w:val="-9"/>
                <w:sz w:val="21"/>
                <w:szCs w:val="21"/>
                <w:highlight w:val="none"/>
                <w:lang w:eastAsia="zh-CN"/>
              </w:rPr>
              <w:t>响应文件。</w:t>
            </w:r>
          </w:p>
        </w:tc>
      </w:tr>
      <w:tr w14:paraId="1F1AF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85" w:type="dxa"/>
            <w:tcBorders>
              <w:top w:val="single" w:color="auto" w:sz="4" w:space="0"/>
              <w:bottom w:val="single" w:color="000000" w:sz="4" w:space="0"/>
              <w:right w:val="single" w:color="000000" w:sz="4" w:space="0"/>
            </w:tcBorders>
            <w:shd w:val="clear" w:color="auto" w:fill="auto"/>
            <w:vAlign w:val="center"/>
          </w:tcPr>
          <w:p w14:paraId="73EF64A7">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20</w:t>
            </w:r>
          </w:p>
        </w:tc>
        <w:tc>
          <w:tcPr>
            <w:tcW w:w="8990" w:type="dxa"/>
            <w:tcBorders>
              <w:top w:val="single" w:color="auto" w:sz="4" w:space="0"/>
              <w:left w:val="single" w:color="000000" w:sz="4" w:space="0"/>
              <w:bottom w:val="single" w:color="000000" w:sz="4" w:space="0"/>
            </w:tcBorders>
            <w:shd w:val="clear" w:color="auto" w:fill="auto"/>
            <w:vAlign w:val="center"/>
          </w:tcPr>
          <w:p w14:paraId="2A0E5D11">
            <w:pPr>
              <w:adjustRightInd w:val="0"/>
              <w:snapToGrid w:val="0"/>
              <w:spacing w:before="36" w:beforeLines="15"/>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Cs w:val="21"/>
                <w:highlight w:val="none"/>
              </w:rPr>
              <w:t>响应文件递交截止时间</w:t>
            </w:r>
            <w:r>
              <w:rPr>
                <w:rFonts w:hint="eastAsia" w:ascii="宋体" w:hAnsi="宋体" w:cs="宋体"/>
                <w:b w:val="0"/>
                <w:bCs w:val="0"/>
                <w:color w:val="auto"/>
                <w:szCs w:val="21"/>
                <w:highlight w:val="none"/>
                <w:lang w:eastAsia="zh-CN"/>
              </w:rPr>
              <w:t>：</w:t>
            </w:r>
            <w:r>
              <w:rPr>
                <w:rFonts w:hint="eastAsia" w:ascii="宋体" w:hAnsi="宋体"/>
                <w:b w:val="0"/>
                <w:bCs w:val="0"/>
                <w:color w:val="auto"/>
                <w:szCs w:val="21"/>
                <w:highlight w:val="none"/>
                <w:u w:val="none"/>
              </w:rPr>
              <w:t>202</w:t>
            </w:r>
            <w:r>
              <w:rPr>
                <w:rFonts w:hint="eastAsia" w:ascii="宋体" w:hAnsi="宋体"/>
                <w:b w:val="0"/>
                <w:bCs w:val="0"/>
                <w:color w:val="auto"/>
                <w:szCs w:val="21"/>
                <w:highlight w:val="none"/>
                <w:u w:val="none"/>
                <w:lang w:val="en-US" w:eastAsia="zh-CN"/>
              </w:rPr>
              <w:t>5</w:t>
            </w:r>
            <w:r>
              <w:rPr>
                <w:rFonts w:hint="eastAsia" w:ascii="宋体" w:hAnsi="宋体"/>
                <w:b w:val="0"/>
                <w:bCs w:val="0"/>
                <w:color w:val="auto"/>
                <w:szCs w:val="21"/>
                <w:highlight w:val="none"/>
                <w:u w:val="none"/>
              </w:rPr>
              <w:t>年</w:t>
            </w:r>
            <w:r>
              <w:rPr>
                <w:rFonts w:hint="eastAsia" w:ascii="宋体" w:hAnsi="宋体"/>
                <w:b w:val="0"/>
                <w:bCs w:val="0"/>
                <w:color w:val="auto"/>
                <w:szCs w:val="21"/>
                <w:highlight w:val="none"/>
                <w:u w:val="none"/>
                <w:lang w:val="en-US" w:eastAsia="zh-CN"/>
              </w:rPr>
              <w:t>7</w:t>
            </w:r>
            <w:r>
              <w:rPr>
                <w:rFonts w:hint="eastAsia" w:ascii="宋体" w:hAnsi="宋体"/>
                <w:b w:val="0"/>
                <w:bCs w:val="0"/>
                <w:color w:val="auto"/>
                <w:szCs w:val="21"/>
                <w:highlight w:val="none"/>
                <w:u w:val="none"/>
              </w:rPr>
              <w:t>月</w:t>
            </w:r>
            <w:r>
              <w:rPr>
                <w:rFonts w:hint="eastAsia" w:ascii="宋体" w:hAnsi="宋体"/>
                <w:b w:val="0"/>
                <w:bCs w:val="0"/>
                <w:color w:val="auto"/>
                <w:szCs w:val="21"/>
                <w:highlight w:val="none"/>
                <w:u w:val="none"/>
                <w:lang w:val="en-US" w:eastAsia="zh-CN"/>
              </w:rPr>
              <w:t>4</w:t>
            </w:r>
            <w:r>
              <w:rPr>
                <w:rFonts w:hint="eastAsia" w:ascii="宋体" w:hAnsi="宋体"/>
                <w:b w:val="0"/>
                <w:bCs w:val="0"/>
                <w:color w:val="auto"/>
                <w:szCs w:val="21"/>
                <w:highlight w:val="none"/>
                <w:u w:val="none"/>
              </w:rPr>
              <w:t>日</w:t>
            </w:r>
            <w:r>
              <w:rPr>
                <w:rFonts w:hint="eastAsia" w:ascii="宋体" w:hAnsi="宋体"/>
                <w:b w:val="0"/>
                <w:bCs w:val="0"/>
                <w:color w:val="auto"/>
                <w:szCs w:val="21"/>
                <w:highlight w:val="none"/>
                <w:u w:val="none"/>
                <w:lang w:val="en-US" w:eastAsia="zh-CN"/>
              </w:rPr>
              <w:t>9</w:t>
            </w:r>
            <w:r>
              <w:rPr>
                <w:rFonts w:hint="eastAsia" w:ascii="宋体" w:hAnsi="宋体"/>
                <w:b w:val="0"/>
                <w:bCs w:val="0"/>
                <w:color w:val="auto"/>
                <w:szCs w:val="21"/>
                <w:highlight w:val="none"/>
                <w:u w:val="none"/>
              </w:rPr>
              <w:t>时00分</w:t>
            </w:r>
          </w:p>
        </w:tc>
      </w:tr>
      <w:tr w14:paraId="3BA93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985" w:type="dxa"/>
            <w:tcBorders>
              <w:top w:val="single" w:color="000000" w:sz="4" w:space="0"/>
              <w:bottom w:val="single" w:color="auto" w:sz="4" w:space="0"/>
              <w:right w:val="single" w:color="000000" w:sz="4" w:space="0"/>
            </w:tcBorders>
            <w:shd w:val="clear" w:color="auto" w:fill="auto"/>
            <w:vAlign w:val="center"/>
          </w:tcPr>
          <w:p w14:paraId="238BB612">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21</w:t>
            </w:r>
          </w:p>
        </w:tc>
        <w:tc>
          <w:tcPr>
            <w:tcW w:w="8990" w:type="dxa"/>
            <w:tcBorders>
              <w:top w:val="single" w:color="000000" w:sz="4" w:space="0"/>
              <w:left w:val="single" w:color="000000" w:sz="4" w:space="0"/>
              <w:bottom w:val="single" w:color="auto" w:sz="4" w:space="0"/>
            </w:tcBorders>
            <w:shd w:val="clear" w:color="auto" w:fill="auto"/>
            <w:vAlign w:val="center"/>
          </w:tcPr>
          <w:p w14:paraId="20D159F3">
            <w:pPr>
              <w:pStyle w:val="121"/>
              <w:spacing w:before="33" w:line="266" w:lineRule="auto"/>
              <w:ind w:right="97"/>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递交响应文件地点</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1.</w:t>
            </w:r>
            <w:r>
              <w:rPr>
                <w:rFonts w:hint="eastAsia" w:ascii="宋体" w:hAnsi="宋体" w:eastAsia="宋体" w:cs="宋体"/>
                <w:color w:val="auto"/>
                <w:spacing w:val="-8"/>
                <w:sz w:val="21"/>
                <w:szCs w:val="21"/>
                <w:highlight w:val="none"/>
              </w:rPr>
              <w:t>本项目</w:t>
            </w:r>
            <w:r>
              <w:rPr>
                <w:rFonts w:hint="eastAsia" w:cs="宋体"/>
                <w:color w:val="auto"/>
                <w:spacing w:val="-8"/>
                <w:sz w:val="21"/>
                <w:szCs w:val="21"/>
                <w:highlight w:val="none"/>
                <w:lang w:eastAsia="zh-CN"/>
              </w:rPr>
              <w:t>谈判</w:t>
            </w:r>
            <w:r>
              <w:rPr>
                <w:rFonts w:hint="eastAsia" w:ascii="宋体" w:hAnsi="宋体" w:eastAsia="宋体" w:cs="宋体"/>
                <w:color w:val="auto"/>
                <w:spacing w:val="-8"/>
                <w:sz w:val="21"/>
                <w:szCs w:val="21"/>
                <w:highlight w:val="none"/>
              </w:rPr>
              <w:t>方式为远程</w:t>
            </w:r>
            <w:r>
              <w:rPr>
                <w:rFonts w:hint="eastAsia" w:cs="宋体"/>
                <w:color w:val="auto"/>
                <w:spacing w:val="-8"/>
                <w:sz w:val="21"/>
                <w:szCs w:val="21"/>
                <w:highlight w:val="none"/>
                <w:lang w:eastAsia="zh-CN"/>
              </w:rPr>
              <w:t>谈判</w:t>
            </w:r>
            <w:r>
              <w:rPr>
                <w:rFonts w:hint="eastAsia" w:ascii="宋体" w:hAnsi="宋体" w:eastAsia="宋体" w:cs="宋体"/>
                <w:color w:val="auto"/>
                <w:spacing w:val="-8"/>
                <w:sz w:val="21"/>
                <w:szCs w:val="21"/>
                <w:highlight w:val="none"/>
              </w:rPr>
              <w:t>，供应商不到</w:t>
            </w:r>
            <w:r>
              <w:rPr>
                <w:rFonts w:hint="eastAsia" w:cs="宋体"/>
                <w:color w:val="auto"/>
                <w:spacing w:val="-8"/>
                <w:sz w:val="21"/>
                <w:szCs w:val="21"/>
                <w:highlight w:val="none"/>
                <w:lang w:eastAsia="zh-CN"/>
              </w:rPr>
              <w:t>谈判</w:t>
            </w:r>
            <w:r>
              <w:rPr>
                <w:rFonts w:hint="eastAsia" w:ascii="宋体" w:hAnsi="宋体" w:eastAsia="宋体" w:cs="宋体"/>
                <w:color w:val="auto"/>
                <w:spacing w:val="-8"/>
                <w:sz w:val="21"/>
                <w:szCs w:val="21"/>
                <w:highlight w:val="none"/>
              </w:rPr>
              <w:t>现场。供应商</w:t>
            </w:r>
            <w:r>
              <w:rPr>
                <w:rFonts w:hint="eastAsia" w:cs="宋体"/>
                <w:color w:val="auto"/>
                <w:spacing w:val="-8"/>
                <w:sz w:val="21"/>
                <w:szCs w:val="21"/>
                <w:highlight w:val="none"/>
                <w:lang w:eastAsia="zh-CN"/>
              </w:rPr>
              <w:t>谈判</w:t>
            </w:r>
            <w:r>
              <w:rPr>
                <w:rFonts w:hint="eastAsia" w:ascii="宋体" w:hAnsi="宋体" w:eastAsia="宋体" w:cs="宋体"/>
                <w:color w:val="auto"/>
                <w:spacing w:val="-8"/>
                <w:sz w:val="21"/>
                <w:szCs w:val="21"/>
                <w:highlight w:val="none"/>
              </w:rPr>
              <w:t>时，需携</w:t>
            </w:r>
            <w:r>
              <w:rPr>
                <w:rFonts w:hint="eastAsia" w:ascii="宋体" w:hAnsi="宋体" w:eastAsia="宋体" w:cs="宋体"/>
                <w:color w:val="auto"/>
                <w:sz w:val="21"/>
                <w:szCs w:val="21"/>
                <w:highlight w:val="none"/>
              </w:rPr>
              <w:t>带制作响应文件时用来加密的有效数字证书（CA</w:t>
            </w:r>
            <w:r>
              <w:rPr>
                <w:rFonts w:hint="eastAsia" w:ascii="宋体" w:hAnsi="宋体" w:eastAsia="宋体" w:cs="宋体"/>
                <w:color w:val="auto"/>
                <w:spacing w:val="-4"/>
                <w:sz w:val="21"/>
                <w:szCs w:val="21"/>
                <w:highlight w:val="none"/>
              </w:rPr>
              <w:t xml:space="preserve"> 认证</w:t>
            </w:r>
            <w:r>
              <w:rPr>
                <w:rFonts w:hint="eastAsia" w:ascii="宋体" w:hAnsi="宋体" w:eastAsia="宋体" w:cs="宋体"/>
                <w:color w:val="auto"/>
                <w:sz w:val="21"/>
                <w:szCs w:val="21"/>
                <w:highlight w:val="none"/>
              </w:rPr>
              <w:t>）登录“政采云”平</w:t>
            </w:r>
            <w:r>
              <w:rPr>
                <w:rFonts w:hint="eastAsia" w:ascii="宋体" w:hAnsi="宋体" w:eastAsia="宋体" w:cs="宋体"/>
                <w:color w:val="auto"/>
                <w:spacing w:val="-5"/>
                <w:sz w:val="21"/>
                <w:szCs w:val="21"/>
                <w:highlight w:val="none"/>
              </w:rPr>
              <w:t>台电子开标大厅现场按规定时间对加密的响应文件进行解密，如无故离开远</w:t>
            </w:r>
            <w:r>
              <w:rPr>
                <w:rFonts w:hint="eastAsia" w:ascii="宋体" w:hAnsi="宋体" w:eastAsia="宋体" w:cs="宋体"/>
                <w:color w:val="auto"/>
                <w:spacing w:val="-12"/>
                <w:sz w:val="21"/>
                <w:szCs w:val="21"/>
                <w:highlight w:val="none"/>
              </w:rPr>
              <w:t>程</w:t>
            </w:r>
            <w:r>
              <w:rPr>
                <w:rFonts w:hint="eastAsia" w:cs="宋体"/>
                <w:color w:val="auto"/>
                <w:spacing w:val="-12"/>
                <w:sz w:val="21"/>
                <w:szCs w:val="21"/>
                <w:highlight w:val="none"/>
                <w:lang w:eastAsia="zh-CN"/>
              </w:rPr>
              <w:t>谈判</w:t>
            </w:r>
            <w:r>
              <w:rPr>
                <w:rFonts w:hint="eastAsia" w:ascii="宋体" w:hAnsi="宋体" w:eastAsia="宋体" w:cs="宋体"/>
                <w:color w:val="auto"/>
                <w:spacing w:val="-12"/>
                <w:sz w:val="21"/>
                <w:szCs w:val="21"/>
                <w:highlight w:val="none"/>
              </w:rPr>
              <w:t>会议室，后果自负。供应商在收到采购代理机构或平台推送的通知后</w:t>
            </w:r>
            <w:r>
              <w:rPr>
                <w:rFonts w:hint="eastAsia" w:ascii="宋体" w:hAnsi="宋体" w:eastAsia="宋体" w:cs="宋体"/>
                <w:color w:val="auto"/>
                <w:spacing w:val="-11"/>
                <w:sz w:val="21"/>
                <w:szCs w:val="21"/>
                <w:highlight w:val="none"/>
              </w:rPr>
              <w:t>才可以在“政采云”平台进行二次报价。解密方式：响应文件递交截止时间</w:t>
            </w:r>
            <w:r>
              <w:rPr>
                <w:rFonts w:hint="eastAsia" w:ascii="宋体" w:hAnsi="宋体" w:eastAsia="宋体" w:cs="宋体"/>
                <w:color w:val="auto"/>
                <w:spacing w:val="-28"/>
                <w:sz w:val="21"/>
                <w:szCs w:val="21"/>
                <w:highlight w:val="none"/>
              </w:rPr>
              <w:t xml:space="preserve">后 </w:t>
            </w:r>
            <w:r>
              <w:rPr>
                <w:rFonts w:hint="eastAsia" w:ascii="宋体" w:hAnsi="宋体" w:eastAsia="宋体" w:cs="宋体"/>
                <w:color w:val="auto"/>
                <w:sz w:val="21"/>
                <w:szCs w:val="21"/>
                <w:highlight w:val="none"/>
              </w:rPr>
              <w:t>30</w:t>
            </w:r>
            <w:r>
              <w:rPr>
                <w:rFonts w:hint="eastAsia" w:ascii="宋体" w:hAnsi="宋体" w:eastAsia="宋体" w:cs="宋体"/>
                <w:color w:val="auto"/>
                <w:spacing w:val="-9"/>
                <w:sz w:val="21"/>
                <w:szCs w:val="21"/>
                <w:highlight w:val="none"/>
              </w:rPr>
              <w:t xml:space="preserve"> 分钟内完成解密工作，供应商</w:t>
            </w:r>
            <w:r>
              <w:rPr>
                <w:rFonts w:hint="eastAsia" w:cs="宋体"/>
                <w:color w:val="auto"/>
                <w:spacing w:val="-9"/>
                <w:sz w:val="21"/>
                <w:szCs w:val="21"/>
                <w:highlight w:val="none"/>
                <w:lang w:eastAsia="zh-CN"/>
              </w:rPr>
              <w:t>谈判</w:t>
            </w:r>
            <w:r>
              <w:rPr>
                <w:rFonts w:hint="eastAsia" w:ascii="宋体" w:hAnsi="宋体" w:eastAsia="宋体" w:cs="宋体"/>
                <w:color w:val="auto"/>
                <w:spacing w:val="-9"/>
                <w:sz w:val="21"/>
                <w:szCs w:val="21"/>
                <w:highlight w:val="none"/>
              </w:rPr>
              <w:t>时，需携带制作响应文件时用来加</w:t>
            </w:r>
            <w:r>
              <w:rPr>
                <w:rFonts w:hint="eastAsia" w:ascii="宋体" w:hAnsi="宋体" w:eastAsia="宋体" w:cs="宋体"/>
                <w:color w:val="auto"/>
                <w:sz w:val="21"/>
                <w:szCs w:val="21"/>
                <w:highlight w:val="none"/>
              </w:rPr>
              <w:t>密的有效数字证书（CA</w:t>
            </w:r>
            <w:r>
              <w:rPr>
                <w:rFonts w:hint="eastAsia" w:ascii="宋体" w:hAnsi="宋体" w:eastAsia="宋体" w:cs="宋体"/>
                <w:color w:val="auto"/>
                <w:spacing w:val="-4"/>
                <w:sz w:val="21"/>
                <w:szCs w:val="21"/>
                <w:highlight w:val="none"/>
              </w:rPr>
              <w:t xml:space="preserve"> 认证</w:t>
            </w:r>
            <w:r>
              <w:rPr>
                <w:rFonts w:hint="eastAsia" w:ascii="宋体" w:hAnsi="宋体" w:eastAsia="宋体" w:cs="宋体"/>
                <w:color w:val="auto"/>
                <w:sz w:val="21"/>
                <w:szCs w:val="21"/>
                <w:highlight w:val="none"/>
              </w:rPr>
              <w:t>）登录“政采云”平台电子开标大厅现场按规定时间对加密的响应文件进行解密。因供应商自身原因未能按时完成解密的，视为逾期未提交响应文件，其</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无效。</w:t>
            </w:r>
          </w:p>
          <w:p w14:paraId="4B5C3892">
            <w:pPr>
              <w:pStyle w:val="121"/>
              <w:spacing w:line="303"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2.响应文件提交方式：本项目为全流程电子化项目，通过“政采云”平台</w:t>
            </w:r>
          </w:p>
          <w:p w14:paraId="07B360B8">
            <w:pPr>
              <w:adjustRightInd w:val="0"/>
              <w:snapToGrid w:val="0"/>
              <w:spacing w:before="36" w:beforeLines="15"/>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（http</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实行在线电子</w:t>
            </w:r>
            <w:r>
              <w:rPr>
                <w:rFonts w:hint="eastAsia" w:ascii="宋体" w:hAnsi="宋体" w:cs="宋体"/>
                <w:color w:val="auto"/>
                <w:spacing w:val="-1"/>
                <w:sz w:val="21"/>
                <w:szCs w:val="21"/>
                <w:highlight w:val="none"/>
                <w:lang w:eastAsia="zh-CN"/>
              </w:rPr>
              <w:t>谈判</w:t>
            </w:r>
            <w:r>
              <w:rPr>
                <w:rFonts w:hint="eastAsia" w:ascii="宋体" w:hAnsi="宋体" w:eastAsia="宋体" w:cs="宋体"/>
                <w:color w:val="auto"/>
                <w:spacing w:val="-1"/>
                <w:sz w:val="21"/>
                <w:szCs w:val="21"/>
                <w:highlight w:val="none"/>
              </w:rPr>
              <w:t>，供应商应先安装“政采云</w:t>
            </w:r>
            <w:r>
              <w:rPr>
                <w:rFonts w:hint="eastAsia" w:ascii="宋体" w:hAnsi="宋体" w:eastAsia="宋体" w:cs="宋体"/>
                <w:color w:val="auto"/>
                <w:spacing w:val="-3"/>
                <w:sz w:val="21"/>
                <w:szCs w:val="21"/>
                <w:highlight w:val="none"/>
              </w:rPr>
              <w:t>电子交易客户端”</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6"/>
                <w:sz w:val="21"/>
                <w:szCs w:val="21"/>
                <w:highlight w:val="none"/>
              </w:rPr>
              <w:t>请自行前往“政采云”平台进行下载</w:t>
            </w: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6"/>
                <w:sz w:val="21"/>
                <w:szCs w:val="21"/>
                <w:highlight w:val="none"/>
              </w:rPr>
              <w:t>，并按照本项目</w:t>
            </w:r>
            <w:r>
              <w:rPr>
                <w:rFonts w:hint="eastAsia" w:ascii="宋体" w:hAnsi="宋体" w:eastAsia="宋体" w:cs="宋体"/>
                <w:color w:val="auto"/>
                <w:spacing w:val="-11"/>
                <w:sz w:val="21"/>
                <w:szCs w:val="21"/>
                <w:highlight w:val="none"/>
              </w:rPr>
              <w:t>竞争性</w:t>
            </w:r>
            <w:r>
              <w:rPr>
                <w:rFonts w:hint="eastAsia" w:ascii="宋体" w:hAnsi="宋体" w:cs="宋体"/>
                <w:color w:val="auto"/>
                <w:spacing w:val="-11"/>
                <w:sz w:val="21"/>
                <w:szCs w:val="21"/>
                <w:highlight w:val="none"/>
                <w:lang w:eastAsia="zh-CN"/>
              </w:rPr>
              <w:t>谈判</w:t>
            </w:r>
            <w:r>
              <w:rPr>
                <w:rFonts w:hint="eastAsia" w:ascii="宋体" w:hAnsi="宋体" w:eastAsia="宋体" w:cs="宋体"/>
                <w:color w:val="auto"/>
                <w:spacing w:val="-11"/>
                <w:sz w:val="21"/>
                <w:szCs w:val="21"/>
                <w:highlight w:val="none"/>
              </w:rPr>
              <w:t>文件和“政采云”平台的要求编制、加密后在提交响应文件截止</w:t>
            </w:r>
            <w:r>
              <w:rPr>
                <w:rFonts w:hint="eastAsia" w:ascii="宋体" w:hAnsi="宋体" w:eastAsia="宋体" w:cs="宋体"/>
                <w:color w:val="auto"/>
                <w:spacing w:val="-9"/>
                <w:sz w:val="21"/>
                <w:szCs w:val="21"/>
                <w:highlight w:val="none"/>
              </w:rPr>
              <w:t>时间前通过网络上传至“政采云”平台，供应商在“政采云”平台提交电子</w:t>
            </w:r>
            <w:r>
              <w:rPr>
                <w:rFonts w:hint="eastAsia" w:ascii="宋体" w:hAnsi="宋体" w:eastAsia="宋体" w:cs="宋体"/>
                <w:color w:val="auto"/>
                <w:sz w:val="21"/>
                <w:szCs w:val="21"/>
                <w:highlight w:val="none"/>
              </w:rPr>
              <w:t>版响应文件时，请填写参加</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活动经办人联系方式。</w:t>
            </w:r>
          </w:p>
        </w:tc>
      </w:tr>
      <w:tr w14:paraId="5994D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7FE8777A">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22</w:t>
            </w:r>
          </w:p>
        </w:tc>
        <w:tc>
          <w:tcPr>
            <w:tcW w:w="8990" w:type="dxa"/>
            <w:tcBorders>
              <w:top w:val="single" w:color="auto" w:sz="4" w:space="0"/>
              <w:left w:val="single" w:color="000000" w:sz="4" w:space="0"/>
              <w:bottom w:val="single" w:color="auto" w:sz="4" w:space="0"/>
            </w:tcBorders>
            <w:shd w:val="clear" w:color="auto" w:fill="auto"/>
            <w:vAlign w:val="center"/>
          </w:tcPr>
          <w:p w14:paraId="5B4D8ABD">
            <w:pPr>
              <w:pStyle w:val="12"/>
              <w:adjustRightInd w:val="0"/>
              <w:snapToGrid w:val="0"/>
              <w:spacing w:before="36" w:beforeLines="15"/>
              <w:ind w:left="2" w:leftChars="0" w:hanging="2" w:hangingChars="1"/>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sz w:val="21"/>
                <w:szCs w:val="21"/>
                <w:highlight w:val="none"/>
              </w:rPr>
              <w:t>签字盖章要求：</w:t>
            </w:r>
            <w:r>
              <w:rPr>
                <w:rFonts w:hint="eastAsia" w:ascii="宋体" w:hAnsi="宋体" w:cs="宋体"/>
                <w:b w:val="0"/>
                <w:bCs w:val="0"/>
                <w:color w:val="auto"/>
                <w:sz w:val="21"/>
                <w:szCs w:val="21"/>
                <w:highlight w:val="none"/>
                <w:lang w:val="zh-CN" w:eastAsia="zh-CN"/>
              </w:rPr>
              <w:t xml:space="preserve">符合政府采购云平台（http:// </w:t>
            </w:r>
            <w:r>
              <w:rPr>
                <w:rFonts w:hint="eastAsia" w:ascii="宋体" w:hAnsi="宋体" w:cs="宋体"/>
                <w:b w:val="0"/>
                <w:bCs w:val="0"/>
                <w:color w:val="auto"/>
                <w:sz w:val="21"/>
                <w:szCs w:val="21"/>
                <w:highlight w:val="none"/>
                <w:lang w:val="zh-CN" w:eastAsia="zh-CN"/>
              </w:rPr>
              <w:fldChar w:fldCharType="begin"/>
            </w:r>
            <w:r>
              <w:rPr>
                <w:rFonts w:hint="eastAsia" w:ascii="宋体" w:hAnsi="宋体" w:cs="宋体"/>
                <w:b w:val="0"/>
                <w:bCs w:val="0"/>
                <w:color w:val="auto"/>
                <w:sz w:val="21"/>
                <w:szCs w:val="21"/>
                <w:highlight w:val="none"/>
                <w:lang w:val="zh-CN" w:eastAsia="zh-CN"/>
              </w:rPr>
              <w:instrText xml:space="preserve"> HYPERLINK "http://www.zcygov.cn）" </w:instrText>
            </w:r>
            <w:r>
              <w:rPr>
                <w:rFonts w:hint="eastAsia" w:ascii="宋体" w:hAnsi="宋体" w:cs="宋体"/>
                <w:b w:val="0"/>
                <w:bCs w:val="0"/>
                <w:color w:val="auto"/>
                <w:sz w:val="21"/>
                <w:szCs w:val="21"/>
                <w:highlight w:val="none"/>
                <w:lang w:val="zh-CN" w:eastAsia="zh-CN"/>
              </w:rPr>
              <w:fldChar w:fldCharType="separate"/>
            </w:r>
            <w:r>
              <w:rPr>
                <w:rFonts w:hint="eastAsia" w:ascii="宋体" w:hAnsi="宋体" w:cs="宋体"/>
                <w:b w:val="0"/>
                <w:bCs w:val="0"/>
                <w:color w:val="auto"/>
                <w:sz w:val="21"/>
                <w:szCs w:val="21"/>
                <w:highlight w:val="none"/>
                <w:lang w:val="zh-CN" w:eastAsia="zh-CN"/>
              </w:rPr>
              <w:t>www.zcygov.cn）</w:t>
            </w:r>
            <w:r>
              <w:rPr>
                <w:rFonts w:hint="eastAsia" w:ascii="宋体" w:hAnsi="宋体" w:cs="宋体"/>
                <w:b w:val="0"/>
                <w:bCs w:val="0"/>
                <w:color w:val="auto"/>
                <w:sz w:val="21"/>
                <w:szCs w:val="21"/>
                <w:highlight w:val="none"/>
                <w:lang w:val="zh-CN" w:eastAsia="zh-CN"/>
              </w:rPr>
              <w:fldChar w:fldCharType="end"/>
            </w:r>
            <w:r>
              <w:rPr>
                <w:rFonts w:hint="eastAsia" w:ascii="宋体" w:hAnsi="宋体" w:cs="宋体"/>
                <w:b w:val="0"/>
                <w:bCs w:val="0"/>
                <w:color w:val="auto"/>
                <w:sz w:val="21"/>
                <w:szCs w:val="21"/>
                <w:highlight w:val="none"/>
                <w:lang w:val="zh-CN" w:eastAsia="zh-CN"/>
              </w:rPr>
              <w:t>及</w:t>
            </w:r>
            <w:r>
              <w:rPr>
                <w:rFonts w:hint="eastAsia" w:ascii="宋体" w:hAnsi="宋体" w:cs="宋体"/>
                <w:b w:val="0"/>
                <w:bCs w:val="0"/>
                <w:color w:val="auto"/>
                <w:sz w:val="21"/>
                <w:szCs w:val="21"/>
                <w:highlight w:val="none"/>
                <w:lang w:val="en-US" w:eastAsia="zh-CN"/>
              </w:rPr>
              <w:t>谈判</w:t>
            </w:r>
            <w:r>
              <w:rPr>
                <w:rFonts w:hint="eastAsia" w:ascii="宋体" w:hAnsi="宋体" w:cs="宋体"/>
                <w:b w:val="0"/>
                <w:bCs w:val="0"/>
                <w:color w:val="auto"/>
                <w:sz w:val="21"/>
                <w:szCs w:val="21"/>
                <w:highlight w:val="none"/>
                <w:lang w:val="zh-CN" w:eastAsia="zh-CN"/>
              </w:rPr>
              <w:t>文件要求。</w:t>
            </w:r>
          </w:p>
        </w:tc>
      </w:tr>
      <w:tr w14:paraId="3EDEC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0F1D83C7">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23</w:t>
            </w:r>
          </w:p>
        </w:tc>
        <w:tc>
          <w:tcPr>
            <w:tcW w:w="8990" w:type="dxa"/>
            <w:tcBorders>
              <w:top w:val="single" w:color="auto" w:sz="4" w:space="0"/>
              <w:left w:val="single" w:color="000000" w:sz="4" w:space="0"/>
              <w:bottom w:val="single" w:color="auto" w:sz="4" w:space="0"/>
            </w:tcBorders>
            <w:shd w:val="clear" w:color="auto" w:fill="auto"/>
            <w:vAlign w:val="center"/>
          </w:tcPr>
          <w:p w14:paraId="4AD3A512">
            <w:pPr>
              <w:adjustRightInd w:val="0"/>
              <w:snapToGrid w:val="0"/>
              <w:spacing w:before="36" w:beforeLines="15"/>
              <w:rPr>
                <w:rFonts w:hint="eastAsia" w:ascii="宋体" w:hAnsi="宋体" w:eastAsia="宋体" w:cs="宋体"/>
                <w:b w:val="0"/>
                <w:bCs w:val="0"/>
                <w:color w:val="auto"/>
                <w:szCs w:val="21"/>
                <w:highlight w:val="none"/>
                <w:u w:val="none"/>
                <w:lang w:eastAsia="zh-CN"/>
              </w:rPr>
            </w:pPr>
            <w:r>
              <w:rPr>
                <w:rFonts w:hint="eastAsia" w:ascii="宋体" w:hAnsi="宋体" w:cs="宋体"/>
                <w:b w:val="0"/>
                <w:bCs w:val="0"/>
                <w:color w:val="auto"/>
                <w:szCs w:val="21"/>
                <w:highlight w:val="none"/>
              </w:rPr>
              <w:t>谈判小组的构成</w:t>
            </w:r>
            <w:r>
              <w:rPr>
                <w:rFonts w:hint="eastAsia" w:ascii="宋体" w:hAnsi="宋体" w:cs="宋体"/>
                <w:b w:val="0"/>
                <w:bCs w:val="0"/>
                <w:color w:val="auto"/>
                <w:szCs w:val="21"/>
                <w:highlight w:val="none"/>
                <w:u w:val="none"/>
              </w:rPr>
              <w:t>：</w:t>
            </w:r>
            <w:r>
              <w:rPr>
                <w:rFonts w:hint="eastAsia" w:ascii="宋体" w:hAnsi="宋体" w:cs="宋体"/>
                <w:color w:val="auto"/>
                <w:szCs w:val="21"/>
                <w:highlight w:val="none"/>
                <w:u w:val="none"/>
              </w:rPr>
              <w:t>3人，其中社会专家2人，采购人代表1人。</w:t>
            </w:r>
          </w:p>
          <w:p w14:paraId="543CEF70">
            <w:pPr>
              <w:adjustRightInd w:val="0"/>
              <w:snapToGrid w:val="0"/>
              <w:spacing w:before="36" w:beforeLines="15"/>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专家确定方式：</w:t>
            </w:r>
            <w:r>
              <w:rPr>
                <w:rFonts w:hint="eastAsia" w:ascii="宋体" w:hAnsi="宋体" w:cs="宋体"/>
                <w:b w:val="0"/>
                <w:bCs w:val="0"/>
                <w:color w:val="auto"/>
                <w:szCs w:val="21"/>
                <w:highlight w:val="none"/>
                <w:lang w:val="zh-CN"/>
              </w:rPr>
              <w:t>从</w:t>
            </w:r>
            <w:r>
              <w:rPr>
                <w:rFonts w:hint="eastAsia" w:ascii="宋体" w:hAnsi="宋体" w:cs="宋体"/>
                <w:b w:val="0"/>
                <w:bCs w:val="0"/>
                <w:color w:val="auto"/>
                <w:szCs w:val="21"/>
                <w:highlight w:val="none"/>
                <w:lang w:val="zh-CN" w:eastAsia="zh-CN"/>
              </w:rPr>
              <w:t>吉林省</w:t>
            </w:r>
            <w:r>
              <w:rPr>
                <w:rFonts w:hint="eastAsia" w:ascii="宋体" w:hAnsi="宋体" w:cs="宋体"/>
                <w:b w:val="0"/>
                <w:bCs w:val="0"/>
                <w:color w:val="auto"/>
                <w:szCs w:val="21"/>
                <w:highlight w:val="none"/>
                <w:lang w:val="en-US" w:eastAsia="zh-CN"/>
              </w:rPr>
              <w:t>政府采购云平台</w:t>
            </w:r>
            <w:r>
              <w:rPr>
                <w:rFonts w:hint="eastAsia" w:ascii="宋体" w:hAnsi="宋体" w:cs="宋体"/>
                <w:b w:val="0"/>
                <w:bCs w:val="0"/>
                <w:color w:val="auto"/>
                <w:szCs w:val="21"/>
                <w:highlight w:val="none"/>
                <w:lang w:val="zh-CN"/>
              </w:rPr>
              <w:t>专家库中随机抽取。</w:t>
            </w:r>
          </w:p>
        </w:tc>
      </w:tr>
      <w:tr w14:paraId="3207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33EA7553">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24</w:t>
            </w:r>
          </w:p>
        </w:tc>
        <w:tc>
          <w:tcPr>
            <w:tcW w:w="8990" w:type="dxa"/>
            <w:tcBorders>
              <w:top w:val="single" w:color="auto" w:sz="4" w:space="0"/>
              <w:left w:val="single" w:color="000000" w:sz="4" w:space="0"/>
              <w:bottom w:val="single" w:color="auto" w:sz="4" w:space="0"/>
            </w:tcBorders>
            <w:shd w:val="clear" w:color="auto" w:fill="auto"/>
            <w:vAlign w:val="center"/>
          </w:tcPr>
          <w:p w14:paraId="7A392BF0">
            <w:pPr>
              <w:pStyle w:val="12"/>
              <w:adjustRightInd w:val="0"/>
              <w:snapToGrid w:val="0"/>
              <w:spacing w:before="36" w:beforeLines="15"/>
              <w:ind w:left="2" w:leftChars="0" w:hanging="2" w:hangingChars="1"/>
              <w:jc w:val="both"/>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谈判小组是否确定排名第一的成交候选人为成交供应商：</w:t>
            </w:r>
            <w:r>
              <w:rPr>
                <w:rFonts w:hint="eastAsia" w:ascii="宋体" w:hAnsi="宋体" w:cs="宋体"/>
                <w:color w:val="auto"/>
                <w:sz w:val="21"/>
                <w:szCs w:val="21"/>
                <w:highlight w:val="none"/>
              </w:rPr>
              <w:t>是</w:t>
            </w:r>
          </w:p>
        </w:tc>
      </w:tr>
      <w:tr w14:paraId="57F69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73CA0BBF">
            <w:pPr>
              <w:adjustRightInd w:val="0"/>
              <w:snapToGrid w:val="0"/>
              <w:spacing w:before="36" w:beforeLines="15"/>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25</w:t>
            </w:r>
          </w:p>
        </w:tc>
        <w:tc>
          <w:tcPr>
            <w:tcW w:w="8990" w:type="dxa"/>
            <w:tcBorders>
              <w:top w:val="single" w:color="auto" w:sz="4" w:space="0"/>
              <w:left w:val="single" w:color="000000" w:sz="4" w:space="0"/>
              <w:bottom w:val="single" w:color="auto" w:sz="4" w:space="0"/>
            </w:tcBorders>
            <w:shd w:val="clear" w:color="auto" w:fill="auto"/>
            <w:vAlign w:val="center"/>
          </w:tcPr>
          <w:p w14:paraId="3D0FD515">
            <w:pPr>
              <w:adjustRightInd w:val="0"/>
              <w:snapToGrid w:val="0"/>
              <w:spacing w:before="36" w:beforeLines="15"/>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履约保证金</w:t>
            </w:r>
          </w:p>
          <w:p w14:paraId="7BDDF90F">
            <w:pPr>
              <w:adjustRightInd w:val="0"/>
              <w:snapToGrid w:val="0"/>
              <w:spacing w:before="36" w:beforeLines="15"/>
              <w:rPr>
                <w:rFonts w:hint="eastAsia" w:cs="宋体"/>
                <w:color w:val="auto"/>
                <w:szCs w:val="21"/>
                <w:highlight w:val="none"/>
                <w:lang w:val="en-US" w:eastAsia="zh-CN"/>
              </w:rPr>
            </w:pPr>
            <w:r>
              <w:rPr>
                <w:rFonts w:hint="eastAsia" w:ascii="宋体" w:hAnsi="宋体" w:cs="宋体"/>
                <w:color w:val="auto"/>
                <w:szCs w:val="21"/>
                <w:highlight w:val="none"/>
                <w:lang w:val="en-US" w:eastAsia="zh-CN"/>
              </w:rPr>
              <w:t>履约担保方式：</w:t>
            </w:r>
            <w:r>
              <w:rPr>
                <w:rFonts w:hint="eastAsia" w:cs="宋体"/>
                <w:color w:val="auto"/>
                <w:szCs w:val="21"/>
                <w:highlight w:val="none"/>
                <w:lang w:val="en-US" w:eastAsia="zh-CN"/>
              </w:rPr>
              <w:t>以转账或者金融机构、担保机构出具的保函等非现金形式提交。</w:t>
            </w:r>
          </w:p>
          <w:p w14:paraId="43E56B8E">
            <w:pPr>
              <w:adjustRightInd w:val="0"/>
              <w:snapToGrid w:val="0"/>
              <w:spacing w:before="36" w:beforeLines="15"/>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履约担保金额：成交合同价款的5%</w:t>
            </w:r>
          </w:p>
          <w:p w14:paraId="3CD77330">
            <w:pPr>
              <w:adjustRightInd w:val="0"/>
              <w:snapToGrid w:val="0"/>
              <w:spacing w:before="36" w:beforeLines="15"/>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履约担保递交时间：成交通知书发出后签订合同前，由成交供应商向采购人递交履约担保。</w:t>
            </w:r>
          </w:p>
        </w:tc>
      </w:tr>
      <w:tr w14:paraId="33B89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7A5BF720">
            <w:pPr>
              <w:adjustRightInd w:val="0"/>
              <w:snapToGrid w:val="0"/>
              <w:spacing w:before="36" w:beforeLines="15"/>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26</w:t>
            </w:r>
          </w:p>
        </w:tc>
        <w:tc>
          <w:tcPr>
            <w:tcW w:w="8990" w:type="dxa"/>
            <w:tcBorders>
              <w:top w:val="single" w:color="auto" w:sz="4" w:space="0"/>
              <w:left w:val="single" w:color="000000" w:sz="4" w:space="0"/>
              <w:bottom w:val="single" w:color="auto" w:sz="4" w:space="0"/>
            </w:tcBorders>
            <w:shd w:val="clear" w:color="auto" w:fill="auto"/>
            <w:vAlign w:val="center"/>
          </w:tcPr>
          <w:p w14:paraId="7017DEA2">
            <w:pPr>
              <w:pStyle w:val="12"/>
              <w:adjustRightInd w:val="0"/>
              <w:snapToGrid w:val="0"/>
              <w:spacing w:before="36" w:beforeLines="15"/>
              <w:ind w:left="2" w:leftChars="0" w:hanging="2" w:hangingChars="1"/>
              <w:jc w:val="both"/>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签订合同时间</w:t>
            </w:r>
            <w:r>
              <w:rPr>
                <w:rFonts w:hint="eastAsia" w:ascii="宋体" w:hAnsi="宋体"/>
                <w:color w:val="auto"/>
                <w:szCs w:val="21"/>
                <w:highlight w:val="none"/>
                <w:lang w:eastAsia="zh-CN"/>
              </w:rPr>
              <w:t>：</w:t>
            </w:r>
            <w:r>
              <w:rPr>
                <w:rFonts w:hint="eastAsia" w:ascii="宋体" w:hAnsi="宋体"/>
                <w:color w:val="auto"/>
                <w:szCs w:val="21"/>
                <w:highlight w:val="none"/>
              </w:rPr>
              <w:t>成交通知书发出之日起三十日内。</w:t>
            </w:r>
          </w:p>
        </w:tc>
      </w:tr>
      <w:tr w14:paraId="5D1FC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412B0B48">
            <w:pPr>
              <w:adjustRightInd w:val="0"/>
              <w:snapToGrid w:val="0"/>
              <w:spacing w:before="36" w:beforeLines="15"/>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27</w:t>
            </w:r>
          </w:p>
        </w:tc>
        <w:tc>
          <w:tcPr>
            <w:tcW w:w="8990" w:type="dxa"/>
            <w:tcBorders>
              <w:top w:val="single" w:color="auto" w:sz="4" w:space="0"/>
              <w:left w:val="single" w:color="000000" w:sz="4" w:space="0"/>
              <w:bottom w:val="single" w:color="auto" w:sz="4" w:space="0"/>
            </w:tcBorders>
            <w:shd w:val="clear" w:color="auto" w:fill="auto"/>
            <w:vAlign w:val="center"/>
          </w:tcPr>
          <w:p w14:paraId="6F8CA0BD">
            <w:pPr>
              <w:adjustRightInd w:val="0"/>
              <w:snapToGrid w:val="0"/>
              <w:spacing w:before="36" w:beforeLines="15"/>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付款方式</w:t>
            </w:r>
            <w:r>
              <w:rPr>
                <w:rFonts w:hint="eastAsia" w:ascii="宋体" w:hAnsi="宋体" w:cs="宋体"/>
                <w:b w:val="0"/>
                <w:bCs w:val="0"/>
                <w:color w:val="auto"/>
                <w:kern w:val="2"/>
                <w:sz w:val="21"/>
                <w:szCs w:val="21"/>
                <w:highlight w:val="none"/>
                <w:lang w:val="en-US" w:eastAsia="zh-CN" w:bidi="ar-SA"/>
              </w:rPr>
              <w:t>：验收合格后一</w:t>
            </w:r>
            <w:r>
              <w:rPr>
                <w:rFonts w:hint="eastAsia" w:ascii="宋体" w:hAnsi="宋体" w:cs="宋体"/>
                <w:b w:val="0"/>
                <w:bCs w:val="0"/>
                <w:color w:val="auto"/>
                <w:kern w:val="2"/>
                <w:sz w:val="21"/>
                <w:szCs w:val="21"/>
                <w:highlight w:val="none"/>
                <w:lang w:val="en-US" w:eastAsia="zh-CN" w:bidi="ar-SA"/>
              </w:rPr>
              <w:t>次性付清</w:t>
            </w:r>
          </w:p>
        </w:tc>
      </w:tr>
      <w:tr w14:paraId="689B2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7A7E3F40">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28</w:t>
            </w:r>
          </w:p>
        </w:tc>
        <w:tc>
          <w:tcPr>
            <w:tcW w:w="8990" w:type="dxa"/>
            <w:tcBorders>
              <w:top w:val="single" w:color="auto" w:sz="4" w:space="0"/>
              <w:left w:val="single" w:color="000000" w:sz="4" w:space="0"/>
              <w:bottom w:val="single" w:color="auto" w:sz="4" w:space="0"/>
            </w:tcBorders>
            <w:shd w:val="clear" w:color="auto" w:fill="auto"/>
            <w:vAlign w:val="center"/>
          </w:tcPr>
          <w:p w14:paraId="2BAF05E4">
            <w:pPr>
              <w:adjustRightInd w:val="0"/>
              <w:snapToGrid w:val="0"/>
              <w:spacing w:before="36" w:beforeLines="15"/>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合同备案存档</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成交单位与采购人签订合同后2个工作日内将采购合同扫描件发送至采购代理机构邮箱：syzb20240624@163.com。</w:t>
            </w:r>
          </w:p>
        </w:tc>
      </w:tr>
      <w:tr w14:paraId="21BC0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985" w:type="dxa"/>
            <w:tcBorders>
              <w:top w:val="single" w:color="auto" w:sz="4" w:space="0"/>
              <w:bottom w:val="single" w:color="auto" w:sz="4" w:space="0"/>
              <w:right w:val="single" w:color="000000" w:sz="4" w:space="0"/>
            </w:tcBorders>
            <w:shd w:val="clear" w:color="auto" w:fill="auto"/>
            <w:vAlign w:val="center"/>
          </w:tcPr>
          <w:p w14:paraId="79E8C158">
            <w:pPr>
              <w:adjustRightInd w:val="0"/>
              <w:snapToGrid w:val="0"/>
              <w:spacing w:before="36" w:beforeLines="1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29</w:t>
            </w:r>
          </w:p>
        </w:tc>
        <w:tc>
          <w:tcPr>
            <w:tcW w:w="8990" w:type="dxa"/>
            <w:tcBorders>
              <w:top w:val="single" w:color="auto" w:sz="4" w:space="0"/>
              <w:left w:val="single" w:color="000000" w:sz="4" w:space="0"/>
              <w:bottom w:val="single" w:color="auto" w:sz="4" w:space="0"/>
            </w:tcBorders>
            <w:shd w:val="clear" w:color="auto" w:fill="auto"/>
            <w:vAlign w:val="center"/>
          </w:tcPr>
          <w:p w14:paraId="4F82D845">
            <w:pPr>
              <w:pStyle w:val="12"/>
              <w:adjustRightInd w:val="0"/>
              <w:snapToGrid w:val="0"/>
              <w:spacing w:before="36" w:beforeLines="15"/>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采购代理费：</w:t>
            </w:r>
            <w:r>
              <w:rPr>
                <w:rFonts w:hint="eastAsia" w:ascii="宋体" w:hAnsi="宋体" w:eastAsia="宋体" w:cs="宋体"/>
                <w:color w:val="auto"/>
                <w:sz w:val="21"/>
                <w:szCs w:val="21"/>
                <w:highlight w:val="none"/>
                <w:lang w:val="zh-CN"/>
              </w:rPr>
              <w:t>执行发改价格[2015]299号文件，参照国家发展计划委员会计价格[2002]1980号文《招标代理服务费管理暂行办法》、发改办价格[2003]857号文件的相关取费标准计算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4"/>
                <w:sz w:val="21"/>
                <w:szCs w:val="21"/>
                <w:highlight w:val="none"/>
              </w:rPr>
              <w:t>由</w:t>
            </w:r>
            <w:r>
              <w:rPr>
                <w:rFonts w:hint="eastAsia" w:ascii="宋体" w:hAnsi="宋体" w:eastAsia="宋体" w:cs="宋体"/>
                <w:color w:val="auto"/>
                <w:spacing w:val="-4"/>
                <w:sz w:val="21"/>
                <w:szCs w:val="21"/>
                <w:highlight w:val="none"/>
                <w:lang w:eastAsia="zh-CN"/>
              </w:rPr>
              <w:t>成交</w:t>
            </w:r>
            <w:r>
              <w:rPr>
                <w:rFonts w:hint="eastAsia" w:ascii="宋体" w:hAnsi="宋体" w:cs="宋体"/>
                <w:color w:val="auto"/>
                <w:spacing w:val="-4"/>
                <w:sz w:val="21"/>
                <w:szCs w:val="21"/>
                <w:highlight w:val="none"/>
                <w:lang w:eastAsia="zh-CN"/>
              </w:rPr>
              <w:t>供应商</w:t>
            </w:r>
            <w:r>
              <w:rPr>
                <w:rFonts w:hint="eastAsia" w:ascii="宋体" w:hAnsi="宋体" w:eastAsia="宋体" w:cs="宋体"/>
                <w:color w:val="auto"/>
                <w:sz w:val="21"/>
                <w:szCs w:val="21"/>
                <w:highlight w:val="none"/>
              </w:rPr>
              <w:t>支付给采购代理机构。</w:t>
            </w:r>
          </w:p>
        </w:tc>
      </w:tr>
      <w:tr w14:paraId="3127C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5" w:type="dxa"/>
            <w:tcBorders>
              <w:top w:val="single" w:color="auto" w:sz="4" w:space="0"/>
              <w:bottom w:val="single" w:color="auto" w:sz="4" w:space="0"/>
              <w:right w:val="single" w:color="000000" w:sz="4" w:space="0"/>
            </w:tcBorders>
            <w:vAlign w:val="center"/>
          </w:tcPr>
          <w:p w14:paraId="088AA72A">
            <w:pPr>
              <w:adjustRightInd w:val="0"/>
              <w:snapToGrid w:val="0"/>
              <w:spacing w:before="36" w:beforeLines="1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8990" w:type="dxa"/>
            <w:tcBorders>
              <w:top w:val="single" w:color="auto" w:sz="4" w:space="0"/>
              <w:left w:val="single" w:color="000000" w:sz="4" w:space="0"/>
              <w:bottom w:val="single" w:color="auto" w:sz="4" w:space="0"/>
            </w:tcBorders>
            <w:shd w:val="clear" w:color="auto" w:fill="auto"/>
            <w:vAlign w:val="center"/>
          </w:tcPr>
          <w:p w14:paraId="6B93B1A6">
            <w:pPr>
              <w:keepNext w:val="0"/>
              <w:keepLines w:val="0"/>
              <w:pageBreakBefore w:val="0"/>
              <w:widowControl/>
              <w:shd w:val="clear" w:color="auto" w:fill="auto"/>
              <w:kinsoku/>
              <w:wordWrap/>
              <w:overflowPunct/>
              <w:topLinePunct w:val="0"/>
              <w:autoSpaceDE/>
              <w:autoSpaceDN/>
              <w:bidi w:val="0"/>
              <w:snapToGrid w:val="0"/>
              <w:spacing w:line="240" w:lineRule="auto"/>
              <w:textAlignment w:val="baseline"/>
              <w:rPr>
                <w:rFonts w:hint="eastAsia" w:ascii="宋体" w:hAnsi="宋体" w:eastAsia="宋体" w:cs="宋体"/>
                <w:color w:val="auto"/>
                <w:sz w:val="20"/>
                <w:szCs w:val="21"/>
                <w:highlight w:val="none"/>
              </w:rPr>
            </w:pPr>
            <w:r>
              <w:rPr>
                <w:rFonts w:hint="eastAsia" w:ascii="宋体" w:hAnsi="宋体" w:eastAsia="宋体" w:cs="宋体"/>
                <w:color w:val="auto"/>
                <w:sz w:val="21"/>
                <w:szCs w:val="21"/>
                <w:highlight w:val="none"/>
              </w:rPr>
              <w:t>对供应商信用信息的查询：</w:t>
            </w:r>
          </w:p>
          <w:p w14:paraId="06BDD703">
            <w:pPr>
              <w:keepNext w:val="0"/>
              <w:keepLines w:val="0"/>
              <w:pageBreakBefore w:val="0"/>
              <w:widowControl/>
              <w:shd w:val="clear" w:color="auto" w:fill="auto"/>
              <w:kinsoku/>
              <w:wordWrap/>
              <w:overflowPunct/>
              <w:topLinePunct w:val="0"/>
              <w:autoSpaceDE/>
              <w:autoSpaceDN/>
              <w:bidi w:val="0"/>
              <w:adjustRightInd w:val="0"/>
              <w:snapToGrid w:val="0"/>
              <w:spacing w:line="240" w:lineRule="auto"/>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查询渠道：</w:t>
            </w:r>
            <w:r>
              <w:rPr>
                <w:rFonts w:hint="eastAsia" w:ascii="宋体" w:hAnsi="宋体" w:eastAsia="宋体" w:cs="宋体"/>
                <w:color w:val="auto"/>
                <w:sz w:val="21"/>
                <w:szCs w:val="24"/>
                <w:highlight w:val="none"/>
              </w:rPr>
              <w:t>①“信用中国”网站（www.creditchina.gov.cn）：失信被执行人、重大税收违法案件当事人名单（即“</w:t>
            </w:r>
            <w:r>
              <w:rPr>
                <w:rFonts w:hint="eastAsia" w:ascii="宋体" w:hAnsi="宋体" w:eastAsia="宋体" w:cs="宋体"/>
                <w:color w:val="auto"/>
                <w:sz w:val="21"/>
                <w:szCs w:val="24"/>
                <w:highlight w:val="none"/>
                <w:lang w:eastAsia="zh-CN"/>
              </w:rPr>
              <w:t>重大税收违法失信主体</w:t>
            </w:r>
            <w:r>
              <w:rPr>
                <w:rFonts w:hint="eastAsia" w:ascii="宋体" w:hAnsi="宋体" w:eastAsia="宋体" w:cs="宋体"/>
                <w:color w:val="auto"/>
                <w:sz w:val="21"/>
                <w:szCs w:val="24"/>
                <w:highlight w:val="none"/>
              </w:rPr>
              <w:t>”）。</w:t>
            </w:r>
          </w:p>
          <w:p w14:paraId="5251E23E">
            <w:pPr>
              <w:keepNext w:val="0"/>
              <w:keepLines w:val="0"/>
              <w:pageBreakBefore w:val="0"/>
              <w:widowControl/>
              <w:shd w:val="clear" w:color="auto" w:fill="auto"/>
              <w:kinsoku/>
              <w:wordWrap/>
              <w:overflowPunct/>
              <w:topLinePunct w:val="0"/>
              <w:autoSpaceDE/>
              <w:autoSpaceDN/>
              <w:bidi w:val="0"/>
              <w:adjustRightInd w:val="0"/>
              <w:snapToGrid w:val="0"/>
              <w:spacing w:line="24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②中国政府采购网(www.ccgp.gov.cn)：政府采购严重违法失信行为信息记录。</w:t>
            </w:r>
          </w:p>
          <w:p w14:paraId="5C7A148C">
            <w:pPr>
              <w:keepNext w:val="0"/>
              <w:keepLines w:val="0"/>
              <w:pageBreakBefore w:val="0"/>
              <w:widowControl/>
              <w:shd w:val="clear" w:color="auto" w:fill="auto"/>
              <w:kinsoku/>
              <w:wordWrap/>
              <w:overflowPunct/>
              <w:topLinePunct w:val="0"/>
              <w:autoSpaceDE/>
              <w:autoSpaceDN/>
              <w:bidi w:val="0"/>
              <w:snapToGrid w:val="0"/>
              <w:spacing w:line="240" w:lineRule="auto"/>
              <w:textAlignment w:val="baseline"/>
              <w:rPr>
                <w:rFonts w:hint="eastAsia" w:ascii="宋体" w:hAnsi="宋体" w:eastAsia="宋体" w:cs="宋体"/>
                <w:b/>
                <w:color w:val="auto"/>
                <w:sz w:val="20"/>
                <w:szCs w:val="21"/>
                <w:highlight w:val="none"/>
              </w:rPr>
            </w:pPr>
            <w:r>
              <w:rPr>
                <w:rFonts w:hint="eastAsia" w:ascii="宋体" w:hAnsi="宋体" w:eastAsia="宋体" w:cs="宋体"/>
                <w:b/>
                <w:color w:val="auto"/>
                <w:sz w:val="21"/>
                <w:szCs w:val="21"/>
                <w:highlight w:val="none"/>
              </w:rPr>
              <w:t>查询截止时点：</w:t>
            </w:r>
            <w:r>
              <w:rPr>
                <w:rFonts w:hint="eastAsia" w:ascii="宋体" w:hAnsi="宋体" w:eastAsia="宋体" w:cs="宋体"/>
                <w:b/>
                <w:color w:val="auto"/>
                <w:sz w:val="21"/>
                <w:szCs w:val="21"/>
                <w:highlight w:val="none"/>
                <w:lang w:val="zh-CN"/>
              </w:rPr>
              <w:t>同递交响应文件截止时间</w:t>
            </w:r>
          </w:p>
          <w:p w14:paraId="4B003F50">
            <w:pPr>
              <w:keepNext w:val="0"/>
              <w:keepLines w:val="0"/>
              <w:pageBreakBefore w:val="0"/>
              <w:widowControl/>
              <w:shd w:val="clear" w:color="auto" w:fill="auto"/>
              <w:kinsoku/>
              <w:wordWrap/>
              <w:overflowPunct/>
              <w:topLinePunct w:val="0"/>
              <w:autoSpaceDE/>
              <w:autoSpaceDN/>
              <w:bidi w:val="0"/>
              <w:snapToGrid w:val="0"/>
              <w:spacing w:line="240" w:lineRule="auto"/>
              <w:textAlignment w:val="baseline"/>
              <w:rPr>
                <w:rFonts w:hint="eastAsia" w:ascii="宋体" w:hAnsi="宋体" w:eastAsia="宋体" w:cs="宋体"/>
                <w:b/>
                <w:color w:val="auto"/>
                <w:sz w:val="20"/>
                <w:szCs w:val="21"/>
                <w:highlight w:val="none"/>
              </w:rPr>
            </w:pPr>
            <w:r>
              <w:rPr>
                <w:rFonts w:hint="eastAsia" w:ascii="宋体" w:hAnsi="宋体" w:eastAsia="宋体" w:cs="宋体"/>
                <w:b/>
                <w:color w:val="auto"/>
                <w:sz w:val="21"/>
                <w:szCs w:val="21"/>
                <w:highlight w:val="none"/>
              </w:rPr>
              <w:t>信用信息查询记录和证据留存的具体方式：</w:t>
            </w:r>
          </w:p>
          <w:p w14:paraId="29C26D69">
            <w:pPr>
              <w:keepNext w:val="0"/>
              <w:keepLines w:val="0"/>
              <w:pageBreakBefore w:val="0"/>
              <w:widowControl/>
              <w:shd w:val="clear" w:color="auto" w:fill="auto"/>
              <w:kinsoku/>
              <w:wordWrap/>
              <w:overflowPunct/>
              <w:topLinePunct w:val="0"/>
              <w:autoSpaceDE/>
              <w:autoSpaceDN/>
              <w:bidi w:val="0"/>
              <w:adjustRightInd w:val="0"/>
              <w:snapToGrid w:val="0"/>
              <w:spacing w:line="24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采购人或采购代理机构将按查询截止时点对所有</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4"/>
                <w:highlight w:val="none"/>
              </w:rPr>
              <w:t>的信用信息进行查询，网站查询记录作为采购存档备案材料的组成部分进行留存。</w:t>
            </w:r>
          </w:p>
          <w:p w14:paraId="68799B19">
            <w:pPr>
              <w:keepNext w:val="0"/>
              <w:keepLines w:val="0"/>
              <w:pageBreakBefore w:val="0"/>
              <w:widowControl/>
              <w:shd w:val="clear" w:color="auto" w:fill="auto"/>
              <w:kinsoku/>
              <w:wordWrap/>
              <w:overflowPunct/>
              <w:topLinePunct w:val="0"/>
              <w:bidi w:val="0"/>
              <w:snapToGrid w:val="0"/>
              <w:spacing w:line="240" w:lineRule="auto"/>
              <w:textAlignment w:val="baseline"/>
              <w:rPr>
                <w:rFonts w:hint="eastAsia" w:ascii="宋体" w:hAnsi="宋体" w:eastAsia="宋体" w:cs="宋体"/>
                <w:b/>
                <w:color w:val="auto"/>
                <w:sz w:val="20"/>
                <w:szCs w:val="21"/>
                <w:highlight w:val="none"/>
              </w:rPr>
            </w:pPr>
            <w:r>
              <w:rPr>
                <w:rFonts w:hint="eastAsia" w:ascii="宋体" w:hAnsi="宋体" w:eastAsia="宋体" w:cs="宋体"/>
                <w:b/>
                <w:color w:val="auto"/>
                <w:sz w:val="21"/>
                <w:szCs w:val="21"/>
                <w:highlight w:val="none"/>
              </w:rPr>
              <w:t>信用信息的使用规则：</w:t>
            </w:r>
          </w:p>
          <w:p w14:paraId="0E26C9D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4"/>
                <w:highlight w:val="none"/>
              </w:rPr>
              <w:t>采购人或采购代理机构按查询截止时点对所有</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4"/>
                <w:highlight w:val="none"/>
              </w:rPr>
              <w:t>的信用信息进行查询，查询记录将作为磋商小组评审的依据，对列入失信被执行人、重大税收违法案件当事人名单（即“</w:t>
            </w:r>
            <w:r>
              <w:rPr>
                <w:rFonts w:hint="eastAsia" w:ascii="宋体" w:hAnsi="宋体" w:eastAsia="宋体" w:cs="宋体"/>
                <w:color w:val="auto"/>
                <w:sz w:val="21"/>
                <w:szCs w:val="24"/>
                <w:highlight w:val="none"/>
                <w:lang w:eastAsia="zh-CN"/>
              </w:rPr>
              <w:t>重大税收违法失信主体</w:t>
            </w:r>
            <w:r>
              <w:rPr>
                <w:rFonts w:hint="eastAsia" w:ascii="宋体" w:hAnsi="宋体" w:eastAsia="宋体" w:cs="宋体"/>
                <w:color w:val="auto"/>
                <w:sz w:val="21"/>
                <w:szCs w:val="24"/>
                <w:highlight w:val="none"/>
              </w:rPr>
              <w:t>”）、政府采购严重违法失信行为记录名单的</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4"/>
                <w:highlight w:val="none"/>
              </w:rPr>
              <w:t>，响应文件作无效处理。</w:t>
            </w:r>
          </w:p>
        </w:tc>
      </w:tr>
    </w:tbl>
    <w:p w14:paraId="0D0886C2">
      <w:pPr>
        <w:rPr>
          <w:rFonts w:hint="eastAsia" w:ascii="宋体" w:hAnsi="宋体" w:cs="宋体"/>
          <w:color w:val="auto"/>
          <w:highlight w:val="none"/>
        </w:rPr>
      </w:pPr>
      <w:r>
        <w:rPr>
          <w:rFonts w:hint="eastAsia" w:ascii="宋体" w:hAnsi="宋体" w:cs="宋体"/>
          <w:color w:val="auto"/>
          <w:highlight w:val="none"/>
        </w:rPr>
        <w:br w:type="page"/>
      </w:r>
      <w:bookmarkStart w:id="54" w:name="_Toc333415218"/>
      <w:bookmarkStart w:id="55" w:name="_Toc333312464"/>
      <w:bookmarkStart w:id="56" w:name="_Toc358186910"/>
    </w:p>
    <w:p w14:paraId="3C1C61B7">
      <w:pPr>
        <w:spacing w:before="240" w:beforeLines="100" w:after="240" w:afterLines="100"/>
        <w:jc w:val="center"/>
        <w:rPr>
          <w:rFonts w:ascii="宋体" w:hAnsi="宋体" w:cs="宋体"/>
          <w:b/>
          <w:color w:val="auto"/>
          <w:sz w:val="36"/>
          <w:szCs w:val="36"/>
          <w:highlight w:val="none"/>
        </w:rPr>
      </w:pPr>
      <w:r>
        <w:rPr>
          <w:rFonts w:hint="eastAsia" w:ascii="宋体" w:hAnsi="宋体" w:cs="宋体"/>
          <w:b/>
          <w:color w:val="auto"/>
          <w:sz w:val="36"/>
          <w:szCs w:val="36"/>
          <w:highlight w:val="none"/>
        </w:rPr>
        <w:t>疑 问</w:t>
      </w:r>
    </w:p>
    <w:p w14:paraId="4B3485E9">
      <w:pPr>
        <w:snapToGrid w:val="0"/>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项目名称：</w:t>
      </w:r>
    </w:p>
    <w:p w14:paraId="798B69D7">
      <w:pPr>
        <w:snapToGrid w:val="0"/>
        <w:spacing w:line="360" w:lineRule="auto"/>
        <w:ind w:firstLine="105" w:firstLineChars="50"/>
        <w:rPr>
          <w:rFonts w:ascii="宋体" w:hAnsi="宋体" w:cs="宋体"/>
          <w:color w:val="auto"/>
          <w:sz w:val="24"/>
          <w:highlight w:val="none"/>
        </w:rPr>
      </w:pPr>
      <w:r>
        <w:rPr>
          <w:rFonts w:hint="eastAsia" w:ascii="宋体" w:hAnsi="宋体"/>
          <w:color w:val="auto"/>
          <w:szCs w:val="21"/>
          <w:highlight w:val="none"/>
        </w:rPr>
        <w:t>项目编号</w:t>
      </w:r>
      <w:r>
        <w:rPr>
          <w:rFonts w:hint="eastAsia" w:ascii="宋体" w:hAnsi="宋体" w:cs="宋体"/>
          <w:color w:val="auto"/>
          <w:sz w:val="24"/>
          <w:highlight w:val="none"/>
        </w:rPr>
        <w:t>：</w:t>
      </w:r>
    </w:p>
    <w:tbl>
      <w:tblPr>
        <w:tblStyle w:val="42"/>
        <w:tblW w:w="9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704"/>
      </w:tblGrid>
      <w:tr w14:paraId="7545B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416" w:type="dxa"/>
            <w:vAlign w:val="center"/>
          </w:tcPr>
          <w:p w14:paraId="0665F566">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单位名称</w:t>
            </w:r>
          </w:p>
        </w:tc>
        <w:tc>
          <w:tcPr>
            <w:tcW w:w="4704" w:type="dxa"/>
            <w:vAlign w:val="center"/>
          </w:tcPr>
          <w:p w14:paraId="0A56E7E3">
            <w:pPr>
              <w:snapToGrid w:val="0"/>
              <w:spacing w:line="360" w:lineRule="auto"/>
              <w:ind w:firstLine="480"/>
              <w:rPr>
                <w:rFonts w:ascii="宋体" w:hAnsi="宋体" w:cs="宋体"/>
                <w:color w:val="auto"/>
                <w:sz w:val="24"/>
                <w:highlight w:val="none"/>
              </w:rPr>
            </w:pPr>
          </w:p>
        </w:tc>
      </w:tr>
      <w:tr w14:paraId="3F259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9120" w:type="dxa"/>
            <w:gridSpan w:val="2"/>
          </w:tcPr>
          <w:p w14:paraId="420C2DA1">
            <w:pPr>
              <w:snapToGrid w:val="0"/>
              <w:spacing w:line="360" w:lineRule="auto"/>
              <w:ind w:firstLine="480"/>
              <w:rPr>
                <w:rFonts w:ascii="宋体" w:hAnsi="宋体" w:cs="宋体"/>
                <w:color w:val="auto"/>
                <w:sz w:val="24"/>
                <w:highlight w:val="none"/>
              </w:rPr>
            </w:pPr>
          </w:p>
          <w:p w14:paraId="57E3AB10">
            <w:pPr>
              <w:snapToGrid w:val="0"/>
              <w:spacing w:line="360" w:lineRule="auto"/>
              <w:ind w:firstLine="480"/>
              <w:rPr>
                <w:rFonts w:ascii="宋体" w:hAnsi="宋体" w:cs="宋体"/>
                <w:color w:val="auto"/>
                <w:sz w:val="24"/>
                <w:highlight w:val="none"/>
              </w:rPr>
            </w:pPr>
          </w:p>
        </w:tc>
      </w:tr>
    </w:tbl>
    <w:p w14:paraId="637AAD05">
      <w:pPr>
        <w:snapToGrid w:val="0"/>
        <w:spacing w:line="360" w:lineRule="auto"/>
        <w:ind w:firstLine="480"/>
        <w:jc w:val="right"/>
        <w:rPr>
          <w:rFonts w:ascii="宋体" w:hAnsi="宋体" w:cs="宋体"/>
          <w:color w:val="auto"/>
          <w:sz w:val="24"/>
          <w:highlight w:val="none"/>
        </w:rPr>
      </w:pPr>
    </w:p>
    <w:p w14:paraId="790C8F92">
      <w:pPr>
        <w:wordWrap w:val="0"/>
        <w:snapToGrid w:val="0"/>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供应商：                      （公章）</w:t>
      </w:r>
    </w:p>
    <w:p w14:paraId="6ED530E4">
      <w:pPr>
        <w:pStyle w:val="4"/>
        <w:adjustRightInd w:val="0"/>
        <w:snapToGrid w:val="0"/>
        <w:spacing w:before="0" w:after="0" w:line="300" w:lineRule="auto"/>
        <w:ind w:left="867" w:leftChars="413" w:firstLine="480"/>
        <w:rPr>
          <w:rFonts w:ascii="宋体" w:hAnsi="宋体" w:cs="宋体"/>
          <w:color w:val="auto"/>
          <w:sz w:val="24"/>
          <w:szCs w:val="24"/>
          <w:highlight w:val="none"/>
        </w:rPr>
      </w:pPr>
      <w:bookmarkStart w:id="57" w:name="_Toc7168758"/>
      <w:bookmarkStart w:id="58" w:name="_Toc4580"/>
      <w:bookmarkStart w:id="59" w:name="_Toc500513551"/>
      <w:bookmarkStart w:id="60" w:name="_Toc500513508"/>
      <w:bookmarkStart w:id="61" w:name="_Toc421532553"/>
      <w:bookmarkStart w:id="62" w:name="_Toc18427"/>
      <w:bookmarkStart w:id="63" w:name="_Toc500518656"/>
      <w:bookmarkStart w:id="64" w:name="_Toc25253"/>
      <w:r>
        <w:rPr>
          <w:rFonts w:hint="eastAsia" w:ascii="宋体" w:hAnsi="宋体" w:cs="宋体"/>
          <w:b w:val="0"/>
          <w:color w:val="auto"/>
          <w:kern w:val="2"/>
          <w:sz w:val="24"/>
          <w:szCs w:val="24"/>
          <w:highlight w:val="none"/>
        </w:rPr>
        <w:t>日  期：</w:t>
      </w:r>
      <w:bookmarkEnd w:id="57"/>
      <w:r>
        <w:rPr>
          <w:rFonts w:hint="eastAsia" w:ascii="宋体" w:hAnsi="宋体" w:cs="宋体"/>
          <w:color w:val="auto"/>
          <w:sz w:val="24"/>
          <w:szCs w:val="24"/>
          <w:highlight w:val="none"/>
        </w:rPr>
        <w:br w:type="page"/>
      </w:r>
      <w:bookmarkEnd w:id="58"/>
      <w:bookmarkStart w:id="65" w:name="_Toc500518657"/>
      <w:bookmarkStart w:id="66" w:name="_Toc500513509"/>
      <w:bookmarkStart w:id="67" w:name="_Toc421532554"/>
      <w:bookmarkStart w:id="68" w:name="_Toc500513552"/>
    </w:p>
    <w:p w14:paraId="5772EF2C">
      <w:pPr>
        <w:pStyle w:val="4"/>
        <w:adjustRightInd w:val="0"/>
        <w:snapToGrid w:val="0"/>
        <w:spacing w:before="0" w:after="0" w:line="300" w:lineRule="auto"/>
        <w:ind w:left="0" w:firstLine="422"/>
        <w:jc w:val="both"/>
        <w:rPr>
          <w:rFonts w:ascii="宋体" w:hAnsi="宋体" w:cs="宋体"/>
          <w:color w:val="auto"/>
          <w:sz w:val="21"/>
          <w:szCs w:val="21"/>
          <w:highlight w:val="none"/>
        </w:rPr>
      </w:pPr>
      <w:bookmarkStart w:id="69" w:name="_Toc7168759"/>
      <w:bookmarkStart w:id="70" w:name="_Toc25115"/>
      <w:r>
        <w:rPr>
          <w:rFonts w:hint="eastAsia" w:ascii="宋体" w:hAnsi="宋体" w:cs="宋体"/>
          <w:color w:val="auto"/>
          <w:sz w:val="21"/>
          <w:szCs w:val="21"/>
          <w:highlight w:val="none"/>
        </w:rPr>
        <w:t>附件一 质疑函范本</w:t>
      </w:r>
      <w:bookmarkEnd w:id="69"/>
      <w:bookmarkEnd w:id="70"/>
    </w:p>
    <w:p w14:paraId="57F45B7B">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71" w:name="_Toc4660"/>
      <w:bookmarkStart w:id="72" w:name="_Toc7168760"/>
      <w:r>
        <w:rPr>
          <w:rFonts w:hint="eastAsia" w:ascii="宋体" w:hAnsi="宋体" w:cs="宋体"/>
          <w:b w:val="0"/>
          <w:bCs/>
          <w:color w:val="auto"/>
          <w:sz w:val="21"/>
          <w:szCs w:val="21"/>
          <w:highlight w:val="none"/>
        </w:rPr>
        <w:t>一、质疑供应商基本信息</w:t>
      </w:r>
      <w:bookmarkEnd w:id="71"/>
      <w:bookmarkEnd w:id="72"/>
    </w:p>
    <w:p w14:paraId="6492CBEF">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73" w:name="_Toc18082"/>
      <w:bookmarkStart w:id="74" w:name="_Toc7168761"/>
      <w:r>
        <w:rPr>
          <w:rFonts w:hint="eastAsia" w:ascii="宋体" w:hAnsi="宋体" w:cs="宋体"/>
          <w:b w:val="0"/>
          <w:bCs/>
          <w:color w:val="auto"/>
          <w:sz w:val="21"/>
          <w:szCs w:val="21"/>
          <w:highlight w:val="none"/>
        </w:rPr>
        <w:t>质疑供应商：</w:t>
      </w:r>
      <w:bookmarkEnd w:id="73"/>
      <w:bookmarkEnd w:id="74"/>
    </w:p>
    <w:p w14:paraId="48F349BA">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75" w:name="_Toc7168762"/>
      <w:bookmarkStart w:id="76" w:name="_Toc9820"/>
      <w:r>
        <w:rPr>
          <w:rFonts w:hint="eastAsia" w:ascii="宋体" w:hAnsi="宋体" w:cs="宋体"/>
          <w:b w:val="0"/>
          <w:bCs/>
          <w:color w:val="auto"/>
          <w:sz w:val="21"/>
          <w:szCs w:val="21"/>
          <w:highlight w:val="none"/>
        </w:rPr>
        <w:t>地址：                          邮编：</w:t>
      </w:r>
      <w:bookmarkEnd w:id="75"/>
      <w:bookmarkEnd w:id="76"/>
    </w:p>
    <w:p w14:paraId="7CF2C6AC">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77" w:name="_Toc28304"/>
      <w:bookmarkStart w:id="78" w:name="_Toc7168763"/>
      <w:r>
        <w:rPr>
          <w:rFonts w:hint="eastAsia" w:ascii="宋体" w:hAnsi="宋体" w:cs="宋体"/>
          <w:b w:val="0"/>
          <w:bCs/>
          <w:color w:val="auto"/>
          <w:sz w:val="21"/>
          <w:szCs w:val="21"/>
          <w:highlight w:val="none"/>
        </w:rPr>
        <w:t>联系人：                      联系电话：</w:t>
      </w:r>
      <w:bookmarkEnd w:id="77"/>
      <w:bookmarkEnd w:id="78"/>
    </w:p>
    <w:p w14:paraId="449E109D">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79" w:name="_Toc7168764"/>
      <w:bookmarkStart w:id="80" w:name="_Toc1151"/>
      <w:r>
        <w:rPr>
          <w:rFonts w:hint="eastAsia" w:ascii="宋体" w:hAnsi="宋体" w:cs="宋体"/>
          <w:b w:val="0"/>
          <w:bCs/>
          <w:color w:val="auto"/>
          <w:sz w:val="21"/>
          <w:szCs w:val="21"/>
          <w:highlight w:val="none"/>
        </w:rPr>
        <w:t>授权代表：</w:t>
      </w:r>
      <w:bookmarkEnd w:id="79"/>
      <w:bookmarkEnd w:id="80"/>
    </w:p>
    <w:p w14:paraId="608DDC3A">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81" w:name="_Toc18687"/>
      <w:bookmarkStart w:id="82" w:name="_Toc7168765"/>
      <w:r>
        <w:rPr>
          <w:rFonts w:hint="eastAsia" w:ascii="宋体" w:hAnsi="宋体" w:cs="宋体"/>
          <w:b w:val="0"/>
          <w:bCs/>
          <w:color w:val="auto"/>
          <w:sz w:val="21"/>
          <w:szCs w:val="21"/>
          <w:highlight w:val="none"/>
        </w:rPr>
        <w:t>联系电话：</w:t>
      </w:r>
      <w:bookmarkEnd w:id="81"/>
      <w:bookmarkEnd w:id="82"/>
    </w:p>
    <w:p w14:paraId="0A276D5F">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83" w:name="_Toc12999"/>
      <w:bookmarkStart w:id="84" w:name="_Toc7168766"/>
      <w:r>
        <w:rPr>
          <w:rFonts w:hint="eastAsia" w:ascii="宋体" w:hAnsi="宋体" w:cs="宋体"/>
          <w:b w:val="0"/>
          <w:bCs/>
          <w:color w:val="auto"/>
          <w:sz w:val="21"/>
          <w:szCs w:val="21"/>
          <w:highlight w:val="none"/>
        </w:rPr>
        <w:t>地址：                         邮编：</w:t>
      </w:r>
      <w:bookmarkEnd w:id="83"/>
      <w:bookmarkEnd w:id="84"/>
    </w:p>
    <w:p w14:paraId="02C4E666">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85" w:name="_Toc7168767"/>
      <w:bookmarkStart w:id="86" w:name="_Toc12547"/>
      <w:r>
        <w:rPr>
          <w:rFonts w:hint="eastAsia" w:ascii="宋体" w:hAnsi="宋体" w:cs="宋体"/>
          <w:b w:val="0"/>
          <w:bCs/>
          <w:color w:val="auto"/>
          <w:sz w:val="21"/>
          <w:szCs w:val="21"/>
          <w:highlight w:val="none"/>
        </w:rPr>
        <w:t>二、质疑项目基本情况</w:t>
      </w:r>
      <w:bookmarkEnd w:id="85"/>
      <w:bookmarkEnd w:id="86"/>
    </w:p>
    <w:p w14:paraId="31271D68">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87" w:name="_Toc8005"/>
      <w:bookmarkStart w:id="88" w:name="_Toc7168768"/>
      <w:r>
        <w:rPr>
          <w:rFonts w:hint="eastAsia" w:ascii="宋体" w:hAnsi="宋体" w:cs="宋体"/>
          <w:b w:val="0"/>
          <w:bCs/>
          <w:color w:val="auto"/>
          <w:sz w:val="21"/>
          <w:szCs w:val="21"/>
          <w:highlight w:val="none"/>
        </w:rPr>
        <w:t>质疑项目的名称：</w:t>
      </w:r>
      <w:bookmarkEnd w:id="87"/>
      <w:bookmarkEnd w:id="88"/>
    </w:p>
    <w:p w14:paraId="24055BCB">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89" w:name="_Toc1678"/>
      <w:bookmarkStart w:id="90" w:name="_Toc7168769"/>
      <w:r>
        <w:rPr>
          <w:rFonts w:hint="eastAsia" w:ascii="宋体" w:hAnsi="宋体" w:cs="宋体"/>
          <w:b w:val="0"/>
          <w:bCs/>
          <w:color w:val="auto"/>
          <w:sz w:val="21"/>
          <w:szCs w:val="21"/>
          <w:highlight w:val="none"/>
        </w:rPr>
        <w:t>质疑项目的编号：               包号：</w:t>
      </w:r>
      <w:bookmarkEnd w:id="89"/>
      <w:bookmarkEnd w:id="90"/>
    </w:p>
    <w:p w14:paraId="6A5C6729">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91" w:name="_Toc7168770"/>
      <w:bookmarkStart w:id="92" w:name="_Toc13245"/>
      <w:r>
        <w:rPr>
          <w:rFonts w:hint="eastAsia" w:ascii="宋体" w:hAnsi="宋体" w:cs="宋体"/>
          <w:b w:val="0"/>
          <w:bCs/>
          <w:color w:val="auto"/>
          <w:sz w:val="21"/>
          <w:szCs w:val="21"/>
          <w:highlight w:val="none"/>
        </w:rPr>
        <w:t>采购人名称：</w:t>
      </w:r>
      <w:bookmarkEnd w:id="91"/>
      <w:bookmarkEnd w:id="92"/>
    </w:p>
    <w:p w14:paraId="52904EA1">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93" w:name="_Toc22401"/>
      <w:bookmarkStart w:id="94" w:name="_Toc7168771"/>
      <w:r>
        <w:rPr>
          <w:rFonts w:hint="eastAsia" w:ascii="宋体" w:hAnsi="宋体" w:cs="宋体"/>
          <w:b w:val="0"/>
          <w:bCs/>
          <w:color w:val="auto"/>
          <w:sz w:val="21"/>
          <w:szCs w:val="21"/>
          <w:highlight w:val="none"/>
        </w:rPr>
        <w:t>采购文件获取日期：</w:t>
      </w:r>
      <w:bookmarkEnd w:id="93"/>
      <w:bookmarkEnd w:id="94"/>
    </w:p>
    <w:p w14:paraId="26E6D6AC">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95" w:name="_Toc7168772"/>
      <w:bookmarkStart w:id="96" w:name="_Toc11505"/>
      <w:r>
        <w:rPr>
          <w:rFonts w:hint="eastAsia" w:ascii="宋体" w:hAnsi="宋体" w:cs="宋体"/>
          <w:b w:val="0"/>
          <w:bCs/>
          <w:color w:val="auto"/>
          <w:sz w:val="21"/>
          <w:szCs w:val="21"/>
          <w:highlight w:val="none"/>
        </w:rPr>
        <w:t>三、质疑事项具体内容</w:t>
      </w:r>
      <w:bookmarkEnd w:id="95"/>
      <w:bookmarkEnd w:id="96"/>
    </w:p>
    <w:p w14:paraId="10CA6EDB">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97" w:name="_Toc25176"/>
      <w:bookmarkStart w:id="98" w:name="_Toc7168773"/>
      <w:r>
        <w:rPr>
          <w:rFonts w:hint="eastAsia" w:ascii="宋体" w:hAnsi="宋体" w:cs="宋体"/>
          <w:b w:val="0"/>
          <w:bCs/>
          <w:color w:val="auto"/>
          <w:sz w:val="21"/>
          <w:szCs w:val="21"/>
          <w:highlight w:val="none"/>
        </w:rPr>
        <w:t>质疑事项1：</w:t>
      </w:r>
      <w:bookmarkEnd w:id="97"/>
      <w:bookmarkEnd w:id="98"/>
    </w:p>
    <w:p w14:paraId="3E23A279">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99" w:name="_Toc7168774"/>
      <w:bookmarkStart w:id="100" w:name="_Toc31020"/>
      <w:r>
        <w:rPr>
          <w:rFonts w:hint="eastAsia" w:ascii="宋体" w:hAnsi="宋体" w:cs="宋体"/>
          <w:b w:val="0"/>
          <w:bCs/>
          <w:color w:val="auto"/>
          <w:sz w:val="21"/>
          <w:szCs w:val="21"/>
          <w:highlight w:val="none"/>
        </w:rPr>
        <w:t>事实依据：</w:t>
      </w:r>
      <w:bookmarkEnd w:id="99"/>
      <w:bookmarkEnd w:id="100"/>
    </w:p>
    <w:p w14:paraId="3E6E15B3">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p>
    <w:p w14:paraId="154ECFC9">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01" w:name="_Toc7168775"/>
      <w:bookmarkStart w:id="102" w:name="_Toc18187"/>
      <w:r>
        <w:rPr>
          <w:rFonts w:hint="eastAsia" w:ascii="宋体" w:hAnsi="宋体" w:cs="宋体"/>
          <w:b w:val="0"/>
          <w:bCs/>
          <w:color w:val="auto"/>
          <w:sz w:val="21"/>
          <w:szCs w:val="21"/>
          <w:highlight w:val="none"/>
        </w:rPr>
        <w:t>法律依据：</w:t>
      </w:r>
      <w:bookmarkEnd w:id="101"/>
      <w:bookmarkEnd w:id="102"/>
    </w:p>
    <w:p w14:paraId="09D454D5">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p>
    <w:p w14:paraId="069372F4">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03" w:name="_Toc16396"/>
      <w:bookmarkStart w:id="104" w:name="_Toc7168776"/>
      <w:r>
        <w:rPr>
          <w:rFonts w:hint="eastAsia" w:ascii="宋体" w:hAnsi="宋体" w:cs="宋体"/>
          <w:b w:val="0"/>
          <w:bCs/>
          <w:color w:val="auto"/>
          <w:sz w:val="21"/>
          <w:szCs w:val="21"/>
          <w:highlight w:val="none"/>
        </w:rPr>
        <w:t>质疑事项2</w:t>
      </w:r>
      <w:bookmarkEnd w:id="103"/>
      <w:bookmarkEnd w:id="104"/>
    </w:p>
    <w:p w14:paraId="7467CD5A">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05" w:name="_Toc8218"/>
      <w:bookmarkStart w:id="106" w:name="_Toc7168777"/>
      <w:r>
        <w:rPr>
          <w:rFonts w:hint="eastAsia" w:ascii="宋体" w:hAnsi="宋体" w:cs="宋体"/>
          <w:b w:val="0"/>
          <w:bCs/>
          <w:color w:val="auto"/>
          <w:sz w:val="21"/>
          <w:szCs w:val="21"/>
          <w:highlight w:val="none"/>
        </w:rPr>
        <w:t>……</w:t>
      </w:r>
      <w:bookmarkEnd w:id="105"/>
      <w:bookmarkEnd w:id="106"/>
    </w:p>
    <w:p w14:paraId="6BA72BA6">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07" w:name="_Toc1519"/>
      <w:bookmarkStart w:id="108" w:name="_Toc7168778"/>
      <w:r>
        <w:rPr>
          <w:rFonts w:hint="eastAsia" w:ascii="宋体" w:hAnsi="宋体" w:cs="宋体"/>
          <w:b w:val="0"/>
          <w:bCs/>
          <w:color w:val="auto"/>
          <w:sz w:val="21"/>
          <w:szCs w:val="21"/>
          <w:highlight w:val="none"/>
        </w:rPr>
        <w:t>四、与质疑事项相关的质疑请求</w:t>
      </w:r>
      <w:bookmarkEnd w:id="107"/>
      <w:bookmarkEnd w:id="108"/>
    </w:p>
    <w:p w14:paraId="0267F933">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09" w:name="_Toc7168779"/>
      <w:bookmarkStart w:id="110" w:name="_Toc19681"/>
      <w:r>
        <w:rPr>
          <w:rFonts w:hint="eastAsia" w:ascii="宋体" w:hAnsi="宋体" w:cs="宋体"/>
          <w:b w:val="0"/>
          <w:bCs/>
          <w:color w:val="auto"/>
          <w:sz w:val="21"/>
          <w:szCs w:val="21"/>
          <w:highlight w:val="none"/>
        </w:rPr>
        <w:t>请求：</w:t>
      </w:r>
      <w:bookmarkEnd w:id="109"/>
      <w:bookmarkEnd w:id="110"/>
    </w:p>
    <w:p w14:paraId="1816128C">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11" w:name="_Toc12137"/>
      <w:bookmarkStart w:id="112" w:name="_Toc7168780"/>
      <w:r>
        <w:rPr>
          <w:rFonts w:hint="eastAsia" w:ascii="宋体" w:hAnsi="宋体" w:cs="宋体"/>
          <w:b w:val="0"/>
          <w:bCs/>
          <w:color w:val="auto"/>
          <w:sz w:val="21"/>
          <w:szCs w:val="21"/>
          <w:highlight w:val="none"/>
        </w:rPr>
        <w:t>签字(签章)：                   公章：</w:t>
      </w:r>
      <w:bookmarkEnd w:id="111"/>
      <w:bookmarkEnd w:id="112"/>
    </w:p>
    <w:p w14:paraId="7865B935">
      <w:pPr>
        <w:pStyle w:val="4"/>
        <w:adjustRightInd w:val="0"/>
        <w:snapToGrid w:val="0"/>
        <w:spacing w:before="0" w:after="0" w:line="300" w:lineRule="auto"/>
        <w:ind w:left="0" w:firstLine="420"/>
        <w:jc w:val="both"/>
        <w:rPr>
          <w:rFonts w:ascii="宋体" w:hAnsi="宋体" w:cs="宋体"/>
          <w:color w:val="auto"/>
          <w:sz w:val="21"/>
          <w:szCs w:val="21"/>
          <w:highlight w:val="none"/>
        </w:rPr>
      </w:pPr>
      <w:bookmarkStart w:id="113" w:name="_Toc7168781"/>
      <w:bookmarkStart w:id="114" w:name="_Toc16294"/>
      <w:r>
        <w:rPr>
          <w:rFonts w:hint="eastAsia" w:ascii="宋体" w:hAnsi="宋体" w:cs="宋体"/>
          <w:b w:val="0"/>
          <w:bCs/>
          <w:color w:val="auto"/>
          <w:sz w:val="21"/>
          <w:szCs w:val="21"/>
          <w:highlight w:val="none"/>
        </w:rPr>
        <w:t>日期：</w:t>
      </w:r>
      <w:bookmarkEnd w:id="113"/>
      <w:bookmarkEnd w:id="114"/>
    </w:p>
    <w:p w14:paraId="2EA7365B">
      <w:pPr>
        <w:pStyle w:val="4"/>
        <w:adjustRightInd w:val="0"/>
        <w:snapToGrid w:val="0"/>
        <w:spacing w:before="0" w:after="0" w:line="300" w:lineRule="auto"/>
        <w:ind w:left="0" w:firstLine="422"/>
        <w:jc w:val="both"/>
        <w:rPr>
          <w:rFonts w:ascii="宋体" w:hAnsi="宋体" w:cs="宋体"/>
          <w:color w:val="auto"/>
          <w:sz w:val="21"/>
          <w:szCs w:val="21"/>
          <w:highlight w:val="none"/>
        </w:rPr>
      </w:pPr>
    </w:p>
    <w:p w14:paraId="229AC7FE">
      <w:pPr>
        <w:pStyle w:val="4"/>
        <w:adjustRightInd w:val="0"/>
        <w:snapToGrid w:val="0"/>
        <w:spacing w:before="0" w:after="0" w:line="300" w:lineRule="auto"/>
        <w:ind w:left="0" w:firstLine="422"/>
        <w:jc w:val="both"/>
        <w:rPr>
          <w:rFonts w:ascii="宋体" w:hAnsi="宋体" w:cs="宋体"/>
          <w:color w:val="auto"/>
          <w:sz w:val="21"/>
          <w:szCs w:val="21"/>
          <w:highlight w:val="none"/>
        </w:rPr>
      </w:pPr>
    </w:p>
    <w:p w14:paraId="21AA8028">
      <w:pPr>
        <w:pStyle w:val="4"/>
        <w:adjustRightInd w:val="0"/>
        <w:snapToGrid w:val="0"/>
        <w:spacing w:before="0" w:after="0" w:line="300" w:lineRule="auto"/>
        <w:ind w:left="0" w:firstLine="422"/>
        <w:jc w:val="both"/>
        <w:rPr>
          <w:rFonts w:ascii="宋体" w:hAnsi="宋体" w:cs="宋体"/>
          <w:color w:val="auto"/>
          <w:sz w:val="21"/>
          <w:szCs w:val="21"/>
          <w:highlight w:val="none"/>
        </w:rPr>
      </w:pPr>
    </w:p>
    <w:p w14:paraId="3C7D81E8">
      <w:pPr>
        <w:pStyle w:val="4"/>
        <w:adjustRightInd w:val="0"/>
        <w:snapToGrid w:val="0"/>
        <w:spacing w:before="0" w:after="0" w:line="300" w:lineRule="auto"/>
        <w:ind w:left="0" w:firstLine="422"/>
        <w:jc w:val="both"/>
        <w:rPr>
          <w:rFonts w:ascii="宋体" w:hAnsi="宋体" w:cs="宋体"/>
          <w:color w:val="auto"/>
          <w:sz w:val="21"/>
          <w:szCs w:val="21"/>
          <w:highlight w:val="none"/>
        </w:rPr>
      </w:pPr>
    </w:p>
    <w:p w14:paraId="31D3C280">
      <w:pPr>
        <w:pStyle w:val="4"/>
        <w:adjustRightInd w:val="0"/>
        <w:snapToGrid w:val="0"/>
        <w:spacing w:before="0" w:after="0" w:line="300" w:lineRule="auto"/>
        <w:ind w:left="0" w:firstLine="422"/>
        <w:jc w:val="both"/>
        <w:rPr>
          <w:rFonts w:ascii="宋体" w:hAnsi="宋体" w:cs="宋体"/>
          <w:color w:val="auto"/>
          <w:sz w:val="21"/>
          <w:szCs w:val="21"/>
          <w:highlight w:val="none"/>
        </w:rPr>
      </w:pPr>
    </w:p>
    <w:p w14:paraId="01FA72EC">
      <w:pPr>
        <w:pStyle w:val="4"/>
        <w:adjustRightInd w:val="0"/>
        <w:snapToGrid w:val="0"/>
        <w:spacing w:before="0" w:after="0" w:line="300" w:lineRule="auto"/>
        <w:ind w:left="0" w:firstLine="422"/>
        <w:jc w:val="both"/>
        <w:rPr>
          <w:rFonts w:ascii="宋体" w:hAnsi="宋体" w:cs="宋体"/>
          <w:color w:val="auto"/>
          <w:sz w:val="21"/>
          <w:szCs w:val="21"/>
          <w:highlight w:val="none"/>
        </w:rPr>
      </w:pPr>
    </w:p>
    <w:p w14:paraId="2CEA5776">
      <w:pPr>
        <w:pStyle w:val="4"/>
        <w:adjustRightInd w:val="0"/>
        <w:snapToGrid w:val="0"/>
        <w:spacing w:before="0" w:after="0" w:line="300" w:lineRule="auto"/>
        <w:ind w:left="0" w:firstLine="422"/>
        <w:jc w:val="both"/>
        <w:rPr>
          <w:rFonts w:ascii="宋体" w:hAnsi="宋体" w:cs="宋体"/>
          <w:color w:val="auto"/>
          <w:sz w:val="21"/>
          <w:szCs w:val="21"/>
          <w:highlight w:val="none"/>
        </w:rPr>
      </w:pPr>
    </w:p>
    <w:p w14:paraId="11F14828">
      <w:pPr>
        <w:pStyle w:val="4"/>
        <w:adjustRightInd w:val="0"/>
        <w:snapToGrid w:val="0"/>
        <w:spacing w:before="0" w:after="0" w:line="300" w:lineRule="auto"/>
        <w:ind w:left="0" w:firstLine="422"/>
        <w:jc w:val="both"/>
        <w:rPr>
          <w:rFonts w:ascii="宋体" w:hAnsi="宋体" w:cs="宋体"/>
          <w:color w:val="auto"/>
          <w:sz w:val="21"/>
          <w:szCs w:val="21"/>
          <w:highlight w:val="none"/>
        </w:rPr>
      </w:pPr>
    </w:p>
    <w:p w14:paraId="499A90C6">
      <w:pPr>
        <w:pStyle w:val="4"/>
        <w:adjustRightInd w:val="0"/>
        <w:snapToGrid w:val="0"/>
        <w:spacing w:before="0" w:after="0" w:line="300" w:lineRule="auto"/>
        <w:ind w:left="0" w:firstLine="422"/>
        <w:jc w:val="both"/>
        <w:rPr>
          <w:rFonts w:ascii="宋体" w:hAnsi="宋体" w:cs="宋体"/>
          <w:color w:val="auto"/>
          <w:sz w:val="21"/>
          <w:szCs w:val="21"/>
          <w:highlight w:val="none"/>
        </w:rPr>
      </w:pPr>
    </w:p>
    <w:p w14:paraId="45BC8C18">
      <w:pPr>
        <w:pStyle w:val="12"/>
        <w:rPr>
          <w:rFonts w:ascii="宋体" w:hAnsi="宋体"/>
          <w:color w:val="auto"/>
          <w:sz w:val="21"/>
          <w:szCs w:val="21"/>
          <w:highlight w:val="none"/>
        </w:rPr>
      </w:pPr>
    </w:p>
    <w:p w14:paraId="3B610DCA">
      <w:pPr>
        <w:pStyle w:val="4"/>
        <w:adjustRightInd w:val="0"/>
        <w:snapToGrid w:val="0"/>
        <w:spacing w:before="0" w:after="0" w:line="300" w:lineRule="auto"/>
        <w:ind w:left="0" w:firstLine="422"/>
        <w:jc w:val="both"/>
        <w:rPr>
          <w:rFonts w:ascii="宋体" w:hAnsi="宋体" w:cs="宋体"/>
          <w:color w:val="auto"/>
          <w:sz w:val="21"/>
          <w:szCs w:val="21"/>
          <w:highlight w:val="none"/>
        </w:rPr>
      </w:pPr>
      <w:bookmarkStart w:id="115" w:name="_Toc3490"/>
      <w:bookmarkStart w:id="116" w:name="_Toc7168782"/>
      <w:r>
        <w:rPr>
          <w:rFonts w:hint="eastAsia" w:ascii="宋体" w:hAnsi="宋体" w:cs="宋体"/>
          <w:color w:val="auto"/>
          <w:sz w:val="21"/>
          <w:szCs w:val="21"/>
          <w:highlight w:val="none"/>
        </w:rPr>
        <w:t>质疑函制作说明：</w:t>
      </w:r>
      <w:bookmarkEnd w:id="115"/>
      <w:bookmarkEnd w:id="116"/>
    </w:p>
    <w:p w14:paraId="0F079376">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17" w:name="_Toc29953"/>
      <w:bookmarkStart w:id="118" w:name="_Toc7168783"/>
      <w:r>
        <w:rPr>
          <w:rFonts w:hint="eastAsia" w:ascii="宋体" w:hAnsi="宋体" w:cs="宋体"/>
          <w:b w:val="0"/>
          <w:bCs/>
          <w:color w:val="auto"/>
          <w:sz w:val="21"/>
          <w:szCs w:val="21"/>
          <w:highlight w:val="none"/>
        </w:rPr>
        <w:t>1.供应商提出质疑时，应提交质疑函和必要的证明材料。</w:t>
      </w:r>
      <w:bookmarkEnd w:id="117"/>
      <w:bookmarkEnd w:id="118"/>
    </w:p>
    <w:p w14:paraId="64813687">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19" w:name="_Toc8863"/>
      <w:bookmarkStart w:id="120" w:name="_Toc7168784"/>
      <w:r>
        <w:rPr>
          <w:rFonts w:hint="eastAsia" w:ascii="宋体" w:hAnsi="宋体" w:cs="宋体"/>
          <w:b w:val="0"/>
          <w:bCs/>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bookmarkEnd w:id="119"/>
      <w:bookmarkEnd w:id="120"/>
    </w:p>
    <w:p w14:paraId="5252E216">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21" w:name="_Toc7168785"/>
      <w:bookmarkStart w:id="122" w:name="_Toc10119"/>
      <w:r>
        <w:rPr>
          <w:rFonts w:hint="eastAsia" w:ascii="宋体" w:hAnsi="宋体" w:cs="宋体"/>
          <w:b w:val="0"/>
          <w:bCs/>
          <w:color w:val="auto"/>
          <w:sz w:val="21"/>
          <w:szCs w:val="21"/>
          <w:highlight w:val="none"/>
        </w:rPr>
        <w:t>3.质疑供应商若对项目的某一分包进行质疑，质疑函中应列明具体分包号。</w:t>
      </w:r>
      <w:bookmarkEnd w:id="121"/>
      <w:bookmarkEnd w:id="122"/>
    </w:p>
    <w:p w14:paraId="4A1E7BA5">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23" w:name="_Toc1205"/>
      <w:bookmarkStart w:id="124" w:name="_Toc7168786"/>
      <w:r>
        <w:rPr>
          <w:rFonts w:hint="eastAsia" w:ascii="宋体" w:hAnsi="宋体" w:cs="宋体"/>
          <w:b w:val="0"/>
          <w:bCs/>
          <w:color w:val="auto"/>
          <w:sz w:val="21"/>
          <w:szCs w:val="21"/>
          <w:highlight w:val="none"/>
        </w:rPr>
        <w:t>4.质疑函的质疑事项应具体、明确，并有必要的事实依据和法律依据。</w:t>
      </w:r>
      <w:bookmarkEnd w:id="123"/>
      <w:bookmarkEnd w:id="124"/>
    </w:p>
    <w:p w14:paraId="6210AFEC">
      <w:pPr>
        <w:pStyle w:val="4"/>
        <w:adjustRightInd w:val="0"/>
        <w:snapToGrid w:val="0"/>
        <w:spacing w:before="0" w:after="0" w:line="300" w:lineRule="auto"/>
        <w:ind w:left="0" w:firstLine="420"/>
        <w:jc w:val="both"/>
        <w:rPr>
          <w:rFonts w:ascii="宋体" w:hAnsi="宋体" w:cs="宋体"/>
          <w:b w:val="0"/>
          <w:bCs/>
          <w:color w:val="auto"/>
          <w:sz w:val="21"/>
          <w:szCs w:val="21"/>
          <w:highlight w:val="none"/>
        </w:rPr>
      </w:pPr>
      <w:bookmarkStart w:id="125" w:name="_Toc10730"/>
      <w:bookmarkStart w:id="126" w:name="_Toc7168787"/>
      <w:r>
        <w:rPr>
          <w:rFonts w:hint="eastAsia" w:ascii="宋体" w:hAnsi="宋体" w:cs="宋体"/>
          <w:b w:val="0"/>
          <w:bCs/>
          <w:color w:val="auto"/>
          <w:sz w:val="21"/>
          <w:szCs w:val="21"/>
          <w:highlight w:val="none"/>
        </w:rPr>
        <w:t>5.质疑函的质疑请求应与质疑事项相关。</w:t>
      </w:r>
      <w:bookmarkEnd w:id="125"/>
      <w:bookmarkEnd w:id="126"/>
    </w:p>
    <w:p w14:paraId="558B71C5">
      <w:pPr>
        <w:pStyle w:val="4"/>
        <w:adjustRightInd w:val="0"/>
        <w:snapToGrid w:val="0"/>
        <w:spacing w:before="0" w:after="0" w:line="300" w:lineRule="auto"/>
        <w:ind w:left="0" w:firstLine="420"/>
        <w:jc w:val="both"/>
        <w:rPr>
          <w:rFonts w:ascii="宋体" w:hAnsi="宋体" w:cs="宋体"/>
          <w:color w:val="auto"/>
          <w:sz w:val="24"/>
          <w:szCs w:val="24"/>
          <w:highlight w:val="none"/>
        </w:rPr>
      </w:pPr>
      <w:bookmarkStart w:id="127" w:name="_Toc7168788"/>
      <w:bookmarkStart w:id="128" w:name="_Toc17084"/>
      <w:r>
        <w:rPr>
          <w:rFonts w:hint="eastAsia" w:ascii="宋体" w:hAnsi="宋体" w:cs="宋体"/>
          <w:b w:val="0"/>
          <w:bCs/>
          <w:color w:val="auto"/>
          <w:sz w:val="21"/>
          <w:szCs w:val="21"/>
          <w:highlight w:val="none"/>
        </w:rPr>
        <w:t>6.质疑供应商为自然人的，质疑函应由本人签字；质疑供应商为法人或者其他组织的，质疑函应由法定代表人、主要负责人，或者其授权代表签字或者盖章，并加盖公章。</w:t>
      </w:r>
      <w:bookmarkEnd w:id="127"/>
      <w:bookmarkEnd w:id="128"/>
    </w:p>
    <w:p w14:paraId="2FF27364">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00BF4303">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3D703BBC">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27E4A1B9">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4C0ED0A2">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6EA49F86">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3B8117CA">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047F3D4B">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70BF04B2">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1AFD3997">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26C1917E">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4C095035">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5C876D0B">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07131BA0">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76EB6E4B">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5146CC42">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29B94567">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770BED19">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50799A69">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5C484E9E">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44FC4146">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4BE00664">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5B5EF699">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44CBFD02">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785727F5">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1149424D">
      <w:pPr>
        <w:rPr>
          <w:color w:val="auto"/>
          <w:highlight w:val="none"/>
        </w:rPr>
      </w:pPr>
    </w:p>
    <w:p w14:paraId="0326CD06">
      <w:pPr>
        <w:pStyle w:val="4"/>
        <w:adjustRightInd w:val="0"/>
        <w:snapToGrid w:val="0"/>
        <w:spacing w:before="0" w:after="0" w:line="300" w:lineRule="auto"/>
        <w:ind w:left="867" w:leftChars="413" w:firstLine="3416" w:firstLineChars="1418"/>
        <w:rPr>
          <w:rFonts w:ascii="宋体" w:hAnsi="宋体" w:cs="宋体"/>
          <w:color w:val="auto"/>
          <w:sz w:val="24"/>
          <w:szCs w:val="24"/>
          <w:highlight w:val="none"/>
        </w:rPr>
      </w:pPr>
    </w:p>
    <w:p w14:paraId="2F6078E1">
      <w:pPr>
        <w:rPr>
          <w:rFonts w:ascii="宋体" w:hAnsi="宋体" w:cs="宋体"/>
          <w:color w:val="auto"/>
          <w:sz w:val="24"/>
          <w:szCs w:val="24"/>
          <w:highlight w:val="none"/>
        </w:rPr>
      </w:pPr>
    </w:p>
    <w:p w14:paraId="5E5AC98B">
      <w:pPr>
        <w:rPr>
          <w:rFonts w:ascii="宋体" w:hAnsi="宋体" w:cs="宋体"/>
          <w:color w:val="auto"/>
          <w:sz w:val="24"/>
          <w:szCs w:val="24"/>
          <w:highlight w:val="none"/>
        </w:rPr>
      </w:pPr>
    </w:p>
    <w:p w14:paraId="276CCFB8">
      <w:pPr>
        <w:spacing w:line="400" w:lineRule="exact"/>
        <w:rPr>
          <w:rFonts w:ascii="宋体" w:hAnsi="宋体"/>
          <w:b/>
          <w:bCs/>
          <w:color w:val="auto"/>
          <w:szCs w:val="21"/>
          <w:highlight w:val="none"/>
        </w:rPr>
      </w:pPr>
      <w:r>
        <w:rPr>
          <w:rFonts w:hint="eastAsia" w:ascii="宋体" w:hAnsi="宋体"/>
          <w:b/>
          <w:bCs/>
          <w:color w:val="auto"/>
          <w:szCs w:val="21"/>
          <w:highlight w:val="none"/>
        </w:rPr>
        <w:t>附件二 投诉书范本</w:t>
      </w:r>
    </w:p>
    <w:p w14:paraId="7D3C3AF0">
      <w:pPr>
        <w:spacing w:line="400" w:lineRule="exact"/>
        <w:rPr>
          <w:rFonts w:ascii="宋体" w:hAnsi="宋体"/>
          <w:color w:val="auto"/>
          <w:szCs w:val="21"/>
          <w:highlight w:val="none"/>
          <w:u w:val="dotted"/>
        </w:rPr>
      </w:pPr>
      <w:r>
        <w:rPr>
          <w:rFonts w:hint="eastAsia" w:ascii="宋体" w:hAnsi="宋体"/>
          <w:color w:val="auto"/>
          <w:szCs w:val="21"/>
          <w:highlight w:val="none"/>
        </w:rPr>
        <w:t>投诉人：</w:t>
      </w:r>
    </w:p>
    <w:p w14:paraId="5839AB42">
      <w:pPr>
        <w:spacing w:line="400" w:lineRule="exact"/>
        <w:rPr>
          <w:rFonts w:ascii="宋体" w:hAnsi="宋体"/>
          <w:color w:val="auto"/>
          <w:szCs w:val="21"/>
          <w:highlight w:val="none"/>
          <w:u w:val="single"/>
        </w:rPr>
      </w:pPr>
      <w:r>
        <w:rPr>
          <w:rFonts w:hint="eastAsia" w:ascii="宋体" w:hAnsi="宋体"/>
          <w:color w:val="auto"/>
          <w:szCs w:val="21"/>
          <w:highlight w:val="none"/>
        </w:rPr>
        <w:t>地     址：邮编：</w:t>
      </w:r>
    </w:p>
    <w:p w14:paraId="6FC9210B">
      <w:pPr>
        <w:spacing w:line="400" w:lineRule="exact"/>
        <w:rPr>
          <w:rFonts w:ascii="宋体" w:hAnsi="宋体"/>
          <w:color w:val="auto"/>
          <w:szCs w:val="21"/>
          <w:highlight w:val="none"/>
        </w:rPr>
      </w:pPr>
      <w:r>
        <w:rPr>
          <w:rFonts w:hint="eastAsia" w:ascii="宋体" w:hAnsi="宋体"/>
          <w:color w:val="auto"/>
          <w:szCs w:val="21"/>
          <w:highlight w:val="none"/>
        </w:rPr>
        <w:t>法定代表人/主要负责人：</w:t>
      </w:r>
    </w:p>
    <w:p w14:paraId="50D84DA2">
      <w:pPr>
        <w:spacing w:line="400" w:lineRule="exact"/>
        <w:rPr>
          <w:rFonts w:ascii="宋体" w:hAnsi="宋体"/>
          <w:color w:val="auto"/>
          <w:szCs w:val="21"/>
          <w:highlight w:val="none"/>
          <w:u w:val="dotted"/>
        </w:rPr>
      </w:pPr>
      <w:r>
        <w:rPr>
          <w:rFonts w:hint="eastAsia" w:ascii="宋体" w:hAnsi="宋体"/>
          <w:color w:val="auto"/>
          <w:szCs w:val="21"/>
          <w:highlight w:val="none"/>
        </w:rPr>
        <w:t>联系电话：</w:t>
      </w:r>
    </w:p>
    <w:p w14:paraId="1B39BF1A">
      <w:pPr>
        <w:spacing w:line="400" w:lineRule="exact"/>
        <w:rPr>
          <w:rFonts w:ascii="宋体" w:hAnsi="宋体"/>
          <w:color w:val="auto"/>
          <w:szCs w:val="21"/>
          <w:highlight w:val="none"/>
          <w:u w:val="dotted"/>
        </w:rPr>
      </w:pPr>
      <w:r>
        <w:rPr>
          <w:rFonts w:hint="eastAsia" w:ascii="宋体" w:hAnsi="宋体"/>
          <w:color w:val="auto"/>
          <w:szCs w:val="21"/>
          <w:highlight w:val="none"/>
        </w:rPr>
        <w:t>授权代表：联系电话</w:t>
      </w:r>
      <w:r>
        <w:rPr>
          <w:rFonts w:hint="eastAsia" w:ascii="宋体" w:hAnsi="宋体"/>
          <w:color w:val="auto"/>
          <w:szCs w:val="21"/>
          <w:highlight w:val="none"/>
          <w:u w:val="dotted"/>
        </w:rPr>
        <w:t xml:space="preserve">：                  </w:t>
      </w:r>
    </w:p>
    <w:p w14:paraId="5D1A7F60">
      <w:pPr>
        <w:spacing w:line="400" w:lineRule="exact"/>
        <w:rPr>
          <w:rFonts w:ascii="宋体" w:hAnsi="宋体"/>
          <w:color w:val="auto"/>
          <w:szCs w:val="21"/>
          <w:highlight w:val="none"/>
          <w:u w:val="dotted"/>
        </w:rPr>
      </w:pPr>
      <w:r>
        <w:rPr>
          <w:rFonts w:hint="eastAsia" w:ascii="宋体" w:hAnsi="宋体"/>
          <w:color w:val="auto"/>
          <w:szCs w:val="21"/>
          <w:highlight w:val="none"/>
        </w:rPr>
        <w:t>地     址：邮编：</w:t>
      </w:r>
    </w:p>
    <w:p w14:paraId="6A95A4AC">
      <w:pPr>
        <w:spacing w:line="400" w:lineRule="exact"/>
        <w:rPr>
          <w:rFonts w:ascii="宋体" w:hAnsi="宋体"/>
          <w:color w:val="auto"/>
          <w:szCs w:val="21"/>
          <w:highlight w:val="none"/>
          <w:u w:val="single"/>
        </w:rPr>
      </w:pPr>
      <w:r>
        <w:rPr>
          <w:rFonts w:hint="eastAsia" w:ascii="宋体" w:hAnsi="宋体"/>
          <w:color w:val="auto"/>
          <w:szCs w:val="21"/>
          <w:highlight w:val="none"/>
        </w:rPr>
        <w:t>被投诉人1：</w:t>
      </w:r>
    </w:p>
    <w:p w14:paraId="2D94FBC2">
      <w:pPr>
        <w:spacing w:line="400" w:lineRule="exact"/>
        <w:rPr>
          <w:rFonts w:ascii="宋体" w:hAnsi="宋体"/>
          <w:color w:val="auto"/>
          <w:szCs w:val="21"/>
          <w:highlight w:val="none"/>
          <w:u w:val="single"/>
        </w:rPr>
      </w:pPr>
      <w:r>
        <w:rPr>
          <w:rFonts w:hint="eastAsia" w:ascii="宋体" w:hAnsi="宋体"/>
          <w:color w:val="auto"/>
          <w:szCs w:val="21"/>
          <w:highlight w:val="none"/>
        </w:rPr>
        <w:t>地     址：邮编：</w:t>
      </w:r>
    </w:p>
    <w:p w14:paraId="23DBDAF0">
      <w:pPr>
        <w:spacing w:line="400" w:lineRule="exact"/>
        <w:rPr>
          <w:rFonts w:ascii="宋体" w:hAnsi="宋体"/>
          <w:color w:val="auto"/>
          <w:szCs w:val="21"/>
          <w:highlight w:val="none"/>
          <w:u w:val="single"/>
        </w:rPr>
      </w:pPr>
      <w:r>
        <w:rPr>
          <w:rFonts w:hint="eastAsia" w:ascii="宋体" w:hAnsi="宋体"/>
          <w:color w:val="auto"/>
          <w:szCs w:val="21"/>
          <w:highlight w:val="none"/>
        </w:rPr>
        <w:t>联系人：联系电话：</w:t>
      </w:r>
    </w:p>
    <w:p w14:paraId="777A0D3C">
      <w:pPr>
        <w:spacing w:line="400" w:lineRule="exact"/>
        <w:rPr>
          <w:rFonts w:ascii="宋体" w:hAnsi="宋体"/>
          <w:color w:val="auto"/>
          <w:szCs w:val="21"/>
          <w:highlight w:val="none"/>
        </w:rPr>
      </w:pPr>
      <w:r>
        <w:rPr>
          <w:rFonts w:hint="eastAsia" w:ascii="宋体" w:hAnsi="宋体"/>
          <w:color w:val="auto"/>
          <w:szCs w:val="21"/>
          <w:highlight w:val="none"/>
        </w:rPr>
        <w:t>被投诉人2……</w:t>
      </w:r>
    </w:p>
    <w:p w14:paraId="755ACFC0">
      <w:pPr>
        <w:spacing w:line="400" w:lineRule="exact"/>
        <w:rPr>
          <w:rFonts w:ascii="宋体" w:hAnsi="宋体"/>
          <w:color w:val="auto"/>
          <w:szCs w:val="21"/>
          <w:highlight w:val="none"/>
          <w:u w:val="single"/>
        </w:rPr>
      </w:pPr>
      <w:r>
        <w:rPr>
          <w:rFonts w:hint="eastAsia" w:ascii="宋体" w:hAnsi="宋体"/>
          <w:color w:val="auto"/>
          <w:szCs w:val="21"/>
          <w:highlight w:val="none"/>
        </w:rPr>
        <w:t>相关供应商：</w:t>
      </w:r>
    </w:p>
    <w:p w14:paraId="5E92D563">
      <w:pPr>
        <w:spacing w:line="400" w:lineRule="exact"/>
        <w:rPr>
          <w:rFonts w:ascii="宋体" w:hAnsi="宋体"/>
          <w:color w:val="auto"/>
          <w:szCs w:val="21"/>
          <w:highlight w:val="none"/>
          <w:u w:val="single"/>
        </w:rPr>
      </w:pPr>
      <w:r>
        <w:rPr>
          <w:rFonts w:hint="eastAsia" w:ascii="宋体" w:hAnsi="宋体"/>
          <w:color w:val="auto"/>
          <w:szCs w:val="21"/>
          <w:highlight w:val="none"/>
        </w:rPr>
        <w:t>地     址：邮编：</w:t>
      </w:r>
    </w:p>
    <w:p w14:paraId="5ABC139F">
      <w:pPr>
        <w:spacing w:line="400" w:lineRule="exact"/>
        <w:rPr>
          <w:rFonts w:ascii="宋体" w:hAnsi="宋体"/>
          <w:color w:val="auto"/>
          <w:szCs w:val="21"/>
          <w:highlight w:val="none"/>
          <w:u w:val="single"/>
        </w:rPr>
      </w:pPr>
      <w:r>
        <w:rPr>
          <w:rFonts w:hint="eastAsia" w:ascii="宋体" w:hAnsi="宋体"/>
          <w:color w:val="auto"/>
          <w:szCs w:val="21"/>
          <w:highlight w:val="none"/>
        </w:rPr>
        <w:t>联系人：联系电话：</w:t>
      </w:r>
    </w:p>
    <w:p w14:paraId="78650CF2">
      <w:pPr>
        <w:spacing w:line="400" w:lineRule="exact"/>
        <w:rPr>
          <w:rFonts w:ascii="宋体" w:hAnsi="宋体"/>
          <w:color w:val="auto"/>
          <w:szCs w:val="21"/>
          <w:highlight w:val="none"/>
        </w:rPr>
      </w:pPr>
      <w:r>
        <w:rPr>
          <w:rFonts w:hint="eastAsia" w:ascii="宋体" w:hAnsi="宋体"/>
          <w:color w:val="auto"/>
          <w:szCs w:val="21"/>
          <w:highlight w:val="none"/>
        </w:rPr>
        <w:t>二、投诉项目基本情况</w:t>
      </w:r>
    </w:p>
    <w:p w14:paraId="5E1C0586">
      <w:pPr>
        <w:spacing w:line="400" w:lineRule="exact"/>
        <w:rPr>
          <w:rFonts w:ascii="宋体" w:hAnsi="宋体"/>
          <w:color w:val="auto"/>
          <w:szCs w:val="21"/>
          <w:highlight w:val="none"/>
          <w:u w:val="dotted"/>
        </w:rPr>
      </w:pPr>
      <w:r>
        <w:rPr>
          <w:rFonts w:hint="eastAsia" w:ascii="宋体" w:hAnsi="宋体"/>
          <w:color w:val="auto"/>
          <w:szCs w:val="21"/>
          <w:highlight w:val="none"/>
        </w:rPr>
        <w:t>采购项目名称：</w:t>
      </w:r>
    </w:p>
    <w:p w14:paraId="558138D4">
      <w:pPr>
        <w:spacing w:line="400" w:lineRule="exact"/>
        <w:rPr>
          <w:rFonts w:ascii="宋体" w:hAnsi="宋体"/>
          <w:color w:val="auto"/>
          <w:szCs w:val="21"/>
          <w:highlight w:val="none"/>
          <w:u w:val="single"/>
        </w:rPr>
      </w:pPr>
      <w:r>
        <w:rPr>
          <w:rFonts w:hint="eastAsia" w:ascii="宋体" w:hAnsi="宋体"/>
          <w:color w:val="auto"/>
          <w:szCs w:val="21"/>
          <w:highlight w:val="none"/>
        </w:rPr>
        <w:t>编号：包号：</w:t>
      </w:r>
    </w:p>
    <w:p w14:paraId="5510C228">
      <w:pPr>
        <w:spacing w:line="400" w:lineRule="exact"/>
        <w:rPr>
          <w:rFonts w:ascii="宋体" w:hAnsi="宋体"/>
          <w:color w:val="auto"/>
          <w:szCs w:val="21"/>
          <w:highlight w:val="none"/>
        </w:rPr>
      </w:pPr>
      <w:r>
        <w:rPr>
          <w:rFonts w:hint="eastAsia" w:ascii="宋体" w:hAnsi="宋体"/>
          <w:color w:val="auto"/>
          <w:szCs w:val="21"/>
          <w:highlight w:val="none"/>
        </w:rPr>
        <w:t>采购人名称：</w:t>
      </w:r>
    </w:p>
    <w:p w14:paraId="4879E5D2">
      <w:pPr>
        <w:spacing w:line="400" w:lineRule="exact"/>
        <w:rPr>
          <w:rFonts w:ascii="宋体" w:hAnsi="宋体"/>
          <w:color w:val="auto"/>
          <w:szCs w:val="21"/>
          <w:highlight w:val="none"/>
          <w:u w:val="single"/>
        </w:rPr>
      </w:pPr>
      <w:r>
        <w:rPr>
          <w:rFonts w:hint="eastAsia" w:ascii="宋体" w:hAnsi="宋体"/>
          <w:color w:val="auto"/>
          <w:szCs w:val="21"/>
          <w:highlight w:val="none"/>
        </w:rPr>
        <w:t>代理机构名称：</w:t>
      </w:r>
    </w:p>
    <w:p w14:paraId="3CE297CE">
      <w:pPr>
        <w:spacing w:line="400" w:lineRule="exact"/>
        <w:rPr>
          <w:rFonts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p>
    <w:p w14:paraId="66236EA4">
      <w:pPr>
        <w:spacing w:line="400" w:lineRule="exact"/>
        <w:rPr>
          <w:rFonts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p>
    <w:p w14:paraId="6925185D">
      <w:pPr>
        <w:spacing w:line="400" w:lineRule="exact"/>
        <w:rPr>
          <w:rFonts w:ascii="宋体" w:hAnsi="宋体"/>
          <w:color w:val="auto"/>
          <w:szCs w:val="21"/>
          <w:highlight w:val="none"/>
        </w:rPr>
      </w:pPr>
      <w:r>
        <w:rPr>
          <w:rFonts w:hint="eastAsia" w:ascii="宋体" w:hAnsi="宋体"/>
          <w:color w:val="auto"/>
          <w:szCs w:val="21"/>
          <w:highlight w:val="none"/>
        </w:rPr>
        <w:t>三、质疑基本情况</w:t>
      </w:r>
    </w:p>
    <w:p w14:paraId="590976F2">
      <w:pPr>
        <w:spacing w:line="400" w:lineRule="exact"/>
        <w:rPr>
          <w:rFonts w:ascii="宋体" w:hAnsi="宋体"/>
          <w:color w:val="auto"/>
          <w:szCs w:val="21"/>
          <w:highlight w:val="none"/>
          <w:u w:val="dotted"/>
        </w:rPr>
      </w:pPr>
      <w:r>
        <w:rPr>
          <w:rFonts w:hint="eastAsia" w:ascii="宋体" w:hAnsi="宋体"/>
          <w:color w:val="auto"/>
          <w:szCs w:val="21"/>
          <w:highlight w:val="none"/>
        </w:rPr>
        <w:t>投诉人于年月日,向提出质疑，质疑事项为：</w:t>
      </w:r>
    </w:p>
    <w:p w14:paraId="28A44F15">
      <w:pPr>
        <w:spacing w:line="400" w:lineRule="exact"/>
        <w:rPr>
          <w:rFonts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于年月日,就质疑事项作出了答复/没有在法定期限内作出答复。</w:t>
      </w:r>
    </w:p>
    <w:p w14:paraId="516C84F2">
      <w:pPr>
        <w:spacing w:line="400" w:lineRule="exact"/>
        <w:rPr>
          <w:rFonts w:ascii="宋体" w:hAnsi="宋体"/>
          <w:color w:val="auto"/>
          <w:szCs w:val="21"/>
          <w:highlight w:val="none"/>
        </w:rPr>
      </w:pPr>
      <w:r>
        <w:rPr>
          <w:rFonts w:hint="eastAsia" w:ascii="宋体" w:hAnsi="宋体"/>
          <w:color w:val="auto"/>
          <w:szCs w:val="21"/>
          <w:highlight w:val="none"/>
        </w:rPr>
        <w:t>四、投诉事项具体内容</w:t>
      </w:r>
    </w:p>
    <w:p w14:paraId="0B2C7AC2">
      <w:pPr>
        <w:spacing w:line="400" w:lineRule="exact"/>
        <w:rPr>
          <w:rFonts w:ascii="宋体" w:hAnsi="宋体"/>
          <w:color w:val="auto"/>
          <w:szCs w:val="21"/>
          <w:highlight w:val="none"/>
          <w:u w:val="single"/>
        </w:rPr>
      </w:pPr>
      <w:r>
        <w:rPr>
          <w:rFonts w:hint="eastAsia" w:ascii="宋体" w:hAnsi="宋体"/>
          <w:color w:val="auto"/>
          <w:szCs w:val="21"/>
          <w:highlight w:val="none"/>
        </w:rPr>
        <w:t>投诉事项 1：</w:t>
      </w:r>
    </w:p>
    <w:p w14:paraId="156E24FC">
      <w:pPr>
        <w:spacing w:line="400" w:lineRule="exact"/>
        <w:rPr>
          <w:rFonts w:ascii="宋体" w:hAnsi="宋体"/>
          <w:color w:val="auto"/>
          <w:szCs w:val="21"/>
          <w:highlight w:val="none"/>
        </w:rPr>
      </w:pPr>
      <w:r>
        <w:rPr>
          <w:rFonts w:hint="eastAsia" w:ascii="宋体" w:hAnsi="宋体"/>
          <w:color w:val="auto"/>
          <w:szCs w:val="21"/>
          <w:highlight w:val="none"/>
        </w:rPr>
        <w:t>事实依据：</w:t>
      </w:r>
    </w:p>
    <w:p w14:paraId="680C4ACD">
      <w:pPr>
        <w:spacing w:line="400" w:lineRule="exact"/>
        <w:rPr>
          <w:rFonts w:ascii="宋体" w:hAnsi="宋体"/>
          <w:color w:val="auto"/>
          <w:szCs w:val="21"/>
          <w:highlight w:val="none"/>
          <w:u w:val="single"/>
        </w:rPr>
      </w:pPr>
      <w:r>
        <w:rPr>
          <w:rFonts w:hint="eastAsia" w:ascii="宋体" w:hAnsi="宋体"/>
          <w:color w:val="auto"/>
          <w:szCs w:val="21"/>
          <w:highlight w:val="none"/>
        </w:rPr>
        <w:t>法律依据：</w:t>
      </w:r>
    </w:p>
    <w:p w14:paraId="1BB526A2">
      <w:pPr>
        <w:spacing w:line="400" w:lineRule="exact"/>
        <w:rPr>
          <w:rFonts w:ascii="宋体" w:hAnsi="宋体"/>
          <w:color w:val="auto"/>
          <w:szCs w:val="21"/>
          <w:highlight w:val="none"/>
        </w:rPr>
      </w:pPr>
      <w:r>
        <w:rPr>
          <w:rFonts w:hint="eastAsia" w:ascii="宋体" w:hAnsi="宋体"/>
          <w:color w:val="auto"/>
          <w:szCs w:val="21"/>
          <w:highlight w:val="none"/>
        </w:rPr>
        <w:t>投诉事项2……</w:t>
      </w:r>
    </w:p>
    <w:p w14:paraId="43BB7084">
      <w:pPr>
        <w:spacing w:line="400" w:lineRule="exact"/>
        <w:rPr>
          <w:rFonts w:ascii="宋体" w:hAnsi="宋体"/>
          <w:color w:val="auto"/>
          <w:szCs w:val="21"/>
          <w:highlight w:val="none"/>
        </w:rPr>
      </w:pPr>
      <w:r>
        <w:rPr>
          <w:rFonts w:hint="eastAsia" w:ascii="宋体" w:hAnsi="宋体"/>
          <w:color w:val="auto"/>
          <w:szCs w:val="21"/>
          <w:highlight w:val="none"/>
        </w:rPr>
        <w:t>五、与投诉事项相关的投诉请求</w:t>
      </w:r>
    </w:p>
    <w:p w14:paraId="723FA60B">
      <w:pPr>
        <w:spacing w:line="400" w:lineRule="exact"/>
        <w:rPr>
          <w:rFonts w:ascii="宋体" w:hAnsi="宋体"/>
          <w:color w:val="auto"/>
          <w:szCs w:val="21"/>
          <w:highlight w:val="none"/>
        </w:rPr>
      </w:pPr>
      <w:r>
        <w:rPr>
          <w:rFonts w:hint="eastAsia" w:ascii="宋体" w:hAnsi="宋体"/>
          <w:color w:val="auto"/>
          <w:szCs w:val="21"/>
          <w:highlight w:val="none"/>
        </w:rPr>
        <w:t>请求：</w:t>
      </w:r>
    </w:p>
    <w:p w14:paraId="075DCB63">
      <w:pPr>
        <w:spacing w:line="400" w:lineRule="exact"/>
        <w:rPr>
          <w:rFonts w:ascii="宋体" w:hAnsi="宋体"/>
          <w:color w:val="auto"/>
          <w:szCs w:val="21"/>
          <w:highlight w:val="none"/>
          <w:u w:val="single"/>
        </w:rPr>
      </w:pPr>
    </w:p>
    <w:p w14:paraId="6DD426C9">
      <w:pPr>
        <w:spacing w:line="400" w:lineRule="exact"/>
        <w:rPr>
          <w:rFonts w:ascii="宋体" w:hAnsi="宋体"/>
          <w:color w:val="auto"/>
          <w:szCs w:val="21"/>
          <w:highlight w:val="none"/>
        </w:rPr>
      </w:pPr>
      <w:r>
        <w:rPr>
          <w:rFonts w:hint="eastAsia" w:ascii="宋体" w:hAnsi="宋体"/>
          <w:color w:val="auto"/>
          <w:szCs w:val="21"/>
          <w:highlight w:val="none"/>
        </w:rPr>
        <w:t xml:space="preserve">签字(签章)：                   公章：                      </w:t>
      </w:r>
    </w:p>
    <w:p w14:paraId="3F678D72">
      <w:pPr>
        <w:spacing w:line="400" w:lineRule="exact"/>
        <w:rPr>
          <w:rFonts w:ascii="宋体" w:hAnsi="宋体"/>
          <w:color w:val="auto"/>
          <w:szCs w:val="21"/>
          <w:highlight w:val="none"/>
        </w:rPr>
      </w:pPr>
      <w:r>
        <w:rPr>
          <w:rFonts w:hint="eastAsia" w:ascii="宋体" w:hAnsi="宋体"/>
          <w:color w:val="auto"/>
          <w:szCs w:val="21"/>
          <w:highlight w:val="none"/>
        </w:rPr>
        <w:t xml:space="preserve">日期：    </w:t>
      </w:r>
    </w:p>
    <w:p w14:paraId="750F5194">
      <w:pPr>
        <w:spacing w:line="400" w:lineRule="exact"/>
        <w:ind w:firstLine="422"/>
        <w:rPr>
          <w:rFonts w:ascii="宋体" w:hAnsi="宋体"/>
          <w:b/>
          <w:bCs/>
          <w:color w:val="auto"/>
          <w:szCs w:val="21"/>
          <w:highlight w:val="none"/>
        </w:rPr>
      </w:pPr>
    </w:p>
    <w:p w14:paraId="1F520141">
      <w:pPr>
        <w:spacing w:line="400" w:lineRule="exact"/>
        <w:ind w:firstLine="422"/>
        <w:rPr>
          <w:rFonts w:hint="eastAsia" w:ascii="宋体" w:hAnsi="宋体"/>
          <w:b/>
          <w:bCs/>
          <w:color w:val="auto"/>
          <w:szCs w:val="21"/>
          <w:highlight w:val="none"/>
        </w:rPr>
      </w:pPr>
    </w:p>
    <w:p w14:paraId="32DD7E5C">
      <w:pPr>
        <w:spacing w:line="400" w:lineRule="exact"/>
        <w:ind w:firstLine="422"/>
        <w:rPr>
          <w:rFonts w:ascii="宋体" w:hAnsi="宋体"/>
          <w:color w:val="auto"/>
          <w:szCs w:val="21"/>
          <w:highlight w:val="none"/>
        </w:rPr>
      </w:pPr>
      <w:r>
        <w:rPr>
          <w:rFonts w:hint="eastAsia" w:ascii="宋体" w:hAnsi="宋体"/>
          <w:b/>
          <w:bCs/>
          <w:color w:val="auto"/>
          <w:szCs w:val="21"/>
          <w:highlight w:val="none"/>
        </w:rPr>
        <w:t>投诉书制作说明：</w:t>
      </w:r>
    </w:p>
    <w:p w14:paraId="635FE789">
      <w:pPr>
        <w:spacing w:line="400" w:lineRule="exact"/>
        <w:rPr>
          <w:rFonts w:ascii="宋体" w:hAnsi="宋体"/>
          <w:color w:val="auto"/>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70C0BF9B">
      <w:pPr>
        <w:spacing w:line="400" w:lineRule="exact"/>
        <w:rPr>
          <w:rFonts w:ascii="宋体" w:hAnsi="宋体"/>
          <w:color w:val="auto"/>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E046DD6">
      <w:pPr>
        <w:spacing w:line="400" w:lineRule="exact"/>
        <w:rPr>
          <w:rFonts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5A82DF91">
      <w:pPr>
        <w:spacing w:line="400" w:lineRule="exact"/>
        <w:rPr>
          <w:rFonts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69354681">
      <w:pPr>
        <w:spacing w:line="400" w:lineRule="exact"/>
        <w:rPr>
          <w:rFonts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4737A7FF">
      <w:pPr>
        <w:spacing w:line="400" w:lineRule="exact"/>
        <w:rPr>
          <w:rFonts w:ascii="宋体" w:hAnsi="宋体"/>
          <w:color w:val="auto"/>
          <w:szCs w:val="21"/>
          <w:highlight w:val="none"/>
        </w:rPr>
      </w:pPr>
      <w:r>
        <w:rPr>
          <w:rFonts w:hint="eastAsia" w:ascii="宋体" w:hAnsi="宋体"/>
          <w:color w:val="auto"/>
          <w:szCs w:val="21"/>
          <w:highlight w:val="none"/>
        </w:rPr>
        <w:t>6.投诉书的投诉请求应与投诉事项相关。</w:t>
      </w:r>
    </w:p>
    <w:p w14:paraId="4A78ED3F">
      <w:pPr>
        <w:spacing w:line="400" w:lineRule="exact"/>
        <w:rPr>
          <w:rFonts w:ascii="宋体" w:hAnsi="宋体"/>
          <w:color w:val="auto"/>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0A2A6500">
      <w:pPr>
        <w:spacing w:line="400" w:lineRule="exact"/>
        <w:rPr>
          <w:rFonts w:ascii="宋体" w:hAnsi="宋体"/>
          <w:color w:val="auto"/>
          <w:szCs w:val="21"/>
          <w:highlight w:val="none"/>
        </w:rPr>
      </w:pPr>
      <w:bookmarkStart w:id="129" w:name="_Toc25316"/>
    </w:p>
    <w:p w14:paraId="469815AC">
      <w:pPr>
        <w:pStyle w:val="4"/>
        <w:adjustRightInd w:val="0"/>
        <w:snapToGrid w:val="0"/>
        <w:spacing w:before="0" w:after="0" w:line="300" w:lineRule="auto"/>
        <w:ind w:firstLine="643"/>
        <w:rPr>
          <w:rFonts w:ascii="宋体" w:hAnsi="宋体" w:cs="宋体"/>
          <w:color w:val="auto"/>
          <w:highlight w:val="none"/>
        </w:rPr>
      </w:pPr>
    </w:p>
    <w:p w14:paraId="147B260F">
      <w:pPr>
        <w:pStyle w:val="4"/>
        <w:adjustRightInd w:val="0"/>
        <w:snapToGrid w:val="0"/>
        <w:spacing w:before="0" w:after="0" w:line="300" w:lineRule="auto"/>
        <w:ind w:firstLine="643"/>
        <w:rPr>
          <w:rFonts w:ascii="宋体" w:hAnsi="宋体" w:cs="宋体"/>
          <w:color w:val="auto"/>
          <w:highlight w:val="none"/>
        </w:rPr>
      </w:pPr>
    </w:p>
    <w:p w14:paraId="464B5443">
      <w:pPr>
        <w:pStyle w:val="4"/>
        <w:adjustRightInd w:val="0"/>
        <w:snapToGrid w:val="0"/>
        <w:spacing w:before="0" w:after="0" w:line="300" w:lineRule="auto"/>
        <w:ind w:firstLine="643"/>
        <w:rPr>
          <w:rFonts w:ascii="宋体" w:hAnsi="宋体" w:cs="宋体"/>
          <w:color w:val="auto"/>
          <w:highlight w:val="none"/>
        </w:rPr>
      </w:pPr>
    </w:p>
    <w:p w14:paraId="3D16F6A4">
      <w:pPr>
        <w:pStyle w:val="4"/>
        <w:adjustRightInd w:val="0"/>
        <w:snapToGrid w:val="0"/>
        <w:spacing w:before="0" w:after="0" w:line="300" w:lineRule="auto"/>
        <w:ind w:firstLine="643"/>
        <w:rPr>
          <w:rFonts w:ascii="宋体" w:hAnsi="宋体" w:cs="宋体"/>
          <w:color w:val="auto"/>
          <w:highlight w:val="none"/>
        </w:rPr>
      </w:pPr>
    </w:p>
    <w:p w14:paraId="445F3A8C">
      <w:pPr>
        <w:pStyle w:val="4"/>
        <w:adjustRightInd w:val="0"/>
        <w:snapToGrid w:val="0"/>
        <w:spacing w:before="0" w:after="0" w:line="300" w:lineRule="auto"/>
        <w:ind w:firstLine="643"/>
        <w:rPr>
          <w:rFonts w:ascii="宋体" w:hAnsi="宋体" w:cs="宋体"/>
          <w:color w:val="auto"/>
          <w:highlight w:val="none"/>
        </w:rPr>
      </w:pPr>
    </w:p>
    <w:p w14:paraId="2586B930">
      <w:pPr>
        <w:pStyle w:val="4"/>
        <w:adjustRightInd w:val="0"/>
        <w:snapToGrid w:val="0"/>
        <w:spacing w:before="0" w:after="0" w:line="300" w:lineRule="auto"/>
        <w:ind w:firstLine="643"/>
        <w:rPr>
          <w:rFonts w:ascii="宋体" w:hAnsi="宋体" w:cs="宋体"/>
          <w:color w:val="auto"/>
          <w:highlight w:val="none"/>
        </w:rPr>
      </w:pPr>
    </w:p>
    <w:p w14:paraId="3797BF36">
      <w:pPr>
        <w:pStyle w:val="4"/>
        <w:adjustRightInd w:val="0"/>
        <w:snapToGrid w:val="0"/>
        <w:spacing w:before="0" w:after="0" w:line="300" w:lineRule="auto"/>
        <w:ind w:firstLine="643"/>
        <w:rPr>
          <w:rFonts w:ascii="宋体" w:hAnsi="宋体" w:cs="宋体"/>
          <w:color w:val="auto"/>
          <w:highlight w:val="none"/>
        </w:rPr>
      </w:pPr>
    </w:p>
    <w:p w14:paraId="30030334">
      <w:pPr>
        <w:pStyle w:val="4"/>
        <w:adjustRightInd w:val="0"/>
        <w:snapToGrid w:val="0"/>
        <w:spacing w:before="0" w:after="0" w:line="300" w:lineRule="auto"/>
        <w:ind w:firstLine="643"/>
        <w:rPr>
          <w:rFonts w:ascii="宋体" w:hAnsi="宋体" w:cs="宋体"/>
          <w:color w:val="auto"/>
          <w:highlight w:val="none"/>
        </w:rPr>
      </w:pPr>
    </w:p>
    <w:p w14:paraId="6A0792DA">
      <w:pPr>
        <w:pStyle w:val="4"/>
        <w:adjustRightInd w:val="0"/>
        <w:snapToGrid w:val="0"/>
        <w:spacing w:before="0" w:after="0" w:line="300" w:lineRule="auto"/>
        <w:ind w:firstLine="643"/>
        <w:rPr>
          <w:rFonts w:ascii="宋体" w:hAnsi="宋体" w:cs="宋体"/>
          <w:color w:val="auto"/>
          <w:highlight w:val="none"/>
        </w:rPr>
      </w:pPr>
    </w:p>
    <w:p w14:paraId="672E68F5">
      <w:pPr>
        <w:pStyle w:val="4"/>
        <w:adjustRightInd w:val="0"/>
        <w:snapToGrid w:val="0"/>
        <w:spacing w:before="0" w:after="0" w:line="300" w:lineRule="auto"/>
        <w:ind w:firstLine="643"/>
        <w:rPr>
          <w:rFonts w:ascii="宋体" w:hAnsi="宋体" w:cs="宋体"/>
          <w:color w:val="auto"/>
          <w:highlight w:val="none"/>
        </w:rPr>
      </w:pPr>
    </w:p>
    <w:p w14:paraId="187424BD">
      <w:pPr>
        <w:pStyle w:val="4"/>
        <w:adjustRightInd w:val="0"/>
        <w:snapToGrid w:val="0"/>
        <w:spacing w:before="0" w:after="0" w:line="300" w:lineRule="auto"/>
        <w:ind w:left="0" w:firstLine="643"/>
        <w:jc w:val="both"/>
        <w:rPr>
          <w:rFonts w:ascii="宋体" w:hAnsi="宋体" w:cs="宋体"/>
          <w:color w:val="auto"/>
          <w:highlight w:val="none"/>
        </w:rPr>
      </w:pPr>
    </w:p>
    <w:p w14:paraId="3A968FE4">
      <w:pPr>
        <w:pStyle w:val="12"/>
        <w:ind w:firstLine="400"/>
        <w:rPr>
          <w:rFonts w:ascii="宋体" w:hAnsi="宋体" w:cs="宋体"/>
          <w:color w:val="auto"/>
          <w:highlight w:val="none"/>
        </w:rPr>
      </w:pPr>
    </w:p>
    <w:p w14:paraId="7DCB0184">
      <w:pPr>
        <w:pStyle w:val="12"/>
        <w:ind w:firstLine="400"/>
        <w:rPr>
          <w:rFonts w:ascii="宋体" w:hAnsi="宋体" w:cs="宋体"/>
          <w:color w:val="auto"/>
          <w:highlight w:val="none"/>
        </w:rPr>
      </w:pPr>
    </w:p>
    <w:p w14:paraId="12CFCA9A">
      <w:pPr>
        <w:pStyle w:val="12"/>
        <w:ind w:firstLine="400"/>
        <w:rPr>
          <w:rFonts w:ascii="宋体" w:hAnsi="宋体" w:cs="宋体"/>
          <w:color w:val="auto"/>
          <w:highlight w:val="none"/>
        </w:rPr>
      </w:pPr>
    </w:p>
    <w:p w14:paraId="6EA4893D">
      <w:pPr>
        <w:pStyle w:val="12"/>
        <w:ind w:firstLine="400"/>
        <w:rPr>
          <w:rFonts w:ascii="宋体" w:hAnsi="宋体" w:cs="宋体"/>
          <w:color w:val="auto"/>
          <w:highlight w:val="none"/>
        </w:rPr>
      </w:pPr>
    </w:p>
    <w:p w14:paraId="6471FE95">
      <w:pPr>
        <w:pStyle w:val="12"/>
        <w:ind w:firstLine="400"/>
        <w:rPr>
          <w:rFonts w:ascii="宋体" w:hAnsi="宋体" w:cs="宋体"/>
          <w:color w:val="auto"/>
          <w:highlight w:val="none"/>
        </w:rPr>
      </w:pPr>
    </w:p>
    <w:p w14:paraId="3515CD8D">
      <w:pPr>
        <w:pStyle w:val="12"/>
        <w:ind w:firstLine="400"/>
        <w:rPr>
          <w:rFonts w:ascii="宋体" w:hAnsi="宋体" w:cs="宋体"/>
          <w:color w:val="auto"/>
          <w:highlight w:val="none"/>
        </w:rPr>
      </w:pPr>
    </w:p>
    <w:p w14:paraId="36463235">
      <w:pPr>
        <w:pStyle w:val="12"/>
        <w:ind w:firstLine="400"/>
        <w:rPr>
          <w:rFonts w:ascii="宋体" w:hAnsi="宋体" w:cs="宋体"/>
          <w:color w:val="auto"/>
          <w:highlight w:val="none"/>
        </w:rPr>
      </w:pPr>
    </w:p>
    <w:p w14:paraId="6E29A75A">
      <w:pPr>
        <w:pStyle w:val="12"/>
        <w:ind w:firstLine="400"/>
        <w:rPr>
          <w:rFonts w:ascii="宋体" w:hAnsi="宋体" w:cs="宋体"/>
          <w:color w:val="auto"/>
          <w:highlight w:val="none"/>
        </w:rPr>
      </w:pPr>
    </w:p>
    <w:p w14:paraId="731DEBF1">
      <w:pPr>
        <w:pStyle w:val="12"/>
        <w:ind w:firstLine="400"/>
        <w:rPr>
          <w:rFonts w:ascii="宋体" w:hAnsi="宋体" w:cs="宋体"/>
          <w:color w:val="auto"/>
          <w:highlight w:val="none"/>
        </w:rPr>
      </w:pPr>
    </w:p>
    <w:p w14:paraId="1D8136EA">
      <w:pPr>
        <w:pStyle w:val="4"/>
        <w:adjustRightInd w:val="0"/>
        <w:snapToGrid w:val="0"/>
        <w:spacing w:before="0" w:after="0" w:line="300" w:lineRule="auto"/>
        <w:ind w:left="0" w:firstLine="643"/>
        <w:jc w:val="both"/>
        <w:rPr>
          <w:rFonts w:ascii="宋体" w:hAnsi="宋体" w:cs="宋体"/>
          <w:color w:val="auto"/>
          <w:highlight w:val="none"/>
        </w:rPr>
      </w:pPr>
    </w:p>
    <w:p w14:paraId="238FB07B">
      <w:pPr>
        <w:pStyle w:val="12"/>
        <w:ind w:firstLine="400"/>
        <w:rPr>
          <w:rFonts w:ascii="宋体" w:hAnsi="宋体" w:cs="宋体"/>
          <w:color w:val="auto"/>
          <w:highlight w:val="none"/>
        </w:rPr>
      </w:pPr>
    </w:p>
    <w:p w14:paraId="799B56E1">
      <w:pPr>
        <w:pStyle w:val="12"/>
        <w:ind w:firstLine="400"/>
        <w:rPr>
          <w:rFonts w:ascii="宋体" w:hAnsi="宋体" w:cs="宋体"/>
          <w:color w:val="auto"/>
          <w:highlight w:val="none"/>
        </w:rPr>
      </w:pPr>
    </w:p>
    <w:p w14:paraId="02A267E0">
      <w:pPr>
        <w:rPr>
          <w:rFonts w:hint="eastAsia" w:ascii="宋体" w:hAnsi="宋体" w:cs="宋体"/>
          <w:color w:val="auto"/>
          <w:highlight w:val="none"/>
        </w:rPr>
      </w:pPr>
      <w:bookmarkStart w:id="130" w:name="_Toc7168789"/>
      <w:r>
        <w:rPr>
          <w:rFonts w:hint="eastAsia" w:ascii="宋体" w:hAnsi="宋体" w:cs="宋体"/>
          <w:color w:val="auto"/>
          <w:highlight w:val="none"/>
        </w:rPr>
        <w:br w:type="page"/>
      </w:r>
    </w:p>
    <w:p w14:paraId="05128954">
      <w:pPr>
        <w:pStyle w:val="13"/>
        <w:spacing w:line="360" w:lineRule="auto"/>
        <w:ind w:left="0" w:leftChars="0"/>
        <w:rPr>
          <w:rFonts w:hint="eastAsia" w:ascii="宋体" w:hAnsi="宋体" w:eastAsia="宋体" w:cs="宋体"/>
          <w:color w:val="auto"/>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：电子响应文件编制及报送要求</w:t>
      </w:r>
    </w:p>
    <w:p w14:paraId="3A89320A">
      <w:pPr>
        <w:pStyle w:val="13"/>
        <w:spacing w:line="360" w:lineRule="auto"/>
        <w:ind w:left="0" w:leftChars="0"/>
        <w:jc w:val="center"/>
        <w:rPr>
          <w:rFonts w:hint="eastAsia" w:ascii="宋体" w:hAnsi="宋体" w:eastAsia="宋体" w:cs="宋体"/>
          <w:b/>
          <w:bCs/>
          <w:color w:val="auto"/>
          <w:highlight w:val="none"/>
        </w:rPr>
      </w:pPr>
    </w:p>
    <w:p w14:paraId="2E03526F">
      <w:pPr>
        <w:pStyle w:val="13"/>
        <w:spacing w:line="360" w:lineRule="auto"/>
        <w:ind w:left="0" w:left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电子响应文件编制要求</w:t>
      </w:r>
    </w:p>
    <w:p w14:paraId="00778326">
      <w:pPr>
        <w:pStyle w:val="13"/>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一、供应商应按</w:t>
      </w:r>
      <w:r>
        <w:rPr>
          <w:rFonts w:hint="eastAsia" w:ascii="宋体" w:hAnsi="宋体" w:cs="宋体"/>
          <w:color w:val="auto"/>
          <w:szCs w:val="21"/>
          <w:highlight w:val="none"/>
        </w:rPr>
        <w:t>竞争性谈判</w:t>
      </w:r>
      <w:r>
        <w:rPr>
          <w:rFonts w:hint="eastAsia" w:ascii="宋体" w:hAnsi="宋体" w:eastAsia="宋体" w:cs="宋体"/>
          <w:color w:val="auto"/>
          <w:highlight w:val="none"/>
        </w:rPr>
        <w:t>文件要求编制响应文件，将所有响应文件内容上传至“政采云”平台，</w:t>
      </w:r>
    </w:p>
    <w:p w14:paraId="1775C956">
      <w:pPr>
        <w:pStyle w:val="13"/>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并使用制作响应文件时用来加密的有效数字证书（CA 认证）对响应文件进行解密。</w:t>
      </w:r>
    </w:p>
    <w:p w14:paraId="35AFDE2E">
      <w:pPr>
        <w:pStyle w:val="13"/>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二、电子响应文件中反应供应商资格审查的图片、扫描件、文字描述等，必须清晰可见。</w:t>
      </w:r>
    </w:p>
    <w:p w14:paraId="24E1F1DD">
      <w:pPr>
        <w:pStyle w:val="13"/>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三、供应商应在</w:t>
      </w:r>
      <w:r>
        <w:rPr>
          <w:rFonts w:hint="eastAsia" w:ascii="宋体" w:hAnsi="宋体" w:cs="宋体"/>
          <w:color w:val="auto"/>
          <w:szCs w:val="21"/>
          <w:highlight w:val="none"/>
        </w:rPr>
        <w:t>竞争性谈判</w:t>
      </w:r>
      <w:r>
        <w:rPr>
          <w:rFonts w:hint="eastAsia" w:ascii="宋体" w:hAnsi="宋体" w:eastAsia="宋体" w:cs="宋体"/>
          <w:color w:val="auto"/>
          <w:highlight w:val="none"/>
        </w:rPr>
        <w:t>文件要求提交响应文件的截止时间前，按规定完成电子响应文件上传。</w:t>
      </w:r>
    </w:p>
    <w:p w14:paraId="1938787E">
      <w:pPr>
        <w:pStyle w:val="13"/>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四、若供应商上传的电子响应文件因无法解密而对响应文件无法进行评价的，采购人可以拒绝该供</w:t>
      </w:r>
    </w:p>
    <w:p w14:paraId="6D027010">
      <w:pPr>
        <w:pStyle w:val="13"/>
        <w:spacing w:line="360" w:lineRule="auto"/>
        <w:ind w:left="0" w:leftChars="0"/>
        <w:rPr>
          <w:rFonts w:hint="eastAsia" w:ascii="宋体" w:hAnsi="宋体" w:eastAsia="宋体" w:cs="宋体"/>
          <w:color w:val="auto"/>
          <w:highlight w:val="none"/>
        </w:rPr>
        <w:sectPr>
          <w:footerReference r:id="rId7" w:type="default"/>
          <w:pgSz w:w="11907" w:h="16840"/>
          <w:pgMar w:top="993" w:right="1114" w:bottom="1418" w:left="1273" w:header="737" w:footer="992" w:gutter="0"/>
          <w:pgNumType w:fmt="decimal" w:start="1"/>
          <w:cols w:space="720" w:num="1"/>
        </w:sectPr>
      </w:pPr>
      <w:r>
        <w:rPr>
          <w:rFonts w:hint="eastAsia" w:ascii="宋体" w:hAnsi="宋体" w:eastAsia="宋体" w:cs="宋体"/>
          <w:color w:val="auto"/>
          <w:highlight w:val="none"/>
        </w:rPr>
        <w:t>应商报价。</w:t>
      </w:r>
    </w:p>
    <w:p w14:paraId="5FC92C00">
      <w:pPr>
        <w:pStyle w:val="4"/>
        <w:adjustRightInd w:val="0"/>
        <w:snapToGrid w:val="0"/>
        <w:spacing w:before="0" w:after="0" w:line="300" w:lineRule="auto"/>
        <w:ind w:left="0" w:firstLine="643"/>
        <w:rPr>
          <w:rFonts w:ascii="宋体" w:hAnsi="宋体" w:cs="宋体"/>
          <w:color w:val="auto"/>
          <w:highlight w:val="none"/>
        </w:rPr>
      </w:pPr>
      <w:r>
        <w:rPr>
          <w:rFonts w:hint="eastAsia" w:ascii="宋体" w:hAnsi="宋体" w:cs="宋体"/>
          <w:color w:val="auto"/>
          <w:highlight w:val="none"/>
        </w:rPr>
        <w:t>二、竞争性谈判须知</w:t>
      </w:r>
      <w:bookmarkEnd w:id="54"/>
      <w:bookmarkEnd w:id="55"/>
      <w:bookmarkEnd w:id="56"/>
      <w:bookmarkEnd w:id="59"/>
      <w:bookmarkEnd w:id="60"/>
      <w:bookmarkEnd w:id="61"/>
      <w:bookmarkEnd w:id="62"/>
      <w:bookmarkEnd w:id="63"/>
      <w:bookmarkEnd w:id="64"/>
      <w:bookmarkEnd w:id="65"/>
      <w:bookmarkEnd w:id="66"/>
      <w:bookmarkEnd w:id="67"/>
      <w:bookmarkEnd w:id="68"/>
      <w:bookmarkEnd w:id="129"/>
      <w:bookmarkEnd w:id="130"/>
    </w:p>
    <w:p w14:paraId="5677D40B">
      <w:pPr>
        <w:pStyle w:val="23"/>
        <w:adjustRightInd w:val="0"/>
        <w:snapToGrid w:val="0"/>
        <w:spacing w:line="300" w:lineRule="auto"/>
        <w:ind w:firstLine="422"/>
        <w:jc w:val="left"/>
        <w:rPr>
          <w:rFonts w:ascii="宋体" w:hAnsi="宋体" w:cs="宋体"/>
          <w:b/>
          <w:bCs/>
          <w:color w:val="auto"/>
          <w:sz w:val="21"/>
          <w:szCs w:val="21"/>
          <w:highlight w:val="none"/>
        </w:rPr>
      </w:pPr>
    </w:p>
    <w:p w14:paraId="52AF689B">
      <w:pPr>
        <w:pStyle w:val="23"/>
        <w:adjustRightInd w:val="0"/>
        <w:snapToGrid w:val="0"/>
        <w:spacing w:line="300" w:lineRule="auto"/>
        <w:ind w:firstLine="422"/>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（一） 说  明</w:t>
      </w:r>
    </w:p>
    <w:p w14:paraId="78678419">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1．采购人</w:t>
      </w:r>
    </w:p>
    <w:p w14:paraId="30A18727">
      <w:pPr>
        <w:widowControl/>
        <w:adjustRightInd w:val="0"/>
        <w:snapToGrid w:val="0"/>
        <w:spacing w:line="360" w:lineRule="auto"/>
        <w:jc w:val="left"/>
        <w:rPr>
          <w:rFonts w:ascii="宋体" w:hAnsi="宋体" w:cs="宋体"/>
          <w:color w:val="auto"/>
          <w:kern w:val="0"/>
          <w:szCs w:val="21"/>
          <w:highlight w:val="none"/>
        </w:rPr>
      </w:pPr>
      <w:r>
        <w:rPr>
          <w:rFonts w:hint="eastAsia" w:ascii="宋体" w:hAnsi="宋体" w:cs="宋体"/>
          <w:bCs/>
          <w:color w:val="auto"/>
          <w:szCs w:val="21"/>
          <w:highlight w:val="none"/>
        </w:rPr>
        <w:t xml:space="preserve">    详见</w:t>
      </w:r>
      <w:r>
        <w:rPr>
          <w:rFonts w:hint="eastAsia" w:ascii="宋体" w:hAnsi="宋体" w:cs="宋体"/>
          <w:color w:val="auto"/>
          <w:kern w:val="0"/>
          <w:szCs w:val="21"/>
          <w:highlight w:val="none"/>
        </w:rPr>
        <w:t>《竞争性谈判须知前附表》</w:t>
      </w:r>
    </w:p>
    <w:p w14:paraId="1A046DA7">
      <w:pPr>
        <w:widowControl/>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2．采购方式</w:t>
      </w:r>
    </w:p>
    <w:p w14:paraId="07D22410">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详见</w:t>
      </w:r>
      <w:r>
        <w:rPr>
          <w:rFonts w:hint="eastAsia" w:ascii="宋体" w:hAnsi="宋体" w:cs="宋体"/>
          <w:color w:val="auto"/>
          <w:kern w:val="0"/>
          <w:szCs w:val="21"/>
          <w:highlight w:val="none"/>
        </w:rPr>
        <w:t>《竞争性谈判须知前附表》</w:t>
      </w:r>
    </w:p>
    <w:p w14:paraId="56A707BA">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3．资金来源</w:t>
      </w:r>
    </w:p>
    <w:p w14:paraId="412523B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详见《竞争性谈判须知前附表》</w:t>
      </w:r>
    </w:p>
    <w:p w14:paraId="3AF8DC39">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4．采购预算</w:t>
      </w:r>
    </w:p>
    <w:p w14:paraId="78CAA842">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详见</w:t>
      </w:r>
      <w:r>
        <w:rPr>
          <w:rFonts w:hint="eastAsia" w:ascii="宋体" w:hAnsi="宋体" w:cs="宋体"/>
          <w:color w:val="auto"/>
          <w:kern w:val="0"/>
          <w:szCs w:val="21"/>
          <w:highlight w:val="none"/>
        </w:rPr>
        <w:t>《竞争性谈判须知前附表》</w:t>
      </w:r>
    </w:p>
    <w:p w14:paraId="46F38D6A">
      <w:pPr>
        <w:pStyle w:val="23"/>
        <w:adjustRightInd w:val="0"/>
        <w:snapToGrid w:val="0"/>
        <w:spacing w:line="360" w:lineRule="auto"/>
        <w:ind w:firstLine="422"/>
        <w:jc w:val="center"/>
        <w:rPr>
          <w:rFonts w:ascii="宋体" w:hAnsi="宋体" w:cs="宋体"/>
          <w:b/>
          <w:bCs/>
          <w:color w:val="auto"/>
          <w:sz w:val="21"/>
          <w:szCs w:val="21"/>
          <w:highlight w:val="none"/>
        </w:rPr>
      </w:pPr>
    </w:p>
    <w:p w14:paraId="565C7566">
      <w:pPr>
        <w:pStyle w:val="23"/>
        <w:adjustRightInd w:val="0"/>
        <w:snapToGrid w:val="0"/>
        <w:spacing w:line="360" w:lineRule="auto"/>
        <w:ind w:firstLine="422"/>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（二）竞争性谈判文件</w:t>
      </w:r>
    </w:p>
    <w:p w14:paraId="3B2EE20A">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5．竞争性谈判文件构成</w:t>
      </w:r>
    </w:p>
    <w:p w14:paraId="4FAF1FCE">
      <w:pPr>
        <w:pStyle w:val="23"/>
        <w:adjustRightInd w:val="0"/>
        <w:snapToGrid w:val="0"/>
        <w:spacing w:line="360" w:lineRule="auto"/>
        <w:ind w:firstLine="367" w:firstLineChars="175"/>
        <w:rPr>
          <w:rFonts w:ascii="宋体" w:hAnsi="宋体" w:cs="宋体"/>
          <w:color w:val="auto"/>
          <w:sz w:val="21"/>
          <w:szCs w:val="21"/>
          <w:highlight w:val="none"/>
        </w:rPr>
      </w:pPr>
      <w:bookmarkStart w:id="131" w:name="_Toc238630512"/>
      <w:r>
        <w:rPr>
          <w:rFonts w:hint="eastAsia" w:ascii="宋体" w:hAnsi="宋体" w:cs="宋体"/>
          <w:color w:val="auto"/>
          <w:sz w:val="21"/>
          <w:szCs w:val="21"/>
          <w:highlight w:val="none"/>
        </w:rPr>
        <w:t>5.1 竞争性谈判文件包括下列部分：</w:t>
      </w:r>
      <w:bookmarkEnd w:id="131"/>
    </w:p>
    <w:p w14:paraId="795D039F">
      <w:pPr>
        <w:pStyle w:val="23"/>
        <w:adjustRightInd w:val="0"/>
        <w:snapToGrid w:val="0"/>
        <w:spacing w:line="360" w:lineRule="auto"/>
        <w:ind w:firstLine="420" w:firstLineChars="200"/>
        <w:rPr>
          <w:rFonts w:ascii="宋体" w:hAnsi="宋体" w:cs="宋体"/>
          <w:color w:val="auto"/>
          <w:sz w:val="21"/>
          <w:szCs w:val="21"/>
          <w:highlight w:val="none"/>
        </w:rPr>
      </w:pPr>
      <w:bookmarkStart w:id="132" w:name="_Toc238630513"/>
      <w:r>
        <w:rPr>
          <w:rFonts w:hint="eastAsia" w:ascii="宋体" w:hAnsi="宋体" w:cs="宋体"/>
          <w:color w:val="auto"/>
          <w:sz w:val="21"/>
          <w:szCs w:val="21"/>
          <w:highlight w:val="none"/>
        </w:rPr>
        <w:t>第一部分</w:t>
      </w:r>
      <w:bookmarkEnd w:id="132"/>
      <w:r>
        <w:rPr>
          <w:rFonts w:hint="eastAsia" w:ascii="宋体" w:hAnsi="宋体" w:cs="宋体"/>
          <w:color w:val="auto"/>
          <w:sz w:val="21"/>
          <w:szCs w:val="21"/>
          <w:highlight w:val="none"/>
        </w:rPr>
        <w:t>：竞争性谈判公告</w:t>
      </w:r>
    </w:p>
    <w:p w14:paraId="61107BEB">
      <w:pPr>
        <w:pStyle w:val="23"/>
        <w:adjustRightInd w:val="0"/>
        <w:snapToGrid w:val="0"/>
        <w:spacing w:line="360" w:lineRule="auto"/>
        <w:ind w:firstLine="420" w:firstLineChars="200"/>
        <w:rPr>
          <w:rFonts w:ascii="宋体" w:hAnsi="宋体" w:cs="宋体"/>
          <w:color w:val="auto"/>
          <w:sz w:val="21"/>
          <w:szCs w:val="21"/>
          <w:highlight w:val="none"/>
        </w:rPr>
      </w:pPr>
      <w:bookmarkStart w:id="133" w:name="_Toc238630515"/>
      <w:r>
        <w:rPr>
          <w:rFonts w:hint="eastAsia" w:ascii="宋体" w:hAnsi="宋体" w:cs="宋体"/>
          <w:color w:val="auto"/>
          <w:sz w:val="21"/>
          <w:szCs w:val="21"/>
          <w:highlight w:val="none"/>
        </w:rPr>
        <w:t>第二</w:t>
      </w:r>
      <w:bookmarkEnd w:id="133"/>
      <w:r>
        <w:rPr>
          <w:rFonts w:hint="eastAsia" w:ascii="宋体" w:hAnsi="宋体" w:cs="宋体"/>
          <w:color w:val="auto"/>
          <w:sz w:val="21"/>
          <w:szCs w:val="21"/>
          <w:highlight w:val="none"/>
        </w:rPr>
        <w:t>部分：一、竞争性谈判须知前附表</w:t>
      </w:r>
      <w:bookmarkStart w:id="134" w:name="_Toc238630518"/>
    </w:p>
    <w:p w14:paraId="6F2A3A3A">
      <w:pPr>
        <w:pStyle w:val="23"/>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二、竞争性谈判须知</w:t>
      </w:r>
    </w:p>
    <w:bookmarkEnd w:id="134"/>
    <w:p w14:paraId="33A442FA">
      <w:pPr>
        <w:pStyle w:val="23"/>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第三部分：合同专用条款</w:t>
      </w:r>
    </w:p>
    <w:p w14:paraId="5122F796">
      <w:pPr>
        <w:pStyle w:val="23"/>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第四部分：项目需求</w:t>
      </w:r>
    </w:p>
    <w:p w14:paraId="63C7E3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第五部分：响应文件格式</w:t>
      </w:r>
    </w:p>
    <w:p w14:paraId="492446A3">
      <w:pPr>
        <w:pStyle w:val="23"/>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第六部分：谈判原则和成交标准</w:t>
      </w:r>
    </w:p>
    <w:p w14:paraId="787FF712">
      <w:pPr>
        <w:pStyle w:val="23"/>
        <w:adjustRightInd w:val="0"/>
        <w:snapToGrid w:val="0"/>
        <w:spacing w:line="360" w:lineRule="auto"/>
        <w:ind w:firstLine="367" w:firstLineChars="175"/>
        <w:rPr>
          <w:rFonts w:ascii="宋体" w:hAnsi="宋体" w:cs="宋体"/>
          <w:color w:val="auto"/>
          <w:sz w:val="21"/>
          <w:szCs w:val="21"/>
          <w:highlight w:val="none"/>
        </w:rPr>
      </w:pPr>
      <w:bookmarkStart w:id="135" w:name="_Toc238630524"/>
      <w:r>
        <w:rPr>
          <w:rFonts w:hint="eastAsia" w:ascii="宋体" w:hAnsi="宋体" w:cs="宋体"/>
          <w:color w:val="auto"/>
          <w:sz w:val="21"/>
          <w:szCs w:val="21"/>
          <w:highlight w:val="none"/>
        </w:rPr>
        <w:t>5.2供应商应认真阅读竞争性谈判文件中的所有须知、格式、条款、规范和其他资料。如果没有按照竞争性谈判文件要求完整地提交全部资料或响应文件,没有对竞争性谈判文件做出实质性响应，其风险由供应商自行承担。</w:t>
      </w:r>
      <w:bookmarkEnd w:id="135"/>
    </w:p>
    <w:p w14:paraId="4BB5893E">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6．竞争性谈判文件的澄清</w:t>
      </w:r>
    </w:p>
    <w:p w14:paraId="12017659">
      <w:pPr>
        <w:pStyle w:val="23"/>
        <w:adjustRightInd w:val="0"/>
        <w:snapToGrid w:val="0"/>
        <w:spacing w:line="360" w:lineRule="auto"/>
        <w:ind w:firstLine="315" w:firstLineChars="150"/>
        <w:rPr>
          <w:rFonts w:ascii="宋体" w:hAnsi="宋体" w:cs="宋体"/>
          <w:color w:val="auto"/>
          <w:sz w:val="21"/>
          <w:szCs w:val="21"/>
          <w:highlight w:val="none"/>
        </w:rPr>
      </w:pPr>
      <w:bookmarkStart w:id="136" w:name="_Toc238630525"/>
      <w:r>
        <w:rPr>
          <w:rFonts w:hint="eastAsia" w:ascii="宋体" w:hAnsi="宋体" w:cs="宋体"/>
          <w:color w:val="auto"/>
          <w:sz w:val="21"/>
          <w:szCs w:val="21"/>
          <w:highlight w:val="none"/>
        </w:rPr>
        <w:t>6.1任何要求对竞争性谈判文件进行澄清的谈判文件收受人，均应以书面形式（如电传、传真、电报、信函等）通知采购代理机构，采购代理机构应当对收到的任何澄清要求将视具体情况，分别做出解释和说明，必要时应以书面形式通知所有竞争性谈判文件收受人（答复中包括所提问题，但不包括问题的来源）。该澄清文件内容为竞争性谈判文件的组成部分</w:t>
      </w:r>
      <w:bookmarkEnd w:id="136"/>
      <w:r>
        <w:rPr>
          <w:rFonts w:hint="eastAsia" w:ascii="宋体" w:hAnsi="宋体" w:cs="宋体"/>
          <w:color w:val="auto"/>
          <w:sz w:val="21"/>
          <w:szCs w:val="21"/>
          <w:highlight w:val="none"/>
        </w:rPr>
        <w:t>，澄清的内容影响响应文件编制的，采购代理机构、采购人当在提交首次响应文件截止之日3个工作日前，以书面形式通知所有接受谈判文件的供应商，不足3个工作日的，应当顺延提交首次文件截止之日。</w:t>
      </w:r>
    </w:p>
    <w:p w14:paraId="2428C02F">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7．竞争性谈判文件的修改</w:t>
      </w:r>
    </w:p>
    <w:p w14:paraId="6AAF9B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7.1在谈判截止期前，采购代理机构和采购人可主动地或在解答竞争性谈判文件收受人提出的澄清问题时对竞争性谈判文件进行修改。</w:t>
      </w:r>
    </w:p>
    <w:p w14:paraId="4070ECD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采购代理机构对已发出的竞争性谈判文件进行必要的修改的，应当在谈判截止时间前以书面形式通知所竞争性谈判文件收受人，并对其具有约束力，竞争性谈判文件收受人在收到上述通知后，应立即向采购代理机构回函确认。</w:t>
      </w:r>
    </w:p>
    <w:p w14:paraId="4107E67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为使供应商有充分的时间准备谈判，并对竞争性谈判文件的修改部分进行研究，该修改文件内容为竞争性谈判文件的组成部分，修改的内容影响相应文件编制的，采购代理机构、采购人当在提交首次响应文件截止之日3个工作日前，以书面形式通知所有接受谈判文件的供应商，不足3个工作日的，应当顺延提交首次文件截止之日。</w:t>
      </w:r>
    </w:p>
    <w:p w14:paraId="32A082BC">
      <w:pPr>
        <w:pStyle w:val="23"/>
        <w:adjustRightInd w:val="0"/>
        <w:snapToGrid w:val="0"/>
        <w:spacing w:line="360" w:lineRule="auto"/>
        <w:ind w:firstLine="422"/>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（三）响应文件的编制</w:t>
      </w:r>
    </w:p>
    <w:p w14:paraId="37C594AF">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8．响应文件的语言及度量衡单位</w:t>
      </w:r>
    </w:p>
    <w:p w14:paraId="2BF0D1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 供应商提交的响应文件以及供应商就有关谈判的所有来往函电均应使用中文。</w:t>
      </w:r>
    </w:p>
    <w:p w14:paraId="5C8954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 响应文件所使用的度量衡单位，除谈判文件中特殊要求外，应采用中华人民共和国法定计量单位。</w:t>
      </w:r>
    </w:p>
    <w:p w14:paraId="36343463">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9．响应文件构成</w:t>
      </w:r>
    </w:p>
    <w:p w14:paraId="3BEBC65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9.1供应商应按竞争性谈判文件提供的响应文件格式完整地填写响应文件。</w:t>
      </w:r>
    </w:p>
    <w:p w14:paraId="73851CA2">
      <w:pPr>
        <w:keepNext w:val="0"/>
        <w:keepLines w:val="0"/>
        <w:pageBreakBefore w:val="0"/>
        <w:widowControl w:val="0"/>
        <w:numPr>
          <w:ilvl w:val="0"/>
          <w:numId w:val="1"/>
        </w:numPr>
        <w:tabs>
          <w:tab w:val="left" w:pos="1155"/>
        </w:tabs>
        <w:kinsoku/>
        <w:wordWrap/>
        <w:overflowPunct/>
        <w:topLinePunct w:val="0"/>
        <w:autoSpaceDE/>
        <w:autoSpaceDN/>
        <w:bidi w:val="0"/>
        <w:adjustRightInd w:val="0"/>
        <w:snapToGrid w:val="0"/>
        <w:spacing w:line="360" w:lineRule="auto"/>
        <w:ind w:left="846" w:leftChars="0" w:hanging="420" w:firstLineChars="0"/>
        <w:textAlignment w:val="auto"/>
        <w:rPr>
          <w:rFonts w:ascii="宋体" w:hAnsi="宋体" w:cs="宋体"/>
          <w:color w:val="auto"/>
          <w:szCs w:val="21"/>
          <w:highlight w:val="none"/>
        </w:rPr>
      </w:pPr>
      <w:r>
        <w:rPr>
          <w:rFonts w:hint="eastAsia" w:ascii="宋体" w:hAnsi="宋体" w:cs="宋体"/>
          <w:color w:val="auto"/>
          <w:szCs w:val="21"/>
          <w:highlight w:val="none"/>
        </w:rPr>
        <w:t>报价函</w:t>
      </w:r>
    </w:p>
    <w:p w14:paraId="6A9D1BD2">
      <w:pPr>
        <w:keepNext w:val="0"/>
        <w:keepLines w:val="0"/>
        <w:pageBreakBefore w:val="0"/>
        <w:widowControl w:val="0"/>
        <w:numPr>
          <w:ilvl w:val="0"/>
          <w:numId w:val="1"/>
        </w:numPr>
        <w:tabs>
          <w:tab w:val="left" w:pos="1155"/>
        </w:tabs>
        <w:kinsoku/>
        <w:wordWrap/>
        <w:overflowPunct/>
        <w:topLinePunct w:val="0"/>
        <w:autoSpaceDE/>
        <w:autoSpaceDN/>
        <w:bidi w:val="0"/>
        <w:adjustRightInd w:val="0"/>
        <w:snapToGrid w:val="0"/>
        <w:spacing w:line="360" w:lineRule="auto"/>
        <w:ind w:left="846" w:leftChars="0" w:hanging="420" w:firstLineChars="0"/>
        <w:textAlignment w:val="auto"/>
        <w:rPr>
          <w:rFonts w:ascii="宋体" w:hAnsi="宋体" w:cs="宋体"/>
          <w:color w:val="auto"/>
          <w:szCs w:val="21"/>
          <w:highlight w:val="none"/>
        </w:rPr>
      </w:pPr>
      <w:r>
        <w:rPr>
          <w:rFonts w:hint="eastAsia" w:ascii="宋体" w:hAnsi="宋体" w:cs="宋体"/>
          <w:color w:val="auto"/>
          <w:szCs w:val="21"/>
          <w:highlight w:val="none"/>
        </w:rPr>
        <w:t>报价一览表</w:t>
      </w:r>
    </w:p>
    <w:p w14:paraId="1C7FB73D">
      <w:pPr>
        <w:keepNext w:val="0"/>
        <w:keepLines w:val="0"/>
        <w:pageBreakBefore w:val="0"/>
        <w:widowControl w:val="0"/>
        <w:numPr>
          <w:ilvl w:val="0"/>
          <w:numId w:val="1"/>
        </w:numPr>
        <w:tabs>
          <w:tab w:val="left" w:pos="1155"/>
        </w:tabs>
        <w:kinsoku/>
        <w:wordWrap/>
        <w:overflowPunct/>
        <w:topLinePunct w:val="0"/>
        <w:autoSpaceDE/>
        <w:autoSpaceDN/>
        <w:bidi w:val="0"/>
        <w:adjustRightInd w:val="0"/>
        <w:snapToGrid w:val="0"/>
        <w:spacing w:line="360" w:lineRule="auto"/>
        <w:ind w:left="846" w:leftChars="0" w:hanging="420" w:firstLineChars="0"/>
        <w:textAlignment w:val="auto"/>
        <w:rPr>
          <w:rFonts w:ascii="宋体" w:hAnsi="宋体" w:cs="宋体"/>
          <w:color w:val="auto"/>
          <w:szCs w:val="21"/>
          <w:highlight w:val="none"/>
        </w:rPr>
      </w:pPr>
      <w:r>
        <w:rPr>
          <w:rFonts w:hint="eastAsia" w:ascii="宋体" w:hAnsi="宋体" w:cs="宋体"/>
          <w:color w:val="auto"/>
          <w:szCs w:val="21"/>
          <w:highlight w:val="none"/>
        </w:rPr>
        <w:t>法定代表人身份证明或附有法定代表人身份证明的授权委托书</w:t>
      </w:r>
    </w:p>
    <w:p w14:paraId="65A63568">
      <w:pPr>
        <w:keepNext w:val="0"/>
        <w:keepLines w:val="0"/>
        <w:pageBreakBefore w:val="0"/>
        <w:widowControl w:val="0"/>
        <w:numPr>
          <w:ilvl w:val="0"/>
          <w:numId w:val="1"/>
        </w:numPr>
        <w:tabs>
          <w:tab w:val="left" w:pos="1155"/>
        </w:tabs>
        <w:kinsoku/>
        <w:wordWrap/>
        <w:overflowPunct/>
        <w:topLinePunct w:val="0"/>
        <w:autoSpaceDE/>
        <w:autoSpaceDN/>
        <w:bidi w:val="0"/>
        <w:adjustRightInd w:val="0"/>
        <w:snapToGrid w:val="0"/>
        <w:spacing w:line="360" w:lineRule="auto"/>
        <w:ind w:left="846" w:leftChars="0" w:hanging="420" w:firstLineChars="0"/>
        <w:textAlignment w:val="auto"/>
        <w:rPr>
          <w:rFonts w:ascii="宋体" w:hAnsi="宋体" w:cs="宋体"/>
          <w:color w:val="auto"/>
          <w:szCs w:val="21"/>
          <w:highlight w:val="none"/>
        </w:rPr>
      </w:pPr>
      <w:r>
        <w:rPr>
          <w:rFonts w:hint="eastAsia" w:ascii="宋体" w:hAnsi="宋体" w:cs="宋体"/>
          <w:color w:val="auto"/>
          <w:szCs w:val="21"/>
          <w:highlight w:val="none"/>
        </w:rPr>
        <w:t>谈判保证金</w:t>
      </w:r>
    </w:p>
    <w:p w14:paraId="76ED2D5D">
      <w:pPr>
        <w:keepNext w:val="0"/>
        <w:keepLines w:val="0"/>
        <w:pageBreakBefore w:val="0"/>
        <w:widowControl w:val="0"/>
        <w:numPr>
          <w:ilvl w:val="0"/>
          <w:numId w:val="1"/>
        </w:numPr>
        <w:tabs>
          <w:tab w:val="left" w:pos="1155"/>
        </w:tabs>
        <w:kinsoku/>
        <w:wordWrap/>
        <w:overflowPunct/>
        <w:topLinePunct w:val="0"/>
        <w:autoSpaceDE/>
        <w:autoSpaceDN/>
        <w:bidi w:val="0"/>
        <w:adjustRightInd w:val="0"/>
        <w:snapToGrid w:val="0"/>
        <w:spacing w:line="360" w:lineRule="auto"/>
        <w:ind w:left="846" w:leftChars="0" w:hanging="420" w:firstLineChars="0"/>
        <w:textAlignment w:val="auto"/>
        <w:rPr>
          <w:rFonts w:ascii="宋体" w:hAnsi="宋体" w:cs="宋体"/>
          <w:color w:val="auto"/>
          <w:szCs w:val="21"/>
          <w:highlight w:val="none"/>
        </w:rPr>
      </w:pPr>
      <w:r>
        <w:rPr>
          <w:rFonts w:hint="eastAsia" w:ascii="宋体" w:hAnsi="宋体" w:cs="宋体"/>
          <w:bCs/>
          <w:color w:val="auto"/>
          <w:szCs w:val="21"/>
          <w:highlight w:val="none"/>
          <w:lang w:val="zh-CN"/>
        </w:rPr>
        <w:t>商务和技术偏差表</w:t>
      </w:r>
    </w:p>
    <w:p w14:paraId="22615CAF">
      <w:pPr>
        <w:keepNext w:val="0"/>
        <w:keepLines w:val="0"/>
        <w:pageBreakBefore w:val="0"/>
        <w:widowControl w:val="0"/>
        <w:numPr>
          <w:ilvl w:val="0"/>
          <w:numId w:val="1"/>
        </w:numPr>
        <w:tabs>
          <w:tab w:val="left" w:pos="1155"/>
        </w:tabs>
        <w:kinsoku/>
        <w:wordWrap/>
        <w:overflowPunct/>
        <w:topLinePunct w:val="0"/>
        <w:autoSpaceDE/>
        <w:autoSpaceDN/>
        <w:bidi w:val="0"/>
        <w:adjustRightInd w:val="0"/>
        <w:snapToGrid w:val="0"/>
        <w:spacing w:line="360" w:lineRule="auto"/>
        <w:ind w:left="846" w:leftChars="0" w:hanging="420" w:firstLineChars="0"/>
        <w:textAlignment w:val="auto"/>
        <w:rPr>
          <w:rFonts w:ascii="宋体" w:hAnsi="宋体" w:cs="宋体"/>
          <w:color w:val="auto"/>
          <w:szCs w:val="21"/>
          <w:highlight w:val="none"/>
        </w:rPr>
      </w:pPr>
      <w:r>
        <w:rPr>
          <w:rFonts w:hint="eastAsia" w:ascii="宋体" w:hAnsi="宋体" w:cs="宋体"/>
          <w:color w:val="auto"/>
          <w:szCs w:val="21"/>
          <w:highlight w:val="none"/>
        </w:rPr>
        <w:t>分项报价表</w:t>
      </w:r>
    </w:p>
    <w:p w14:paraId="3D3E222F">
      <w:pPr>
        <w:keepNext w:val="0"/>
        <w:keepLines w:val="0"/>
        <w:pageBreakBefore w:val="0"/>
        <w:widowControl w:val="0"/>
        <w:numPr>
          <w:ilvl w:val="0"/>
          <w:numId w:val="1"/>
        </w:numPr>
        <w:tabs>
          <w:tab w:val="left" w:pos="1155"/>
        </w:tabs>
        <w:kinsoku/>
        <w:wordWrap/>
        <w:overflowPunct/>
        <w:topLinePunct w:val="0"/>
        <w:autoSpaceDE/>
        <w:autoSpaceDN/>
        <w:bidi w:val="0"/>
        <w:adjustRightInd w:val="0"/>
        <w:snapToGrid w:val="0"/>
        <w:spacing w:line="360" w:lineRule="auto"/>
        <w:ind w:left="846" w:leftChars="0" w:hanging="420" w:firstLineChars="0"/>
        <w:textAlignment w:val="auto"/>
        <w:rPr>
          <w:rFonts w:ascii="宋体" w:hAnsi="宋体" w:cs="宋体"/>
          <w:color w:val="auto"/>
          <w:szCs w:val="21"/>
          <w:highlight w:val="none"/>
        </w:rPr>
      </w:pPr>
      <w:r>
        <w:rPr>
          <w:rFonts w:hint="eastAsia" w:ascii="宋体" w:hAnsi="宋体" w:cs="宋体"/>
          <w:bCs/>
          <w:color w:val="auto"/>
          <w:szCs w:val="21"/>
          <w:highlight w:val="none"/>
          <w:lang w:val="zh-CN"/>
        </w:rPr>
        <w:t>资格审查资料</w:t>
      </w:r>
    </w:p>
    <w:p w14:paraId="46FC6190">
      <w:pPr>
        <w:keepNext w:val="0"/>
        <w:keepLines w:val="0"/>
        <w:pageBreakBefore w:val="0"/>
        <w:widowControl w:val="0"/>
        <w:numPr>
          <w:ilvl w:val="0"/>
          <w:numId w:val="1"/>
        </w:numPr>
        <w:tabs>
          <w:tab w:val="left" w:pos="1155"/>
        </w:tabs>
        <w:kinsoku/>
        <w:wordWrap/>
        <w:overflowPunct/>
        <w:topLinePunct w:val="0"/>
        <w:autoSpaceDE/>
        <w:autoSpaceDN/>
        <w:bidi w:val="0"/>
        <w:adjustRightInd w:val="0"/>
        <w:snapToGrid w:val="0"/>
        <w:spacing w:line="360" w:lineRule="auto"/>
        <w:ind w:left="846" w:leftChars="0" w:hanging="420" w:firstLineChars="0"/>
        <w:textAlignment w:val="auto"/>
        <w:rPr>
          <w:rFonts w:ascii="宋体" w:hAnsi="宋体" w:cs="宋体"/>
          <w:color w:val="auto"/>
          <w:szCs w:val="21"/>
          <w:highlight w:val="none"/>
        </w:rPr>
      </w:pPr>
      <w:r>
        <w:rPr>
          <w:rFonts w:hint="eastAsia" w:ascii="宋体" w:hAnsi="宋体" w:cs="宋体"/>
          <w:color w:val="auto"/>
          <w:szCs w:val="21"/>
          <w:highlight w:val="none"/>
          <w:lang w:val="zh-CN"/>
        </w:rPr>
        <w:t>技术部分</w:t>
      </w:r>
    </w:p>
    <w:p w14:paraId="12C8727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846" w:leftChars="0" w:hanging="420" w:firstLineChars="0"/>
        <w:textAlignment w:val="auto"/>
        <w:rPr>
          <w:rFonts w:ascii="宋体" w:hAnsi="宋体" w:cs="宋体"/>
          <w:color w:val="auto"/>
          <w:szCs w:val="21"/>
          <w:highlight w:val="none"/>
        </w:rPr>
      </w:pPr>
      <w:r>
        <w:rPr>
          <w:rFonts w:hint="eastAsia" w:ascii="宋体" w:hAnsi="宋体" w:cs="宋体"/>
          <w:color w:val="auto"/>
          <w:szCs w:val="21"/>
          <w:highlight w:val="none"/>
          <w:lang w:val="zh-CN"/>
        </w:rPr>
        <w:t>其他资料</w:t>
      </w:r>
    </w:p>
    <w:p w14:paraId="5220D751">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w:t>
      </w:r>
      <w:r>
        <w:rPr>
          <w:rFonts w:hint="eastAsia" w:ascii="宋体" w:hAnsi="宋体" w:cs="宋体"/>
          <w:color w:val="auto"/>
          <w:szCs w:val="21"/>
          <w:highlight w:val="none"/>
        </w:rPr>
        <w:t xml:space="preserve"> 供应商的报价分别不得超过采购预算，采购预算在竞争性谈判须知前附表中载明。</w:t>
      </w:r>
    </w:p>
    <w:p w14:paraId="23BEE324">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11. 除非合同条款中另有规定，否则，</w:t>
      </w:r>
      <w:r>
        <w:rPr>
          <w:rFonts w:hint="eastAsia" w:ascii="宋体" w:hAnsi="宋体" w:cs="宋体"/>
          <w:color w:val="auto"/>
          <w:szCs w:val="21"/>
          <w:highlight w:val="none"/>
        </w:rPr>
        <w:t>供应商</w:t>
      </w:r>
      <w:r>
        <w:rPr>
          <w:rFonts w:hint="eastAsia" w:ascii="宋体" w:hAnsi="宋体" w:cs="宋体"/>
          <w:color w:val="auto"/>
          <w:kern w:val="0"/>
          <w:szCs w:val="21"/>
          <w:highlight w:val="none"/>
        </w:rPr>
        <w:t>所报价格在合同实施期间不因市场变化因素而变动。</w:t>
      </w:r>
    </w:p>
    <w:p w14:paraId="721B0655">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12．谈判保证金</w:t>
      </w:r>
    </w:p>
    <w:p w14:paraId="325936A4">
      <w:pPr>
        <w:adjustRightInd w:val="0"/>
        <w:snapToGrid w:val="0"/>
        <w:spacing w:line="360" w:lineRule="auto"/>
        <w:ind w:firstLine="315" w:firstLineChars="150"/>
        <w:rPr>
          <w:rFonts w:ascii="宋体" w:hAnsi="宋体" w:cs="宋体"/>
          <w:color w:val="auto"/>
          <w:szCs w:val="21"/>
          <w:highlight w:val="none"/>
        </w:rPr>
      </w:pPr>
      <w:bookmarkStart w:id="137" w:name="_Toc238630541"/>
      <w:r>
        <w:rPr>
          <w:rFonts w:hint="eastAsia" w:ascii="宋体" w:hAnsi="宋体" w:cs="宋体"/>
          <w:color w:val="auto"/>
          <w:szCs w:val="21"/>
          <w:highlight w:val="none"/>
        </w:rPr>
        <w:t>12.1 供应商应在谈判截止日期前按《竞争性谈判须知前附表》规定的金额和形式提交谈判保证金，并作为其响应文件的一部分。</w:t>
      </w:r>
      <w:bookmarkEnd w:id="137"/>
    </w:p>
    <w:p w14:paraId="356D101F">
      <w:pPr>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12.2 谈判保证金应为</w:t>
      </w:r>
      <w:r>
        <w:rPr>
          <w:rFonts w:hint="eastAsia" w:ascii="宋体" w:hAnsi="宋体" w:cs="宋体"/>
          <w:color w:val="auto"/>
          <w:szCs w:val="21"/>
          <w:highlight w:val="none"/>
          <w:lang w:val="en-US" w:eastAsia="zh-CN"/>
        </w:rPr>
        <w:t>9500</w:t>
      </w:r>
      <w:r>
        <w:rPr>
          <w:rFonts w:hint="eastAsia" w:ascii="宋体" w:hAnsi="宋体" w:cs="宋体"/>
          <w:color w:val="auto"/>
          <w:szCs w:val="21"/>
          <w:highlight w:val="none"/>
        </w:rPr>
        <w:t>元</w:t>
      </w:r>
      <w:r>
        <w:rPr>
          <w:rFonts w:hint="eastAsia" w:ascii="宋体" w:hAnsi="宋体" w:cs="Arial Unicode MS"/>
          <w:bCs/>
          <w:color w:val="auto"/>
          <w:szCs w:val="21"/>
          <w:highlight w:val="none"/>
        </w:rPr>
        <w:t>人民币</w:t>
      </w:r>
      <w:r>
        <w:rPr>
          <w:rFonts w:hint="eastAsia" w:ascii="宋体" w:hAnsi="宋体" w:cs="宋体"/>
          <w:color w:val="auto"/>
          <w:szCs w:val="21"/>
          <w:highlight w:val="none"/>
        </w:rPr>
        <w:t>。</w:t>
      </w:r>
    </w:p>
    <w:p w14:paraId="09D5285D">
      <w:pPr>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12.3 凡未按要求提交谈判保证金的，将被视为非响应性报价而予以拒绝。</w:t>
      </w:r>
    </w:p>
    <w:p w14:paraId="42D79DEB">
      <w:pPr>
        <w:adjustRightInd w:val="0"/>
        <w:snapToGrid w:val="0"/>
        <w:spacing w:line="360" w:lineRule="auto"/>
        <w:ind w:firstLine="336" w:firstLineChars="160"/>
        <w:rPr>
          <w:rFonts w:ascii="宋体" w:hAnsi="宋体" w:cs="宋体"/>
          <w:color w:val="auto"/>
          <w:szCs w:val="21"/>
          <w:highlight w:val="none"/>
        </w:rPr>
      </w:pPr>
      <w:r>
        <w:rPr>
          <w:rFonts w:hint="eastAsia" w:ascii="宋体" w:hAnsi="宋体" w:cs="宋体"/>
          <w:color w:val="auto"/>
          <w:szCs w:val="21"/>
          <w:highlight w:val="none"/>
        </w:rPr>
        <w:t xml:space="preserve">12.4 采购人向成交供应商发放成交通知书后五个工作日内，退还未成交供应商的谈判保证金，采购人与成交供应商签订合同后五个工作日内，退还成交供应商的谈判保证金。 </w:t>
      </w:r>
    </w:p>
    <w:p w14:paraId="4EC53917">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12.5谈判保证金是为了保护采购人免遭因供应商的行为而蒙受损失，下列任何情况发生时，谈判保证金将不予退还：</w:t>
      </w:r>
    </w:p>
    <w:p w14:paraId="27F21C24">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（1）供应商在报价有效期内撤销其报价；</w:t>
      </w:r>
    </w:p>
    <w:p w14:paraId="3B9C881D">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（2）成交供应商在规定期限内未能做到：</w:t>
      </w:r>
    </w:p>
    <w:p w14:paraId="6F34ED97">
      <w:pPr>
        <w:adjustRightInd w:val="0"/>
        <w:snapToGrid w:val="0"/>
        <w:spacing w:line="360" w:lineRule="auto"/>
        <w:ind w:firstLine="1155" w:firstLineChars="550"/>
        <w:rPr>
          <w:rFonts w:ascii="宋体" w:hAnsi="宋体" w:cs="宋体"/>
          <w:color w:val="auto"/>
          <w:szCs w:val="21"/>
          <w:highlight w:val="none"/>
        </w:rPr>
      </w:pPr>
      <w:r>
        <w:rPr>
          <w:rFonts w:hint="eastAsia" w:ascii="宋体" w:hAnsi="宋体" w:cs="宋体"/>
          <w:color w:val="auto"/>
          <w:szCs w:val="21"/>
          <w:highlight w:val="none"/>
        </w:rPr>
        <w:t>1）依据规定签订合同。</w:t>
      </w:r>
    </w:p>
    <w:p w14:paraId="00A2F673">
      <w:pPr>
        <w:adjustRightInd w:val="0"/>
        <w:snapToGrid w:val="0"/>
        <w:spacing w:line="360" w:lineRule="auto"/>
        <w:ind w:firstLine="1155" w:firstLineChars="550"/>
        <w:rPr>
          <w:rFonts w:ascii="宋体" w:hAnsi="宋体" w:cs="宋体"/>
          <w:color w:val="auto"/>
          <w:szCs w:val="21"/>
          <w:highlight w:val="none"/>
        </w:rPr>
      </w:pPr>
      <w:r>
        <w:rPr>
          <w:rFonts w:hint="eastAsia" w:ascii="宋体" w:hAnsi="宋体" w:cs="宋体"/>
          <w:color w:val="auto"/>
          <w:szCs w:val="21"/>
          <w:highlight w:val="none"/>
        </w:rPr>
        <w:t>2）成交供应商在收到成交通知书后，无正当理由拒签合同协议书。</w:t>
      </w:r>
    </w:p>
    <w:p w14:paraId="14184E4A">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（3）供应商以欺诈行为谋取成交的。</w:t>
      </w:r>
    </w:p>
    <w:p w14:paraId="66A50089">
      <w:pPr>
        <w:widowControl/>
        <w:tabs>
          <w:tab w:val="left" w:pos="1260"/>
        </w:tabs>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13．报价有效期</w:t>
      </w:r>
    </w:p>
    <w:p w14:paraId="442A7EC1">
      <w:pPr>
        <w:adjustRightInd w:val="0"/>
        <w:snapToGrid w:val="0"/>
        <w:spacing w:line="360" w:lineRule="auto"/>
        <w:ind w:firstLine="420" w:firstLineChars="200"/>
        <w:rPr>
          <w:rFonts w:ascii="宋体" w:hAnsi="宋体" w:cs="宋体"/>
          <w:color w:val="auto"/>
          <w:szCs w:val="21"/>
          <w:highlight w:val="none"/>
        </w:rPr>
      </w:pPr>
      <w:bookmarkStart w:id="138" w:name="_Toc238630542"/>
      <w:r>
        <w:rPr>
          <w:rFonts w:hint="eastAsia" w:ascii="宋体" w:hAnsi="宋体" w:cs="宋体"/>
          <w:color w:val="auto"/>
          <w:kern w:val="0"/>
          <w:szCs w:val="21"/>
          <w:highlight w:val="none"/>
        </w:rPr>
        <w:t>13.1报价应在《竞争性谈判须知前附表》规定的报价有效期内保持有效，报价有效期不满足要求的报价将被视为</w:t>
      </w:r>
      <w:r>
        <w:rPr>
          <w:rFonts w:hint="eastAsia" w:ascii="宋体" w:hAnsi="宋体" w:cs="宋体"/>
          <w:color w:val="auto"/>
          <w:szCs w:val="21"/>
          <w:highlight w:val="none"/>
        </w:rPr>
        <w:t>非响应性报价而予以拒绝。</w:t>
      </w:r>
      <w:bookmarkEnd w:id="138"/>
    </w:p>
    <w:p w14:paraId="11198D30">
      <w:pPr>
        <w:adjustRightInd w:val="0"/>
        <w:snapToGrid w:val="0"/>
        <w:spacing w:line="360" w:lineRule="auto"/>
        <w:ind w:firstLine="420" w:firstLineChars="200"/>
        <w:rPr>
          <w:rFonts w:ascii="宋体" w:hAnsi="宋体" w:cs="宋体"/>
          <w:color w:val="auto"/>
          <w:szCs w:val="21"/>
          <w:highlight w:val="none"/>
        </w:rPr>
      </w:pPr>
      <w:bookmarkStart w:id="139" w:name="_Toc238630543"/>
      <w:r>
        <w:rPr>
          <w:rFonts w:hint="eastAsia" w:ascii="宋体" w:hAnsi="宋体" w:cs="宋体"/>
          <w:color w:val="auto"/>
          <w:szCs w:val="21"/>
          <w:highlight w:val="none"/>
        </w:rPr>
        <w:t>13.2特殊情况下，可根据实际情况，在原报价有效期截止之前，要求供应商同意延长响应文件的有效期。这种要求和答复均应以书面、电报、电传等形式进行。供应商可以拒绝这种要求，其谈判保证金将会退还。同意延长的供应商将不会被要求和允许修改其响应文件，且本须知中有关谈判保证金的要求将在延长了的有效期内继续有效。</w:t>
      </w:r>
      <w:bookmarkEnd w:id="139"/>
    </w:p>
    <w:p w14:paraId="044B72B6">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14．响应文件的签署和规定</w:t>
      </w:r>
    </w:p>
    <w:p w14:paraId="3BE58420">
      <w:pPr>
        <w:adjustRightInd w:val="0"/>
        <w:snapToGrid w:val="0"/>
        <w:spacing w:line="360" w:lineRule="auto"/>
        <w:ind w:firstLine="420" w:firstLineChars="200"/>
        <w:rPr>
          <w:rFonts w:hint="eastAsia" w:ascii="宋体" w:hAnsi="宋体" w:cs="宋体"/>
          <w:color w:val="auto"/>
          <w:szCs w:val="21"/>
          <w:highlight w:val="none"/>
          <w:lang w:val="en-US" w:eastAsia="en-US"/>
        </w:rPr>
      </w:pPr>
      <w:r>
        <w:rPr>
          <w:rFonts w:hint="eastAsia" w:ascii="宋体" w:hAnsi="宋体" w:cs="宋体"/>
          <w:color w:val="auto"/>
          <w:szCs w:val="21"/>
          <w:highlight w:val="none"/>
          <w:lang w:val="en-US" w:eastAsia="zh-CN"/>
        </w:rPr>
        <w:t>14.1</w:t>
      </w:r>
      <w:r>
        <w:rPr>
          <w:rFonts w:hint="eastAsia" w:ascii="宋体" w:hAnsi="宋体" w:cs="宋体"/>
          <w:color w:val="auto"/>
          <w:szCs w:val="21"/>
          <w:highlight w:val="none"/>
          <w:lang w:val="en-US" w:eastAsia="en-US"/>
        </w:rPr>
        <w:t>如果是代理人签署，则必须附有法定代表人出具的授权书。</w:t>
      </w:r>
    </w:p>
    <w:p w14:paraId="49C49341">
      <w:pPr>
        <w:adjustRightInd w:val="0"/>
        <w:snapToGrid w:val="0"/>
        <w:spacing w:line="360" w:lineRule="auto"/>
        <w:ind w:firstLine="420" w:firstLineChars="200"/>
        <w:rPr>
          <w:rFonts w:hint="eastAsia" w:ascii="宋体" w:hAnsi="宋体" w:cs="宋体"/>
          <w:color w:val="auto"/>
          <w:szCs w:val="21"/>
          <w:highlight w:val="none"/>
          <w:lang w:val="en-US" w:eastAsia="en-US"/>
        </w:rPr>
      </w:pPr>
      <w:r>
        <w:rPr>
          <w:rFonts w:hint="eastAsia" w:ascii="宋体" w:hAnsi="宋体" w:cs="宋体"/>
          <w:color w:val="auto"/>
          <w:szCs w:val="21"/>
          <w:highlight w:val="none"/>
          <w:lang w:val="en-US" w:eastAsia="en-US"/>
        </w:rPr>
        <w:t>1</w:t>
      </w:r>
      <w:r>
        <w:rPr>
          <w:rFonts w:hint="eastAsia" w:ascii="宋体" w:hAnsi="宋体" w:cs="宋体"/>
          <w:color w:val="auto"/>
          <w:szCs w:val="21"/>
          <w:highlight w:val="none"/>
          <w:lang w:val="en-US" w:eastAsia="zh-CN"/>
        </w:rPr>
        <w:t>4.2响应</w:t>
      </w:r>
      <w:r>
        <w:rPr>
          <w:rFonts w:hint="eastAsia" w:ascii="宋体" w:hAnsi="宋体" w:cs="宋体"/>
          <w:color w:val="auto"/>
          <w:szCs w:val="21"/>
          <w:highlight w:val="none"/>
          <w:lang w:val="en-US" w:eastAsia="en-US"/>
        </w:rPr>
        <w:t>文件的任何一页如有修改，必须在修改处由法定代表人或经正式授权的代理人签字确认。</w:t>
      </w:r>
    </w:p>
    <w:p w14:paraId="49F57291">
      <w:pPr>
        <w:adjustRightInd w:val="0"/>
        <w:snapToGrid w:val="0"/>
        <w:spacing w:line="360" w:lineRule="auto"/>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（四）响应文件的递交</w:t>
      </w:r>
    </w:p>
    <w:p w14:paraId="7C6C52CC">
      <w:pPr>
        <w:adjustRightInd w:val="0"/>
        <w:snapToGrid w:val="0"/>
        <w:spacing w:line="360" w:lineRule="auto"/>
        <w:ind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15.政府采购云平台电子版响应文件的编制按政府采购云平台要求进行编制。</w:t>
      </w:r>
    </w:p>
    <w:p w14:paraId="4F454CAD">
      <w:pPr>
        <w:pStyle w:val="23"/>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16．报价截止期</w:t>
      </w:r>
    </w:p>
    <w:p w14:paraId="12F8D6E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16.1供应商应按《竞争性谈判须知前附表》规定的时间、地点递交</w:t>
      </w:r>
      <w:r>
        <w:rPr>
          <w:rFonts w:hint="eastAsia" w:ascii="宋体" w:hAnsi="宋体" w:cs="宋体"/>
          <w:color w:val="auto"/>
          <w:szCs w:val="21"/>
          <w:highlight w:val="none"/>
          <w:lang w:eastAsia="zh-CN"/>
        </w:rPr>
        <w:t>电子</w:t>
      </w:r>
      <w:r>
        <w:rPr>
          <w:rFonts w:hint="eastAsia" w:ascii="宋体" w:hAnsi="宋体" w:cs="宋体"/>
          <w:color w:val="auto"/>
          <w:szCs w:val="21"/>
          <w:highlight w:val="none"/>
        </w:rPr>
        <w:t>响应文件。</w:t>
      </w:r>
    </w:p>
    <w:p w14:paraId="2AE0426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16.2采购人有权按本须知第7.3条的规定，通过修改响应文件延长报价截止期。在此情况下，采购人和供应商受报价截止期制约的所有权利和义务均应延长至新的截止期。</w:t>
      </w:r>
    </w:p>
    <w:p w14:paraId="49EAEC9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16.3采购人将拒绝并原封退回在本须知规定的报价截止期后递交的任何响应文件。</w:t>
      </w:r>
    </w:p>
    <w:p w14:paraId="25079315">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17．响应文件的修改和撤回。</w:t>
      </w:r>
    </w:p>
    <w:p w14:paraId="4789D22B">
      <w:pPr>
        <w:pStyle w:val="23"/>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17.1</w:t>
      </w:r>
      <w:r>
        <w:rPr>
          <w:rFonts w:hint="eastAsia" w:ascii="宋体" w:hAnsi="宋体" w:cs="宋体"/>
          <w:color w:val="auto"/>
          <w:sz w:val="21"/>
          <w:szCs w:val="21"/>
          <w:highlight w:val="none"/>
        </w:rPr>
        <w:t>在送交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文件截止期以前，</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可以更改或撤回</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CN"/>
        </w:rPr>
        <w:t>政府采购云平台电子版响应文件的更改与撤回按政府采购云平台要求进行</w:t>
      </w:r>
      <w:r>
        <w:rPr>
          <w:rFonts w:hint="eastAsia" w:ascii="宋体" w:hAnsi="宋体" w:cs="宋体"/>
          <w:color w:val="auto"/>
          <w:sz w:val="21"/>
          <w:szCs w:val="21"/>
          <w:highlight w:val="none"/>
        </w:rPr>
        <w:t>。</w:t>
      </w:r>
    </w:p>
    <w:p w14:paraId="576D76B1">
      <w:pPr>
        <w:pStyle w:val="23"/>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17.2</w:t>
      </w:r>
      <w:r>
        <w:rPr>
          <w:rFonts w:hint="eastAsia" w:ascii="宋体" w:hAnsi="宋体" w:cs="宋体"/>
          <w:color w:val="auto"/>
          <w:sz w:val="21"/>
          <w:szCs w:val="21"/>
          <w:highlight w:val="none"/>
        </w:rPr>
        <w:t>在报价截止期后，供应商不得对其响应文件做任何修改。</w:t>
      </w:r>
    </w:p>
    <w:p w14:paraId="22995C2A">
      <w:pPr>
        <w:pStyle w:val="23"/>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17.3</w:t>
      </w:r>
      <w:r>
        <w:rPr>
          <w:rFonts w:hint="eastAsia" w:ascii="宋体" w:hAnsi="宋体" w:cs="宋体"/>
          <w:color w:val="auto"/>
          <w:sz w:val="21"/>
          <w:szCs w:val="21"/>
          <w:highlight w:val="none"/>
        </w:rPr>
        <w:t>在《供应商须知前附表》规定的报价有效期内供应商不得撤销其报价，否则其磋商保证金将不予退还。</w:t>
      </w:r>
    </w:p>
    <w:p w14:paraId="2E838ADE">
      <w:pPr>
        <w:pStyle w:val="23"/>
        <w:adjustRightInd w:val="0"/>
        <w:snapToGrid w:val="0"/>
        <w:spacing w:line="360" w:lineRule="auto"/>
        <w:ind w:firstLine="422"/>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（五）谈判会</w:t>
      </w:r>
    </w:p>
    <w:p w14:paraId="3663F293">
      <w:pPr>
        <w:pStyle w:val="23"/>
        <w:tabs>
          <w:tab w:val="left" w:pos="963"/>
        </w:tabs>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18.谈判会</w:t>
      </w:r>
      <w:r>
        <w:rPr>
          <w:rFonts w:hint="eastAsia" w:ascii="宋体" w:hAnsi="宋体" w:cs="宋体"/>
          <w:color w:val="auto"/>
          <w:sz w:val="21"/>
          <w:szCs w:val="21"/>
          <w:highlight w:val="none"/>
        </w:rPr>
        <w:tab/>
      </w:r>
    </w:p>
    <w:p w14:paraId="7822C5C6">
      <w:pPr>
        <w:adjustRightInd w:val="0"/>
        <w:snapToGrid w:val="0"/>
        <w:spacing w:line="360" w:lineRule="auto"/>
        <w:ind w:firstLine="441" w:firstLineChars="210"/>
        <w:rPr>
          <w:rFonts w:ascii="宋体" w:hAnsi="宋体" w:cs="宋体"/>
          <w:color w:val="auto"/>
          <w:szCs w:val="21"/>
          <w:highlight w:val="none"/>
        </w:rPr>
      </w:pPr>
      <w:bookmarkStart w:id="140" w:name="_Toc238630545"/>
      <w:r>
        <w:rPr>
          <w:rFonts w:hint="eastAsia" w:ascii="宋体" w:hAnsi="宋体" w:cs="宋体"/>
          <w:color w:val="auto"/>
          <w:szCs w:val="21"/>
          <w:highlight w:val="none"/>
        </w:rPr>
        <w:t>18.1采购人在《竞争性谈判须知前附表》规定的日期、时间和地点</w:t>
      </w:r>
      <w:r>
        <w:rPr>
          <w:rFonts w:hint="eastAsia" w:ascii="宋体" w:hAnsi="宋体" w:cs="宋体"/>
          <w:color w:val="auto"/>
          <w:szCs w:val="21"/>
          <w:highlight w:val="none"/>
          <w:lang w:eastAsia="zh-CN"/>
        </w:rPr>
        <w:t>召开</w:t>
      </w:r>
      <w:r>
        <w:rPr>
          <w:rFonts w:hint="eastAsia" w:ascii="宋体" w:hAnsi="宋体" w:cs="宋体"/>
          <w:color w:val="auto"/>
          <w:szCs w:val="21"/>
          <w:highlight w:val="none"/>
        </w:rPr>
        <w:t>谈判会。供应商应由法定代表人或其授权人</w:t>
      </w:r>
      <w:r>
        <w:rPr>
          <w:rFonts w:hint="eastAsia" w:ascii="宋体" w:hAnsi="宋体" w:cs="宋体"/>
          <w:color w:val="auto"/>
          <w:szCs w:val="21"/>
          <w:highlight w:val="none"/>
          <w:lang w:eastAsia="zh-CN"/>
        </w:rPr>
        <w:t>在政采云平台远程</w:t>
      </w:r>
      <w:r>
        <w:rPr>
          <w:rFonts w:hint="eastAsia" w:ascii="宋体" w:hAnsi="宋体" w:cs="宋体"/>
          <w:color w:val="auto"/>
          <w:szCs w:val="21"/>
          <w:highlight w:val="none"/>
        </w:rPr>
        <w:t>参加会议。</w:t>
      </w:r>
      <w:bookmarkEnd w:id="140"/>
    </w:p>
    <w:p w14:paraId="3BF787E7">
      <w:pPr>
        <w:adjustRightInd w:val="0"/>
        <w:snapToGrid w:val="0"/>
        <w:spacing w:line="360" w:lineRule="auto"/>
        <w:ind w:firstLine="420"/>
        <w:rPr>
          <w:rFonts w:ascii="宋体" w:hAnsi="宋体" w:cs="宋体"/>
          <w:color w:val="auto"/>
          <w:szCs w:val="21"/>
          <w:highlight w:val="none"/>
        </w:rPr>
      </w:pPr>
      <w:bookmarkStart w:id="141" w:name="_Toc238630546"/>
      <w:r>
        <w:rPr>
          <w:rFonts w:hint="eastAsia" w:ascii="宋体" w:hAnsi="宋体" w:cs="宋体"/>
          <w:color w:val="auto"/>
          <w:szCs w:val="21"/>
          <w:highlight w:val="none"/>
        </w:rPr>
        <w:t>18.2 按照本须知第17条规定，按规定撤回的报价将不予开封。</w:t>
      </w:r>
      <w:bookmarkEnd w:id="141"/>
    </w:p>
    <w:p w14:paraId="3400B358">
      <w:pPr>
        <w:adjustRightInd w:val="0"/>
        <w:snapToGrid w:val="0"/>
        <w:spacing w:line="360"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18.3本项目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方式为</w:t>
      </w:r>
      <w:r>
        <w:rPr>
          <w:rFonts w:hint="eastAsia" w:ascii="宋体" w:hAnsi="宋体" w:cs="宋体"/>
          <w:color w:val="auto"/>
          <w:szCs w:val="21"/>
          <w:highlight w:val="none"/>
        </w:rPr>
        <w:t>远程</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，供应商不到</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现场。供应商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 需携带制作响应文件时</w:t>
      </w:r>
      <w:r>
        <w:rPr>
          <w:rFonts w:hint="eastAsia" w:ascii="宋体" w:hAnsi="宋体" w:cs="宋体"/>
          <w:color w:val="auto"/>
          <w:szCs w:val="21"/>
          <w:highlight w:val="none"/>
        </w:rPr>
        <w:t>用来加密的有效数字证书（CA 认证）登录“政采云”平台电子开标大厅现场按规定时间对加密的响应文件进行解密。</w:t>
      </w:r>
    </w:p>
    <w:p w14:paraId="68615F31">
      <w:pPr>
        <w:adjustRightInd w:val="0"/>
        <w:snapToGrid w:val="0"/>
        <w:spacing w:line="360" w:lineRule="auto"/>
        <w:ind w:firstLine="441" w:firstLineChars="210"/>
        <w:rPr>
          <w:rFonts w:ascii="宋体" w:hAnsi="宋体" w:cs="宋体"/>
          <w:color w:val="auto"/>
          <w:szCs w:val="21"/>
          <w:highlight w:val="none"/>
        </w:rPr>
      </w:pPr>
    </w:p>
    <w:p w14:paraId="5398E49E">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19．谈判小组的组建</w:t>
      </w:r>
    </w:p>
    <w:p w14:paraId="52403E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w:t>
      </w:r>
      <w:r>
        <w:rPr>
          <w:rFonts w:hint="eastAsia" w:ascii="宋体" w:hAnsi="宋体" w:cs="宋体"/>
          <w:color w:val="auto"/>
          <w:szCs w:val="21"/>
          <w:highlight w:val="none"/>
        </w:rPr>
        <w:t>谈判小组是从</w:t>
      </w:r>
      <w:r>
        <w:rPr>
          <w:rFonts w:hint="eastAsia" w:ascii="宋体" w:hAnsi="宋体" w:cs="宋体"/>
          <w:color w:val="auto"/>
          <w:szCs w:val="21"/>
          <w:highlight w:val="none"/>
          <w:lang w:val="zh-CN" w:eastAsia="zh-CN"/>
        </w:rPr>
        <w:t>吉林省</w:t>
      </w:r>
      <w:r>
        <w:rPr>
          <w:rFonts w:hint="eastAsia" w:ascii="宋体" w:hAnsi="宋体" w:cs="宋体"/>
          <w:color w:val="auto"/>
          <w:szCs w:val="21"/>
          <w:highlight w:val="none"/>
          <w:lang w:val="en-US" w:eastAsia="zh-CN"/>
        </w:rPr>
        <w:t>政府采购云平台</w:t>
      </w:r>
      <w:r>
        <w:rPr>
          <w:rFonts w:hint="eastAsia" w:ascii="宋体" w:hAnsi="宋体" w:cs="宋体"/>
          <w:color w:val="auto"/>
          <w:szCs w:val="21"/>
          <w:highlight w:val="none"/>
          <w:lang w:val="zh-CN"/>
        </w:rPr>
        <w:t>专家</w:t>
      </w:r>
      <w:r>
        <w:rPr>
          <w:rFonts w:hint="eastAsia" w:ascii="宋体" w:hAnsi="宋体" w:cs="宋体"/>
          <w:color w:val="auto"/>
          <w:szCs w:val="21"/>
          <w:highlight w:val="none"/>
          <w:lang w:val="zh-CN"/>
        </w:rPr>
        <w:t>库</w:t>
      </w:r>
      <w:r>
        <w:rPr>
          <w:rFonts w:hint="eastAsia" w:ascii="宋体" w:hAnsi="宋体" w:cs="宋体"/>
          <w:color w:val="auto"/>
          <w:szCs w:val="21"/>
          <w:highlight w:val="none"/>
        </w:rPr>
        <w:t>中随机抽取的技术、经济方面</w:t>
      </w:r>
      <w:r>
        <w:rPr>
          <w:rFonts w:hint="eastAsia" w:ascii="宋体" w:hAnsi="宋体" w:cs="宋体"/>
          <w:color w:val="auto"/>
          <w:szCs w:val="21"/>
          <w:highlight w:val="none"/>
          <w:lang w:eastAsia="zh-CN"/>
        </w:rPr>
        <w:t>社会</w:t>
      </w:r>
      <w:r>
        <w:rPr>
          <w:rFonts w:hint="eastAsia" w:ascii="宋体" w:hAnsi="宋体" w:cs="宋体"/>
          <w:color w:val="auto"/>
          <w:szCs w:val="21"/>
          <w:highlight w:val="none"/>
        </w:rPr>
        <w:t>专家及采购人代表共同组成,成员人数为</w:t>
      </w:r>
      <w:r>
        <w:rPr>
          <w:rFonts w:hint="eastAsia" w:ascii="宋体" w:hAnsi="宋体" w:cs="宋体"/>
          <w:color w:val="auto"/>
          <w:szCs w:val="21"/>
          <w:highlight w:val="none"/>
          <w:u w:val="single"/>
        </w:rPr>
        <w:t>3</w:t>
      </w:r>
      <w:r>
        <w:rPr>
          <w:rFonts w:hint="eastAsia" w:ascii="宋体" w:hAnsi="宋体" w:cs="宋体"/>
          <w:color w:val="auto"/>
          <w:szCs w:val="21"/>
          <w:highlight w:val="none"/>
        </w:rPr>
        <w:t>人，其中社会专家</w:t>
      </w:r>
      <w:r>
        <w:rPr>
          <w:rFonts w:hint="eastAsia" w:ascii="宋体" w:hAnsi="宋体" w:cs="宋体"/>
          <w:color w:val="auto"/>
          <w:szCs w:val="21"/>
          <w:highlight w:val="none"/>
          <w:u w:val="single"/>
        </w:rPr>
        <w:t>2</w:t>
      </w:r>
      <w:r>
        <w:rPr>
          <w:rFonts w:hint="eastAsia" w:ascii="宋体" w:hAnsi="宋体" w:cs="宋体"/>
          <w:color w:val="auto"/>
          <w:szCs w:val="21"/>
          <w:highlight w:val="none"/>
        </w:rPr>
        <w:t>人，采购人代表</w:t>
      </w:r>
      <w:r>
        <w:rPr>
          <w:rFonts w:hint="eastAsia" w:ascii="宋体" w:hAnsi="宋体" w:cs="宋体"/>
          <w:color w:val="auto"/>
          <w:szCs w:val="21"/>
          <w:highlight w:val="none"/>
          <w:u w:val="single"/>
        </w:rPr>
        <w:t>1</w:t>
      </w:r>
      <w:r>
        <w:rPr>
          <w:rFonts w:hint="eastAsia" w:ascii="宋体" w:hAnsi="宋体" w:cs="宋体"/>
          <w:color w:val="auto"/>
          <w:szCs w:val="21"/>
          <w:highlight w:val="none"/>
        </w:rPr>
        <w:t>人。</w:t>
      </w:r>
    </w:p>
    <w:p w14:paraId="3F738B3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19.2专家名单在确定成交供应商前严格保密。</w:t>
      </w:r>
    </w:p>
    <w:p w14:paraId="7CE6B40D">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20．谈判过程的保密性</w:t>
      </w:r>
    </w:p>
    <w:p w14:paraId="177B0395">
      <w:pPr>
        <w:adjustRightInd w:val="0"/>
        <w:snapToGrid w:val="0"/>
        <w:spacing w:line="360" w:lineRule="auto"/>
        <w:ind w:firstLine="420" w:firstLineChars="200"/>
        <w:rPr>
          <w:rFonts w:ascii="宋体" w:hAnsi="宋体" w:cs="宋体"/>
          <w:color w:val="auto"/>
          <w:szCs w:val="21"/>
          <w:highlight w:val="none"/>
        </w:rPr>
      </w:pPr>
      <w:bookmarkStart w:id="142" w:name="_Toc238630547"/>
      <w:r>
        <w:rPr>
          <w:rFonts w:hint="eastAsia" w:ascii="宋体" w:hAnsi="宋体" w:cs="宋体"/>
          <w:color w:val="auto"/>
          <w:szCs w:val="21"/>
          <w:highlight w:val="none"/>
        </w:rPr>
        <w:t>20.1谈判开始后，直至向成交供应商授予合同止，凡与审查、澄清、评价和比较报价有关的资料以及评审意见等，均不得向供应商及与评审无关的其他人员透露。</w:t>
      </w:r>
      <w:bookmarkEnd w:id="142"/>
    </w:p>
    <w:p w14:paraId="7A374719">
      <w:pPr>
        <w:adjustRightInd w:val="0"/>
        <w:snapToGrid w:val="0"/>
        <w:spacing w:line="360" w:lineRule="auto"/>
        <w:ind w:firstLine="420" w:firstLineChars="200"/>
        <w:rPr>
          <w:rFonts w:ascii="宋体" w:hAnsi="宋体" w:cs="宋体"/>
          <w:color w:val="auto"/>
          <w:szCs w:val="21"/>
          <w:highlight w:val="none"/>
        </w:rPr>
      </w:pPr>
      <w:bookmarkStart w:id="143" w:name="_Toc238630548"/>
      <w:r>
        <w:rPr>
          <w:rFonts w:hint="eastAsia" w:ascii="宋体" w:hAnsi="宋体" w:cs="宋体"/>
          <w:color w:val="auto"/>
          <w:szCs w:val="21"/>
          <w:highlight w:val="none"/>
        </w:rPr>
        <w:t>20.2在谈判过程中，如果供应商试图在响应文件审查、澄清、比较及授予合同方面施加任何影响，将导致其响应文件被拒绝。</w:t>
      </w:r>
      <w:bookmarkEnd w:id="143"/>
    </w:p>
    <w:p w14:paraId="33BAE408">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21．响应文件的资格性审查</w:t>
      </w:r>
    </w:p>
    <w:p w14:paraId="58C5468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21.1谈判会开始后，谈判小组将依据法律法规和竞争性谈判文件的规定，对响应文件中的资格证明、谈判保证金等内容进行资格性审查和符合性审查，以确定供应商是否具备参与报价的资格。</w:t>
      </w:r>
    </w:p>
    <w:p w14:paraId="528A0B6D">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21.2谈判报价：当首次报价采购人不能获得满意的成交供应商时，可组织各供应商分别谈判进行二次报价。</w:t>
      </w:r>
    </w:p>
    <w:p w14:paraId="340F3FB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21.3如果响应文件实质上没有响应竞争性谈判文件的要求，谈判小组将予以拒绝，供应商不得通过修正或撤销不符合要求的偏离或保留从而使其响应文件成为实质上响应的报价。</w:t>
      </w:r>
    </w:p>
    <w:p w14:paraId="401621A1">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22．响应文件的澄清</w:t>
      </w:r>
    </w:p>
    <w:p w14:paraId="0D1A6E6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22.1在评审期间，对响应文件中含义不明确、同类问题表述不一致或者有明显文字和计算错误的内容，谈判小组可以根据需要要求供应商对响应文件进行澄清。</w:t>
      </w:r>
    </w:p>
    <w:p w14:paraId="00E60C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22.2澄清的文件不得对报价或其它实质性内容进行更改。</w:t>
      </w:r>
    </w:p>
    <w:p w14:paraId="0F664B78">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23．成交供应商的确定</w:t>
      </w:r>
    </w:p>
    <w:p w14:paraId="2DD140B7">
      <w:pPr>
        <w:pStyle w:val="23"/>
        <w:adjustRightInd w:val="0"/>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23.1本项目采取竞争性谈判的方式进行采购。对通过谈判合格的，能提供优质服务和足以使用户确信其具备执行合同能力的，能最大限度满足竞争性谈判文件中规定的各项综合评价标准的供应商，并依法确定最终报价（总价）最低的供应商为本项目成交供应商，如供应商的报价相同时，以供应商技术水平、履约能力、售后服务为标准评判。排名第一的成交候选人放弃、因不可抗力提出不能履行合同，采购人可以依次确定其他的成交候选人为成交供应商，采购人可以重新采购。</w:t>
      </w:r>
    </w:p>
    <w:p w14:paraId="5330E8EC">
      <w:pPr>
        <w:pStyle w:val="23"/>
        <w:adjustRightInd w:val="0"/>
        <w:snapToGrid w:val="0"/>
        <w:spacing w:line="360" w:lineRule="auto"/>
        <w:ind w:firstLine="3409" w:firstLineChars="1617"/>
        <w:rPr>
          <w:rFonts w:ascii="宋体" w:hAnsi="宋体" w:cs="宋体"/>
          <w:b/>
          <w:bCs/>
          <w:color w:val="auto"/>
          <w:sz w:val="21"/>
          <w:szCs w:val="21"/>
          <w:highlight w:val="none"/>
        </w:rPr>
      </w:pPr>
      <w:r>
        <w:rPr>
          <w:rFonts w:hint="eastAsia" w:ascii="宋体" w:hAnsi="宋体" w:cs="宋体"/>
          <w:b/>
          <w:bCs/>
          <w:color w:val="auto"/>
          <w:sz w:val="21"/>
          <w:szCs w:val="21"/>
          <w:highlight w:val="none"/>
        </w:rPr>
        <w:t>（六）授予合同</w:t>
      </w:r>
    </w:p>
    <w:p w14:paraId="479E1459">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25．合同授予标准</w:t>
      </w:r>
    </w:p>
    <w:p w14:paraId="44E1C3A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采购人事先授权谈判小组直接确定成交供应商。</w:t>
      </w:r>
    </w:p>
    <w:p w14:paraId="5B0D35D7">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26. 成交通知书</w:t>
      </w:r>
    </w:p>
    <w:p w14:paraId="710FDD5D">
      <w:pPr>
        <w:pStyle w:val="34"/>
        <w:ind w:firstLine="210" w:firstLineChars="100"/>
        <w:rPr>
          <w:rFonts w:ascii="宋体" w:hAnsi="宋体" w:cs="宋体"/>
          <w:b w:val="0"/>
          <w:smallCaps w:val="0"/>
          <w:color w:val="auto"/>
          <w:sz w:val="21"/>
          <w:szCs w:val="21"/>
          <w:highlight w:val="none"/>
        </w:rPr>
      </w:pPr>
      <w:r>
        <w:rPr>
          <w:rFonts w:hint="eastAsia" w:ascii="宋体" w:hAnsi="宋体" w:cs="宋体"/>
          <w:b w:val="0"/>
          <w:smallCaps w:val="0"/>
          <w:color w:val="auto"/>
          <w:sz w:val="21"/>
          <w:szCs w:val="21"/>
          <w:highlight w:val="none"/>
        </w:rPr>
        <w:t>26.1在报价有效期内，采购代理机构应当向成交供应商发出成交通知书。成交通知书对采购人和成交供应商具有同等的法律效力。成交通知书发出后，采购人改变成交结果，或者成交供应商放弃，应承担相应的法律责任。</w:t>
      </w:r>
    </w:p>
    <w:p w14:paraId="101F13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成交通知书是合同的一个组成部分。</w:t>
      </w:r>
    </w:p>
    <w:p w14:paraId="51861706">
      <w:pPr>
        <w:pStyle w:val="33"/>
        <w:snapToGrid w:val="0"/>
        <w:ind w:left="0" w:leftChars="0" w:firstLine="0" w:firstLineChars="0"/>
        <w:rPr>
          <w:rFonts w:hAnsi="宋体" w:cs="宋体"/>
          <w:bCs/>
          <w:color w:val="auto"/>
          <w:sz w:val="21"/>
          <w:szCs w:val="21"/>
          <w:highlight w:val="none"/>
        </w:rPr>
      </w:pPr>
      <w:r>
        <w:rPr>
          <w:rFonts w:hint="eastAsia" w:hAnsi="宋体" w:cs="宋体"/>
          <w:bCs/>
          <w:color w:val="auto"/>
          <w:sz w:val="21"/>
          <w:szCs w:val="21"/>
          <w:highlight w:val="none"/>
        </w:rPr>
        <w:t>27．履约担保</w:t>
      </w:r>
    </w:p>
    <w:p w14:paraId="43EEE318">
      <w:pPr>
        <w:pStyle w:val="33"/>
        <w:snapToGrid w:val="0"/>
        <w:ind w:firstLine="420"/>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27.1履约担保方式：以转账或者金融机构、担保机构出具的保函等非现金形式提交。</w:t>
      </w:r>
    </w:p>
    <w:p w14:paraId="58013B33">
      <w:pPr>
        <w:pStyle w:val="33"/>
        <w:snapToGrid w:val="0"/>
        <w:ind w:firstLine="420"/>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27.2履约担保金额：成交合同价款的5%</w:t>
      </w:r>
    </w:p>
    <w:p w14:paraId="1397416B">
      <w:pPr>
        <w:pStyle w:val="33"/>
        <w:snapToGrid w:val="0"/>
        <w:ind w:firstLine="420"/>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27.3履约担保递交时间：成交通知书发出后签订合同前，由成交供应商向采购人递交履约担保。</w:t>
      </w:r>
    </w:p>
    <w:p w14:paraId="3D041343">
      <w:pPr>
        <w:pStyle w:val="33"/>
        <w:snapToGrid w:val="0"/>
        <w:ind w:firstLine="420"/>
        <w:rPr>
          <w:rFonts w:hAnsi="宋体" w:cs="宋体"/>
          <w:bCs/>
          <w:color w:val="auto"/>
          <w:sz w:val="21"/>
          <w:szCs w:val="21"/>
          <w:highlight w:val="none"/>
        </w:rPr>
      </w:pPr>
      <w:r>
        <w:rPr>
          <w:rFonts w:hint="eastAsia" w:hAnsi="宋体" w:cs="宋体"/>
          <w:bCs/>
          <w:color w:val="auto"/>
          <w:sz w:val="21"/>
          <w:szCs w:val="21"/>
          <w:highlight w:val="none"/>
        </w:rPr>
        <w:t>28.质疑和投诉</w:t>
      </w:r>
    </w:p>
    <w:p w14:paraId="153C1D1A">
      <w:pPr>
        <w:pStyle w:val="33"/>
        <w:snapToGrid w:val="0"/>
        <w:ind w:firstLine="420" w:firstLineChars="200"/>
        <w:rPr>
          <w:rFonts w:hAnsi="宋体" w:cs="宋体"/>
          <w:color w:val="auto"/>
          <w:sz w:val="21"/>
          <w:szCs w:val="21"/>
          <w:highlight w:val="none"/>
        </w:rPr>
      </w:pPr>
      <w:r>
        <w:rPr>
          <w:rFonts w:hint="eastAsia" w:hAnsi="宋体" w:cs="宋体"/>
          <w:color w:val="auto"/>
          <w:sz w:val="21"/>
          <w:szCs w:val="21"/>
          <w:highlight w:val="none"/>
        </w:rPr>
        <w:t>27.1 本项目质疑、投诉执行《中华人民共和国政府采购法》及相关法律法规的规定。</w:t>
      </w:r>
    </w:p>
    <w:p w14:paraId="4C2A2C1D">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29．签订合同</w:t>
      </w:r>
    </w:p>
    <w:p w14:paraId="341A516A">
      <w:pPr>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28.1成交供应商在收到成交通知书后，应于相关法律法规规定期限内与采购人签订合同。所签订的合同不得对竞争性谈判文件和成交供应商的响应文件作实质性修改。逾期不签订合同将按成交供应商自行放弃采购项目处理，并依法承担法律责任。</w:t>
      </w:r>
    </w:p>
    <w:p w14:paraId="7700710A">
      <w:pPr>
        <w:adjustRightInd w:val="0"/>
        <w:snapToGrid w:val="0"/>
        <w:spacing w:line="360" w:lineRule="auto"/>
        <w:ind w:firstLine="420" w:firstLineChars="200"/>
        <w:rPr>
          <w:rFonts w:ascii="宋体" w:hAnsi="宋体" w:cs="宋体"/>
          <w:color w:val="auto"/>
          <w:szCs w:val="21"/>
          <w:highlight w:val="none"/>
        </w:rPr>
      </w:pPr>
      <w:bookmarkStart w:id="144" w:name="_Toc238630549"/>
      <w:r>
        <w:rPr>
          <w:rFonts w:hint="eastAsia" w:ascii="宋体" w:hAnsi="宋体" w:cs="宋体"/>
          <w:color w:val="auto"/>
          <w:szCs w:val="21"/>
          <w:highlight w:val="none"/>
        </w:rPr>
        <w:t>29.2竞争性谈判文件及补遗、修改，响应文件及澄清文件，合同修改协议等，均是合同的组成部分。</w:t>
      </w:r>
      <w:bookmarkEnd w:id="144"/>
    </w:p>
    <w:p w14:paraId="72BC1E70">
      <w:pPr>
        <w:pStyle w:val="23"/>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30．腐败和欺诈行为</w:t>
      </w:r>
    </w:p>
    <w:p w14:paraId="79306EA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30.1采购代理机构、采购人和供应商在谈判和合同实施过程中应遵守最高的道德标准：</w:t>
      </w:r>
    </w:p>
    <w:p w14:paraId="7D476A7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（1）为此目的，定义下述词汇：</w:t>
      </w:r>
    </w:p>
    <w:p w14:paraId="60DCB13E">
      <w:pPr>
        <w:adjustRightInd w:val="0"/>
        <w:snapToGrid w:val="0"/>
        <w:spacing w:line="360" w:lineRule="auto"/>
        <w:ind w:left="359" w:leftChars="171" w:firstLine="315" w:firstLineChars="150"/>
        <w:rPr>
          <w:rFonts w:ascii="宋体" w:hAnsi="宋体" w:cs="宋体"/>
          <w:color w:val="auto"/>
          <w:szCs w:val="21"/>
          <w:highlight w:val="none"/>
        </w:rPr>
      </w:pPr>
      <w:r>
        <w:rPr>
          <w:rFonts w:hint="eastAsia" w:ascii="宋体" w:hAnsi="宋体" w:cs="宋体"/>
          <w:color w:val="auto"/>
          <w:szCs w:val="21"/>
          <w:highlight w:val="none"/>
        </w:rPr>
        <w:t>1）“腐败行为”是指提供、给予、接受、索取任何有价值的东西来影响有关人员在采购过程中或合同实施过程中的行为；</w:t>
      </w:r>
    </w:p>
    <w:p w14:paraId="0EB88AC9">
      <w:pPr>
        <w:adjustRightInd w:val="0"/>
        <w:snapToGrid w:val="0"/>
        <w:spacing w:line="360" w:lineRule="auto"/>
        <w:ind w:left="359" w:leftChars="171" w:firstLine="315" w:firstLineChars="150"/>
        <w:rPr>
          <w:rFonts w:ascii="宋体" w:hAnsi="宋体" w:cs="宋体"/>
          <w:color w:val="auto"/>
          <w:szCs w:val="21"/>
          <w:highlight w:val="none"/>
        </w:rPr>
      </w:pPr>
      <w:r>
        <w:rPr>
          <w:rFonts w:hint="eastAsia" w:ascii="宋体" w:hAnsi="宋体" w:cs="宋体"/>
          <w:color w:val="auto"/>
          <w:szCs w:val="21"/>
          <w:highlight w:val="none"/>
        </w:rPr>
        <w:t>2）“欺诈行为”是指为了影响采购过程或合同实施过程而谎报事实，损害他人利益，包括供应商之间相互串通（递交响应文件之前和之后），人为地使报价丧失竞争性。</w:t>
      </w:r>
    </w:p>
    <w:p w14:paraId="6988A8D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（2）如果供应商被认定在谈判中有腐败和欺诈行为，则其报价被拒绝，并按照相关法规进行处理。给他人造成损失的，依法承担赔偿责任。</w:t>
      </w:r>
    </w:p>
    <w:p w14:paraId="3D3E4A49">
      <w:pPr>
        <w:adjustRightInd w:val="0"/>
        <w:snapToGrid w:val="0"/>
        <w:spacing w:line="360" w:lineRule="auto"/>
        <w:ind w:firstLine="480" w:firstLineChars="200"/>
        <w:rPr>
          <w:rFonts w:ascii="宋体" w:hAnsi="宋体" w:cs="宋体"/>
          <w:color w:val="auto"/>
          <w:sz w:val="24"/>
          <w:highlight w:val="none"/>
        </w:rPr>
      </w:pPr>
    </w:p>
    <w:p w14:paraId="7B1A72BC">
      <w:pPr>
        <w:spacing w:line="400" w:lineRule="exact"/>
        <w:ind w:firstLine="720"/>
        <w:rPr>
          <w:rFonts w:ascii="宋体" w:hAnsi="宋体" w:cs="宋体"/>
          <w:color w:val="auto"/>
          <w:kern w:val="0"/>
          <w:sz w:val="36"/>
          <w:szCs w:val="36"/>
          <w:highlight w:val="none"/>
        </w:rPr>
      </w:pPr>
    </w:p>
    <w:p w14:paraId="5BFB05FC">
      <w:pPr>
        <w:spacing w:line="400" w:lineRule="exact"/>
        <w:ind w:firstLine="643"/>
        <w:jc w:val="center"/>
        <w:rPr>
          <w:rFonts w:ascii="宋体" w:hAnsi="宋体" w:cs="宋体"/>
          <w:b/>
          <w:color w:val="auto"/>
          <w:sz w:val="32"/>
          <w:szCs w:val="32"/>
          <w:highlight w:val="none"/>
        </w:rPr>
      </w:pPr>
    </w:p>
    <w:p w14:paraId="50BE3A29">
      <w:pPr>
        <w:pStyle w:val="3"/>
        <w:numPr>
          <w:ilvl w:val="0"/>
          <w:numId w:val="2"/>
        </w:numPr>
        <w:ind w:firstLine="883"/>
        <w:rPr>
          <w:rFonts w:cs="宋体"/>
          <w:color w:val="auto"/>
          <w:highlight w:val="none"/>
        </w:rPr>
      </w:pPr>
      <w:r>
        <w:rPr>
          <w:rFonts w:hint="eastAsia" w:cs="宋体"/>
          <w:color w:val="auto"/>
          <w:szCs w:val="32"/>
          <w:highlight w:val="none"/>
        </w:rPr>
        <w:br w:type="page"/>
      </w:r>
      <w:bookmarkStart w:id="145" w:name="_Toc23005"/>
      <w:bookmarkStart w:id="146" w:name="_Toc7168790"/>
      <w:r>
        <w:rPr>
          <w:rFonts w:hint="default" w:cs="宋体" w:asciiTheme="majorAscii" w:hAnsiTheme="majorAscii"/>
          <w:color w:val="auto"/>
          <w:highlight w:val="none"/>
        </w:rPr>
        <w:t>合同专用条款</w:t>
      </w:r>
      <w:bookmarkEnd w:id="145"/>
      <w:bookmarkEnd w:id="146"/>
    </w:p>
    <w:p w14:paraId="76296FAE">
      <w:pPr>
        <w:spacing w:line="580" w:lineRule="exact"/>
        <w:jc w:val="center"/>
        <w:rPr>
          <w:rFonts w:hint="eastAsia"/>
          <w:color w:val="auto"/>
          <w:sz w:val="28"/>
          <w:szCs w:val="36"/>
          <w:highlight w:val="none"/>
          <w:lang w:eastAsia="zh-CN"/>
        </w:rPr>
      </w:pPr>
      <w:bookmarkStart w:id="147" w:name="_Toc167703131"/>
      <w:bookmarkStart w:id="148" w:name="_Toc358186914"/>
      <w:bookmarkStart w:id="149" w:name="_Toc168361185"/>
      <w:bookmarkStart w:id="150" w:name="_Toc333312468"/>
      <w:bookmarkStart w:id="151" w:name="_Toc43956799"/>
      <w:bookmarkStart w:id="152" w:name="_Toc421532557"/>
      <w:bookmarkStart w:id="153" w:name="_Toc333415222"/>
      <w:bookmarkStart w:id="154" w:name="_Toc167761832"/>
    </w:p>
    <w:p w14:paraId="7DDA61AD">
      <w:pPr>
        <w:spacing w:line="580" w:lineRule="exact"/>
        <w:jc w:val="center"/>
        <w:rPr>
          <w:rFonts w:ascii="宋体" w:hAnsi="宋体" w:cs="宋体"/>
          <w:color w:val="auto"/>
          <w:sz w:val="24"/>
          <w:szCs w:val="24"/>
          <w:highlight w:val="none"/>
        </w:rPr>
      </w:pPr>
      <w:r>
        <w:rPr>
          <w:rFonts w:hint="eastAsia"/>
          <w:color w:val="auto"/>
          <w:sz w:val="24"/>
          <w:szCs w:val="24"/>
          <w:highlight w:val="none"/>
          <w:lang w:eastAsia="zh-CN"/>
        </w:rPr>
        <w:t>具体</w:t>
      </w:r>
      <w:r>
        <w:rPr>
          <w:rFonts w:hint="eastAsia"/>
          <w:color w:val="auto"/>
          <w:sz w:val="24"/>
          <w:szCs w:val="24"/>
          <w:highlight w:val="none"/>
          <w:lang w:eastAsia="zh-CN"/>
        </w:rPr>
        <w:t>以实际签订为准</w:t>
      </w:r>
    </w:p>
    <w:p w14:paraId="683D083F">
      <w:pPr>
        <w:rPr>
          <w:rFonts w:hint="eastAsia" w:cs="宋体"/>
          <w:color w:val="auto"/>
          <w:highlight w:val="none"/>
        </w:rPr>
      </w:pPr>
      <w:bookmarkStart w:id="155" w:name="_Toc7168791"/>
      <w:bookmarkStart w:id="156" w:name="_Toc421"/>
      <w:r>
        <w:rPr>
          <w:rFonts w:hint="eastAsia" w:cs="宋体"/>
          <w:color w:val="auto"/>
          <w:highlight w:val="none"/>
        </w:rPr>
        <w:br w:type="page"/>
      </w:r>
    </w:p>
    <w:p w14:paraId="05A8BBA6">
      <w:pPr>
        <w:pStyle w:val="3"/>
        <w:jc w:val="center"/>
        <w:rPr>
          <w:rFonts w:hint="default" w:cs="宋体" w:asciiTheme="majorAscii" w:hAnsiTheme="majorAscii"/>
          <w:color w:val="auto"/>
          <w:highlight w:val="none"/>
        </w:rPr>
      </w:pPr>
      <w:bookmarkStart w:id="157" w:name="_Toc25565"/>
      <w:r>
        <w:rPr>
          <w:rFonts w:hint="default" w:cs="宋体" w:asciiTheme="majorAscii" w:hAnsiTheme="majorAscii"/>
          <w:color w:val="auto"/>
          <w:highlight w:val="none"/>
        </w:rPr>
        <w:t>第四部分 项目需求</w:t>
      </w:r>
      <w:bookmarkEnd w:id="155"/>
      <w:bookmarkEnd w:id="156"/>
      <w:bookmarkEnd w:id="157"/>
    </w:p>
    <w:bookmarkEnd w:id="147"/>
    <w:bookmarkEnd w:id="148"/>
    <w:bookmarkEnd w:id="149"/>
    <w:bookmarkEnd w:id="150"/>
    <w:bookmarkEnd w:id="151"/>
    <w:bookmarkEnd w:id="152"/>
    <w:bookmarkEnd w:id="153"/>
    <w:bookmarkEnd w:id="154"/>
    <w:p w14:paraId="3FE95C53">
      <w:pPr>
        <w:numPr>
          <w:ilvl w:val="0"/>
          <w:numId w:val="0"/>
        </w:numPr>
        <w:spacing w:line="360" w:lineRule="auto"/>
        <w:jc w:val="left"/>
        <w:rPr>
          <w:rFonts w:hint="eastAsia" w:ascii="宋体" w:hAnsi="宋体" w:eastAsia="宋体" w:cs="宋体"/>
          <w:color w:val="auto"/>
          <w:sz w:val="24"/>
          <w:szCs w:val="24"/>
          <w:highlight w:val="none"/>
          <w:lang w:val="en-US" w:eastAsia="zh-CN"/>
        </w:rPr>
      </w:pPr>
      <w:bookmarkStart w:id="158" w:name="_Toc7168792"/>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技术参数</w:t>
      </w:r>
    </w:p>
    <w:tbl>
      <w:tblPr>
        <w:tblStyle w:val="4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39"/>
        <w:gridCol w:w="931"/>
        <w:gridCol w:w="5600"/>
        <w:gridCol w:w="1380"/>
        <w:gridCol w:w="1168"/>
      </w:tblGrid>
      <w:tr w14:paraId="6F5F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atLeast"/>
          <w:jc w:val="center"/>
        </w:trPr>
        <w:tc>
          <w:tcPr>
            <w:tcW w:w="539" w:type="dxa"/>
            <w:noWrap w:val="0"/>
            <w:vAlign w:val="center"/>
          </w:tcPr>
          <w:p w14:paraId="2DDF18A9">
            <w:pPr>
              <w:pStyle w:val="128"/>
              <w:keepNext w:val="0"/>
              <w:keepLines w:val="0"/>
              <w:pageBreakBefore w:val="0"/>
              <w:kinsoku/>
              <w:wordWrap/>
              <w:overflowPunct/>
              <w:topLinePunct w:val="0"/>
              <w:autoSpaceDE/>
              <w:autoSpaceDN/>
              <w:bidi w:val="0"/>
              <w:adjustRightInd/>
              <w:snapToGrid/>
              <w:ind w:left="42" w:leftChars="20" w:right="42" w:rightChars="20"/>
              <w:jc w:val="center"/>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rPr>
              <w:t>序号</w:t>
            </w:r>
          </w:p>
        </w:tc>
        <w:tc>
          <w:tcPr>
            <w:tcW w:w="931" w:type="dxa"/>
            <w:noWrap w:val="0"/>
            <w:vAlign w:val="center"/>
          </w:tcPr>
          <w:p w14:paraId="269B009D">
            <w:pPr>
              <w:pStyle w:val="128"/>
              <w:keepNext w:val="0"/>
              <w:keepLines w:val="0"/>
              <w:pageBreakBefore w:val="0"/>
              <w:kinsoku/>
              <w:wordWrap/>
              <w:overflowPunct/>
              <w:topLinePunct w:val="0"/>
              <w:autoSpaceDE/>
              <w:autoSpaceDN/>
              <w:bidi w:val="0"/>
              <w:adjustRightInd/>
              <w:snapToGrid/>
              <w:ind w:left="42" w:leftChars="20" w:right="42" w:rightChars="20"/>
              <w:jc w:val="center"/>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rPr>
              <w:t>货物</w:t>
            </w:r>
            <w:r>
              <w:rPr>
                <w:rFonts w:hint="eastAsia" w:ascii="宋体" w:hAnsi="宋体" w:eastAsia="宋体" w:cs="宋体"/>
                <w:color w:val="auto"/>
                <w:sz w:val="18"/>
                <w:szCs w:val="18"/>
                <w:highlight w:val="none"/>
                <w:lang w:val="en-US" w:eastAsia="zh-CN"/>
              </w:rPr>
              <w:t>或服务</w:t>
            </w:r>
            <w:r>
              <w:rPr>
                <w:rFonts w:hint="eastAsia" w:ascii="宋体" w:hAnsi="宋体" w:eastAsia="宋体" w:cs="宋体"/>
                <w:color w:val="auto"/>
                <w:sz w:val="18"/>
                <w:szCs w:val="18"/>
                <w:highlight w:val="none"/>
                <w:lang w:val="zh-CN"/>
              </w:rPr>
              <w:t>名称</w:t>
            </w:r>
          </w:p>
        </w:tc>
        <w:tc>
          <w:tcPr>
            <w:tcW w:w="5600" w:type="dxa"/>
            <w:noWrap w:val="0"/>
            <w:vAlign w:val="center"/>
          </w:tcPr>
          <w:p w14:paraId="4D8526D0">
            <w:pPr>
              <w:pStyle w:val="128"/>
              <w:keepNext w:val="0"/>
              <w:keepLines w:val="0"/>
              <w:pageBreakBefore w:val="0"/>
              <w:kinsoku/>
              <w:wordWrap/>
              <w:overflowPunct/>
              <w:topLinePunct w:val="0"/>
              <w:autoSpaceDE/>
              <w:autoSpaceDN/>
              <w:bidi w:val="0"/>
              <w:adjustRightInd/>
              <w:snapToGrid/>
              <w:ind w:left="42" w:leftChars="20" w:right="42" w:rightChars="20"/>
              <w:jc w:val="center"/>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rPr>
              <w:t>主要功能配置及技术指标要求</w:t>
            </w:r>
          </w:p>
        </w:tc>
        <w:tc>
          <w:tcPr>
            <w:tcW w:w="1380" w:type="dxa"/>
            <w:noWrap w:val="0"/>
            <w:vAlign w:val="center"/>
          </w:tcPr>
          <w:p w14:paraId="03ED1F36">
            <w:pPr>
              <w:pStyle w:val="128"/>
              <w:keepNext w:val="0"/>
              <w:keepLines w:val="0"/>
              <w:pageBreakBefore w:val="0"/>
              <w:kinsoku/>
              <w:wordWrap/>
              <w:overflowPunct/>
              <w:topLinePunct w:val="0"/>
              <w:autoSpaceDE/>
              <w:autoSpaceDN/>
              <w:bidi w:val="0"/>
              <w:adjustRightInd/>
              <w:snapToGrid/>
              <w:ind w:left="42" w:leftChars="20" w:right="42" w:rightChars="2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zh-CN"/>
              </w:rPr>
              <w:t>数量</w:t>
            </w:r>
            <w:r>
              <w:rPr>
                <w:rFonts w:hint="eastAsia" w:ascii="宋体" w:hAnsi="宋体" w:cs="宋体"/>
                <w:color w:val="auto"/>
                <w:sz w:val="18"/>
                <w:szCs w:val="18"/>
                <w:highlight w:val="none"/>
                <w:lang w:val="zh-CN"/>
              </w:rPr>
              <w:t>（</w:t>
            </w:r>
            <w:r>
              <w:rPr>
                <w:rFonts w:hint="eastAsia" w:ascii="宋体" w:hAnsi="宋体" w:eastAsia="宋体" w:cs="宋体"/>
                <w:color w:val="auto"/>
                <w:sz w:val="18"/>
                <w:szCs w:val="18"/>
                <w:highlight w:val="none"/>
                <w:lang w:val="en-US" w:eastAsia="zh-CN"/>
              </w:rPr>
              <w:t>单位</w:t>
            </w:r>
            <w:r>
              <w:rPr>
                <w:rFonts w:hint="eastAsia" w:ascii="宋体" w:hAnsi="宋体" w:cs="宋体"/>
                <w:color w:val="auto"/>
                <w:sz w:val="18"/>
                <w:szCs w:val="18"/>
                <w:highlight w:val="none"/>
                <w:lang w:val="en-US" w:eastAsia="zh-CN"/>
              </w:rPr>
              <w:t>）</w:t>
            </w:r>
          </w:p>
        </w:tc>
        <w:tc>
          <w:tcPr>
            <w:tcW w:w="1168" w:type="dxa"/>
            <w:noWrap w:val="0"/>
            <w:vAlign w:val="center"/>
          </w:tcPr>
          <w:p w14:paraId="7A87E0A7">
            <w:pPr>
              <w:pStyle w:val="128"/>
              <w:keepNext w:val="0"/>
              <w:keepLines w:val="0"/>
              <w:pageBreakBefore w:val="0"/>
              <w:kinsoku/>
              <w:wordWrap/>
              <w:overflowPunct/>
              <w:topLinePunct w:val="0"/>
              <w:autoSpaceDE/>
              <w:autoSpaceDN/>
              <w:bidi w:val="0"/>
              <w:adjustRightInd/>
              <w:snapToGrid/>
              <w:ind w:left="42" w:leftChars="20" w:right="42" w:rightChars="20"/>
              <w:jc w:val="center"/>
              <w:rPr>
                <w:rFonts w:hint="eastAsia" w:ascii="宋体" w:hAnsi="宋体" w:eastAsia="宋体" w:cs="宋体"/>
                <w:color w:val="auto"/>
                <w:sz w:val="18"/>
                <w:szCs w:val="18"/>
                <w:highlight w:val="none"/>
                <w:lang w:val="zh-CN"/>
              </w:rPr>
            </w:pPr>
            <w:r>
              <w:rPr>
                <w:rFonts w:hint="eastAsia" w:ascii="宋体" w:hAnsi="宋体" w:cs="宋体"/>
                <w:color w:val="auto"/>
                <w:sz w:val="18"/>
                <w:szCs w:val="18"/>
                <w:highlight w:val="none"/>
                <w:lang w:val="zh-CN"/>
              </w:rPr>
              <w:t>所属行业</w:t>
            </w:r>
          </w:p>
        </w:tc>
      </w:tr>
      <w:tr w14:paraId="2EFD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8" w:hRule="atLeast"/>
          <w:jc w:val="center"/>
        </w:trPr>
        <w:tc>
          <w:tcPr>
            <w:tcW w:w="539" w:type="dxa"/>
            <w:noWrap w:val="0"/>
            <w:vAlign w:val="center"/>
          </w:tcPr>
          <w:p w14:paraId="333EC1E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931" w:type="dxa"/>
            <w:noWrap w:val="0"/>
            <w:vAlign w:val="center"/>
          </w:tcPr>
          <w:p w14:paraId="3C91CEF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宿舍用电控制器</w:t>
            </w:r>
            <w:r>
              <w:rPr>
                <w:rFonts w:hint="eastAsia" w:ascii="宋体" w:hAnsi="宋体" w:cs="宋体"/>
                <w:i w:val="0"/>
                <w:iCs w:val="0"/>
                <w:color w:val="auto"/>
                <w:kern w:val="0"/>
                <w:sz w:val="18"/>
                <w:szCs w:val="18"/>
                <w:highlight w:val="none"/>
                <w:u w:val="none"/>
                <w:lang w:val="en-US" w:eastAsia="zh-CN" w:bidi="ar"/>
              </w:rPr>
              <w:t>（核心产品）</w:t>
            </w:r>
          </w:p>
        </w:tc>
        <w:tc>
          <w:tcPr>
            <w:tcW w:w="5600" w:type="dxa"/>
            <w:noWrap w:val="0"/>
            <w:vAlign w:val="center"/>
          </w:tcPr>
          <w:p w14:paraId="6A7CC44F">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1.额定电压AC250V；额定电流63A；尺寸：2P；控制面板带复位键及工作指示灯；导轨式安装。</w:t>
            </w:r>
          </w:p>
          <w:p w14:paraId="2FDC4A28">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2.感知手机功能:能够感应手机蓝牙，在30米以内感应到手机蓝牙时，</w:t>
            </w:r>
            <w:r>
              <w:rPr>
                <w:rFonts w:hint="eastAsia" w:ascii="宋体" w:hAnsi="宋体" w:cs="宋体"/>
                <w:i w:val="0"/>
                <w:iCs w:val="0"/>
                <w:color w:val="auto"/>
                <w:kern w:val="0"/>
                <w:sz w:val="18"/>
                <w:szCs w:val="18"/>
                <w:highlight w:val="none"/>
                <w:u w:val="none"/>
                <w:lang w:val="en-US" w:eastAsia="zh-CN" w:bidi="ar"/>
              </w:rPr>
              <w:t>并在10秒钟内完成自动上电</w:t>
            </w:r>
            <w:r>
              <w:rPr>
                <w:rFonts w:hint="eastAsia" w:ascii="宋体" w:hAnsi="宋体" w:eastAsia="宋体" w:cs="宋体"/>
                <w:i w:val="0"/>
                <w:iCs w:val="0"/>
                <w:color w:val="auto"/>
                <w:kern w:val="0"/>
                <w:sz w:val="18"/>
                <w:szCs w:val="18"/>
                <w:highlight w:val="none"/>
                <w:u w:val="none"/>
                <w:lang w:val="en-US" w:eastAsia="zh-CN" w:bidi="ar"/>
              </w:rPr>
              <w:t>，当感应不到手机蓝牙时，可实现自动断电。(</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带 CNAS 或 CMA 标识的国家认可的检验机构出具的检验报告复印件，并加盖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 xml:space="preserve">公章) </w:t>
            </w:r>
          </w:p>
          <w:p w14:paraId="358EFB7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3.4G通信功能:控制器具备4G通信功能</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内含9年以上年免费流量。（(</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带 CNAS 或 CMA 标识的国家认可的检验机构出具的检验报告复印件，并加盖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公章)</w:t>
            </w:r>
          </w:p>
          <w:p w14:paraId="7E880AA5">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4.电量计量功能:控制器自动计算所接入电器累计用电量。</w:t>
            </w:r>
          </w:p>
          <w:p w14:paraId="543F695F">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5.延时断电功能:当控制器感知不到手机蓝牙时，设备先进行延时断电状态，然后再断电。</w:t>
            </w:r>
          </w:p>
          <w:p w14:paraId="15826408">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6.定时通断电功能:</w:t>
            </w:r>
            <w:r>
              <w:rPr>
                <w:rFonts w:hint="eastAsia" w:ascii="宋体" w:hAnsi="宋体" w:cs="宋体"/>
                <w:i w:val="0"/>
                <w:iCs w:val="0"/>
                <w:color w:val="auto"/>
                <w:kern w:val="0"/>
                <w:sz w:val="18"/>
                <w:szCs w:val="18"/>
                <w:highlight w:val="none"/>
                <w:u w:val="none"/>
                <w:lang w:val="en-US" w:eastAsia="zh-CN" w:bidi="ar"/>
              </w:rPr>
              <w:t>设置定时通断电及定时时段内感知、时段外感知功能后，可对定时时段在每天执行、法定工作日、法定节假日或自定义选定执行。</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带 CNAS 或 CMA 标识的国家认可的检验机构出具的检验报告复印件，并加盖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 xml:space="preserve">公章) </w:t>
            </w:r>
          </w:p>
          <w:p w14:paraId="1A085172">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7.定时时段内感知功能:通过设置开启时间、结束时间，在开启时间与结束时间段内，控制器自动进入感知手机蓝牙状态，感知到手机蓝牙时主动供电，感知不到时主动断电。同时时段外保持断电。</w:t>
            </w:r>
          </w:p>
          <w:p w14:paraId="20FBB4A4">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8.定时时段外感知功能:通过设置开启时间、结束时间，在开启时间与结束时间段外，控制器自动进入感知手机蓝牙状态，感知到手机蓝牙时主动供电，感知不到时主动断电。同时时段内保持上电。</w:t>
            </w:r>
          </w:p>
          <w:p w14:paraId="1310DDB8">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r>
              <w:rPr>
                <w:rFonts w:hint="eastAsia" w:ascii="宋体" w:hAnsi="宋体" w:cs="宋体"/>
                <w:i w:val="0"/>
                <w:iCs w:val="0"/>
                <w:color w:val="auto"/>
                <w:kern w:val="0"/>
                <w:sz w:val="18"/>
                <w:szCs w:val="18"/>
                <w:highlight w:val="none"/>
                <w:u w:val="none"/>
                <w:lang w:val="en-US" w:eastAsia="zh-CN" w:bidi="ar"/>
              </w:rPr>
              <w:t>按键</w:t>
            </w:r>
            <w:r>
              <w:rPr>
                <w:rFonts w:hint="eastAsia" w:ascii="宋体" w:hAnsi="宋体" w:eastAsia="宋体" w:cs="宋体"/>
                <w:i w:val="0"/>
                <w:iCs w:val="0"/>
                <w:color w:val="auto"/>
                <w:kern w:val="0"/>
                <w:sz w:val="18"/>
                <w:szCs w:val="18"/>
                <w:highlight w:val="none"/>
                <w:u w:val="none"/>
                <w:lang w:val="en-US" w:eastAsia="zh-CN" w:bidi="ar"/>
              </w:rPr>
              <w:t>功能:</w:t>
            </w:r>
            <w:r>
              <w:rPr>
                <w:rFonts w:hint="eastAsia" w:ascii="宋体" w:hAnsi="宋体" w:cs="宋体"/>
                <w:i w:val="0"/>
                <w:iCs w:val="0"/>
                <w:color w:val="auto"/>
                <w:kern w:val="0"/>
                <w:sz w:val="18"/>
                <w:szCs w:val="18"/>
                <w:highlight w:val="none"/>
                <w:u w:val="none"/>
                <w:lang w:val="en-US" w:eastAsia="zh-CN" w:bidi="ar"/>
              </w:rPr>
              <w:t>通过管理平台软件设置设备面板按键功能，可锁定成按键无效。</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带 CNAS 或 CMA 标识的国家认可的检验机构出具的检验报告复印件，并加盖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 xml:space="preserve">公章) </w:t>
            </w:r>
          </w:p>
          <w:p w14:paraId="70BF64C0">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10.单一电器功率过载断电保护功能:当控制器接入的单一电器功率超过设置上限时，控制器切断供电。</w:t>
            </w:r>
          </w:p>
          <w:p w14:paraId="3668A715">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11.强制通断电功能:通过手机或电脑平台，对控制器进行强制上电或强制断电操作，使控制器保持长期供电或断电状态。</w:t>
            </w:r>
          </w:p>
          <w:p w14:paraId="41727EC7">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关联手机蓝牙功能:可以通过手机蓝牙配对、手机蓝牙信息扫描等方式，将安卓、鸿蒙、苹果IOS操作系统的手机蓝牙信息与控制器进行通信关联，控制器存储该手机的蓝牙信息，并通过探测该蓝牙以实现控制器感知手机蓝牙功能。</w:t>
            </w:r>
          </w:p>
          <w:p w14:paraId="19C3F908">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13.手机分享设备功能:通过手机或电脑管理平台，可将此控制器信息以二维码形式输出，并且其他手机可以通过扫码后进行管理。</w:t>
            </w:r>
          </w:p>
          <w:p w14:paraId="6245278A">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14.临时上电功能:管理平台软件，点击临时上电功能按键，使控制器进入临时供电模式，临时上电时间可以通过手机或软件设置。(</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带 CNAS 或 CMA 标识的国家认可的检验机构出具的检验报告复印件，并加盖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 xml:space="preserve">公章) </w:t>
            </w:r>
          </w:p>
          <w:p w14:paraId="7D00B251">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15.OTA升级功能:控制器可自动或通过手机或电脑平台软件操作进行远程OTA升级功能，将控制器内嵌入式软件升级到最新版本。(</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带 CNAS 或 CMA 标识的国家认可的检验机构出具的检验报告复印件，并加盖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公章)</w:t>
            </w:r>
          </w:p>
          <w:p w14:paraId="72039C93">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供货服务：含安装及三年运维。</w:t>
            </w:r>
          </w:p>
        </w:tc>
        <w:tc>
          <w:tcPr>
            <w:tcW w:w="1380" w:type="dxa"/>
            <w:noWrap w:val="0"/>
            <w:vAlign w:val="center"/>
          </w:tcPr>
          <w:p w14:paraId="1054BE8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808套</w:t>
            </w:r>
          </w:p>
        </w:tc>
        <w:tc>
          <w:tcPr>
            <w:tcW w:w="1168" w:type="dxa"/>
            <w:noWrap w:val="0"/>
            <w:vAlign w:val="center"/>
          </w:tcPr>
          <w:p w14:paraId="2697000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工业</w:t>
            </w:r>
          </w:p>
        </w:tc>
      </w:tr>
      <w:tr w14:paraId="2CFF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8" w:hRule="atLeast"/>
          <w:jc w:val="center"/>
        </w:trPr>
        <w:tc>
          <w:tcPr>
            <w:tcW w:w="539" w:type="dxa"/>
            <w:noWrap w:val="0"/>
            <w:vAlign w:val="center"/>
          </w:tcPr>
          <w:p w14:paraId="5E823BF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931" w:type="dxa"/>
            <w:noWrap w:val="0"/>
            <w:vAlign w:val="center"/>
          </w:tcPr>
          <w:p w14:paraId="5F2D3E6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宿舍用电管理平台</w:t>
            </w:r>
          </w:p>
        </w:tc>
        <w:tc>
          <w:tcPr>
            <w:tcW w:w="5600" w:type="dxa"/>
            <w:noWrap w:val="0"/>
            <w:vAlign w:val="center"/>
          </w:tcPr>
          <w:p w14:paraId="0F0DEF58">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 综合大屏管理功能：可查看包括设备数量、在线数量、离线数量、设备类型；累计用电量、年度用电量；累计节电量、年度节电量、年度节电金额；使用人数、关联绑定人数；年度CO2减排量；节电量及用电量曲线或柱状图；综合节电比率；各种用电功能状态分布情况。（</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软件功能截图并加盖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公章）</w:t>
            </w:r>
          </w:p>
          <w:p w14:paraId="541BE1DB">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 设备分组管理功能：通过建立设备分组主要用于实现不同区域内设备批量管理。</w:t>
            </w:r>
          </w:p>
          <w:p w14:paraId="7932CFFC">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 全部设备管理功能：显示当前平台下所有设备，包括显示每台设备名称、设备编号、设备部门、网络信号强度、设备激活时间、当前开关状态及运行模式。并可直接对单台设备进行开关及设置，包括重置（恢复出厂参数），重启、设备详情、删除设备、实时监控等。</w:t>
            </w:r>
          </w:p>
          <w:p w14:paraId="60A684EE">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 设备查询功能：可按设备名称、位置、编码/ICCID、产品类型、设备状态、设备分组等选项，进行搜索查询、重置、批量操作、导出报表、批量添加权限操作。并具备复杂条件等高级参数查询功能，包括设备运行模式、开关状态、设置临时上电时间、设置额定功率、设置定时模式、是否开启感知探测等参数进行查询。</w:t>
            </w:r>
          </w:p>
          <w:p w14:paraId="0FB6B06F">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5.单台设备基本信息管理功能：详情可编辑查看设备名称、编码/iccid、设备位置、固件版本、备注信息、归属部门、所在地址、入网地址、激活时间、设备信号、设备状态等。</w:t>
            </w:r>
          </w:p>
          <w:p w14:paraId="3AC1DE4E">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6.单台设备运行状态管理功能：可查看设备运行情况包括设备开关状态、关联蓝牙、定时状态、设备版本、延时断电时间、临时上电时间、额定功率、蓝牙绑定上限等。</w:t>
            </w:r>
          </w:p>
          <w:p w14:paraId="1B99BB67">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单台设备设备定时管理功能：可新增定时通断电执行任务，包括可设置执行时间、每天是否重复执行、可选节假日是否执行；可按定时名称、定时状态、定时类型搜索查询设备；点击设备定时可设置定时时间段及管理，也可对当前定时模板执行修改、删除、查看详情、立即执行操作。</w:t>
            </w:r>
          </w:p>
          <w:p w14:paraId="641F84C4">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8.单台设备平台用户分享管理功能：可将此设备分享给平台软件用户进行管理，使用平台中分享设备功能，输入用户手机号，选中对应用户分享即可。也可取消分享，点击取消分享按钮，点击确认即可。</w:t>
            </w:r>
          </w:p>
          <w:p w14:paraId="3D383FEB">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9.单台设备用户管理功能：可查看当前绑定该设备的用户；可添加新用户；可锁定用户，其他用户无法通过手机对其进行删除；也可对现有用户进行权限修改，删除。</w:t>
            </w:r>
          </w:p>
          <w:p w14:paraId="72A71171">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10.单台设备蓝牙管理功能：对设备进行蓝牙信息关联及管理，点击新增可通过MAC地址，完成手机蓝牙绑定，也可以删除蓝牙。（</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软件功能截图并加盖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公章）</w:t>
            </w:r>
          </w:p>
          <w:p w14:paraId="7A1DFCD7">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11.单台设备设备日志管理功能：对设备运行进行日志管理，可通过日志类型、标识符进行搜索，也可对日志进行删除。</w:t>
            </w:r>
          </w:p>
          <w:p w14:paraId="4FD3BCAC">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12.单台设备监测统计管理功能：对设备运行电流、电压、功率、电量进行查询监测。</w:t>
            </w:r>
          </w:p>
          <w:p w14:paraId="7DB677E0">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13.单台设备感知数据查询功能：可查询某个时间段内，绑定设备的用户蓝牙在线时长情况。</w:t>
            </w:r>
          </w:p>
          <w:p w14:paraId="37419923">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14.单台设备权限模版管理功能：对设备的管理、使用、感知设置权限进行管理。</w:t>
            </w:r>
          </w:p>
          <w:p w14:paraId="75FFE791">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15.部门管理：输入部门名称、状态，点击搜索可查看、修改、删除对应部门，点击新增可在该部门下新增下一级部门。</w:t>
            </w:r>
          </w:p>
          <w:p w14:paraId="68900202">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节电量列表查询功能：可查询某部门下所有设备的名称、编码、某时段节电量、总节电量、碳排放等信息列表；也可根据设备名称关键字、设备编码、设备类型、创建时间段，查询对应设备的节电情况并导出列表。（</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软件功能截图并加盖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公章）</w:t>
            </w:r>
          </w:p>
          <w:p w14:paraId="5A985441">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17.节电量图表显示功能：通过选择年、月、日、时段及选择对应部门，即可查看该部门下所有设备的节电情况；也可输入设备编码，查询某一设备当前时段下的节电情况，可选择查看柱状图或折线图。</w:t>
            </w:r>
          </w:p>
          <w:p w14:paraId="36E02062">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18.用电量列表查询功能：通过输入部门名称，即可查看该部门下所有设备的名称、编码、用电量、总用电量。</w:t>
            </w:r>
          </w:p>
          <w:p w14:paraId="0B256314">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19.用电量图表显示功能：通过选择年、月、日、时段及选择对应部门，即可查看该部门下所有设备的用电情况；也可输入设备编码，查询某一设备当前时段下的用电情况，可选择查看柱状图或折线图。</w:t>
            </w:r>
          </w:p>
          <w:p w14:paraId="1A911658">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20.用电量与节电量对比趋势图：通过选择年、月、日、时段及选择对应部门，即可以查询某一时段内部门用电对比趋势柱状图或折线图。（</w:t>
            </w:r>
            <w:r>
              <w:rPr>
                <w:rFonts w:hint="eastAsia" w:ascii="宋体" w:hAnsi="宋体" w:cs="宋体"/>
                <w:i w:val="0"/>
                <w:iCs w:val="0"/>
                <w:color w:val="auto"/>
                <w:kern w:val="0"/>
                <w:sz w:val="18"/>
                <w:szCs w:val="18"/>
                <w:highlight w:val="none"/>
                <w:u w:val="none"/>
                <w:lang w:val="en-US" w:eastAsia="zh-CN" w:bidi="ar"/>
              </w:rPr>
              <w:t>响应文件内附</w:t>
            </w:r>
            <w:r>
              <w:rPr>
                <w:rFonts w:hint="eastAsia" w:ascii="宋体" w:hAnsi="宋体" w:eastAsia="宋体" w:cs="宋体"/>
                <w:i w:val="0"/>
                <w:iCs w:val="0"/>
                <w:color w:val="auto"/>
                <w:kern w:val="0"/>
                <w:sz w:val="18"/>
                <w:szCs w:val="18"/>
                <w:highlight w:val="none"/>
                <w:u w:val="none"/>
                <w:lang w:val="en-US" w:eastAsia="zh-CN" w:bidi="ar"/>
              </w:rPr>
              <w:t>软件功能截图并加盖</w:t>
            </w:r>
            <w:r>
              <w:rPr>
                <w:rFonts w:hint="eastAsia" w:ascii="宋体" w:hAnsi="宋体" w:cs="宋体"/>
                <w:i w:val="0"/>
                <w:iCs w:val="0"/>
                <w:color w:val="auto"/>
                <w:kern w:val="0"/>
                <w:sz w:val="18"/>
                <w:szCs w:val="18"/>
                <w:highlight w:val="none"/>
                <w:u w:val="none"/>
                <w:lang w:val="en-US" w:eastAsia="zh-CN" w:bidi="ar"/>
              </w:rPr>
              <w:t>供应商</w:t>
            </w:r>
            <w:r>
              <w:rPr>
                <w:rFonts w:hint="eastAsia" w:ascii="宋体" w:hAnsi="宋体" w:eastAsia="宋体" w:cs="宋体"/>
                <w:i w:val="0"/>
                <w:iCs w:val="0"/>
                <w:color w:val="auto"/>
                <w:kern w:val="0"/>
                <w:sz w:val="18"/>
                <w:szCs w:val="18"/>
                <w:highlight w:val="none"/>
                <w:u w:val="none"/>
                <w:lang w:val="en-US" w:eastAsia="zh-CN" w:bidi="ar"/>
              </w:rPr>
              <w:t>公章）</w:t>
            </w:r>
          </w:p>
          <w:p w14:paraId="7D4F0669">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21.</w:t>
            </w:r>
            <w:r>
              <w:rPr>
                <w:rFonts w:hint="eastAsia" w:ascii="宋体" w:hAnsi="宋体" w:cs="宋体"/>
                <w:i w:val="0"/>
                <w:iCs w:val="0"/>
                <w:color w:val="auto"/>
                <w:kern w:val="0"/>
                <w:sz w:val="18"/>
                <w:szCs w:val="18"/>
                <w:highlight w:val="none"/>
                <w:u w:val="none"/>
                <w:lang w:val="en-US" w:eastAsia="zh-CN" w:bidi="ar"/>
              </w:rPr>
              <w:t>供货服务：含安装及三年运维。</w:t>
            </w:r>
          </w:p>
        </w:tc>
        <w:tc>
          <w:tcPr>
            <w:tcW w:w="1380" w:type="dxa"/>
            <w:noWrap w:val="0"/>
            <w:vAlign w:val="center"/>
          </w:tcPr>
          <w:p w14:paraId="481B77C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1套</w:t>
            </w:r>
          </w:p>
        </w:tc>
        <w:tc>
          <w:tcPr>
            <w:tcW w:w="1168" w:type="dxa"/>
            <w:noWrap w:val="0"/>
            <w:vAlign w:val="center"/>
          </w:tcPr>
          <w:p w14:paraId="48949E84">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软件和信息技术服务业</w:t>
            </w:r>
          </w:p>
        </w:tc>
      </w:tr>
      <w:tr w14:paraId="6303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539" w:type="dxa"/>
            <w:noWrap w:val="0"/>
            <w:vAlign w:val="center"/>
          </w:tcPr>
          <w:p w14:paraId="4035BF4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931" w:type="dxa"/>
            <w:noWrap w:val="0"/>
            <w:vAlign w:val="center"/>
          </w:tcPr>
          <w:p w14:paraId="1853119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应急管理系统</w:t>
            </w:r>
          </w:p>
        </w:tc>
        <w:tc>
          <w:tcPr>
            <w:tcW w:w="5600" w:type="dxa"/>
            <w:noWrap w:val="0"/>
            <w:vAlign w:val="center"/>
          </w:tcPr>
          <w:p w14:paraId="61D0CF25">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实现对整个系统的运行通信、设备信息的设置进行存储；统一管理系统内的终端, 主界面能显示各终端当前工作状态；可设置呼叫目标，呼叫权限，呼叫范围等基本参数，远程调节任意终端音量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服务器可统一管理各终端与主机及寻呼话筒健的通话音视频信息、各终端报警记录、未接报警记录等数据信息，保证数据信息的安全性及权威性；每次呼叫和通话均写入日志供查询、可以随时查看每次通话、广播喊话的录音录像文件</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可提供对讲SDK，支持直接在X86平台上对管理主机或对讲终端进行呼叫、监听监视等。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断电恢复功能检查：系统断电后应能自动恢复到断电前状态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软件及寻呼话筒上都可显示区分对讲终端在网状态（网络断开、空闲），设备不在线软件平台会弹出窗口提示某对讲终端网络断开，便于及时维护及检修</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系统容量：系统可容纳终端及主机数量不受限制，每台寻呼话筒可管理容纳的终端数量也不受限制，方便同一系统内主机及终端的灵活扩容</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可以远程升级管理主机及对讲终端</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账户权限：管理软件对登录用户权限进行设置分配，严格控制登录用户的操作权限</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电子地图功能：当设备进行呼叫时，可联动底图，在地图上以动画效果突出显示当前正在呼叫中的设备</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视频联动：可提供系统软件开发包（SDK），与监控平台系统软件对接</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11.</w:t>
            </w:r>
            <w:r>
              <w:rPr>
                <w:rFonts w:hint="eastAsia" w:ascii="宋体" w:hAnsi="宋体" w:eastAsia="宋体" w:cs="宋体"/>
                <w:i w:val="0"/>
                <w:iCs w:val="0"/>
                <w:color w:val="auto"/>
                <w:kern w:val="0"/>
                <w:sz w:val="18"/>
                <w:szCs w:val="18"/>
                <w:highlight w:val="none"/>
                <w:u w:val="none"/>
                <w:lang w:val="en-US" w:eastAsia="zh-CN" w:bidi="ar"/>
              </w:rPr>
              <w:t>CPU:I7-12700</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12.</w:t>
            </w:r>
            <w:r>
              <w:rPr>
                <w:rFonts w:hint="eastAsia" w:ascii="宋体" w:hAnsi="宋体" w:eastAsia="宋体" w:cs="宋体"/>
                <w:i w:val="0"/>
                <w:iCs w:val="0"/>
                <w:color w:val="auto"/>
                <w:kern w:val="0"/>
                <w:sz w:val="18"/>
                <w:szCs w:val="18"/>
                <w:highlight w:val="none"/>
                <w:u w:val="none"/>
                <w:lang w:val="en-US" w:eastAsia="zh-CN" w:bidi="ar"/>
              </w:rPr>
              <w:t>内存：16G DDR4 最大支持 128G</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 xml:space="preserve">硬盘：1T 机械硬盘 7200rpm SATA </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14.</w:t>
            </w:r>
            <w:r>
              <w:rPr>
                <w:rFonts w:hint="eastAsia" w:ascii="宋体" w:hAnsi="宋体" w:eastAsia="宋体" w:cs="宋体"/>
                <w:i w:val="0"/>
                <w:iCs w:val="0"/>
                <w:color w:val="auto"/>
                <w:kern w:val="0"/>
                <w:sz w:val="18"/>
                <w:szCs w:val="18"/>
                <w:highlight w:val="none"/>
                <w:u w:val="none"/>
                <w:lang w:val="en-US" w:eastAsia="zh-CN" w:bidi="ar"/>
              </w:rPr>
              <w:t>网卡：SSD集成.10M/100M/1000M/以太网。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15.</w:t>
            </w:r>
            <w:r>
              <w:rPr>
                <w:rFonts w:hint="eastAsia" w:ascii="宋体" w:hAnsi="宋体" w:eastAsia="宋体" w:cs="宋体"/>
                <w:i w:val="0"/>
                <w:iCs w:val="0"/>
                <w:color w:val="auto"/>
                <w:kern w:val="0"/>
                <w:sz w:val="18"/>
                <w:szCs w:val="18"/>
                <w:highlight w:val="none"/>
                <w:u w:val="none"/>
                <w:lang w:val="en-US" w:eastAsia="zh-CN" w:bidi="ar"/>
              </w:rPr>
              <w:t>显示器：27寸液晶显示器 1920*1080 分辨率。</w:t>
            </w:r>
          </w:p>
          <w:p w14:paraId="1A233F14">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16.供货服务：含安装及三年运维。</w:t>
            </w:r>
          </w:p>
        </w:tc>
        <w:tc>
          <w:tcPr>
            <w:tcW w:w="1380" w:type="dxa"/>
            <w:noWrap w:val="0"/>
            <w:vAlign w:val="center"/>
          </w:tcPr>
          <w:p w14:paraId="663E795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1套</w:t>
            </w:r>
          </w:p>
        </w:tc>
        <w:tc>
          <w:tcPr>
            <w:tcW w:w="1168" w:type="dxa"/>
            <w:noWrap w:val="0"/>
            <w:vAlign w:val="center"/>
          </w:tcPr>
          <w:p w14:paraId="1225C6B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软件和信息技术服务业</w:t>
            </w:r>
          </w:p>
        </w:tc>
      </w:tr>
      <w:tr w14:paraId="5208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539" w:type="dxa"/>
            <w:noWrap w:val="0"/>
            <w:vAlign w:val="center"/>
          </w:tcPr>
          <w:p w14:paraId="04980DE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931" w:type="dxa"/>
            <w:noWrap w:val="0"/>
            <w:vAlign w:val="center"/>
          </w:tcPr>
          <w:p w14:paraId="03243C3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应急管理终端</w:t>
            </w:r>
          </w:p>
        </w:tc>
        <w:tc>
          <w:tcPr>
            <w:tcW w:w="5600" w:type="dxa"/>
            <w:noWrap w:val="0"/>
            <w:vAlign w:val="center"/>
          </w:tcPr>
          <w:p w14:paraId="00500EE3">
            <w:pPr>
              <w:keepNext w:val="0"/>
              <w:keepLines w:val="0"/>
              <w:pageBreakBefore w:val="0"/>
              <w:widowControl/>
              <w:numPr>
                <w:ilvl w:val="0"/>
                <w:numId w:val="3"/>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采用10.1寸数字真彩触摸屏，分辨率为1280*800</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可对讲终端（分机）实现数字全双工对讲</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通过局域网或广域网（LAN/WAN）传输</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一键广播：可以对网络中系统终端进行MP3广播、喊话广播、外接音源广播等多种模式的广播，广播对象支持选择分区、单个、多个或全局广播</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循环监视：上级主机可以同时选中所有对讲分机进行循环监视，自动滚播</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自带摄像头，寻呼话筒之间可双向视频对讲</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图标选择呼叫功能，每个对讲终端在寻呼话筒触摸屏上对应一个触摸图标，触摸按钮可以中文命名，选中即可呼叫对应终端，操作简单快捷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多级管理架构：系统有四级以上管理架构，能将不同级别的多个值班室寻呼话筒统一联网；系统有以太网的对方即可接入，支持跨网段、跨路由，可接入互联网</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通话保持：对讲主机与对讲分机通话过程中有其他对讲分机呼叫时，对讲主机可以将当前通话保持，并选择接听其他分机的通话</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手动转移：寻呼话筒可在接听前或接听后，将对讲终端的呼叫转移到系统内的任意一台寻呼话筒</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11.</w:t>
            </w:r>
            <w:r>
              <w:rPr>
                <w:rFonts w:hint="eastAsia" w:ascii="宋体" w:hAnsi="宋体" w:eastAsia="宋体" w:cs="宋体"/>
                <w:i w:val="0"/>
                <w:iCs w:val="0"/>
                <w:color w:val="auto"/>
                <w:kern w:val="0"/>
                <w:sz w:val="18"/>
                <w:szCs w:val="18"/>
                <w:highlight w:val="none"/>
                <w:u w:val="none"/>
                <w:lang w:val="en-US" w:eastAsia="zh-CN" w:bidi="ar"/>
              </w:rPr>
              <w:t>通话中转移：通话过程中所属主机可将本次通话转接至系统内其他任意一台寻呼话筒接听</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12.</w:t>
            </w:r>
            <w:r>
              <w:rPr>
                <w:rFonts w:hint="eastAsia" w:ascii="宋体" w:hAnsi="宋体" w:eastAsia="宋体" w:cs="宋体"/>
                <w:i w:val="0"/>
                <w:iCs w:val="0"/>
                <w:color w:val="auto"/>
                <w:kern w:val="0"/>
                <w:sz w:val="18"/>
                <w:szCs w:val="18"/>
                <w:highlight w:val="none"/>
                <w:u w:val="none"/>
                <w:lang w:val="en-US" w:eastAsia="zh-CN" w:bidi="ar"/>
              </w:rPr>
              <w:t>可支持SIP协议，进行SIP通话，兼容各SIP厂家的终端进行兼容性呼叫通话</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通话录音录像：寻呼话筒与分机间的通话自动录音录像，数据自己保存至对讲主机的存存储器中，并上传至管理服务器或系统录音录像的硬盘内存储</w:t>
            </w:r>
            <w:r>
              <w:rPr>
                <w:rFonts w:hint="eastAsia" w:ascii="宋体" w:hAnsi="宋体" w:cs="宋体"/>
                <w:i w:val="0"/>
                <w:iCs w:val="0"/>
                <w:color w:val="auto"/>
                <w:kern w:val="0"/>
                <w:sz w:val="18"/>
                <w:szCs w:val="18"/>
                <w:highlight w:val="none"/>
                <w:u w:val="none"/>
                <w:lang w:val="en-US" w:eastAsia="zh-CN" w:bidi="ar"/>
              </w:rPr>
              <w:t>。</w:t>
            </w:r>
          </w:p>
          <w:p w14:paraId="439CDA0E">
            <w:pPr>
              <w:keepNext w:val="0"/>
              <w:keepLines w:val="0"/>
              <w:pageBreakBefore w:val="0"/>
              <w:widowControl/>
              <w:numPr>
                <w:ilvl w:val="0"/>
                <w:numId w:val="4"/>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报警查询功能</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终端设备被触发时的报警信息、报警时间</w:t>
            </w:r>
            <w:r>
              <w:rPr>
                <w:rFonts w:hint="eastAsia" w:ascii="宋体" w:hAnsi="宋体" w:cs="宋体"/>
                <w:i w:val="0"/>
                <w:iCs w:val="0"/>
                <w:color w:val="auto"/>
                <w:kern w:val="0"/>
                <w:sz w:val="18"/>
                <w:szCs w:val="18"/>
                <w:highlight w:val="none"/>
                <w:u w:val="none"/>
                <w:lang w:val="en-US" w:eastAsia="zh-CN" w:bidi="ar"/>
              </w:rPr>
              <w:t>。</w:t>
            </w:r>
          </w:p>
          <w:p w14:paraId="65EC0E5C">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15.供货服务：含安装及三年运维。</w:t>
            </w:r>
          </w:p>
        </w:tc>
        <w:tc>
          <w:tcPr>
            <w:tcW w:w="1380" w:type="dxa"/>
            <w:noWrap w:val="0"/>
            <w:vAlign w:val="center"/>
          </w:tcPr>
          <w:p w14:paraId="11BECD2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7台</w:t>
            </w:r>
          </w:p>
        </w:tc>
        <w:tc>
          <w:tcPr>
            <w:tcW w:w="1168" w:type="dxa"/>
            <w:noWrap w:val="0"/>
            <w:vAlign w:val="center"/>
          </w:tcPr>
          <w:p w14:paraId="13C64D2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工业</w:t>
            </w:r>
          </w:p>
        </w:tc>
      </w:tr>
      <w:tr w14:paraId="2F78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539" w:type="dxa"/>
            <w:noWrap w:val="0"/>
            <w:vAlign w:val="center"/>
          </w:tcPr>
          <w:p w14:paraId="3EF9971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931" w:type="dxa"/>
            <w:noWrap w:val="0"/>
            <w:vAlign w:val="center"/>
          </w:tcPr>
          <w:p w14:paraId="4FF5500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可视通讯终端</w:t>
            </w:r>
          </w:p>
        </w:tc>
        <w:tc>
          <w:tcPr>
            <w:tcW w:w="5600" w:type="dxa"/>
            <w:noWrap w:val="0"/>
            <w:vAlign w:val="center"/>
          </w:tcPr>
          <w:p w14:paraId="6D66AB6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通过局域网/广域网（LAN/WAN）传输，实现联网通话</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铝合金拉丝面板，坚固耐用，美观大方，具有防水、防潮、防粉尘、防拆、防暴力破坏等功能，可明装，也可嵌入式安装</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可设置优先等级，高级别用户可以中断低级别用户，同时拥有3条链路，优先级依次是对讲、广播、监听监视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可支持SIP协议、可与VOIP电话等进行互通</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应用于前端求助点，支持紧急报警/求助，向管理软件发送报警信息</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可一键呼叫指定管理主机或管理中心软件，可通过软件指定呼叫键所呼叫的目标话筒或软件，实现全双工对讲</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内置高灵敏度话筒、喇叭，可免提通话和接收广播，具有回音消除功能；采用MEEYI回音消除技术，广播级音质，声音逼真、清晰、宏亮</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设备空闲时可播放背景音乐，对讲时自动中断</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9.不低于</w:t>
            </w:r>
            <w:r>
              <w:rPr>
                <w:rFonts w:hint="eastAsia" w:ascii="宋体" w:hAnsi="宋体" w:eastAsia="宋体" w:cs="宋体"/>
                <w:i w:val="0"/>
                <w:iCs w:val="0"/>
                <w:color w:val="auto"/>
                <w:kern w:val="0"/>
                <w:sz w:val="18"/>
                <w:szCs w:val="18"/>
                <w:highlight w:val="none"/>
                <w:u w:val="none"/>
                <w:lang w:val="en-US" w:eastAsia="zh-CN" w:bidi="ar"/>
              </w:rPr>
              <w:t>200W高清摄像头；支持AI自定义语</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联动控制：提供TCP指令、UDP指令、RS485接口、开关量接口</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11.</w:t>
            </w:r>
            <w:r>
              <w:rPr>
                <w:rFonts w:hint="eastAsia" w:ascii="宋体" w:hAnsi="宋体" w:eastAsia="宋体" w:cs="宋体"/>
                <w:i w:val="0"/>
                <w:iCs w:val="0"/>
                <w:color w:val="auto"/>
                <w:kern w:val="0"/>
                <w:sz w:val="18"/>
                <w:szCs w:val="18"/>
                <w:highlight w:val="none"/>
                <w:u w:val="none"/>
                <w:lang w:val="en-US" w:eastAsia="zh-CN" w:bidi="ar"/>
              </w:rPr>
              <w:t>图像质量，提供多种分辨率规格可供进行切换，用户可自行调整视频通话中的分辨率</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12.</w:t>
            </w:r>
            <w:r>
              <w:rPr>
                <w:rFonts w:hint="eastAsia" w:ascii="宋体" w:hAnsi="宋体" w:eastAsia="宋体" w:cs="宋体"/>
                <w:i w:val="0"/>
                <w:iCs w:val="0"/>
                <w:color w:val="auto"/>
                <w:kern w:val="0"/>
                <w:sz w:val="18"/>
                <w:szCs w:val="18"/>
                <w:highlight w:val="none"/>
                <w:u w:val="none"/>
                <w:lang w:val="en-US" w:eastAsia="zh-CN" w:bidi="ar"/>
              </w:rPr>
              <w:t>支持接收主机或管理软件下发的MP3广播、喊话广播、外接音源广播</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有通话数据保密功能。对传输中的数据进行加密，以防止他人窃听利用，使通话更安全</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14.</w:t>
            </w:r>
            <w:r>
              <w:rPr>
                <w:rFonts w:hint="eastAsia" w:ascii="宋体" w:hAnsi="宋体" w:eastAsia="宋体" w:cs="宋体"/>
                <w:i w:val="0"/>
                <w:iCs w:val="0"/>
                <w:color w:val="auto"/>
                <w:kern w:val="0"/>
                <w:sz w:val="18"/>
                <w:szCs w:val="18"/>
                <w:highlight w:val="none"/>
                <w:u w:val="none"/>
                <w:lang w:val="en-US" w:eastAsia="zh-CN" w:bidi="ar"/>
              </w:rPr>
              <w:t>监听监视：可通过主机对分机进行监听或监视，监听监视过程中分机无反应，不会被前端人员察觉</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15.</w:t>
            </w:r>
            <w:r>
              <w:rPr>
                <w:rFonts w:hint="eastAsia" w:ascii="宋体" w:hAnsi="宋体" w:eastAsia="宋体" w:cs="宋体"/>
                <w:i w:val="0"/>
                <w:iCs w:val="0"/>
                <w:color w:val="auto"/>
                <w:kern w:val="0"/>
                <w:sz w:val="18"/>
                <w:szCs w:val="18"/>
                <w:highlight w:val="none"/>
                <w:u w:val="none"/>
                <w:lang w:val="en-US" w:eastAsia="zh-CN" w:bidi="ar"/>
              </w:rPr>
              <w:t>联动控制：提供TCP指令、UDP指令、RS485接口、开关量接口</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16.</w:t>
            </w:r>
            <w:r>
              <w:rPr>
                <w:rFonts w:hint="eastAsia" w:ascii="宋体" w:hAnsi="宋体" w:eastAsia="宋体" w:cs="宋体"/>
                <w:i w:val="0"/>
                <w:iCs w:val="0"/>
                <w:color w:val="auto"/>
                <w:kern w:val="0"/>
                <w:sz w:val="18"/>
                <w:szCs w:val="18"/>
                <w:highlight w:val="none"/>
                <w:u w:val="none"/>
                <w:lang w:val="en-US" w:eastAsia="zh-CN" w:bidi="ar"/>
              </w:rPr>
              <w:t>无响应呼叫转移：当备呼叫的寻呼话筒无响应时，可将呼叫转移至其他指定的寻呼话筒上</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17.</w:t>
            </w:r>
            <w:r>
              <w:rPr>
                <w:rFonts w:hint="eastAsia" w:ascii="宋体" w:hAnsi="宋体" w:eastAsia="宋体" w:cs="宋体"/>
                <w:i w:val="0"/>
                <w:iCs w:val="0"/>
                <w:color w:val="auto"/>
                <w:kern w:val="0"/>
                <w:sz w:val="18"/>
                <w:szCs w:val="18"/>
                <w:highlight w:val="none"/>
                <w:u w:val="none"/>
                <w:lang w:val="en-US" w:eastAsia="zh-CN" w:bidi="ar"/>
              </w:rPr>
              <w:t>断电恢复：当系统断电并恢复后，能自动恢复到断电前的状态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18.供货服务：含</w:t>
            </w:r>
            <w:r>
              <w:rPr>
                <w:rFonts w:hint="eastAsia" w:ascii="宋体" w:hAnsi="宋体" w:eastAsia="宋体" w:cs="宋体"/>
                <w:i w:val="0"/>
                <w:iCs w:val="0"/>
                <w:color w:val="auto"/>
                <w:kern w:val="0"/>
                <w:sz w:val="18"/>
                <w:szCs w:val="18"/>
                <w:highlight w:val="none"/>
                <w:u w:val="none"/>
                <w:lang w:val="en-US" w:eastAsia="zh-CN" w:bidi="ar"/>
              </w:rPr>
              <w:t>线管、线槽</w:t>
            </w:r>
            <w:r>
              <w:rPr>
                <w:rFonts w:hint="eastAsia" w:ascii="宋体" w:hAnsi="宋体" w:cs="宋体"/>
                <w:i w:val="0"/>
                <w:iCs w:val="0"/>
                <w:color w:val="auto"/>
                <w:kern w:val="0"/>
                <w:sz w:val="18"/>
                <w:szCs w:val="18"/>
                <w:highlight w:val="none"/>
                <w:u w:val="none"/>
                <w:lang w:val="en-US" w:eastAsia="zh-CN" w:bidi="ar"/>
              </w:rPr>
              <w:t>、安装及三年运维。</w:t>
            </w:r>
          </w:p>
        </w:tc>
        <w:tc>
          <w:tcPr>
            <w:tcW w:w="1380" w:type="dxa"/>
            <w:noWrap w:val="0"/>
            <w:vAlign w:val="center"/>
          </w:tcPr>
          <w:p w14:paraId="71489D9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84台</w:t>
            </w:r>
          </w:p>
        </w:tc>
        <w:tc>
          <w:tcPr>
            <w:tcW w:w="1168" w:type="dxa"/>
            <w:noWrap w:val="0"/>
            <w:vAlign w:val="center"/>
          </w:tcPr>
          <w:p w14:paraId="58C1944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工业</w:t>
            </w:r>
          </w:p>
        </w:tc>
      </w:tr>
      <w:tr w14:paraId="7062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539" w:type="dxa"/>
            <w:noWrap w:val="0"/>
            <w:vAlign w:val="center"/>
          </w:tcPr>
          <w:p w14:paraId="0BA2679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6</w:t>
            </w:r>
          </w:p>
        </w:tc>
        <w:tc>
          <w:tcPr>
            <w:tcW w:w="931" w:type="dxa"/>
            <w:noWrap w:val="0"/>
            <w:vAlign w:val="center"/>
          </w:tcPr>
          <w:p w14:paraId="484C3EB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香烟感烟探测仪</w:t>
            </w:r>
          </w:p>
        </w:tc>
        <w:tc>
          <w:tcPr>
            <w:tcW w:w="5600" w:type="dxa"/>
            <w:noWrap w:val="0"/>
            <w:vAlign w:val="center"/>
          </w:tcPr>
          <w:p w14:paraId="06D1A4FC">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基于NB -1oT 通讯协议支持全网通、烟温监测一体的报警器。支持管理监控平台/电话/短信/小程序/APP等方式远程报警，响应及时; 灵敏度可调，适用更复杂环境</w:t>
            </w:r>
            <w:r>
              <w:rPr>
                <w:rFonts w:hint="eastAsia" w:ascii="宋体" w:hAnsi="宋体" w:cs="宋体"/>
                <w:i w:val="0"/>
                <w:iCs w:val="0"/>
                <w:color w:val="auto"/>
                <w:kern w:val="0"/>
                <w:sz w:val="18"/>
                <w:szCs w:val="18"/>
                <w:highlight w:val="none"/>
                <w:u w:val="none"/>
                <w:lang w:val="en-US" w:eastAsia="zh-CN" w:bidi="ar"/>
              </w:rPr>
              <w:t>。</w:t>
            </w:r>
          </w:p>
          <w:p w14:paraId="6867FCC5">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2.具有防误报功能，能在探测仪上选择设置正常模 式和防误报模式， 同时电脑管理平台具备预报警.火 警的报警级别显示处理功能。</w:t>
            </w:r>
          </w:p>
          <w:p w14:paraId="461539FA">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3.设备出现报警后，可通过微信小程序及手机 APP 自动导航到报警定位点。</w:t>
            </w:r>
          </w:p>
          <w:p w14:paraId="1989D7EC">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4.具有防拆卸提示功能，当探测仪被拆卸时，其拆卸信息能传输到电脑管理平台、微信小程序。</w:t>
            </w:r>
          </w:p>
          <w:p w14:paraId="02AF6EE1">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5.具有低电量提示功能，当探测仪的电池电量不足 时，其低电量信息能传输到电脑管理平台、微信小 程序。</w:t>
            </w:r>
          </w:p>
          <w:p w14:paraId="59BB4915">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6.具有信号强度差提醒功能，当探测仪安装位置信号强度不满足使用要求，电脑管理平台及微信小程 序会进行提醒。</w:t>
            </w:r>
          </w:p>
          <w:p w14:paraId="369DA136">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7.具有远程消音，远程复位功能。当探测仪发生报警时， 能够通过电脑管理平台、微信小程序进行远程消音、远程复位。</w:t>
            </w:r>
          </w:p>
          <w:p w14:paraId="3A92B74C">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8.重复性试验比值≤1.06、方位试验比值≤1.12、一 致性试验比值≤1.24;需同时满足。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设备定期自动检测，当检测到故障时，及时发出本地报警并远程通知</w:t>
            </w:r>
            <w:r>
              <w:rPr>
                <w:rFonts w:hint="eastAsia" w:ascii="宋体" w:hAnsi="宋体" w:cs="宋体"/>
                <w:i w:val="0"/>
                <w:iCs w:val="0"/>
                <w:color w:val="auto"/>
                <w:kern w:val="0"/>
                <w:sz w:val="18"/>
                <w:szCs w:val="18"/>
                <w:highlight w:val="none"/>
                <w:u w:val="none"/>
                <w:lang w:val="en-US" w:eastAsia="zh-CN" w:bidi="ar"/>
              </w:rPr>
              <w:t>。</w:t>
            </w:r>
          </w:p>
          <w:p w14:paraId="2CDA26B4">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工作电压:DC3V(CR123A)工作电流:&lt;500mA静态电流:&lt;9uA</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11.</w:t>
            </w:r>
            <w:r>
              <w:rPr>
                <w:rFonts w:hint="eastAsia" w:ascii="宋体" w:hAnsi="宋体" w:eastAsia="宋体" w:cs="宋体"/>
                <w:i w:val="0"/>
                <w:iCs w:val="0"/>
                <w:color w:val="auto"/>
                <w:kern w:val="0"/>
                <w:sz w:val="18"/>
                <w:szCs w:val="18"/>
                <w:highlight w:val="none"/>
                <w:u w:val="none"/>
                <w:lang w:val="en-US" w:eastAsia="zh-CN" w:bidi="ar"/>
              </w:rPr>
              <w:t>工作温度:-10C~+55℃</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12.</w:t>
            </w:r>
            <w:r>
              <w:rPr>
                <w:rFonts w:hint="eastAsia" w:ascii="宋体" w:hAnsi="宋体" w:eastAsia="宋体" w:cs="宋体"/>
                <w:i w:val="0"/>
                <w:iCs w:val="0"/>
                <w:color w:val="auto"/>
                <w:kern w:val="0"/>
                <w:sz w:val="18"/>
                <w:szCs w:val="18"/>
                <w:highlight w:val="none"/>
                <w:u w:val="none"/>
                <w:lang w:val="en-US" w:eastAsia="zh-CN" w:bidi="ar"/>
              </w:rPr>
              <w:t>工作湿度:&lt;95%RH，无冷凝报警声音:80dB(正前方3米)</w:t>
            </w:r>
            <w:r>
              <w:rPr>
                <w:rFonts w:hint="eastAsia" w:ascii="宋体" w:hAnsi="宋体" w:cs="宋体"/>
                <w:i w:val="0"/>
                <w:iCs w:val="0"/>
                <w:color w:val="auto"/>
                <w:kern w:val="0"/>
                <w:sz w:val="18"/>
                <w:szCs w:val="18"/>
                <w:highlight w:val="none"/>
                <w:u w:val="none"/>
                <w:lang w:val="en-US" w:eastAsia="zh-CN" w:bidi="ar"/>
              </w:rPr>
              <w:t>。</w:t>
            </w:r>
          </w:p>
          <w:p w14:paraId="41D4DAA1">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探测范围:50平方米</w:t>
            </w:r>
            <w:r>
              <w:rPr>
                <w:rFonts w:hint="eastAsia" w:ascii="宋体" w:hAnsi="宋体" w:cs="宋体"/>
                <w:i w:val="0"/>
                <w:iCs w:val="0"/>
                <w:color w:val="auto"/>
                <w:kern w:val="0"/>
                <w:sz w:val="18"/>
                <w:szCs w:val="18"/>
                <w:highlight w:val="none"/>
                <w:u w:val="none"/>
                <w:lang w:val="en-US" w:eastAsia="zh-CN" w:bidi="ar"/>
              </w:rPr>
              <w:t>。</w:t>
            </w:r>
          </w:p>
          <w:p w14:paraId="255B4EAA">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w:t>
            </w:r>
            <w:r>
              <w:rPr>
                <w:rFonts w:hint="eastAsia" w:ascii="宋体" w:hAnsi="宋体" w:eastAsia="宋体" w:cs="宋体"/>
                <w:i w:val="0"/>
                <w:iCs w:val="0"/>
                <w:color w:val="auto"/>
                <w:kern w:val="0"/>
                <w:sz w:val="18"/>
                <w:szCs w:val="18"/>
                <w:highlight w:val="none"/>
                <w:u w:val="none"/>
                <w:lang w:val="en-US" w:eastAsia="zh-CN" w:bidi="ar"/>
              </w:rPr>
              <w:t>电池寿命:3~5年</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15.</w:t>
            </w:r>
            <w:r>
              <w:rPr>
                <w:rFonts w:hint="eastAsia" w:ascii="宋体" w:hAnsi="宋体" w:eastAsia="宋体" w:cs="宋体"/>
                <w:i w:val="0"/>
                <w:iCs w:val="0"/>
                <w:color w:val="auto"/>
                <w:kern w:val="0"/>
                <w:sz w:val="18"/>
                <w:szCs w:val="18"/>
                <w:highlight w:val="none"/>
                <w:u w:val="none"/>
                <w:lang w:val="en-US" w:eastAsia="zh-CN" w:bidi="ar"/>
              </w:rPr>
              <w:t>通讯</w:t>
            </w:r>
            <w:r>
              <w:rPr>
                <w:rFonts w:hint="eastAsia" w:ascii="宋体" w:hAnsi="宋体" w:cs="宋体"/>
                <w:i w:val="0"/>
                <w:iCs w:val="0"/>
                <w:color w:val="auto"/>
                <w:kern w:val="0"/>
                <w:sz w:val="18"/>
                <w:szCs w:val="18"/>
                <w:highlight w:val="none"/>
                <w:u w:val="none"/>
                <w:lang w:val="en-US" w:eastAsia="zh-CN" w:bidi="ar"/>
              </w:rPr>
              <w:t>要求</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含运营商NB</w:t>
            </w:r>
            <w:r>
              <w:rPr>
                <w:rFonts w:hint="eastAsia" w:ascii="宋体" w:hAnsi="宋体" w:eastAsia="宋体" w:cs="宋体"/>
                <w:i w:val="0"/>
                <w:iCs w:val="0"/>
                <w:color w:val="auto"/>
                <w:kern w:val="0"/>
                <w:sz w:val="18"/>
                <w:szCs w:val="18"/>
                <w:highlight w:val="none"/>
                <w:u w:val="none"/>
                <w:lang w:val="en-US" w:eastAsia="zh-CN" w:bidi="ar"/>
              </w:rPr>
              <w:t>卡、</w:t>
            </w:r>
            <w:r>
              <w:rPr>
                <w:rFonts w:hint="eastAsia" w:ascii="宋体" w:hAnsi="宋体" w:cs="宋体"/>
                <w:i w:val="0"/>
                <w:iCs w:val="0"/>
                <w:color w:val="auto"/>
                <w:kern w:val="0"/>
                <w:sz w:val="18"/>
                <w:szCs w:val="18"/>
                <w:highlight w:val="none"/>
                <w:u w:val="none"/>
                <w:lang w:val="en-US" w:eastAsia="zh-CN" w:bidi="ar"/>
              </w:rPr>
              <w:t>六</w:t>
            </w:r>
            <w:r>
              <w:rPr>
                <w:rFonts w:hint="eastAsia" w:ascii="宋体" w:hAnsi="宋体" w:eastAsia="宋体" w:cs="宋体"/>
                <w:i w:val="0"/>
                <w:iCs w:val="0"/>
                <w:color w:val="auto"/>
                <w:kern w:val="0"/>
                <w:sz w:val="18"/>
                <w:szCs w:val="18"/>
                <w:highlight w:val="none"/>
                <w:u w:val="none"/>
                <w:lang w:val="en-US" w:eastAsia="zh-CN" w:bidi="ar"/>
              </w:rPr>
              <w:t>年流量</w:t>
            </w:r>
            <w:r>
              <w:rPr>
                <w:rFonts w:hint="eastAsia" w:ascii="宋体" w:hAnsi="宋体" w:cs="宋体"/>
                <w:i w:val="0"/>
                <w:iCs w:val="0"/>
                <w:color w:val="auto"/>
                <w:kern w:val="0"/>
                <w:sz w:val="18"/>
                <w:szCs w:val="18"/>
                <w:highlight w:val="none"/>
                <w:u w:val="none"/>
                <w:lang w:val="en-US" w:eastAsia="zh-CN" w:bidi="ar"/>
              </w:rPr>
              <w:t>。</w:t>
            </w:r>
          </w:p>
          <w:p w14:paraId="7F32DA79">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firstLine="0" w:firstLineChars="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16.供货服务：含安装及三年运维。</w:t>
            </w:r>
          </w:p>
        </w:tc>
        <w:tc>
          <w:tcPr>
            <w:tcW w:w="1380" w:type="dxa"/>
            <w:noWrap w:val="0"/>
            <w:vAlign w:val="center"/>
          </w:tcPr>
          <w:p w14:paraId="50EE4DB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364套</w:t>
            </w:r>
          </w:p>
        </w:tc>
        <w:tc>
          <w:tcPr>
            <w:tcW w:w="1168" w:type="dxa"/>
            <w:noWrap w:val="0"/>
            <w:vAlign w:val="center"/>
          </w:tcPr>
          <w:p w14:paraId="28931D6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工业</w:t>
            </w:r>
          </w:p>
        </w:tc>
      </w:tr>
      <w:tr w14:paraId="2449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539" w:type="dxa"/>
            <w:noWrap w:val="0"/>
            <w:vAlign w:val="center"/>
          </w:tcPr>
          <w:p w14:paraId="5394EBA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7</w:t>
            </w:r>
          </w:p>
        </w:tc>
        <w:tc>
          <w:tcPr>
            <w:tcW w:w="931" w:type="dxa"/>
            <w:noWrap w:val="0"/>
            <w:vAlign w:val="center"/>
          </w:tcPr>
          <w:p w14:paraId="3736BED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网线</w:t>
            </w:r>
          </w:p>
        </w:tc>
        <w:tc>
          <w:tcPr>
            <w:tcW w:w="5600" w:type="dxa"/>
            <w:noWrap w:val="0"/>
            <w:vAlign w:val="center"/>
          </w:tcPr>
          <w:p w14:paraId="1672282D">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1护套材质:PVC/LSZH。                            </w:t>
            </w:r>
          </w:p>
          <w:p w14:paraId="0EF0C26A">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2.护套颜色:灰。</w:t>
            </w:r>
          </w:p>
          <w:p w14:paraId="340B0667">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通过标准最高传输频率 10</w:t>
            </w:r>
            <w:r>
              <w:rPr>
                <w:rFonts w:hint="default" w:ascii="宋体" w:hAnsi="宋体" w:eastAsia="宋体" w:cs="宋体"/>
                <w:i w:val="0"/>
                <w:iCs w:val="0"/>
                <w:color w:val="auto"/>
                <w:kern w:val="0"/>
                <w:sz w:val="18"/>
                <w:szCs w:val="18"/>
                <w:highlight w:val="none"/>
                <w:u w:val="none"/>
                <w:lang w:val="en-US" w:eastAsia="zh-CN" w:bidi="ar"/>
              </w:rPr>
              <w:t xml:space="preserve">0MHz </w:t>
            </w:r>
            <w:r>
              <w:rPr>
                <w:rFonts w:hint="eastAsia" w:ascii="宋体" w:hAnsi="宋体" w:eastAsia="宋体" w:cs="宋体"/>
                <w:i w:val="0"/>
                <w:iCs w:val="0"/>
                <w:color w:val="auto"/>
                <w:kern w:val="0"/>
                <w:sz w:val="18"/>
                <w:szCs w:val="18"/>
                <w:highlight w:val="none"/>
                <w:u w:val="none"/>
                <w:lang w:val="en-US" w:eastAsia="zh-CN" w:bidi="ar"/>
              </w:rPr>
              <w:t xml:space="preserve">测试 </w:t>
            </w:r>
            <w:r>
              <w:rPr>
                <w:rFonts w:hint="eastAsia" w:ascii="宋体" w:hAnsi="宋体" w:cs="宋体"/>
                <w:i w:val="0"/>
                <w:iCs w:val="0"/>
                <w:color w:val="auto"/>
                <w:kern w:val="0"/>
                <w:sz w:val="18"/>
                <w:szCs w:val="18"/>
                <w:highlight w:val="none"/>
                <w:u w:val="none"/>
                <w:lang w:val="en-US" w:eastAsia="zh-CN" w:bidi="ar"/>
              </w:rPr>
              <w:t>。</w:t>
            </w:r>
          </w:p>
          <w:p w14:paraId="1616E5C1">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额定传输速率</w:t>
            </w:r>
            <w:r>
              <w:rPr>
                <w:rFonts w:hint="default" w:ascii="宋体" w:hAnsi="宋体" w:eastAsia="宋体" w:cs="宋体"/>
                <w:i w:val="0"/>
                <w:iCs w:val="0"/>
                <w:color w:val="auto"/>
                <w:kern w:val="0"/>
                <w:sz w:val="18"/>
                <w:szCs w:val="18"/>
                <w:highlight w:val="none"/>
                <w:u w:val="none"/>
                <w:lang w:val="en-US" w:eastAsia="zh-CN" w:bidi="ar"/>
              </w:rPr>
              <w:t xml:space="preserve">(NVP):65% </w:t>
            </w:r>
            <w:r>
              <w:rPr>
                <w:rFonts w:hint="eastAsia" w:ascii="宋体" w:hAnsi="宋体" w:cs="宋体"/>
                <w:i w:val="0"/>
                <w:iCs w:val="0"/>
                <w:color w:val="auto"/>
                <w:kern w:val="0"/>
                <w:sz w:val="18"/>
                <w:szCs w:val="18"/>
                <w:highlight w:val="none"/>
                <w:u w:val="none"/>
                <w:lang w:val="en-US" w:eastAsia="zh-CN" w:bidi="ar"/>
              </w:rPr>
              <w:t>。</w:t>
            </w:r>
          </w:p>
          <w:p w14:paraId="50B68B6B">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单根导体直流电阻：≤9.6Ω</w:t>
            </w:r>
            <w:r>
              <w:rPr>
                <w:rFonts w:hint="default" w:ascii="宋体" w:hAnsi="宋体" w:eastAsia="宋体" w:cs="宋体"/>
                <w:i w:val="0"/>
                <w:iCs w:val="0"/>
                <w:color w:val="auto"/>
                <w:kern w:val="0"/>
                <w:sz w:val="18"/>
                <w:szCs w:val="18"/>
                <w:highlight w:val="none"/>
                <w:u w:val="none"/>
                <w:lang w:val="en-US" w:eastAsia="zh-CN" w:bidi="ar"/>
              </w:rPr>
              <w:t xml:space="preserve">/100m </w:t>
            </w:r>
            <w:r>
              <w:rPr>
                <w:rFonts w:hint="eastAsia" w:ascii="宋体" w:hAnsi="宋体" w:cs="宋体"/>
                <w:i w:val="0"/>
                <w:iCs w:val="0"/>
                <w:color w:val="auto"/>
                <w:kern w:val="0"/>
                <w:sz w:val="18"/>
                <w:szCs w:val="18"/>
                <w:highlight w:val="none"/>
                <w:u w:val="none"/>
                <w:lang w:val="en-US" w:eastAsia="zh-CN" w:bidi="ar"/>
              </w:rPr>
              <w:t>。</w:t>
            </w:r>
          </w:p>
          <w:p w14:paraId="3E851CD1">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导体：软圆铜线、</w:t>
            </w:r>
            <w:r>
              <w:rPr>
                <w:rFonts w:hint="default" w:ascii="宋体" w:hAnsi="宋体" w:eastAsia="宋体"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45</w:t>
            </w:r>
            <w:r>
              <w:rPr>
                <w:rFonts w:hint="default" w:ascii="宋体" w:hAnsi="宋体" w:eastAsia="宋体" w:cs="宋体"/>
                <w:i w:val="0"/>
                <w:iCs w:val="0"/>
                <w:color w:val="auto"/>
                <w:kern w:val="0"/>
                <w:sz w:val="18"/>
                <w:szCs w:val="18"/>
                <w:highlight w:val="none"/>
                <w:u w:val="none"/>
                <w:lang w:val="en-US" w:eastAsia="zh-CN" w:bidi="ar"/>
              </w:rPr>
              <w:t>mm</w:t>
            </w:r>
            <w:r>
              <w:rPr>
                <w:rFonts w:hint="eastAsia" w:ascii="宋体" w:hAnsi="宋体" w:eastAsia="宋体" w:cs="宋体"/>
                <w:i w:val="0"/>
                <w:iCs w:val="0"/>
                <w:color w:val="auto"/>
                <w:kern w:val="0"/>
                <w:sz w:val="18"/>
                <w:szCs w:val="18"/>
                <w:highlight w:val="none"/>
                <w:u w:val="none"/>
                <w:lang w:val="en-US" w:eastAsia="zh-CN" w:bidi="ar"/>
              </w:rPr>
              <w:t>±</w:t>
            </w:r>
            <w:r>
              <w:rPr>
                <w:rFonts w:hint="default" w:ascii="宋体" w:hAnsi="宋体" w:eastAsia="宋体" w:cs="宋体"/>
                <w:i w:val="0"/>
                <w:iCs w:val="0"/>
                <w:color w:val="auto"/>
                <w:kern w:val="0"/>
                <w:sz w:val="18"/>
                <w:szCs w:val="18"/>
                <w:highlight w:val="none"/>
                <w:u w:val="none"/>
                <w:lang w:val="en-US" w:eastAsia="zh-CN" w:bidi="ar"/>
              </w:rPr>
              <w:t>0.01mm,</w:t>
            </w:r>
            <w:r>
              <w:rPr>
                <w:rFonts w:hint="eastAsia" w:ascii="宋体" w:hAnsi="宋体" w:eastAsia="宋体" w:cs="宋体"/>
                <w:i w:val="0"/>
                <w:iCs w:val="0"/>
                <w:color w:val="auto"/>
                <w:kern w:val="0"/>
                <w:sz w:val="18"/>
                <w:szCs w:val="18"/>
                <w:highlight w:val="none"/>
                <w:u w:val="none"/>
                <w:lang w:val="en-US" w:eastAsia="zh-CN" w:bidi="ar"/>
              </w:rPr>
              <w:t>绝缘：</w:t>
            </w:r>
            <w:r>
              <w:rPr>
                <w:rFonts w:hint="default" w:ascii="宋体" w:hAnsi="宋体" w:eastAsia="宋体" w:cs="宋体"/>
                <w:i w:val="0"/>
                <w:iCs w:val="0"/>
                <w:color w:val="auto"/>
                <w:kern w:val="0"/>
                <w:sz w:val="18"/>
                <w:szCs w:val="18"/>
                <w:highlight w:val="none"/>
                <w:u w:val="none"/>
                <w:lang w:val="en-US" w:eastAsia="zh-CN" w:bidi="ar"/>
              </w:rPr>
              <w:t>HDPE,</w:t>
            </w:r>
            <w:r>
              <w:rPr>
                <w:rFonts w:hint="eastAsia" w:ascii="宋体" w:hAnsi="宋体" w:eastAsia="宋体" w:cs="宋体"/>
                <w:i w:val="0"/>
                <w:iCs w:val="0"/>
                <w:color w:val="auto"/>
                <w:kern w:val="0"/>
                <w:sz w:val="18"/>
                <w:szCs w:val="18"/>
                <w:highlight w:val="none"/>
                <w:u w:val="none"/>
                <w:lang w:val="en-US" w:eastAsia="zh-CN" w:bidi="ar"/>
              </w:rPr>
              <w:t>线对：</w:t>
            </w:r>
            <w:r>
              <w:rPr>
                <w:rFonts w:hint="default" w:ascii="宋体" w:hAnsi="宋体" w:eastAsia="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对</w:t>
            </w:r>
            <w:r>
              <w:rPr>
                <w:rFonts w:hint="eastAsia" w:ascii="宋体" w:hAnsi="宋体" w:cs="宋体"/>
                <w:i w:val="0"/>
                <w:iCs w:val="0"/>
                <w:color w:val="auto"/>
                <w:kern w:val="0"/>
                <w:sz w:val="18"/>
                <w:szCs w:val="18"/>
                <w:highlight w:val="none"/>
                <w:u w:val="none"/>
                <w:lang w:val="en-US" w:eastAsia="zh-CN" w:bidi="ar"/>
              </w:rPr>
              <w:t>。</w:t>
            </w:r>
          </w:p>
          <w:p w14:paraId="56DB384F">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 xml:space="preserve">屏蔽方式： </w:t>
            </w:r>
            <w:r>
              <w:rPr>
                <w:rFonts w:hint="default" w:ascii="宋体" w:hAnsi="宋体" w:eastAsia="宋体" w:cs="宋体"/>
                <w:i w:val="0"/>
                <w:iCs w:val="0"/>
                <w:color w:val="auto"/>
                <w:kern w:val="0"/>
                <w:sz w:val="18"/>
                <w:szCs w:val="18"/>
                <w:highlight w:val="none"/>
                <w:u w:val="none"/>
                <w:lang w:val="en-US" w:eastAsia="zh-CN" w:bidi="ar"/>
              </w:rPr>
              <w:t xml:space="preserve">UTP </w:t>
            </w:r>
            <w:r>
              <w:rPr>
                <w:rFonts w:hint="eastAsia" w:ascii="宋体" w:hAnsi="宋体" w:cs="宋体"/>
                <w:i w:val="0"/>
                <w:iCs w:val="0"/>
                <w:color w:val="auto"/>
                <w:kern w:val="0"/>
                <w:sz w:val="18"/>
                <w:szCs w:val="18"/>
                <w:highlight w:val="none"/>
                <w:u w:val="none"/>
                <w:lang w:val="en-US" w:eastAsia="zh-CN" w:bidi="ar"/>
              </w:rPr>
              <w:t>。</w:t>
            </w:r>
          </w:p>
          <w:p w14:paraId="09B31ACA">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 xml:space="preserve"> 护套外径：5</w:t>
            </w:r>
            <w:r>
              <w:rPr>
                <w:rFonts w:hint="default"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 xml:space="preserve">0.3mm </w:t>
            </w:r>
            <w:r>
              <w:rPr>
                <w:rFonts w:hint="eastAsia" w:ascii="宋体" w:hAnsi="宋体" w:cs="宋体"/>
                <w:i w:val="0"/>
                <w:iCs w:val="0"/>
                <w:color w:val="auto"/>
                <w:kern w:val="0"/>
                <w:sz w:val="18"/>
                <w:szCs w:val="18"/>
                <w:highlight w:val="none"/>
                <w:u w:val="none"/>
                <w:lang w:val="en-US" w:eastAsia="zh-CN" w:bidi="ar"/>
              </w:rPr>
              <w:t>。</w:t>
            </w:r>
          </w:p>
          <w:p w14:paraId="1F3D4AB1">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最小弯曲半径：安装时：＞5</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倍电缆外径</w:t>
            </w:r>
            <w:r>
              <w:rPr>
                <w:rFonts w:hint="eastAsia" w:ascii="宋体" w:hAnsi="宋体" w:cs="宋体"/>
                <w:i w:val="0"/>
                <w:iCs w:val="0"/>
                <w:color w:val="auto"/>
                <w:kern w:val="0"/>
                <w:sz w:val="18"/>
                <w:szCs w:val="18"/>
                <w:highlight w:val="none"/>
                <w:u w:val="none"/>
                <w:lang w:val="en-US" w:eastAsia="zh-CN" w:bidi="ar"/>
              </w:rPr>
              <w:t>。</w:t>
            </w:r>
            <w:r>
              <w:rPr>
                <w:rFonts w:hint="default" w:ascii="宋体" w:hAnsi="宋体" w:eastAsia="宋体" w:cs="宋体"/>
                <w:i w:val="0"/>
                <w:iCs w:val="0"/>
                <w:color w:val="auto"/>
                <w:kern w:val="0"/>
                <w:sz w:val="18"/>
                <w:szCs w:val="18"/>
                <w:highlight w:val="none"/>
                <w:u w:val="none"/>
                <w:lang w:val="en-US" w:eastAsia="zh-CN" w:bidi="ar"/>
              </w:rPr>
              <w:t xml:space="preserve"> </w:t>
            </w:r>
          </w:p>
          <w:p w14:paraId="74C449D0">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 xml:space="preserve">温度范围：安装时 </w:t>
            </w:r>
            <w:r>
              <w:rPr>
                <w:rFonts w:hint="default" w:ascii="宋体" w:hAnsi="宋体" w:eastAsia="宋体"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w:t>
            </w:r>
            <w:r>
              <w:rPr>
                <w:rFonts w:hint="default" w:ascii="宋体" w:hAnsi="宋体" w:eastAsia="宋体" w:cs="宋体"/>
                <w:i w:val="0"/>
                <w:iCs w:val="0"/>
                <w:color w:val="auto"/>
                <w:kern w:val="0"/>
                <w:sz w:val="18"/>
                <w:szCs w:val="18"/>
                <w:highlight w:val="none"/>
                <w:u w:val="none"/>
                <w:lang w:val="en-US" w:eastAsia="zh-CN" w:bidi="ar"/>
              </w:rPr>
              <w:t>~+50</w:t>
            </w:r>
            <w:r>
              <w:rPr>
                <w:rFonts w:hint="eastAsia" w:ascii="宋体" w:hAnsi="宋体" w:eastAsia="宋体" w:cs="宋体"/>
                <w:i w:val="0"/>
                <w:iCs w:val="0"/>
                <w:color w:val="auto"/>
                <w:kern w:val="0"/>
                <w:sz w:val="18"/>
                <w:szCs w:val="18"/>
                <w:highlight w:val="none"/>
                <w:u w:val="none"/>
                <w:lang w:val="en-US" w:eastAsia="zh-CN" w:bidi="ar"/>
              </w:rPr>
              <w:t>℃，运行时</w:t>
            </w:r>
            <w:r>
              <w:rPr>
                <w:rFonts w:hint="default" w:ascii="宋体" w:hAnsi="宋体" w:eastAsia="宋体" w:cs="宋体"/>
                <w:i w:val="0"/>
                <w:iCs w:val="0"/>
                <w:color w:val="auto"/>
                <w:kern w:val="0"/>
                <w:sz w:val="18"/>
                <w:szCs w:val="18"/>
                <w:highlight w:val="none"/>
                <w:u w:val="none"/>
                <w:lang w:val="en-US" w:eastAsia="zh-CN" w:bidi="ar"/>
              </w:rPr>
              <w:t>-20</w:t>
            </w:r>
            <w:r>
              <w:rPr>
                <w:rFonts w:hint="eastAsia" w:ascii="宋体" w:hAnsi="宋体" w:eastAsia="宋体" w:cs="宋体"/>
                <w:i w:val="0"/>
                <w:iCs w:val="0"/>
                <w:color w:val="auto"/>
                <w:kern w:val="0"/>
                <w:sz w:val="18"/>
                <w:szCs w:val="18"/>
                <w:highlight w:val="none"/>
                <w:u w:val="none"/>
                <w:lang w:val="en-US" w:eastAsia="zh-CN" w:bidi="ar"/>
              </w:rPr>
              <w:t>℃</w:t>
            </w:r>
            <w:r>
              <w:rPr>
                <w:rFonts w:hint="default"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w:t>
            </w:r>
            <w:r>
              <w:rPr>
                <w:rFonts w:hint="default" w:ascii="宋体" w:hAnsi="宋体" w:eastAsia="宋体" w:cs="宋体"/>
                <w:i w:val="0"/>
                <w:iCs w:val="0"/>
                <w:color w:val="auto"/>
                <w:kern w:val="0"/>
                <w:sz w:val="18"/>
                <w:szCs w:val="18"/>
                <w:highlight w:val="none"/>
                <w:u w:val="none"/>
                <w:lang w:val="en-US" w:eastAsia="zh-CN" w:bidi="ar"/>
              </w:rPr>
              <w:t>60</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w:t>
            </w:r>
          </w:p>
          <w:p w14:paraId="407A11C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11.供货</w:t>
            </w:r>
            <w:r>
              <w:rPr>
                <w:rFonts w:hint="eastAsia" w:ascii="宋体" w:hAnsi="宋体" w:cs="宋体"/>
                <w:i w:val="0"/>
                <w:iCs w:val="0"/>
                <w:color w:val="auto"/>
                <w:kern w:val="0"/>
                <w:sz w:val="18"/>
                <w:szCs w:val="18"/>
                <w:highlight w:val="none"/>
                <w:u w:val="none"/>
                <w:lang w:val="en-US" w:eastAsia="zh-CN" w:bidi="ar"/>
              </w:rPr>
              <w:t>服务：含安装及三年运维。</w:t>
            </w:r>
          </w:p>
        </w:tc>
        <w:tc>
          <w:tcPr>
            <w:tcW w:w="1380" w:type="dxa"/>
            <w:noWrap w:val="0"/>
            <w:vAlign w:val="center"/>
          </w:tcPr>
          <w:p w14:paraId="124484B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4000米</w:t>
            </w:r>
          </w:p>
        </w:tc>
        <w:tc>
          <w:tcPr>
            <w:tcW w:w="1168" w:type="dxa"/>
            <w:noWrap w:val="0"/>
            <w:vAlign w:val="center"/>
          </w:tcPr>
          <w:p w14:paraId="55C4E1D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工业</w:t>
            </w:r>
          </w:p>
        </w:tc>
      </w:tr>
      <w:tr w14:paraId="31CB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539" w:type="dxa"/>
            <w:noWrap w:val="0"/>
            <w:vAlign w:val="center"/>
          </w:tcPr>
          <w:p w14:paraId="40545FF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931" w:type="dxa"/>
            <w:noWrap w:val="0"/>
            <w:vAlign w:val="center"/>
          </w:tcPr>
          <w:p w14:paraId="5266947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5600" w:type="dxa"/>
            <w:noWrap w:val="0"/>
            <w:vAlign w:val="center"/>
          </w:tcPr>
          <w:p w14:paraId="3E948A3B">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材质：无氧铜丝（纯铜）</w:t>
            </w:r>
            <w:r>
              <w:rPr>
                <w:rFonts w:hint="eastAsia" w:ascii="宋体" w:hAnsi="宋体" w:cs="宋体"/>
                <w:i w:val="0"/>
                <w:iCs w:val="0"/>
                <w:color w:val="auto"/>
                <w:kern w:val="0"/>
                <w:sz w:val="18"/>
                <w:szCs w:val="18"/>
                <w:highlight w:val="none"/>
                <w:u w:val="none"/>
                <w:lang w:val="en-US" w:eastAsia="zh-CN" w:bidi="ar"/>
              </w:rPr>
              <w:t>。</w:t>
            </w:r>
          </w:p>
          <w:p w14:paraId="1584591E">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结构：2芯，每芯由多根细铜丝绞合而成（软导体，适合移动场景）</w:t>
            </w:r>
            <w:r>
              <w:rPr>
                <w:rFonts w:hint="eastAsia" w:ascii="宋体" w:hAnsi="宋体" w:cs="宋体"/>
                <w:i w:val="0"/>
                <w:iCs w:val="0"/>
                <w:color w:val="auto"/>
                <w:kern w:val="0"/>
                <w:sz w:val="18"/>
                <w:szCs w:val="18"/>
                <w:highlight w:val="none"/>
                <w:u w:val="none"/>
                <w:lang w:val="en-US" w:eastAsia="zh-CN" w:bidi="ar"/>
              </w:rPr>
              <w:t>。</w:t>
            </w:r>
          </w:p>
          <w:p w14:paraId="4C1975D6">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芯截面积：1.5mm²（标称截面积）</w:t>
            </w:r>
            <w:r>
              <w:rPr>
                <w:rFonts w:hint="eastAsia" w:ascii="宋体" w:hAnsi="宋体" w:cs="宋体"/>
                <w:i w:val="0"/>
                <w:iCs w:val="0"/>
                <w:color w:val="auto"/>
                <w:kern w:val="0"/>
                <w:sz w:val="18"/>
                <w:szCs w:val="18"/>
                <w:highlight w:val="none"/>
                <w:u w:val="none"/>
                <w:lang w:val="en-US" w:eastAsia="zh-CN" w:bidi="ar"/>
              </w:rPr>
              <w:t>。</w:t>
            </w:r>
          </w:p>
          <w:p w14:paraId="352D7ECC">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绝缘材质：聚氯乙烯（PVC），耐温等级一般为70℃（常见）</w:t>
            </w:r>
            <w:r>
              <w:rPr>
                <w:rFonts w:hint="eastAsia" w:ascii="宋体" w:hAnsi="宋体" w:cs="宋体"/>
                <w:i w:val="0"/>
                <w:iCs w:val="0"/>
                <w:color w:val="auto"/>
                <w:kern w:val="0"/>
                <w:sz w:val="18"/>
                <w:szCs w:val="18"/>
                <w:highlight w:val="none"/>
                <w:u w:val="none"/>
                <w:lang w:val="en-US" w:eastAsia="zh-CN" w:bidi="ar"/>
              </w:rPr>
              <w:t>。</w:t>
            </w:r>
          </w:p>
          <w:p w14:paraId="715FD88C">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护套材质：聚氯乙烯（PVC），颜色黑色</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白色等</w:t>
            </w:r>
            <w:r>
              <w:rPr>
                <w:rFonts w:hint="eastAsia" w:ascii="宋体" w:hAnsi="宋体" w:cs="宋体"/>
                <w:i w:val="0"/>
                <w:iCs w:val="0"/>
                <w:color w:val="auto"/>
                <w:kern w:val="0"/>
                <w:sz w:val="18"/>
                <w:szCs w:val="18"/>
                <w:highlight w:val="none"/>
                <w:u w:val="none"/>
                <w:lang w:val="en-US" w:eastAsia="zh-CN" w:bidi="ar"/>
              </w:rPr>
              <w:t>。</w:t>
            </w:r>
          </w:p>
          <w:p w14:paraId="5131E290">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 xml:space="preserve"> 导体直流电阻（20℃）：≤12.1Ω/km</w:t>
            </w:r>
            <w:r>
              <w:rPr>
                <w:rFonts w:hint="eastAsia" w:ascii="宋体" w:hAnsi="宋体" w:cs="宋体"/>
                <w:i w:val="0"/>
                <w:iCs w:val="0"/>
                <w:color w:val="auto"/>
                <w:kern w:val="0"/>
                <w:sz w:val="18"/>
                <w:szCs w:val="18"/>
                <w:highlight w:val="none"/>
                <w:u w:val="none"/>
                <w:lang w:val="en-US" w:eastAsia="zh-CN" w:bidi="ar"/>
              </w:rPr>
              <w:t>。</w:t>
            </w:r>
          </w:p>
          <w:p w14:paraId="7ADA84FD">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额定电压：300/500V</w:t>
            </w:r>
            <w:r>
              <w:rPr>
                <w:rFonts w:hint="eastAsia" w:ascii="宋体" w:hAnsi="宋体" w:cs="宋体"/>
                <w:i w:val="0"/>
                <w:iCs w:val="0"/>
                <w:color w:val="auto"/>
                <w:kern w:val="0"/>
                <w:sz w:val="18"/>
                <w:szCs w:val="18"/>
                <w:highlight w:val="none"/>
                <w:u w:val="none"/>
                <w:lang w:val="en-US" w:eastAsia="zh-CN" w:bidi="ar"/>
              </w:rPr>
              <w:t>。</w:t>
            </w:r>
          </w:p>
          <w:p w14:paraId="18965D77">
            <w:pPr>
              <w:keepNext w:val="0"/>
              <w:keepLines w:val="0"/>
              <w:pageBreakBefore w:val="0"/>
              <w:widowControl/>
              <w:numPr>
                <w:ilvl w:val="0"/>
                <w:numId w:val="0"/>
              </w:numPr>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8.供货服务：含安装及三年运维。</w:t>
            </w:r>
          </w:p>
        </w:tc>
        <w:tc>
          <w:tcPr>
            <w:tcW w:w="1380" w:type="dxa"/>
            <w:noWrap w:val="0"/>
            <w:vAlign w:val="center"/>
          </w:tcPr>
          <w:p w14:paraId="15C453C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1000米</w:t>
            </w:r>
          </w:p>
        </w:tc>
        <w:tc>
          <w:tcPr>
            <w:tcW w:w="1168" w:type="dxa"/>
            <w:noWrap w:val="0"/>
            <w:vAlign w:val="center"/>
          </w:tcPr>
          <w:p w14:paraId="3508544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工业</w:t>
            </w:r>
          </w:p>
        </w:tc>
      </w:tr>
      <w:tr w14:paraId="3687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539" w:type="dxa"/>
            <w:noWrap w:val="0"/>
            <w:vAlign w:val="center"/>
          </w:tcPr>
          <w:p w14:paraId="6DDCED1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w:t>
            </w:r>
          </w:p>
        </w:tc>
        <w:tc>
          <w:tcPr>
            <w:tcW w:w="931" w:type="dxa"/>
            <w:noWrap w:val="0"/>
            <w:vAlign w:val="center"/>
          </w:tcPr>
          <w:p w14:paraId="4129794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技术服务</w:t>
            </w:r>
          </w:p>
        </w:tc>
        <w:tc>
          <w:tcPr>
            <w:tcW w:w="5600" w:type="dxa"/>
            <w:noWrap w:val="0"/>
            <w:vAlign w:val="center"/>
          </w:tcPr>
          <w:p w14:paraId="408A1CB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1.集成、调试、培训。</w:t>
            </w:r>
          </w:p>
        </w:tc>
        <w:tc>
          <w:tcPr>
            <w:tcW w:w="1380" w:type="dxa"/>
            <w:noWrap w:val="0"/>
            <w:vAlign w:val="center"/>
          </w:tcPr>
          <w:p w14:paraId="7EF2A06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1项</w:t>
            </w:r>
          </w:p>
        </w:tc>
        <w:tc>
          <w:tcPr>
            <w:tcW w:w="1168" w:type="dxa"/>
            <w:noWrap w:val="0"/>
            <w:vAlign w:val="center"/>
          </w:tcPr>
          <w:p w14:paraId="3EA27D0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14:paraId="1CCCB1D9">
      <w:pPr>
        <w:pStyle w:val="12"/>
        <w:spacing w:line="360" w:lineRule="auto"/>
        <w:rPr>
          <w:rFonts w:hint="eastAsia" w:ascii="宋体" w:hAnsi="宋体" w:eastAsia="宋体" w:cs="宋体"/>
          <w:color w:val="auto"/>
          <w:sz w:val="24"/>
          <w:szCs w:val="24"/>
          <w:highlight w:val="none"/>
          <w:lang w:val="en-US" w:eastAsia="zh-CN"/>
        </w:rPr>
      </w:pPr>
      <w:r>
        <w:rPr>
          <w:rFonts w:hint="eastAsia" w:cs="宋体"/>
          <w:color w:val="auto"/>
          <w:highlight w:val="none"/>
        </w:rPr>
        <w:br w:type="page"/>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、其他</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内容：</w:t>
      </w:r>
    </w:p>
    <w:p w14:paraId="6D7B655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质量保证期：</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p>
    <w:p w14:paraId="396FE42B">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售后服务要求：</w:t>
      </w:r>
      <w:r>
        <w:rPr>
          <w:rFonts w:hint="eastAsia" w:ascii="宋体" w:hAnsi="宋体" w:eastAsia="宋体" w:cs="宋体"/>
          <w:color w:val="auto"/>
          <w:sz w:val="24"/>
          <w:szCs w:val="24"/>
          <w:highlight w:val="none"/>
          <w:lang w:val="zh-CN"/>
        </w:rPr>
        <w:t>提供7*24小时支持服务</w:t>
      </w:r>
    </w:p>
    <w:p w14:paraId="2725E899">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技术支持：供应商应提供持续的技术支持，包括系统升级、故障排除等。</w:t>
      </w:r>
    </w:p>
    <w:p w14:paraId="13EC27D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培训服务：为宿舍管理人员提供必要的培训，确保他们能够熟练使用和管理系统。</w:t>
      </w:r>
    </w:p>
    <w:p w14:paraId="0B8582E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保修期：从设备使用之日起因质量问题而出现的故障提供2年免费维修或更换服务的期限。</w:t>
      </w:r>
    </w:p>
    <w:p w14:paraId="6B7FEBB5">
      <w:pPr>
        <w:rPr>
          <w:rFonts w:hint="eastAsia" w:cs="宋体"/>
          <w:color w:val="auto"/>
          <w:highlight w:val="none"/>
        </w:rPr>
      </w:pPr>
    </w:p>
    <w:p w14:paraId="670E6E46">
      <w:pPr>
        <w:rPr>
          <w:rFonts w:hint="eastAsia" w:cs="宋体"/>
          <w:color w:val="auto"/>
          <w:highlight w:val="none"/>
        </w:rPr>
      </w:pPr>
    </w:p>
    <w:p w14:paraId="0F277228">
      <w:pPr>
        <w:rPr>
          <w:rFonts w:hint="default" w:cs="宋体" w:asciiTheme="majorAscii" w:hAnsiTheme="majorAscii"/>
          <w:color w:val="auto"/>
          <w:highlight w:val="none"/>
        </w:rPr>
      </w:pPr>
      <w:bookmarkStart w:id="159" w:name="_Toc18293"/>
      <w:r>
        <w:rPr>
          <w:rFonts w:hint="default" w:cs="宋体" w:asciiTheme="majorAscii" w:hAnsiTheme="majorAscii"/>
          <w:color w:val="auto"/>
          <w:highlight w:val="none"/>
        </w:rPr>
        <w:br w:type="page"/>
      </w:r>
    </w:p>
    <w:p w14:paraId="4F5FD64C">
      <w:pPr>
        <w:pStyle w:val="3"/>
        <w:jc w:val="center"/>
        <w:rPr>
          <w:rFonts w:hint="default" w:cs="宋体" w:asciiTheme="majorAscii" w:hAnsiTheme="majorAscii"/>
          <w:color w:val="auto"/>
          <w:highlight w:val="none"/>
        </w:rPr>
      </w:pPr>
      <w:r>
        <w:rPr>
          <w:rFonts w:hint="default" w:cs="宋体" w:asciiTheme="majorAscii" w:hAnsiTheme="majorAscii"/>
          <w:color w:val="auto"/>
          <w:highlight w:val="none"/>
        </w:rPr>
        <w:t>第五部分 响应文件格式</w:t>
      </w:r>
      <w:bookmarkEnd w:id="158"/>
      <w:bookmarkEnd w:id="159"/>
    </w:p>
    <w:p w14:paraId="19F14F19">
      <w:pPr>
        <w:spacing w:line="360" w:lineRule="auto"/>
        <w:ind w:firstLine="2520" w:firstLineChars="1050"/>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125F33C5">
      <w:pPr>
        <w:spacing w:line="360" w:lineRule="auto"/>
        <w:ind w:firstLine="1440" w:firstLineChars="450"/>
        <w:rPr>
          <w:rFonts w:ascii="宋体" w:hAnsi="宋体" w:cs="宋体"/>
          <w:color w:val="auto"/>
          <w:kern w:val="0"/>
          <w:sz w:val="32"/>
          <w:szCs w:val="32"/>
          <w:highlight w:val="none"/>
          <w:u w:val="single"/>
        </w:rPr>
      </w:pPr>
    </w:p>
    <w:p w14:paraId="32FE99F9">
      <w:pPr>
        <w:spacing w:line="360" w:lineRule="auto"/>
        <w:ind w:firstLine="1440" w:firstLineChars="450"/>
        <w:rPr>
          <w:rFonts w:ascii="宋体" w:hAnsi="宋体" w:cs="宋体"/>
          <w:color w:val="auto"/>
          <w:kern w:val="0"/>
          <w:sz w:val="32"/>
          <w:szCs w:val="32"/>
          <w:highlight w:val="none"/>
          <w:u w:val="single"/>
        </w:rPr>
      </w:pPr>
      <w:r>
        <w:rPr>
          <w:rFonts w:hint="eastAsia" w:ascii="宋体" w:hAnsi="宋体" w:cs="宋体"/>
          <w:color w:val="auto"/>
          <w:kern w:val="0"/>
          <w:sz w:val="32"/>
          <w:szCs w:val="32"/>
          <w:highlight w:val="none"/>
          <w:u w:val="single"/>
        </w:rPr>
        <w:t xml:space="preserve">                          （采购项目名称）</w:t>
      </w:r>
    </w:p>
    <w:p w14:paraId="6CDF9554">
      <w:pPr>
        <w:spacing w:line="360" w:lineRule="auto"/>
        <w:ind w:firstLine="1687"/>
        <w:jc w:val="center"/>
        <w:rPr>
          <w:rFonts w:ascii="宋体" w:hAnsi="宋体" w:cs="宋体"/>
          <w:b/>
          <w:color w:val="auto"/>
          <w:sz w:val="84"/>
          <w:highlight w:val="none"/>
        </w:rPr>
      </w:pPr>
    </w:p>
    <w:p w14:paraId="1F8AA52E">
      <w:pPr>
        <w:spacing w:line="360" w:lineRule="auto"/>
        <w:jc w:val="center"/>
        <w:rPr>
          <w:rFonts w:ascii="宋体" w:hAnsi="宋体" w:cs="宋体"/>
          <w:b/>
          <w:color w:val="auto"/>
          <w:sz w:val="84"/>
          <w:highlight w:val="none"/>
        </w:rPr>
      </w:pPr>
      <w:r>
        <w:rPr>
          <w:rFonts w:hint="eastAsia" w:ascii="宋体" w:hAnsi="宋体" w:cs="宋体"/>
          <w:b/>
          <w:color w:val="auto"/>
          <w:sz w:val="84"/>
          <w:highlight w:val="none"/>
        </w:rPr>
        <w:t>响应文件</w:t>
      </w:r>
    </w:p>
    <w:p w14:paraId="23AA7C4E">
      <w:pPr>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项目编号:</w:t>
      </w:r>
    </w:p>
    <w:p w14:paraId="0A367D42">
      <w:pPr>
        <w:spacing w:line="360" w:lineRule="auto"/>
        <w:ind w:firstLine="723"/>
        <w:jc w:val="center"/>
        <w:rPr>
          <w:rFonts w:ascii="宋体" w:hAnsi="宋体" w:cs="宋体"/>
          <w:b/>
          <w:color w:val="auto"/>
          <w:sz w:val="36"/>
          <w:highlight w:val="none"/>
        </w:rPr>
      </w:pPr>
    </w:p>
    <w:p w14:paraId="36AA97E7">
      <w:pPr>
        <w:spacing w:line="360" w:lineRule="auto"/>
        <w:ind w:firstLine="883"/>
        <w:jc w:val="center"/>
        <w:rPr>
          <w:rFonts w:ascii="宋体" w:hAnsi="宋体" w:cs="宋体"/>
          <w:b/>
          <w:color w:val="auto"/>
          <w:sz w:val="44"/>
          <w:highlight w:val="none"/>
        </w:rPr>
      </w:pPr>
    </w:p>
    <w:p w14:paraId="16C0C92E">
      <w:pPr>
        <w:spacing w:line="360" w:lineRule="auto"/>
        <w:ind w:firstLine="482"/>
        <w:rPr>
          <w:rFonts w:ascii="宋体" w:hAnsi="宋体" w:cs="宋体"/>
          <w:b/>
          <w:color w:val="auto"/>
          <w:sz w:val="24"/>
          <w:highlight w:val="none"/>
          <w:u w:val="single"/>
        </w:rPr>
      </w:pPr>
    </w:p>
    <w:p w14:paraId="4A95A6D5">
      <w:pPr>
        <w:spacing w:line="360" w:lineRule="auto"/>
        <w:ind w:firstLine="482"/>
        <w:rPr>
          <w:rFonts w:ascii="宋体" w:hAnsi="宋体" w:cs="宋体"/>
          <w:b/>
          <w:color w:val="auto"/>
          <w:sz w:val="24"/>
          <w:highlight w:val="none"/>
          <w:u w:val="single"/>
        </w:rPr>
      </w:pPr>
    </w:p>
    <w:p w14:paraId="377F39C0">
      <w:pPr>
        <w:spacing w:line="360" w:lineRule="auto"/>
        <w:ind w:firstLine="482"/>
        <w:rPr>
          <w:rFonts w:ascii="宋体" w:hAnsi="宋体" w:cs="宋体"/>
          <w:b/>
          <w:color w:val="auto"/>
          <w:sz w:val="24"/>
          <w:highlight w:val="none"/>
          <w:u w:val="single"/>
        </w:rPr>
      </w:pPr>
    </w:p>
    <w:p w14:paraId="1D2F54CC">
      <w:pPr>
        <w:spacing w:line="360" w:lineRule="auto"/>
        <w:ind w:firstLine="482"/>
        <w:rPr>
          <w:rFonts w:ascii="宋体" w:hAnsi="宋体" w:cs="宋体"/>
          <w:b/>
          <w:color w:val="auto"/>
          <w:sz w:val="24"/>
          <w:highlight w:val="none"/>
          <w:u w:val="single"/>
        </w:rPr>
      </w:pPr>
    </w:p>
    <w:p w14:paraId="64912811">
      <w:pPr>
        <w:spacing w:line="360" w:lineRule="auto"/>
        <w:ind w:firstLine="602"/>
        <w:rPr>
          <w:rFonts w:ascii="宋体" w:hAnsi="宋体" w:cs="宋体"/>
          <w:b/>
          <w:color w:val="auto"/>
          <w:sz w:val="30"/>
          <w:szCs w:val="30"/>
          <w:highlight w:val="none"/>
          <w:u w:val="single"/>
        </w:rPr>
      </w:pPr>
    </w:p>
    <w:p w14:paraId="31115F52">
      <w:pPr>
        <w:spacing w:line="360" w:lineRule="auto"/>
        <w:jc w:val="center"/>
        <w:rPr>
          <w:rFonts w:ascii="宋体" w:hAnsi="宋体" w:cs="宋体"/>
          <w:b/>
          <w:color w:val="auto"/>
          <w:sz w:val="30"/>
          <w:szCs w:val="30"/>
          <w:highlight w:val="none"/>
          <w:u w:val="single"/>
        </w:rPr>
      </w:pPr>
      <w:r>
        <w:rPr>
          <w:rFonts w:hint="eastAsia" w:ascii="宋体" w:hAnsi="宋体" w:cs="宋体"/>
          <w:b/>
          <w:color w:val="auto"/>
          <w:sz w:val="30"/>
          <w:szCs w:val="30"/>
          <w:highlight w:val="none"/>
        </w:rPr>
        <w:t>供应商:</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rPr>
        <w:t>(盖章)</w:t>
      </w:r>
    </w:p>
    <w:p w14:paraId="7F2C5C96">
      <w:pPr>
        <w:spacing w:line="360" w:lineRule="auto"/>
        <w:ind w:firstLine="602"/>
        <w:jc w:val="center"/>
        <w:rPr>
          <w:rFonts w:ascii="宋体" w:hAnsi="宋体" w:cs="宋体"/>
          <w:b/>
          <w:color w:val="auto"/>
          <w:sz w:val="30"/>
          <w:szCs w:val="30"/>
          <w:highlight w:val="none"/>
          <w:u w:val="single"/>
        </w:rPr>
      </w:pPr>
    </w:p>
    <w:p w14:paraId="5B826498">
      <w:pPr>
        <w:spacing w:line="360" w:lineRule="auto"/>
        <w:jc w:val="center"/>
        <w:rPr>
          <w:rFonts w:ascii="宋体" w:hAnsi="宋体" w:cs="宋体"/>
          <w:b/>
          <w:color w:val="auto"/>
          <w:sz w:val="30"/>
          <w:szCs w:val="30"/>
          <w:highlight w:val="none"/>
          <w:u w:val="single"/>
        </w:rPr>
      </w:pPr>
      <w:r>
        <w:rPr>
          <w:rFonts w:hint="eastAsia" w:ascii="宋体" w:hAnsi="宋体" w:cs="宋体"/>
          <w:b/>
          <w:color w:val="auto"/>
          <w:sz w:val="30"/>
          <w:szCs w:val="30"/>
          <w:highlight w:val="none"/>
        </w:rPr>
        <w:t>法定代表人或授权代表:</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rPr>
        <w:t>(签字)</w:t>
      </w:r>
    </w:p>
    <w:p w14:paraId="4A72ED98">
      <w:pPr>
        <w:spacing w:line="360" w:lineRule="auto"/>
        <w:ind w:firstLine="602"/>
        <w:jc w:val="center"/>
        <w:rPr>
          <w:rFonts w:ascii="宋体" w:hAnsi="宋体" w:cs="宋体"/>
          <w:b/>
          <w:color w:val="auto"/>
          <w:sz w:val="30"/>
          <w:szCs w:val="30"/>
          <w:highlight w:val="none"/>
          <w:u w:val="single"/>
        </w:rPr>
      </w:pPr>
    </w:p>
    <w:p w14:paraId="594F2310">
      <w:pPr>
        <w:spacing w:line="360" w:lineRule="auto"/>
        <w:jc w:val="center"/>
        <w:rPr>
          <w:rFonts w:ascii="宋体" w:hAnsi="宋体" w:cs="宋体"/>
          <w:b/>
          <w:color w:val="auto"/>
          <w:sz w:val="30"/>
          <w:szCs w:val="30"/>
          <w:highlight w:val="none"/>
          <w:u w:val="singl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rPr>
        <w:t>日</w:t>
      </w:r>
    </w:p>
    <w:p w14:paraId="306EB41E">
      <w:pPr>
        <w:spacing w:line="360" w:lineRule="auto"/>
        <w:ind w:firstLine="883"/>
        <w:rPr>
          <w:rFonts w:ascii="宋体" w:hAnsi="宋体" w:cs="宋体"/>
          <w:b/>
          <w:color w:val="auto"/>
          <w:sz w:val="44"/>
          <w:highlight w:val="none"/>
          <w:u w:val="single"/>
        </w:rPr>
      </w:pPr>
    </w:p>
    <w:p w14:paraId="1C41D1D7">
      <w:pPr>
        <w:spacing w:line="360" w:lineRule="auto"/>
        <w:ind w:firstLine="562"/>
        <w:jc w:val="center"/>
        <w:rPr>
          <w:rFonts w:ascii="宋体" w:hAnsi="宋体" w:cs="宋体"/>
          <w:b/>
          <w:color w:val="auto"/>
          <w:sz w:val="28"/>
          <w:highlight w:val="none"/>
        </w:rPr>
      </w:pPr>
      <w:r>
        <w:rPr>
          <w:rFonts w:hint="eastAsia" w:ascii="宋体" w:hAnsi="宋体" w:cs="宋体"/>
          <w:b/>
          <w:color w:val="auto"/>
          <w:sz w:val="28"/>
          <w:highlight w:val="none"/>
        </w:rPr>
        <w:br w:type="page"/>
      </w:r>
      <w:r>
        <w:rPr>
          <w:rFonts w:hint="eastAsia" w:ascii="宋体" w:hAnsi="宋体" w:cs="宋体"/>
          <w:b/>
          <w:color w:val="auto"/>
          <w:sz w:val="28"/>
          <w:highlight w:val="none"/>
        </w:rPr>
        <w:t>目录</w:t>
      </w:r>
    </w:p>
    <w:p w14:paraId="5648D3FF">
      <w:pPr>
        <w:spacing w:line="360" w:lineRule="auto"/>
        <w:ind w:firstLine="562"/>
        <w:jc w:val="center"/>
        <w:rPr>
          <w:rFonts w:ascii="宋体" w:hAnsi="宋体" w:cs="宋体"/>
          <w:b/>
          <w:color w:val="auto"/>
          <w:sz w:val="28"/>
          <w:highlight w:val="none"/>
        </w:rPr>
      </w:pPr>
    </w:p>
    <w:p w14:paraId="48A232EA">
      <w:pPr>
        <w:tabs>
          <w:tab w:val="left" w:pos="709"/>
          <w:tab w:val="left" w:pos="1134"/>
        </w:tabs>
        <w:adjustRightInd w:val="0"/>
        <w:snapToGrid w:val="0"/>
        <w:spacing w:line="360" w:lineRule="auto"/>
        <w:ind w:left="1134"/>
        <w:rPr>
          <w:rFonts w:ascii="宋体" w:hAnsi="宋体" w:cs="宋体"/>
          <w:color w:val="auto"/>
          <w:szCs w:val="21"/>
          <w:highlight w:val="none"/>
        </w:rPr>
      </w:pPr>
      <w:r>
        <w:rPr>
          <w:rFonts w:hint="eastAsia" w:ascii="宋体" w:hAnsi="宋体" w:cs="宋体"/>
          <w:color w:val="auto"/>
          <w:szCs w:val="21"/>
          <w:highlight w:val="none"/>
        </w:rPr>
        <w:t>一、报价函</w:t>
      </w:r>
    </w:p>
    <w:p w14:paraId="0CA652FB">
      <w:pPr>
        <w:tabs>
          <w:tab w:val="left" w:pos="1155"/>
          <w:tab w:val="left" w:pos="1575"/>
        </w:tabs>
        <w:adjustRightInd w:val="0"/>
        <w:snapToGrid w:val="0"/>
        <w:spacing w:line="360" w:lineRule="auto"/>
        <w:ind w:left="1155"/>
        <w:rPr>
          <w:rFonts w:ascii="宋体" w:hAnsi="宋体" w:cs="宋体"/>
          <w:color w:val="auto"/>
          <w:szCs w:val="21"/>
          <w:highlight w:val="none"/>
        </w:rPr>
      </w:pPr>
      <w:r>
        <w:rPr>
          <w:rFonts w:hint="eastAsia" w:ascii="宋体" w:hAnsi="宋体" w:cs="宋体"/>
          <w:color w:val="auto"/>
          <w:szCs w:val="21"/>
          <w:highlight w:val="none"/>
        </w:rPr>
        <w:t>二、报价一览表</w:t>
      </w:r>
    </w:p>
    <w:p w14:paraId="738F6D3C">
      <w:pPr>
        <w:tabs>
          <w:tab w:val="left" w:pos="1155"/>
          <w:tab w:val="left" w:pos="1575"/>
        </w:tabs>
        <w:adjustRightInd w:val="0"/>
        <w:snapToGrid w:val="0"/>
        <w:spacing w:line="360" w:lineRule="auto"/>
        <w:ind w:left="1155"/>
        <w:rPr>
          <w:rFonts w:ascii="宋体" w:hAnsi="宋体" w:cs="宋体"/>
          <w:color w:val="auto"/>
          <w:szCs w:val="21"/>
          <w:highlight w:val="none"/>
        </w:rPr>
      </w:pPr>
      <w:r>
        <w:rPr>
          <w:rFonts w:hint="eastAsia" w:ascii="宋体" w:hAnsi="宋体" w:cs="宋体"/>
          <w:color w:val="auto"/>
          <w:szCs w:val="21"/>
          <w:highlight w:val="none"/>
        </w:rPr>
        <w:t>三、法定代表人身份证明或附有法定代表人身份证明的授权委托书</w:t>
      </w:r>
    </w:p>
    <w:p w14:paraId="1C111445">
      <w:pPr>
        <w:tabs>
          <w:tab w:val="left" w:pos="1155"/>
          <w:tab w:val="left" w:pos="1575"/>
        </w:tabs>
        <w:adjustRightInd w:val="0"/>
        <w:snapToGrid w:val="0"/>
        <w:spacing w:line="360" w:lineRule="auto"/>
        <w:ind w:left="1155"/>
        <w:rPr>
          <w:rFonts w:ascii="宋体" w:hAnsi="宋体" w:cs="宋体"/>
          <w:color w:val="auto"/>
          <w:szCs w:val="21"/>
          <w:highlight w:val="none"/>
        </w:rPr>
      </w:pPr>
      <w:r>
        <w:rPr>
          <w:rFonts w:hint="eastAsia" w:ascii="宋体" w:hAnsi="宋体" w:cs="宋体"/>
          <w:color w:val="auto"/>
          <w:szCs w:val="21"/>
          <w:highlight w:val="none"/>
        </w:rPr>
        <w:t>四、谈判保证金</w:t>
      </w:r>
    </w:p>
    <w:p w14:paraId="0546B564">
      <w:pPr>
        <w:tabs>
          <w:tab w:val="left" w:pos="1155"/>
          <w:tab w:val="left" w:pos="1575"/>
        </w:tabs>
        <w:adjustRightInd w:val="0"/>
        <w:snapToGrid w:val="0"/>
        <w:spacing w:line="360" w:lineRule="auto"/>
        <w:ind w:left="1155"/>
        <w:rPr>
          <w:rFonts w:ascii="宋体" w:hAnsi="宋体" w:cs="宋体"/>
          <w:color w:val="auto"/>
          <w:szCs w:val="21"/>
          <w:highlight w:val="none"/>
        </w:rPr>
      </w:pPr>
      <w:r>
        <w:rPr>
          <w:rFonts w:hint="eastAsia" w:ascii="宋体" w:hAnsi="宋体" w:cs="宋体"/>
          <w:bCs/>
          <w:color w:val="auto"/>
          <w:szCs w:val="21"/>
          <w:highlight w:val="none"/>
          <w:lang w:val="zh-CN"/>
        </w:rPr>
        <w:t>五、商务和技术偏差表</w:t>
      </w:r>
    </w:p>
    <w:p w14:paraId="772767DD">
      <w:pPr>
        <w:tabs>
          <w:tab w:val="left" w:pos="1155"/>
          <w:tab w:val="left" w:pos="1575"/>
        </w:tabs>
        <w:adjustRightInd w:val="0"/>
        <w:snapToGrid w:val="0"/>
        <w:spacing w:line="360" w:lineRule="auto"/>
        <w:ind w:left="1155"/>
        <w:rPr>
          <w:rFonts w:ascii="宋体" w:hAnsi="宋体" w:cs="宋体"/>
          <w:color w:val="auto"/>
          <w:szCs w:val="21"/>
          <w:highlight w:val="none"/>
        </w:rPr>
      </w:pPr>
      <w:r>
        <w:rPr>
          <w:rFonts w:hint="eastAsia" w:ascii="宋体" w:hAnsi="宋体" w:cs="宋体"/>
          <w:color w:val="auto"/>
          <w:szCs w:val="21"/>
          <w:highlight w:val="none"/>
        </w:rPr>
        <w:t>六、分项报价表</w:t>
      </w:r>
    </w:p>
    <w:p w14:paraId="2512F029">
      <w:pPr>
        <w:tabs>
          <w:tab w:val="left" w:pos="1155"/>
          <w:tab w:val="left" w:pos="1575"/>
        </w:tabs>
        <w:adjustRightInd w:val="0"/>
        <w:snapToGrid w:val="0"/>
        <w:spacing w:line="360" w:lineRule="auto"/>
        <w:ind w:left="1155"/>
        <w:rPr>
          <w:rFonts w:ascii="宋体" w:hAnsi="宋体" w:cs="宋体"/>
          <w:color w:val="auto"/>
          <w:szCs w:val="21"/>
          <w:highlight w:val="none"/>
        </w:rPr>
      </w:pPr>
      <w:r>
        <w:rPr>
          <w:rFonts w:hint="eastAsia" w:ascii="宋体" w:hAnsi="宋体" w:cs="宋体"/>
          <w:bCs/>
          <w:color w:val="auto"/>
          <w:szCs w:val="21"/>
          <w:highlight w:val="none"/>
          <w:lang w:val="zh-CN"/>
        </w:rPr>
        <w:t>七、资格审查资料</w:t>
      </w:r>
    </w:p>
    <w:p w14:paraId="25F2EE20">
      <w:pPr>
        <w:tabs>
          <w:tab w:val="left" w:pos="1155"/>
          <w:tab w:val="left" w:pos="1575"/>
        </w:tabs>
        <w:adjustRightInd w:val="0"/>
        <w:snapToGrid w:val="0"/>
        <w:spacing w:line="360" w:lineRule="auto"/>
        <w:ind w:left="1155"/>
        <w:rPr>
          <w:rFonts w:ascii="宋体" w:hAnsi="宋体" w:cs="宋体"/>
          <w:color w:val="auto"/>
          <w:szCs w:val="21"/>
          <w:highlight w:val="none"/>
        </w:rPr>
      </w:pPr>
      <w:r>
        <w:rPr>
          <w:rFonts w:hint="eastAsia" w:ascii="宋体" w:hAnsi="宋体" w:cs="宋体"/>
          <w:color w:val="auto"/>
          <w:szCs w:val="21"/>
          <w:highlight w:val="none"/>
          <w:lang w:eastAsia="zh-CN"/>
        </w:rPr>
        <w:t>八</w:t>
      </w:r>
      <w:r>
        <w:rPr>
          <w:rFonts w:hint="eastAsia" w:ascii="宋体" w:hAnsi="宋体" w:cs="宋体"/>
          <w:color w:val="auto"/>
          <w:szCs w:val="21"/>
          <w:highlight w:val="none"/>
        </w:rPr>
        <w:t>、</w:t>
      </w:r>
      <w:r>
        <w:rPr>
          <w:rFonts w:hint="eastAsia" w:ascii="宋体" w:hAnsi="宋体" w:cs="宋体"/>
          <w:color w:val="auto"/>
          <w:szCs w:val="21"/>
          <w:highlight w:val="none"/>
          <w:lang w:val="zh-CN"/>
        </w:rPr>
        <w:t>技术部分</w:t>
      </w:r>
    </w:p>
    <w:p w14:paraId="17BCCB5F">
      <w:pPr>
        <w:tabs>
          <w:tab w:val="left" w:pos="1155"/>
          <w:tab w:val="left" w:pos="1276"/>
        </w:tabs>
        <w:adjustRightInd w:val="0"/>
        <w:snapToGrid w:val="0"/>
        <w:spacing w:line="360" w:lineRule="auto"/>
        <w:ind w:left="1155"/>
        <w:rPr>
          <w:rFonts w:ascii="宋体" w:hAnsi="宋体" w:cs="宋体"/>
          <w:color w:val="auto"/>
          <w:szCs w:val="21"/>
          <w:highlight w:val="none"/>
        </w:rPr>
      </w:pPr>
      <w:r>
        <w:rPr>
          <w:rFonts w:hint="eastAsia" w:ascii="宋体" w:hAnsi="宋体" w:cs="宋体"/>
          <w:color w:val="auto"/>
          <w:szCs w:val="21"/>
          <w:highlight w:val="none"/>
          <w:lang w:val="zh-CN"/>
        </w:rPr>
        <w:t>九、其他资料</w:t>
      </w:r>
    </w:p>
    <w:p w14:paraId="2EC03C86">
      <w:pPr>
        <w:tabs>
          <w:tab w:val="left" w:pos="3675"/>
        </w:tabs>
        <w:adjustRightInd w:val="0"/>
        <w:snapToGrid w:val="0"/>
        <w:spacing w:line="300" w:lineRule="auto"/>
        <w:ind w:firstLine="422"/>
        <w:rPr>
          <w:rFonts w:ascii="宋体" w:hAnsi="宋体" w:cs="宋体"/>
          <w:b/>
          <w:color w:val="auto"/>
          <w:szCs w:val="21"/>
          <w:highlight w:val="none"/>
        </w:rPr>
      </w:pPr>
    </w:p>
    <w:p w14:paraId="2C171017">
      <w:pPr>
        <w:ind w:firstLine="482"/>
        <w:jc w:val="right"/>
        <w:rPr>
          <w:rFonts w:ascii="宋体" w:hAnsi="宋体" w:cs="宋体"/>
          <w:b/>
          <w:color w:val="auto"/>
          <w:sz w:val="24"/>
          <w:highlight w:val="none"/>
        </w:rPr>
      </w:pPr>
    </w:p>
    <w:p w14:paraId="284D807F">
      <w:pPr>
        <w:ind w:firstLine="482"/>
        <w:rPr>
          <w:rFonts w:ascii="宋体" w:hAnsi="宋体" w:cs="宋体"/>
          <w:b/>
          <w:color w:val="auto"/>
          <w:sz w:val="24"/>
          <w:highlight w:val="none"/>
        </w:rPr>
      </w:pPr>
    </w:p>
    <w:p w14:paraId="09C798E8">
      <w:pPr>
        <w:pStyle w:val="4"/>
        <w:ind w:firstLine="560"/>
        <w:rPr>
          <w:rFonts w:ascii="宋体" w:hAnsi="宋体" w:cs="宋体"/>
          <w:color w:val="auto"/>
          <w:highlight w:val="none"/>
        </w:rPr>
      </w:pPr>
      <w:r>
        <w:rPr>
          <w:rFonts w:hint="eastAsia" w:ascii="宋体" w:hAnsi="宋体" w:cs="宋体"/>
          <w:b w:val="0"/>
          <w:color w:val="auto"/>
          <w:sz w:val="28"/>
          <w:szCs w:val="28"/>
          <w:highlight w:val="none"/>
        </w:rPr>
        <w:br w:type="page"/>
      </w:r>
      <w:bookmarkStart w:id="160" w:name="_Toc152042578"/>
      <w:bookmarkStart w:id="161" w:name="_Toc144974858"/>
      <w:bookmarkStart w:id="162" w:name="_Toc152045789"/>
      <w:bookmarkStart w:id="163" w:name="_Toc350070694"/>
      <w:bookmarkStart w:id="164" w:name="_Toc246997100"/>
      <w:bookmarkStart w:id="165" w:name="_Toc7168793"/>
      <w:bookmarkStart w:id="166" w:name="_Toc21004"/>
      <w:bookmarkStart w:id="167" w:name="_Toc23558"/>
      <w:bookmarkStart w:id="168" w:name="_Toc179632809"/>
      <w:bookmarkStart w:id="169" w:name="_Toc246996357"/>
      <w:bookmarkStart w:id="170" w:name="_Toc247085875"/>
      <w:bookmarkStart w:id="171" w:name="_Toc17398"/>
      <w:bookmarkStart w:id="172" w:name="_Toc370201835"/>
      <w:r>
        <w:rPr>
          <w:rFonts w:hint="eastAsia" w:ascii="宋体" w:hAnsi="宋体" w:cs="宋体"/>
          <w:color w:val="auto"/>
          <w:highlight w:val="none"/>
        </w:rPr>
        <w:t>（一）报价函</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59182C35">
      <w:pPr>
        <w:spacing w:line="440" w:lineRule="exact"/>
        <w:rPr>
          <w:rFonts w:ascii="宋体" w:hAnsi="宋体" w:cs="宋体"/>
          <w:color w:val="auto"/>
          <w:szCs w:val="21"/>
          <w:highlight w:val="none"/>
        </w:rPr>
      </w:pPr>
      <w:r>
        <w:rPr>
          <w:rFonts w:hint="eastAsia" w:ascii="宋体" w:hAnsi="宋体" w:cs="宋体"/>
          <w:color w:val="auto"/>
          <w:szCs w:val="21"/>
          <w:highlight w:val="none"/>
        </w:rPr>
        <w:t>（采购人名称）：</w:t>
      </w:r>
    </w:p>
    <w:p w14:paraId="71C8FDFA">
      <w:pPr>
        <w:spacing w:line="440" w:lineRule="exact"/>
        <w:rPr>
          <w:rFonts w:ascii="宋体" w:hAnsi="宋体" w:cs="宋体"/>
          <w:color w:val="auto"/>
          <w:szCs w:val="21"/>
          <w:highlight w:val="none"/>
        </w:rPr>
      </w:pPr>
    </w:p>
    <w:p w14:paraId="43475CFC">
      <w:pPr>
        <w:adjustRightInd w:val="0"/>
        <w:snapToGrid w:val="0"/>
        <w:spacing w:line="360" w:lineRule="auto"/>
        <w:ind w:left="531" w:leftChars="136" w:hanging="245" w:hangingChars="117"/>
        <w:rPr>
          <w:rFonts w:ascii="宋体" w:hAnsi="宋体"/>
          <w:color w:val="auto"/>
          <w:kern w:val="0"/>
          <w:szCs w:val="21"/>
          <w:highlight w:val="none"/>
        </w:rPr>
      </w:pPr>
      <w:r>
        <w:rPr>
          <w:rFonts w:hint="eastAsia" w:ascii="宋体" w:hAnsi="宋体"/>
          <w:color w:val="auto"/>
          <w:kern w:val="0"/>
          <w:szCs w:val="21"/>
          <w:highlight w:val="none"/>
          <w:u w:val="single"/>
        </w:rPr>
        <w:t>（供应商名称）</w:t>
      </w:r>
      <w:r>
        <w:rPr>
          <w:rFonts w:hint="eastAsia" w:ascii="宋体" w:hAnsi="宋体"/>
          <w:color w:val="auto"/>
          <w:kern w:val="0"/>
          <w:szCs w:val="21"/>
          <w:highlight w:val="none"/>
        </w:rPr>
        <w:t>系中华人民共和国合法企业，注册地址：。我方就参加本次谈判有关事项郑重声明如下：</w:t>
      </w:r>
    </w:p>
    <w:p w14:paraId="40F527B2">
      <w:pPr>
        <w:adjustRightInd w:val="0"/>
        <w:snapToGrid w:val="0"/>
        <w:spacing w:line="360" w:lineRule="auto"/>
        <w:ind w:left="531" w:leftChars="136" w:hanging="245" w:hangingChars="117"/>
        <w:rPr>
          <w:rFonts w:ascii="宋体" w:hAnsi="宋体"/>
          <w:color w:val="auto"/>
          <w:kern w:val="0"/>
          <w:szCs w:val="21"/>
          <w:highlight w:val="none"/>
        </w:rPr>
      </w:pPr>
      <w:r>
        <w:rPr>
          <w:rFonts w:hint="eastAsia" w:ascii="宋体" w:hAnsi="宋体"/>
          <w:color w:val="auto"/>
          <w:kern w:val="0"/>
          <w:szCs w:val="21"/>
          <w:highlight w:val="none"/>
        </w:rPr>
        <w:t>1、我方完全理解并接受该项目谈判所有要求，按合同约定实施本项目。</w:t>
      </w:r>
    </w:p>
    <w:p w14:paraId="4EB65F12">
      <w:pPr>
        <w:adjustRightInd w:val="0"/>
        <w:snapToGrid w:val="0"/>
        <w:spacing w:line="360" w:lineRule="auto"/>
        <w:ind w:left="531" w:leftChars="136" w:hanging="245" w:hangingChars="117"/>
        <w:rPr>
          <w:rFonts w:ascii="宋体" w:hAnsi="宋体"/>
          <w:color w:val="auto"/>
          <w:kern w:val="0"/>
          <w:szCs w:val="21"/>
          <w:highlight w:val="none"/>
        </w:rPr>
      </w:pPr>
      <w:r>
        <w:rPr>
          <w:rFonts w:ascii="宋体" w:hAnsi="宋体"/>
          <w:color w:val="auto"/>
          <w:kern w:val="0"/>
          <w:szCs w:val="21"/>
          <w:highlight w:val="none"/>
        </w:rPr>
        <w:t>2、我方已详细审核全部</w:t>
      </w:r>
      <w:r>
        <w:rPr>
          <w:rFonts w:hint="eastAsia" w:ascii="宋体" w:hAnsi="宋体"/>
          <w:color w:val="auto"/>
          <w:kern w:val="0"/>
          <w:szCs w:val="21"/>
          <w:highlight w:val="none"/>
        </w:rPr>
        <w:t>竞争性</w:t>
      </w:r>
      <w:r>
        <w:rPr>
          <w:rFonts w:ascii="宋体" w:hAnsi="宋体"/>
          <w:color w:val="auto"/>
          <w:kern w:val="0"/>
          <w:szCs w:val="21"/>
          <w:highlight w:val="none"/>
        </w:rPr>
        <w:t>谈判文件，包括修改文件（如有时）及有关附件。</w:t>
      </w:r>
    </w:p>
    <w:p w14:paraId="28CEBFC9">
      <w:pPr>
        <w:adjustRightInd w:val="0"/>
        <w:snapToGrid w:val="0"/>
        <w:spacing w:line="360" w:lineRule="auto"/>
        <w:ind w:left="531" w:leftChars="136" w:hanging="245" w:hangingChars="117"/>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、一旦我方</w:t>
      </w:r>
      <w:r>
        <w:rPr>
          <w:rFonts w:hint="eastAsia" w:ascii="宋体" w:hAnsi="宋体"/>
          <w:color w:val="auto"/>
          <w:kern w:val="0"/>
          <w:szCs w:val="21"/>
          <w:highlight w:val="none"/>
        </w:rPr>
        <w:t>成交</w:t>
      </w:r>
      <w:r>
        <w:rPr>
          <w:rFonts w:ascii="宋体" w:hAnsi="宋体"/>
          <w:color w:val="auto"/>
          <w:kern w:val="0"/>
          <w:szCs w:val="21"/>
          <w:highlight w:val="none"/>
        </w:rPr>
        <w:t>，我方保证按</w:t>
      </w:r>
      <w:r>
        <w:rPr>
          <w:rFonts w:hint="eastAsia" w:ascii="宋体" w:hAnsi="宋体"/>
          <w:color w:val="auto"/>
          <w:kern w:val="0"/>
          <w:szCs w:val="21"/>
          <w:highlight w:val="none"/>
        </w:rPr>
        <w:t>竞争性谈判文件</w:t>
      </w:r>
      <w:r>
        <w:rPr>
          <w:rFonts w:ascii="宋体" w:hAnsi="宋体"/>
          <w:color w:val="auto"/>
          <w:kern w:val="0"/>
          <w:szCs w:val="21"/>
          <w:highlight w:val="none"/>
        </w:rPr>
        <w:t>中规定的</w:t>
      </w:r>
      <w:r>
        <w:rPr>
          <w:rFonts w:hint="eastAsia" w:cs="宋体" w:asciiTheme="minorEastAsia" w:hAnsiTheme="minorEastAsia" w:eastAsiaTheme="minorEastAsia"/>
          <w:bCs/>
          <w:color w:val="auto"/>
          <w:szCs w:val="21"/>
          <w:highlight w:val="none"/>
        </w:rPr>
        <w:t>合同履行期限（供货期限）</w:t>
      </w:r>
      <w:r>
        <w:rPr>
          <w:rFonts w:hint="eastAsia" w:ascii="宋体" w:hAnsi="宋体"/>
          <w:color w:val="auto"/>
          <w:kern w:val="0"/>
          <w:szCs w:val="21"/>
          <w:highlight w:val="none"/>
        </w:rPr>
        <w:t>，完成供货。</w:t>
      </w:r>
    </w:p>
    <w:p w14:paraId="4C808B5A">
      <w:pPr>
        <w:adjustRightInd w:val="0"/>
        <w:snapToGrid w:val="0"/>
        <w:spacing w:line="360" w:lineRule="auto"/>
        <w:ind w:left="531" w:leftChars="136" w:hanging="245" w:hangingChars="117"/>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我方同意所提交的</w:t>
      </w:r>
      <w:r>
        <w:rPr>
          <w:rFonts w:hint="eastAsia" w:ascii="宋体" w:hAnsi="宋体"/>
          <w:color w:val="auto"/>
          <w:kern w:val="0"/>
          <w:szCs w:val="21"/>
          <w:highlight w:val="none"/>
        </w:rPr>
        <w:t>响应文件</w:t>
      </w:r>
      <w:r>
        <w:rPr>
          <w:rFonts w:ascii="宋体" w:hAnsi="宋体"/>
          <w:color w:val="auto"/>
          <w:kern w:val="0"/>
          <w:szCs w:val="21"/>
          <w:highlight w:val="none"/>
        </w:rPr>
        <w:t>在</w:t>
      </w:r>
      <w:r>
        <w:rPr>
          <w:rFonts w:hint="eastAsia" w:ascii="宋体" w:hAnsi="宋体"/>
          <w:color w:val="auto"/>
          <w:kern w:val="0"/>
          <w:szCs w:val="21"/>
          <w:highlight w:val="none"/>
        </w:rPr>
        <w:t>竞争性</w:t>
      </w:r>
      <w:r>
        <w:rPr>
          <w:rFonts w:ascii="宋体" w:hAnsi="宋体"/>
          <w:color w:val="auto"/>
          <w:kern w:val="0"/>
          <w:szCs w:val="21"/>
          <w:highlight w:val="none"/>
        </w:rPr>
        <w:t>谈判文件的谈判须知中第</w:t>
      </w:r>
      <w:r>
        <w:rPr>
          <w:rFonts w:hint="eastAsia" w:ascii="宋体" w:hAnsi="宋体"/>
          <w:color w:val="auto"/>
          <w:kern w:val="0"/>
          <w:szCs w:val="21"/>
          <w:highlight w:val="none"/>
        </w:rPr>
        <w:t>14</w:t>
      </w:r>
      <w:r>
        <w:rPr>
          <w:rFonts w:ascii="宋体" w:hAnsi="宋体"/>
          <w:color w:val="auto"/>
          <w:kern w:val="0"/>
          <w:szCs w:val="21"/>
          <w:highlight w:val="none"/>
        </w:rPr>
        <w:t>条规定的</w:t>
      </w:r>
      <w:r>
        <w:rPr>
          <w:rFonts w:hint="eastAsia" w:ascii="宋体" w:hAnsi="宋体"/>
          <w:color w:val="auto"/>
          <w:kern w:val="0"/>
          <w:szCs w:val="21"/>
          <w:highlight w:val="none"/>
        </w:rPr>
        <w:t>报价</w:t>
      </w:r>
      <w:r>
        <w:rPr>
          <w:rFonts w:ascii="宋体" w:hAnsi="宋体"/>
          <w:color w:val="auto"/>
          <w:kern w:val="0"/>
          <w:szCs w:val="21"/>
          <w:highlight w:val="none"/>
        </w:rPr>
        <w:t>有效期内有效，在此期间内如果</w:t>
      </w:r>
      <w:r>
        <w:rPr>
          <w:rFonts w:hint="eastAsia" w:ascii="宋体" w:hAnsi="宋体"/>
          <w:color w:val="auto"/>
          <w:kern w:val="0"/>
          <w:szCs w:val="21"/>
          <w:highlight w:val="none"/>
        </w:rPr>
        <w:t>成交</w:t>
      </w:r>
      <w:r>
        <w:rPr>
          <w:rFonts w:ascii="宋体" w:hAnsi="宋体"/>
          <w:color w:val="auto"/>
          <w:kern w:val="0"/>
          <w:szCs w:val="21"/>
          <w:highlight w:val="none"/>
        </w:rPr>
        <w:t>，我方将受此约束。</w:t>
      </w:r>
    </w:p>
    <w:p w14:paraId="2408AA3A">
      <w:pPr>
        <w:adjustRightInd w:val="0"/>
        <w:snapToGrid w:val="0"/>
        <w:spacing w:line="360" w:lineRule="auto"/>
        <w:ind w:left="531" w:leftChars="136" w:hanging="245" w:hangingChars="117"/>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除非另外达成协议并生效，你方的</w:t>
      </w:r>
      <w:r>
        <w:rPr>
          <w:rFonts w:hint="eastAsia" w:ascii="宋体" w:hAnsi="宋体"/>
          <w:color w:val="auto"/>
          <w:kern w:val="0"/>
          <w:szCs w:val="21"/>
          <w:highlight w:val="none"/>
        </w:rPr>
        <w:t>成交</w:t>
      </w:r>
      <w:r>
        <w:rPr>
          <w:rFonts w:ascii="宋体" w:hAnsi="宋体"/>
          <w:color w:val="auto"/>
          <w:kern w:val="0"/>
          <w:szCs w:val="21"/>
          <w:highlight w:val="none"/>
        </w:rPr>
        <w:t>通知书和本</w:t>
      </w:r>
      <w:r>
        <w:rPr>
          <w:rFonts w:hint="eastAsia" w:ascii="宋体" w:hAnsi="宋体"/>
          <w:color w:val="auto"/>
          <w:kern w:val="0"/>
          <w:szCs w:val="21"/>
          <w:highlight w:val="none"/>
        </w:rPr>
        <w:t>响应文件</w:t>
      </w:r>
      <w:r>
        <w:rPr>
          <w:rFonts w:ascii="宋体" w:hAnsi="宋体"/>
          <w:color w:val="auto"/>
          <w:kern w:val="0"/>
          <w:szCs w:val="21"/>
          <w:highlight w:val="none"/>
        </w:rPr>
        <w:t>将成为约束双方的合同文件的组成部分。</w:t>
      </w:r>
    </w:p>
    <w:p w14:paraId="16991C4A">
      <w:pPr>
        <w:adjustRightInd w:val="0"/>
        <w:snapToGrid w:val="0"/>
        <w:spacing w:line="360" w:lineRule="auto"/>
        <w:ind w:left="531" w:leftChars="136" w:hanging="245" w:hangingChars="117"/>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、我方将与本</w:t>
      </w:r>
      <w:r>
        <w:rPr>
          <w:rFonts w:hint="eastAsia" w:ascii="宋体" w:hAnsi="宋体"/>
          <w:color w:val="auto"/>
          <w:kern w:val="0"/>
          <w:szCs w:val="21"/>
          <w:highlight w:val="none"/>
        </w:rPr>
        <w:t>报价</w:t>
      </w:r>
      <w:r>
        <w:rPr>
          <w:rFonts w:ascii="宋体" w:hAnsi="宋体"/>
          <w:color w:val="auto"/>
          <w:kern w:val="0"/>
          <w:szCs w:val="21"/>
          <w:highlight w:val="none"/>
        </w:rPr>
        <w:t>函一起，提交人民币</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rPr>
        <w:t>元作为谈判保证金。</w:t>
      </w:r>
    </w:p>
    <w:p w14:paraId="39CA4750">
      <w:pPr>
        <w:adjustRightInd w:val="0"/>
        <w:snapToGrid w:val="0"/>
        <w:spacing w:line="360" w:lineRule="auto"/>
        <w:ind w:left="531" w:leftChars="136" w:hanging="245" w:hangingChars="117"/>
        <w:rPr>
          <w:rFonts w:ascii="宋体" w:hAnsi="宋体"/>
          <w:color w:val="auto"/>
          <w:kern w:val="0"/>
          <w:szCs w:val="21"/>
          <w:highlight w:val="none"/>
        </w:rPr>
      </w:pPr>
    </w:p>
    <w:p w14:paraId="5BC8A81E">
      <w:pPr>
        <w:spacing w:line="440" w:lineRule="exact"/>
        <w:rPr>
          <w:rFonts w:ascii="宋体" w:hAnsi="宋体" w:cs="宋体"/>
          <w:color w:val="auto"/>
          <w:szCs w:val="21"/>
          <w:highlight w:val="none"/>
        </w:rPr>
      </w:pPr>
    </w:p>
    <w:p w14:paraId="5EF87F3A">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供应商：（盖单位章）</w:t>
      </w:r>
    </w:p>
    <w:p w14:paraId="2C1CA702">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14:paraId="1377AFE7">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p>
    <w:p w14:paraId="58D8F88F">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网址：</w:t>
      </w:r>
    </w:p>
    <w:p w14:paraId="6C7DCEC4">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p>
    <w:p w14:paraId="6EE1907C">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传真：</w:t>
      </w:r>
    </w:p>
    <w:p w14:paraId="37D5CEB9">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邮政编码：</w:t>
      </w:r>
    </w:p>
    <w:p w14:paraId="5D312445">
      <w:pPr>
        <w:spacing w:line="440" w:lineRule="exact"/>
        <w:ind w:firstLine="5040" w:firstLineChars="2400"/>
        <w:rPr>
          <w:rFonts w:ascii="宋体" w:hAnsi="宋体" w:cs="宋体"/>
          <w:color w:val="auto"/>
          <w:szCs w:val="21"/>
          <w:highlight w:val="none"/>
        </w:rPr>
      </w:pPr>
      <w:r>
        <w:rPr>
          <w:rFonts w:hint="eastAsia" w:ascii="宋体" w:hAnsi="宋体" w:cs="宋体"/>
          <w:color w:val="auto"/>
          <w:szCs w:val="21"/>
          <w:highlight w:val="none"/>
        </w:rPr>
        <w:t>年月日</w:t>
      </w:r>
    </w:p>
    <w:p w14:paraId="1510FBF6">
      <w:pPr>
        <w:ind w:left="720"/>
        <w:rPr>
          <w:rFonts w:ascii="宋体" w:hAnsi="宋体" w:cs="宋体"/>
          <w:color w:val="auto"/>
          <w:szCs w:val="21"/>
          <w:highlight w:val="none"/>
        </w:rPr>
      </w:pPr>
    </w:p>
    <w:p w14:paraId="0D54B5AE">
      <w:pPr>
        <w:ind w:left="1420" w:firstLine="422"/>
        <w:jc w:val="center"/>
        <w:rPr>
          <w:rFonts w:ascii="宋体" w:hAnsi="宋体" w:cs="宋体"/>
          <w:b/>
          <w:color w:val="auto"/>
          <w:szCs w:val="21"/>
          <w:highlight w:val="none"/>
        </w:rPr>
      </w:pPr>
    </w:p>
    <w:p w14:paraId="5B5B41F2">
      <w:pPr>
        <w:ind w:left="1420" w:firstLine="422"/>
        <w:jc w:val="center"/>
        <w:rPr>
          <w:rFonts w:ascii="宋体" w:hAnsi="宋体" w:cs="宋体"/>
          <w:b/>
          <w:color w:val="auto"/>
          <w:szCs w:val="21"/>
          <w:highlight w:val="none"/>
        </w:rPr>
      </w:pPr>
    </w:p>
    <w:p w14:paraId="00700231">
      <w:pPr>
        <w:ind w:left="1420" w:firstLine="422"/>
        <w:jc w:val="center"/>
        <w:rPr>
          <w:rFonts w:ascii="宋体" w:hAnsi="宋体" w:cs="宋体"/>
          <w:b/>
          <w:color w:val="auto"/>
          <w:szCs w:val="21"/>
          <w:highlight w:val="none"/>
        </w:rPr>
      </w:pPr>
    </w:p>
    <w:p w14:paraId="35213FB4">
      <w:pPr>
        <w:ind w:left="1420" w:firstLine="422"/>
        <w:jc w:val="center"/>
        <w:rPr>
          <w:rFonts w:ascii="宋体" w:hAnsi="宋体" w:cs="宋体"/>
          <w:b/>
          <w:color w:val="auto"/>
          <w:szCs w:val="21"/>
          <w:highlight w:val="none"/>
        </w:rPr>
      </w:pPr>
    </w:p>
    <w:p w14:paraId="49179781">
      <w:pPr>
        <w:ind w:left="1420" w:firstLine="422"/>
        <w:jc w:val="center"/>
        <w:rPr>
          <w:rFonts w:ascii="宋体" w:hAnsi="宋体" w:cs="宋体"/>
          <w:b/>
          <w:color w:val="auto"/>
          <w:szCs w:val="21"/>
          <w:highlight w:val="none"/>
        </w:rPr>
      </w:pPr>
    </w:p>
    <w:p w14:paraId="2F4F3F73">
      <w:pPr>
        <w:ind w:left="1420" w:firstLine="422"/>
        <w:jc w:val="center"/>
        <w:rPr>
          <w:rFonts w:ascii="宋体" w:hAnsi="宋体" w:cs="宋体"/>
          <w:b/>
          <w:color w:val="auto"/>
          <w:szCs w:val="21"/>
          <w:highlight w:val="none"/>
        </w:rPr>
      </w:pPr>
    </w:p>
    <w:p w14:paraId="42203FCF">
      <w:pPr>
        <w:ind w:left="1420" w:firstLine="422"/>
        <w:jc w:val="center"/>
        <w:rPr>
          <w:rFonts w:ascii="宋体" w:hAnsi="宋体" w:cs="宋体"/>
          <w:b/>
          <w:color w:val="auto"/>
          <w:szCs w:val="21"/>
          <w:highlight w:val="none"/>
        </w:rPr>
      </w:pPr>
    </w:p>
    <w:p w14:paraId="4147E9A2">
      <w:pPr>
        <w:ind w:left="1420" w:firstLine="422"/>
        <w:jc w:val="center"/>
        <w:rPr>
          <w:rFonts w:ascii="宋体" w:hAnsi="宋体" w:cs="宋体"/>
          <w:b/>
          <w:color w:val="auto"/>
          <w:szCs w:val="21"/>
          <w:highlight w:val="none"/>
        </w:rPr>
      </w:pPr>
    </w:p>
    <w:p w14:paraId="342F4929">
      <w:pPr>
        <w:ind w:left="1420" w:firstLine="422"/>
        <w:jc w:val="center"/>
        <w:rPr>
          <w:rFonts w:ascii="宋体" w:hAnsi="宋体" w:cs="宋体"/>
          <w:b/>
          <w:color w:val="auto"/>
          <w:szCs w:val="21"/>
          <w:highlight w:val="none"/>
        </w:rPr>
      </w:pPr>
    </w:p>
    <w:p w14:paraId="79EC96CC">
      <w:pPr>
        <w:ind w:left="1420" w:firstLine="422"/>
        <w:jc w:val="center"/>
        <w:rPr>
          <w:rFonts w:ascii="宋体" w:hAnsi="宋体" w:cs="宋体"/>
          <w:b/>
          <w:color w:val="auto"/>
          <w:szCs w:val="21"/>
          <w:highlight w:val="none"/>
        </w:rPr>
      </w:pPr>
    </w:p>
    <w:p w14:paraId="17413273">
      <w:pPr>
        <w:ind w:left="1420" w:firstLine="422"/>
        <w:jc w:val="center"/>
        <w:rPr>
          <w:rFonts w:ascii="宋体" w:hAnsi="宋体" w:cs="宋体"/>
          <w:b/>
          <w:color w:val="auto"/>
          <w:szCs w:val="21"/>
          <w:highlight w:val="none"/>
        </w:rPr>
      </w:pPr>
    </w:p>
    <w:p w14:paraId="49BB5BAA">
      <w:pPr>
        <w:ind w:left="1420" w:firstLine="422"/>
        <w:jc w:val="center"/>
        <w:rPr>
          <w:rFonts w:ascii="宋体" w:hAnsi="宋体" w:cs="宋体"/>
          <w:b/>
          <w:color w:val="auto"/>
          <w:szCs w:val="21"/>
          <w:highlight w:val="none"/>
        </w:rPr>
      </w:pPr>
    </w:p>
    <w:p w14:paraId="4AFBD2F2">
      <w:pPr>
        <w:ind w:firstLine="643"/>
        <w:rPr>
          <w:rFonts w:ascii="宋体" w:hAnsi="宋体"/>
          <w:b/>
          <w:color w:val="auto"/>
          <w:sz w:val="32"/>
          <w:highlight w:val="none"/>
        </w:rPr>
      </w:pPr>
      <w:r>
        <w:rPr>
          <w:rFonts w:hint="eastAsia" w:ascii="宋体" w:hAnsi="宋体"/>
          <w:b/>
          <w:color w:val="auto"/>
          <w:sz w:val="32"/>
          <w:highlight w:val="none"/>
        </w:rPr>
        <w:br w:type="page"/>
      </w:r>
    </w:p>
    <w:p w14:paraId="5DEB0FDA">
      <w:pPr>
        <w:ind w:left="284" w:firstLine="643"/>
        <w:jc w:val="center"/>
        <w:rPr>
          <w:rFonts w:ascii="宋体" w:hAnsi="宋体"/>
          <w:b/>
          <w:color w:val="auto"/>
          <w:sz w:val="32"/>
          <w:highlight w:val="none"/>
        </w:rPr>
      </w:pPr>
      <w:r>
        <w:rPr>
          <w:rFonts w:hint="eastAsia" w:ascii="宋体" w:hAnsi="宋体"/>
          <w:b/>
          <w:color w:val="auto"/>
          <w:sz w:val="32"/>
          <w:highlight w:val="none"/>
        </w:rPr>
        <w:t>报价函附录</w:t>
      </w:r>
    </w:p>
    <w:p w14:paraId="79A44065">
      <w:pPr>
        <w:autoSpaceDE w:val="0"/>
        <w:autoSpaceDN w:val="0"/>
        <w:adjustRightInd w:val="0"/>
        <w:jc w:val="left"/>
        <w:rPr>
          <w:rFonts w:ascii="宋体" w:hAnsi="宋体"/>
          <w:color w:val="auto"/>
          <w:kern w:val="0"/>
          <w:highlight w:val="none"/>
        </w:rPr>
      </w:pPr>
      <w:r>
        <w:rPr>
          <w:rFonts w:ascii="宋体" w:hAnsi="宋体"/>
          <w:color w:val="auto"/>
          <w:kern w:val="0"/>
          <w:highlight w:val="none"/>
        </w:rPr>
        <w:t>项目名称：</w:t>
      </w:r>
    </w:p>
    <w:p w14:paraId="2642B892">
      <w:pPr>
        <w:autoSpaceDE w:val="0"/>
        <w:autoSpaceDN w:val="0"/>
        <w:adjustRightInd w:val="0"/>
        <w:rPr>
          <w:rFonts w:ascii="宋体" w:hAnsi="宋体"/>
          <w:color w:val="auto"/>
          <w:kern w:val="0"/>
          <w:highlight w:val="none"/>
        </w:rPr>
      </w:pPr>
      <w:r>
        <w:rPr>
          <w:rFonts w:hint="eastAsia" w:ascii="宋体" w:hAnsi="宋体"/>
          <w:color w:val="auto"/>
          <w:szCs w:val="21"/>
          <w:highlight w:val="none"/>
        </w:rPr>
        <w:t>项目编号</w:t>
      </w:r>
      <w:r>
        <w:rPr>
          <w:rFonts w:ascii="宋体" w:hAnsi="宋体"/>
          <w:color w:val="auto"/>
          <w:kern w:val="0"/>
          <w:highlight w:val="none"/>
        </w:rPr>
        <w:t>：</w:t>
      </w:r>
    </w:p>
    <w:tbl>
      <w:tblPr>
        <w:tblStyle w:val="42"/>
        <w:tblW w:w="9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09"/>
        <w:gridCol w:w="3401"/>
        <w:gridCol w:w="2212"/>
      </w:tblGrid>
      <w:tr w14:paraId="42FD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42" w:type="dxa"/>
            <w:tcBorders>
              <w:top w:val="single" w:color="auto" w:sz="4" w:space="0"/>
              <w:left w:val="single" w:color="auto" w:sz="4" w:space="0"/>
              <w:bottom w:val="single" w:color="auto" w:sz="4" w:space="0"/>
              <w:right w:val="single" w:color="auto" w:sz="4" w:space="0"/>
            </w:tcBorders>
            <w:vAlign w:val="center"/>
          </w:tcPr>
          <w:p w14:paraId="6EE76C52">
            <w:pPr>
              <w:jc w:val="center"/>
              <w:rPr>
                <w:rFonts w:ascii="宋体" w:hAnsi="宋体"/>
                <w:color w:val="auto"/>
                <w:highlight w:val="none"/>
              </w:rPr>
            </w:pPr>
            <w:r>
              <w:rPr>
                <w:rFonts w:hint="eastAsia" w:ascii="宋体" w:hAnsi="宋体"/>
                <w:color w:val="auto"/>
                <w:highlight w:val="none"/>
              </w:rPr>
              <w:t>序号</w:t>
            </w:r>
          </w:p>
        </w:tc>
        <w:tc>
          <w:tcPr>
            <w:tcW w:w="2809" w:type="dxa"/>
            <w:tcBorders>
              <w:top w:val="single" w:color="auto" w:sz="4" w:space="0"/>
              <w:left w:val="single" w:color="auto" w:sz="4" w:space="0"/>
              <w:bottom w:val="single" w:color="auto" w:sz="4" w:space="0"/>
              <w:right w:val="single" w:color="auto" w:sz="4" w:space="0"/>
            </w:tcBorders>
            <w:vAlign w:val="center"/>
          </w:tcPr>
          <w:p w14:paraId="0CF96ED1">
            <w:pPr>
              <w:jc w:val="center"/>
              <w:rPr>
                <w:rFonts w:ascii="宋体" w:hAnsi="宋体"/>
                <w:color w:val="auto"/>
                <w:highlight w:val="none"/>
              </w:rPr>
            </w:pPr>
            <w:r>
              <w:rPr>
                <w:rFonts w:hint="eastAsia" w:ascii="宋体" w:hAnsi="宋体"/>
                <w:color w:val="auto"/>
                <w:highlight w:val="none"/>
              </w:rPr>
              <w:t>条款</w:t>
            </w:r>
          </w:p>
        </w:tc>
        <w:tc>
          <w:tcPr>
            <w:tcW w:w="3401" w:type="dxa"/>
            <w:tcBorders>
              <w:top w:val="single" w:color="auto" w:sz="4" w:space="0"/>
              <w:left w:val="single" w:color="auto" w:sz="4" w:space="0"/>
              <w:bottom w:val="single" w:color="auto" w:sz="4" w:space="0"/>
              <w:right w:val="single" w:color="auto" w:sz="4" w:space="0"/>
            </w:tcBorders>
            <w:vAlign w:val="center"/>
          </w:tcPr>
          <w:p w14:paraId="2912C249">
            <w:pPr>
              <w:jc w:val="center"/>
              <w:rPr>
                <w:rFonts w:ascii="宋体" w:hAnsi="宋体"/>
                <w:color w:val="auto"/>
                <w:highlight w:val="none"/>
              </w:rPr>
            </w:pPr>
            <w:r>
              <w:rPr>
                <w:rFonts w:hint="eastAsia" w:ascii="宋体" w:hAnsi="宋体"/>
                <w:color w:val="auto"/>
                <w:highlight w:val="none"/>
              </w:rPr>
              <w:t>约定内容</w:t>
            </w:r>
          </w:p>
        </w:tc>
        <w:tc>
          <w:tcPr>
            <w:tcW w:w="2212" w:type="dxa"/>
            <w:tcBorders>
              <w:top w:val="single" w:color="auto" w:sz="4" w:space="0"/>
              <w:left w:val="single" w:color="auto" w:sz="4" w:space="0"/>
              <w:bottom w:val="single" w:color="auto" w:sz="4" w:space="0"/>
              <w:right w:val="single" w:color="auto" w:sz="4" w:space="0"/>
            </w:tcBorders>
            <w:vAlign w:val="center"/>
          </w:tcPr>
          <w:p w14:paraId="441323CB">
            <w:pPr>
              <w:jc w:val="center"/>
              <w:rPr>
                <w:rFonts w:ascii="宋体" w:hAnsi="宋体"/>
                <w:color w:val="auto"/>
                <w:highlight w:val="none"/>
              </w:rPr>
            </w:pPr>
            <w:r>
              <w:rPr>
                <w:rFonts w:hint="eastAsia" w:ascii="宋体" w:hAnsi="宋体"/>
                <w:color w:val="auto"/>
                <w:highlight w:val="none"/>
              </w:rPr>
              <w:t>备注</w:t>
            </w:r>
          </w:p>
        </w:tc>
      </w:tr>
      <w:tr w14:paraId="45CD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42" w:type="dxa"/>
            <w:tcBorders>
              <w:top w:val="single" w:color="auto" w:sz="4" w:space="0"/>
              <w:left w:val="single" w:color="auto" w:sz="4" w:space="0"/>
              <w:bottom w:val="single" w:color="auto" w:sz="4" w:space="0"/>
              <w:right w:val="single" w:color="auto" w:sz="4" w:space="0"/>
            </w:tcBorders>
            <w:vAlign w:val="center"/>
          </w:tcPr>
          <w:p w14:paraId="216C8096">
            <w:pPr>
              <w:jc w:val="center"/>
              <w:rPr>
                <w:rFonts w:ascii="宋体" w:hAnsi="宋体"/>
                <w:color w:val="auto"/>
                <w:highlight w:val="none"/>
              </w:rPr>
            </w:pPr>
            <w:r>
              <w:rPr>
                <w:rFonts w:hint="eastAsia" w:ascii="宋体" w:hAnsi="宋体"/>
                <w:color w:val="auto"/>
                <w:highlight w:val="none"/>
              </w:rPr>
              <w:t>1</w:t>
            </w:r>
          </w:p>
        </w:tc>
        <w:tc>
          <w:tcPr>
            <w:tcW w:w="2809" w:type="dxa"/>
            <w:tcBorders>
              <w:top w:val="single" w:color="auto" w:sz="4" w:space="0"/>
              <w:left w:val="single" w:color="auto" w:sz="4" w:space="0"/>
              <w:bottom w:val="single" w:color="auto" w:sz="4" w:space="0"/>
              <w:right w:val="single" w:color="auto" w:sz="4" w:space="0"/>
            </w:tcBorders>
            <w:shd w:val="clear" w:color="auto" w:fill="auto"/>
            <w:vAlign w:val="center"/>
          </w:tcPr>
          <w:p w14:paraId="7DC8E36E">
            <w:pPr>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报价有效期</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340C5F8A">
            <w:pPr>
              <w:jc w:val="center"/>
              <w:rPr>
                <w:rFonts w:hint="eastAsia" w:ascii="宋体" w:hAnsi="宋体" w:eastAsia="宋体" w:cs="Times New Roman"/>
                <w:b w:val="0"/>
                <w:bCs w:val="0"/>
                <w:color w:val="auto"/>
                <w:kern w:val="2"/>
                <w:sz w:val="21"/>
                <w:szCs w:val="24"/>
                <w:highlight w:val="none"/>
                <w:lang w:val="en-US" w:eastAsia="zh-CN" w:bidi="ar-SA"/>
              </w:rPr>
            </w:pPr>
          </w:p>
        </w:tc>
        <w:tc>
          <w:tcPr>
            <w:tcW w:w="2212" w:type="dxa"/>
            <w:tcBorders>
              <w:top w:val="single" w:color="auto" w:sz="4" w:space="0"/>
              <w:left w:val="single" w:color="auto" w:sz="4" w:space="0"/>
              <w:bottom w:val="single" w:color="auto" w:sz="4" w:space="0"/>
              <w:right w:val="single" w:color="auto" w:sz="4" w:space="0"/>
            </w:tcBorders>
            <w:vAlign w:val="center"/>
          </w:tcPr>
          <w:p w14:paraId="272CE572">
            <w:pPr>
              <w:jc w:val="center"/>
              <w:rPr>
                <w:rFonts w:ascii="宋体" w:hAnsi="宋体"/>
                <w:color w:val="auto"/>
                <w:highlight w:val="none"/>
              </w:rPr>
            </w:pPr>
          </w:p>
        </w:tc>
      </w:tr>
      <w:tr w14:paraId="6495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42" w:type="dxa"/>
            <w:tcBorders>
              <w:top w:val="single" w:color="auto" w:sz="4" w:space="0"/>
              <w:left w:val="single" w:color="auto" w:sz="4" w:space="0"/>
              <w:bottom w:val="single" w:color="auto" w:sz="4" w:space="0"/>
              <w:right w:val="single" w:color="auto" w:sz="4" w:space="0"/>
            </w:tcBorders>
            <w:vAlign w:val="center"/>
          </w:tcPr>
          <w:p w14:paraId="05982F2A">
            <w:pPr>
              <w:jc w:val="center"/>
              <w:rPr>
                <w:rFonts w:ascii="宋体" w:hAnsi="宋体"/>
                <w:color w:val="auto"/>
                <w:highlight w:val="none"/>
              </w:rPr>
            </w:pPr>
            <w:r>
              <w:rPr>
                <w:rFonts w:hint="eastAsia" w:ascii="宋体" w:hAnsi="宋体"/>
                <w:color w:val="auto"/>
                <w:highlight w:val="none"/>
              </w:rPr>
              <w:t>2</w:t>
            </w:r>
          </w:p>
        </w:tc>
        <w:tc>
          <w:tcPr>
            <w:tcW w:w="2809" w:type="dxa"/>
            <w:tcBorders>
              <w:top w:val="single" w:color="auto" w:sz="4" w:space="0"/>
              <w:left w:val="single" w:color="auto" w:sz="4" w:space="0"/>
              <w:bottom w:val="single" w:color="auto" w:sz="4" w:space="0"/>
              <w:right w:val="single" w:color="auto" w:sz="4" w:space="0"/>
            </w:tcBorders>
            <w:shd w:val="clear" w:color="auto" w:fill="auto"/>
            <w:vAlign w:val="center"/>
          </w:tcPr>
          <w:p w14:paraId="20B0FA98">
            <w:pPr>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质量标准</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4AFBF61B">
            <w:pPr>
              <w:jc w:val="center"/>
              <w:rPr>
                <w:rFonts w:hint="eastAsia" w:ascii="宋体" w:hAnsi="宋体" w:eastAsia="宋体" w:cs="Times New Roman"/>
                <w:b w:val="0"/>
                <w:bCs w:val="0"/>
                <w:color w:val="auto"/>
                <w:kern w:val="2"/>
                <w:sz w:val="21"/>
                <w:szCs w:val="24"/>
                <w:highlight w:val="none"/>
                <w:lang w:val="en-US" w:eastAsia="zh-CN" w:bidi="ar-SA"/>
              </w:rPr>
            </w:pPr>
          </w:p>
        </w:tc>
        <w:tc>
          <w:tcPr>
            <w:tcW w:w="2212" w:type="dxa"/>
            <w:tcBorders>
              <w:top w:val="single" w:color="auto" w:sz="4" w:space="0"/>
              <w:left w:val="single" w:color="auto" w:sz="4" w:space="0"/>
              <w:bottom w:val="single" w:color="auto" w:sz="4" w:space="0"/>
              <w:right w:val="single" w:color="auto" w:sz="4" w:space="0"/>
            </w:tcBorders>
            <w:vAlign w:val="center"/>
          </w:tcPr>
          <w:p w14:paraId="421C0E8C">
            <w:pPr>
              <w:jc w:val="center"/>
              <w:rPr>
                <w:rFonts w:ascii="宋体" w:hAnsi="宋体"/>
                <w:color w:val="auto"/>
                <w:highlight w:val="none"/>
              </w:rPr>
            </w:pPr>
          </w:p>
        </w:tc>
      </w:tr>
      <w:tr w14:paraId="3DF4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42" w:type="dxa"/>
            <w:tcBorders>
              <w:top w:val="single" w:color="auto" w:sz="4" w:space="0"/>
              <w:left w:val="single" w:color="auto" w:sz="4" w:space="0"/>
              <w:bottom w:val="single" w:color="auto" w:sz="4" w:space="0"/>
              <w:right w:val="single" w:color="auto" w:sz="4" w:space="0"/>
            </w:tcBorders>
            <w:vAlign w:val="center"/>
          </w:tcPr>
          <w:p w14:paraId="09142F3A">
            <w:pPr>
              <w:jc w:val="center"/>
              <w:rPr>
                <w:rFonts w:ascii="宋体" w:hAnsi="宋体"/>
                <w:color w:val="auto"/>
                <w:highlight w:val="none"/>
              </w:rPr>
            </w:pPr>
            <w:r>
              <w:rPr>
                <w:rFonts w:hint="eastAsia" w:ascii="宋体" w:hAnsi="宋体"/>
                <w:color w:val="auto"/>
                <w:highlight w:val="none"/>
              </w:rPr>
              <w:t>3</w:t>
            </w:r>
          </w:p>
        </w:tc>
        <w:tc>
          <w:tcPr>
            <w:tcW w:w="2809" w:type="dxa"/>
            <w:tcBorders>
              <w:top w:val="single" w:color="auto" w:sz="4" w:space="0"/>
              <w:left w:val="single" w:color="auto" w:sz="4" w:space="0"/>
              <w:bottom w:val="single" w:color="auto" w:sz="4" w:space="0"/>
              <w:right w:val="single" w:color="auto" w:sz="4" w:space="0"/>
            </w:tcBorders>
            <w:shd w:val="clear" w:color="auto" w:fill="auto"/>
            <w:vAlign w:val="center"/>
          </w:tcPr>
          <w:p w14:paraId="3075DF7A">
            <w:pPr>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质量保证期</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1472BF9B">
            <w:pPr>
              <w:jc w:val="center"/>
              <w:rPr>
                <w:rFonts w:hint="eastAsia" w:ascii="宋体" w:hAnsi="宋体" w:eastAsia="宋体" w:cs="Times New Roman"/>
                <w:b w:val="0"/>
                <w:bCs w:val="0"/>
                <w:color w:val="auto"/>
                <w:kern w:val="2"/>
                <w:sz w:val="21"/>
                <w:szCs w:val="24"/>
                <w:highlight w:val="none"/>
                <w:lang w:val="en-US" w:eastAsia="zh-CN" w:bidi="ar-SA"/>
              </w:rPr>
            </w:pPr>
          </w:p>
        </w:tc>
        <w:tc>
          <w:tcPr>
            <w:tcW w:w="2212" w:type="dxa"/>
            <w:tcBorders>
              <w:top w:val="single" w:color="auto" w:sz="4" w:space="0"/>
              <w:left w:val="single" w:color="auto" w:sz="4" w:space="0"/>
              <w:bottom w:val="single" w:color="auto" w:sz="4" w:space="0"/>
              <w:right w:val="single" w:color="auto" w:sz="4" w:space="0"/>
            </w:tcBorders>
            <w:vAlign w:val="center"/>
          </w:tcPr>
          <w:p w14:paraId="2EAE3311">
            <w:pPr>
              <w:jc w:val="center"/>
              <w:rPr>
                <w:rFonts w:ascii="宋体" w:hAnsi="宋体"/>
                <w:color w:val="auto"/>
                <w:highlight w:val="none"/>
              </w:rPr>
            </w:pPr>
          </w:p>
        </w:tc>
      </w:tr>
      <w:tr w14:paraId="4E4D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42" w:type="dxa"/>
            <w:tcBorders>
              <w:top w:val="single" w:color="auto" w:sz="4" w:space="0"/>
              <w:left w:val="single" w:color="auto" w:sz="4" w:space="0"/>
              <w:bottom w:val="single" w:color="auto" w:sz="4" w:space="0"/>
              <w:right w:val="single" w:color="auto" w:sz="4" w:space="0"/>
            </w:tcBorders>
            <w:vAlign w:val="center"/>
          </w:tcPr>
          <w:p w14:paraId="7D71DE80">
            <w:pPr>
              <w:jc w:val="center"/>
              <w:rPr>
                <w:rFonts w:ascii="宋体" w:hAnsi="宋体"/>
                <w:color w:val="auto"/>
                <w:highlight w:val="none"/>
              </w:rPr>
            </w:pPr>
            <w:r>
              <w:rPr>
                <w:rFonts w:hint="eastAsia" w:ascii="宋体" w:hAnsi="宋体"/>
                <w:color w:val="auto"/>
                <w:highlight w:val="none"/>
              </w:rPr>
              <w:t>4</w:t>
            </w:r>
          </w:p>
        </w:tc>
        <w:tc>
          <w:tcPr>
            <w:tcW w:w="2809" w:type="dxa"/>
            <w:tcBorders>
              <w:top w:val="single" w:color="auto" w:sz="4" w:space="0"/>
              <w:left w:val="single" w:color="auto" w:sz="4" w:space="0"/>
              <w:bottom w:val="single" w:color="auto" w:sz="4" w:space="0"/>
              <w:right w:val="single" w:color="auto" w:sz="4" w:space="0"/>
            </w:tcBorders>
            <w:shd w:val="clear" w:color="auto" w:fill="auto"/>
            <w:vAlign w:val="center"/>
          </w:tcPr>
          <w:p w14:paraId="2FD713FB">
            <w:pPr>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保修期</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72EEA001">
            <w:pPr>
              <w:jc w:val="center"/>
              <w:rPr>
                <w:rFonts w:hint="eastAsia" w:ascii="宋体" w:hAnsi="宋体" w:eastAsia="宋体" w:cs="Times New Roman"/>
                <w:b w:val="0"/>
                <w:bCs w:val="0"/>
                <w:color w:val="auto"/>
                <w:kern w:val="2"/>
                <w:sz w:val="21"/>
                <w:szCs w:val="24"/>
                <w:highlight w:val="none"/>
                <w:lang w:val="en-US" w:eastAsia="zh-CN" w:bidi="ar-SA"/>
              </w:rPr>
            </w:pPr>
          </w:p>
        </w:tc>
        <w:tc>
          <w:tcPr>
            <w:tcW w:w="2212" w:type="dxa"/>
            <w:tcBorders>
              <w:top w:val="single" w:color="auto" w:sz="4" w:space="0"/>
              <w:left w:val="single" w:color="auto" w:sz="4" w:space="0"/>
              <w:bottom w:val="single" w:color="auto" w:sz="4" w:space="0"/>
              <w:right w:val="single" w:color="auto" w:sz="4" w:space="0"/>
            </w:tcBorders>
            <w:vAlign w:val="center"/>
          </w:tcPr>
          <w:p w14:paraId="239847E8">
            <w:pPr>
              <w:ind w:firstLine="422"/>
              <w:jc w:val="center"/>
              <w:rPr>
                <w:rFonts w:ascii="宋体" w:hAnsi="宋体"/>
                <w:b/>
                <w:color w:val="auto"/>
                <w:highlight w:val="none"/>
              </w:rPr>
            </w:pPr>
          </w:p>
        </w:tc>
      </w:tr>
      <w:tr w14:paraId="5B7B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42" w:type="dxa"/>
            <w:vAlign w:val="center"/>
          </w:tcPr>
          <w:p w14:paraId="67667906">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c>
          <w:tcPr>
            <w:tcW w:w="2809" w:type="dxa"/>
            <w:shd w:val="clear" w:color="auto" w:fill="auto"/>
            <w:vAlign w:val="center"/>
          </w:tcPr>
          <w:p w14:paraId="341B9DAA">
            <w:pPr>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zh-CN" w:eastAsia="zh-CN" w:bidi="ar-SA"/>
              </w:rPr>
              <w:t>付款方式</w:t>
            </w:r>
          </w:p>
        </w:tc>
        <w:tc>
          <w:tcPr>
            <w:tcW w:w="3401" w:type="dxa"/>
            <w:shd w:val="clear" w:color="auto" w:fill="auto"/>
            <w:vAlign w:val="center"/>
          </w:tcPr>
          <w:p w14:paraId="25AC1BC0">
            <w:pPr>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cs="Times New Roman"/>
                <w:b w:val="0"/>
                <w:bCs w:val="0"/>
                <w:color w:val="auto"/>
                <w:kern w:val="2"/>
                <w:sz w:val="21"/>
                <w:szCs w:val="24"/>
                <w:highlight w:val="none"/>
                <w:lang w:val="en-US" w:eastAsia="zh-CN" w:bidi="ar-SA"/>
              </w:rPr>
              <w:t>响应竞争性谈判文件要求</w:t>
            </w:r>
          </w:p>
        </w:tc>
        <w:tc>
          <w:tcPr>
            <w:tcW w:w="2212" w:type="dxa"/>
          </w:tcPr>
          <w:p w14:paraId="59F65D83">
            <w:pPr>
              <w:jc w:val="center"/>
              <w:rPr>
                <w:rFonts w:ascii="宋体" w:hAnsi="宋体"/>
                <w:color w:val="auto"/>
                <w:highlight w:val="none"/>
              </w:rPr>
            </w:pPr>
          </w:p>
        </w:tc>
      </w:tr>
      <w:tr w14:paraId="49B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42" w:type="dxa"/>
            <w:vAlign w:val="center"/>
          </w:tcPr>
          <w:p w14:paraId="2BE06D09">
            <w:pPr>
              <w:jc w:val="center"/>
              <w:rPr>
                <w:rFonts w:hint="eastAsia" w:ascii="宋体" w:hAnsi="宋体"/>
                <w:color w:val="auto"/>
                <w:highlight w:val="none"/>
              </w:rPr>
            </w:pPr>
            <w:r>
              <w:rPr>
                <w:rFonts w:hint="eastAsia" w:ascii="宋体" w:hAnsi="宋体"/>
                <w:color w:val="auto"/>
                <w:highlight w:val="none"/>
              </w:rPr>
              <w:t>……</w:t>
            </w:r>
          </w:p>
        </w:tc>
        <w:tc>
          <w:tcPr>
            <w:tcW w:w="2809" w:type="dxa"/>
            <w:vAlign w:val="center"/>
          </w:tcPr>
          <w:p w14:paraId="7922BD0B">
            <w:pPr>
              <w:jc w:val="center"/>
              <w:rPr>
                <w:rFonts w:hint="eastAsia" w:ascii="宋体" w:hAnsi="宋体" w:eastAsia="宋体" w:cs="Times New Roman"/>
                <w:b w:val="0"/>
                <w:bCs w:val="0"/>
                <w:color w:val="auto"/>
                <w:kern w:val="2"/>
                <w:sz w:val="21"/>
                <w:szCs w:val="24"/>
                <w:highlight w:val="none"/>
                <w:lang w:val="en-US" w:eastAsia="zh-CN" w:bidi="ar-SA"/>
              </w:rPr>
            </w:pPr>
          </w:p>
        </w:tc>
        <w:tc>
          <w:tcPr>
            <w:tcW w:w="3401" w:type="dxa"/>
          </w:tcPr>
          <w:p w14:paraId="4BFBA84A">
            <w:pPr>
              <w:jc w:val="center"/>
              <w:rPr>
                <w:rFonts w:hint="eastAsia" w:ascii="宋体" w:hAnsi="宋体" w:eastAsia="宋体" w:cs="Times New Roman"/>
                <w:b w:val="0"/>
                <w:bCs w:val="0"/>
                <w:color w:val="auto"/>
                <w:kern w:val="2"/>
                <w:sz w:val="21"/>
                <w:szCs w:val="24"/>
                <w:highlight w:val="none"/>
                <w:lang w:val="en-US" w:eastAsia="zh-CN" w:bidi="ar-SA"/>
              </w:rPr>
            </w:pPr>
          </w:p>
        </w:tc>
        <w:tc>
          <w:tcPr>
            <w:tcW w:w="2212" w:type="dxa"/>
          </w:tcPr>
          <w:p w14:paraId="4FEF6D12">
            <w:pPr>
              <w:jc w:val="center"/>
              <w:rPr>
                <w:rFonts w:ascii="宋体" w:hAnsi="宋体"/>
                <w:color w:val="auto"/>
                <w:highlight w:val="none"/>
              </w:rPr>
            </w:pPr>
          </w:p>
        </w:tc>
      </w:tr>
    </w:tbl>
    <w:p w14:paraId="687A046D">
      <w:pPr>
        <w:spacing w:line="282" w:lineRule="exact"/>
        <w:ind w:firstLine="480"/>
        <w:jc w:val="left"/>
        <w:rPr>
          <w:rFonts w:ascii="宋体" w:hAnsi="宋体"/>
          <w:color w:val="auto"/>
          <w:sz w:val="24"/>
          <w:highlight w:val="none"/>
        </w:rPr>
      </w:pPr>
    </w:p>
    <w:p w14:paraId="0CAA69ED">
      <w:pPr>
        <w:tabs>
          <w:tab w:val="left" w:pos="6400"/>
        </w:tabs>
        <w:overflowPunct w:val="0"/>
        <w:spacing w:line="239" w:lineRule="auto"/>
        <w:ind w:left="4120"/>
        <w:jc w:val="left"/>
        <w:rPr>
          <w:rFonts w:ascii="宋体" w:hAnsi="宋体"/>
          <w:color w:val="auto"/>
          <w:sz w:val="24"/>
          <w:highlight w:val="none"/>
        </w:rPr>
      </w:pPr>
      <w:r>
        <w:rPr>
          <w:rFonts w:hint="eastAsia" w:ascii="宋体" w:hAnsi="宋体"/>
          <w:color w:val="auto"/>
          <w:highlight w:val="none"/>
        </w:rPr>
        <w:t>供应商：</w:t>
      </w:r>
      <w:r>
        <w:rPr>
          <w:rFonts w:ascii="宋体" w:hAnsi="宋体"/>
          <w:color w:val="auto"/>
          <w:sz w:val="24"/>
          <w:highlight w:val="none"/>
        </w:rPr>
        <w:tab/>
      </w:r>
      <w:r>
        <w:rPr>
          <w:rFonts w:hint="eastAsia" w:ascii="宋体" w:hAnsi="宋体"/>
          <w:color w:val="auto"/>
          <w:highlight w:val="none"/>
        </w:rPr>
        <w:t>（单位公章）</w:t>
      </w:r>
    </w:p>
    <w:p w14:paraId="780274C4">
      <w:pPr>
        <w:spacing w:line="200" w:lineRule="exact"/>
        <w:ind w:firstLine="480"/>
        <w:jc w:val="left"/>
        <w:rPr>
          <w:rFonts w:ascii="宋体" w:hAnsi="宋体"/>
          <w:color w:val="auto"/>
          <w:sz w:val="24"/>
          <w:highlight w:val="none"/>
        </w:rPr>
      </w:pPr>
      <w:r>
        <w:rPr>
          <w:rFonts w:ascii="宋体" w:hAnsi="宋体"/>
          <w:color w:val="auto"/>
          <w:sz w:val="24"/>
          <w:highlight w:val="none"/>
        </w:rPr>
        <w:pict>
          <v:line id="直线 168" o:spid="_x0000_s1026" o:spt="20" style="position:absolute;left:0pt;margin-left:247.6pt;margin-top:0.05pt;height:0pt;width:73.45pt;z-index:-251657216;mso-width-relative:page;mso-height-relative:page;" coordsize="21600,21600">
            <v:path arrowok="t"/>
            <v:fill focussize="0,0"/>
            <v:stroke weight="0.48pt"/>
            <v:imagedata o:title=""/>
            <o:lock v:ext="edit"/>
          </v:line>
        </w:pict>
      </w:r>
    </w:p>
    <w:p w14:paraId="1D5A97B6">
      <w:pPr>
        <w:spacing w:line="200" w:lineRule="exact"/>
        <w:ind w:firstLine="480"/>
        <w:jc w:val="left"/>
        <w:rPr>
          <w:rFonts w:ascii="宋体" w:hAnsi="宋体"/>
          <w:color w:val="auto"/>
          <w:sz w:val="24"/>
          <w:highlight w:val="none"/>
        </w:rPr>
      </w:pPr>
    </w:p>
    <w:p w14:paraId="0D5E11F8">
      <w:pPr>
        <w:spacing w:line="242" w:lineRule="exact"/>
        <w:ind w:firstLine="480"/>
        <w:jc w:val="left"/>
        <w:rPr>
          <w:rFonts w:ascii="宋体" w:hAnsi="宋体"/>
          <w:color w:val="auto"/>
          <w:sz w:val="24"/>
          <w:highlight w:val="none"/>
        </w:rPr>
      </w:pPr>
    </w:p>
    <w:p w14:paraId="7656C275">
      <w:pPr>
        <w:spacing w:line="360" w:lineRule="auto"/>
        <w:jc w:val="center"/>
        <w:rPr>
          <w:rFonts w:ascii="宋体" w:hAnsi="宋体"/>
          <w:color w:val="auto"/>
          <w:sz w:val="20"/>
          <w:highlight w:val="none"/>
        </w:rPr>
      </w:pPr>
      <w:r>
        <w:rPr>
          <w:rFonts w:hint="eastAsia" w:ascii="宋体" w:hAnsi="宋体"/>
          <w:color w:val="auto"/>
          <w:highlight w:val="none"/>
        </w:rPr>
        <w:t>年</w:t>
      </w:r>
      <w:r>
        <w:rPr>
          <w:rFonts w:ascii="宋体" w:hAnsi="宋体"/>
          <w:color w:val="auto"/>
          <w:sz w:val="24"/>
          <w:highlight w:val="none"/>
        </w:rPr>
        <w:tab/>
      </w:r>
      <w:r>
        <w:rPr>
          <w:rFonts w:hint="eastAsia" w:ascii="宋体" w:hAnsi="宋体"/>
          <w:color w:val="auto"/>
          <w:highlight w:val="none"/>
        </w:rPr>
        <w:t>月</w:t>
      </w:r>
      <w:r>
        <w:rPr>
          <w:rFonts w:ascii="宋体" w:hAnsi="宋体"/>
          <w:color w:val="auto"/>
          <w:sz w:val="24"/>
          <w:highlight w:val="none"/>
        </w:rPr>
        <w:tab/>
      </w:r>
      <w:r>
        <w:rPr>
          <w:rFonts w:hint="eastAsia" w:ascii="宋体" w:hAnsi="宋体"/>
          <w:color w:val="auto"/>
          <w:sz w:val="20"/>
          <w:highlight w:val="none"/>
        </w:rPr>
        <w:t>日</w:t>
      </w:r>
    </w:p>
    <w:p w14:paraId="62D6A41C">
      <w:pPr>
        <w:spacing w:line="360" w:lineRule="auto"/>
        <w:ind w:firstLine="400"/>
        <w:jc w:val="center"/>
        <w:rPr>
          <w:rFonts w:ascii="宋体" w:hAnsi="宋体"/>
          <w:color w:val="auto"/>
          <w:sz w:val="20"/>
          <w:highlight w:val="none"/>
        </w:rPr>
      </w:pPr>
    </w:p>
    <w:p w14:paraId="074AF3AD">
      <w:pPr>
        <w:spacing w:line="360" w:lineRule="auto"/>
        <w:ind w:firstLine="400"/>
        <w:jc w:val="center"/>
        <w:rPr>
          <w:rFonts w:ascii="宋体" w:hAnsi="宋体"/>
          <w:color w:val="auto"/>
          <w:sz w:val="20"/>
          <w:highlight w:val="none"/>
        </w:rPr>
      </w:pPr>
    </w:p>
    <w:p w14:paraId="5D89255B">
      <w:pPr>
        <w:spacing w:line="360" w:lineRule="auto"/>
        <w:ind w:firstLine="400"/>
        <w:jc w:val="center"/>
        <w:rPr>
          <w:rFonts w:ascii="宋体" w:hAnsi="宋体"/>
          <w:color w:val="auto"/>
          <w:sz w:val="20"/>
          <w:highlight w:val="none"/>
        </w:rPr>
      </w:pPr>
    </w:p>
    <w:p w14:paraId="0B020428">
      <w:pPr>
        <w:spacing w:line="360" w:lineRule="auto"/>
        <w:ind w:firstLine="400"/>
        <w:jc w:val="center"/>
        <w:rPr>
          <w:rFonts w:ascii="宋体" w:hAnsi="宋体"/>
          <w:color w:val="auto"/>
          <w:sz w:val="20"/>
          <w:highlight w:val="none"/>
        </w:rPr>
      </w:pPr>
    </w:p>
    <w:p w14:paraId="53224A2D">
      <w:pPr>
        <w:spacing w:line="360" w:lineRule="auto"/>
        <w:ind w:firstLine="400"/>
        <w:jc w:val="center"/>
        <w:rPr>
          <w:rFonts w:ascii="宋体" w:hAnsi="宋体"/>
          <w:color w:val="auto"/>
          <w:sz w:val="20"/>
          <w:highlight w:val="none"/>
        </w:rPr>
      </w:pPr>
    </w:p>
    <w:p w14:paraId="6D7077D1">
      <w:pPr>
        <w:spacing w:line="360" w:lineRule="auto"/>
        <w:ind w:firstLine="400"/>
        <w:jc w:val="center"/>
        <w:rPr>
          <w:rFonts w:ascii="宋体" w:hAnsi="宋体"/>
          <w:color w:val="auto"/>
          <w:sz w:val="20"/>
          <w:highlight w:val="none"/>
        </w:rPr>
      </w:pPr>
    </w:p>
    <w:p w14:paraId="43297968">
      <w:pPr>
        <w:spacing w:line="360" w:lineRule="auto"/>
        <w:ind w:firstLine="400"/>
        <w:jc w:val="center"/>
        <w:rPr>
          <w:rFonts w:ascii="宋体" w:hAnsi="宋体"/>
          <w:color w:val="auto"/>
          <w:sz w:val="20"/>
          <w:highlight w:val="none"/>
        </w:rPr>
      </w:pPr>
    </w:p>
    <w:p w14:paraId="385B9ACD">
      <w:pPr>
        <w:spacing w:line="360" w:lineRule="auto"/>
        <w:ind w:firstLine="400"/>
        <w:jc w:val="center"/>
        <w:rPr>
          <w:rFonts w:ascii="宋体" w:hAnsi="宋体"/>
          <w:color w:val="auto"/>
          <w:sz w:val="20"/>
          <w:highlight w:val="none"/>
        </w:rPr>
      </w:pPr>
    </w:p>
    <w:p w14:paraId="122E944F">
      <w:pPr>
        <w:spacing w:line="360" w:lineRule="auto"/>
        <w:ind w:firstLine="400"/>
        <w:jc w:val="center"/>
        <w:rPr>
          <w:rFonts w:ascii="宋体" w:hAnsi="宋体"/>
          <w:color w:val="auto"/>
          <w:sz w:val="20"/>
          <w:highlight w:val="none"/>
        </w:rPr>
      </w:pPr>
    </w:p>
    <w:p w14:paraId="40397F6F">
      <w:pPr>
        <w:spacing w:line="360" w:lineRule="auto"/>
        <w:ind w:firstLine="400"/>
        <w:jc w:val="center"/>
        <w:rPr>
          <w:rFonts w:ascii="宋体" w:hAnsi="宋体"/>
          <w:color w:val="auto"/>
          <w:sz w:val="20"/>
          <w:highlight w:val="none"/>
        </w:rPr>
      </w:pPr>
    </w:p>
    <w:p w14:paraId="20C3034D">
      <w:pPr>
        <w:spacing w:line="360" w:lineRule="auto"/>
        <w:ind w:firstLine="400"/>
        <w:jc w:val="center"/>
        <w:rPr>
          <w:rFonts w:ascii="宋体" w:hAnsi="宋体"/>
          <w:color w:val="auto"/>
          <w:sz w:val="20"/>
          <w:highlight w:val="none"/>
        </w:rPr>
      </w:pPr>
    </w:p>
    <w:p w14:paraId="0419EE26">
      <w:pPr>
        <w:spacing w:line="360" w:lineRule="auto"/>
        <w:ind w:firstLine="400"/>
        <w:jc w:val="center"/>
        <w:rPr>
          <w:rFonts w:ascii="宋体" w:hAnsi="宋体"/>
          <w:color w:val="auto"/>
          <w:sz w:val="20"/>
          <w:highlight w:val="none"/>
        </w:rPr>
      </w:pPr>
    </w:p>
    <w:p w14:paraId="09E1234A">
      <w:pPr>
        <w:spacing w:line="360" w:lineRule="auto"/>
        <w:ind w:firstLine="400"/>
        <w:jc w:val="center"/>
        <w:rPr>
          <w:rFonts w:ascii="宋体" w:hAnsi="宋体"/>
          <w:color w:val="auto"/>
          <w:sz w:val="20"/>
          <w:highlight w:val="none"/>
        </w:rPr>
      </w:pPr>
    </w:p>
    <w:p w14:paraId="38809C62">
      <w:pPr>
        <w:spacing w:line="360" w:lineRule="auto"/>
        <w:ind w:firstLine="400"/>
        <w:jc w:val="center"/>
        <w:rPr>
          <w:rFonts w:ascii="宋体" w:hAnsi="宋体"/>
          <w:color w:val="auto"/>
          <w:sz w:val="20"/>
          <w:highlight w:val="none"/>
        </w:rPr>
      </w:pPr>
    </w:p>
    <w:p w14:paraId="3016C482">
      <w:pPr>
        <w:spacing w:line="360" w:lineRule="auto"/>
        <w:ind w:firstLine="400"/>
        <w:jc w:val="center"/>
        <w:rPr>
          <w:rFonts w:ascii="宋体" w:hAnsi="宋体"/>
          <w:color w:val="auto"/>
          <w:sz w:val="20"/>
          <w:highlight w:val="none"/>
        </w:rPr>
      </w:pPr>
    </w:p>
    <w:p w14:paraId="1F3B1B6C">
      <w:pPr>
        <w:pStyle w:val="39"/>
        <w:rPr>
          <w:rFonts w:ascii="宋体" w:hAnsi="宋体"/>
          <w:color w:val="auto"/>
          <w:sz w:val="20"/>
          <w:highlight w:val="none"/>
        </w:rPr>
      </w:pPr>
    </w:p>
    <w:p w14:paraId="414F746D">
      <w:pPr>
        <w:rPr>
          <w:color w:val="auto"/>
          <w:highlight w:val="none"/>
        </w:rPr>
      </w:pPr>
    </w:p>
    <w:p w14:paraId="0EFC117E">
      <w:pPr>
        <w:spacing w:line="360" w:lineRule="auto"/>
        <w:ind w:firstLine="400"/>
        <w:jc w:val="center"/>
        <w:rPr>
          <w:rFonts w:ascii="宋体" w:hAnsi="宋体"/>
          <w:color w:val="auto"/>
          <w:sz w:val="20"/>
          <w:highlight w:val="none"/>
        </w:rPr>
      </w:pPr>
    </w:p>
    <w:p w14:paraId="0B9903A4">
      <w:pPr>
        <w:spacing w:line="360" w:lineRule="auto"/>
        <w:ind w:firstLine="400"/>
        <w:jc w:val="center"/>
        <w:rPr>
          <w:rFonts w:ascii="宋体" w:hAnsi="宋体"/>
          <w:color w:val="auto"/>
          <w:sz w:val="20"/>
          <w:highlight w:val="none"/>
        </w:rPr>
      </w:pPr>
    </w:p>
    <w:p w14:paraId="14058D09">
      <w:pPr>
        <w:ind w:firstLine="562"/>
        <w:jc w:val="center"/>
        <w:rPr>
          <w:rFonts w:ascii="宋体" w:hAnsi="宋体" w:cs="宋体"/>
          <w:b/>
          <w:color w:val="auto"/>
          <w:sz w:val="24"/>
          <w:highlight w:val="none"/>
        </w:rPr>
      </w:pPr>
      <w:r>
        <w:rPr>
          <w:rFonts w:hint="eastAsia" w:ascii="宋体" w:hAnsi="宋体" w:cs="宋体"/>
          <w:b/>
          <w:color w:val="auto"/>
          <w:sz w:val="28"/>
          <w:highlight w:val="none"/>
        </w:rPr>
        <w:t>二、报价一览表（格式）</w:t>
      </w:r>
    </w:p>
    <w:p w14:paraId="4A89F335">
      <w:pPr>
        <w:adjustRightInd w:val="0"/>
        <w:snapToGrid w:val="0"/>
        <w:spacing w:line="360" w:lineRule="auto"/>
        <w:rPr>
          <w:rFonts w:ascii="宋体" w:hAnsi="宋体" w:cs="宋体"/>
          <w:color w:val="auto"/>
          <w:szCs w:val="21"/>
          <w:highlight w:val="none"/>
        </w:rPr>
      </w:pPr>
    </w:p>
    <w:p w14:paraId="4248B26A">
      <w:pPr>
        <w:spacing w:line="360" w:lineRule="auto"/>
        <w:ind w:left="-2" w:leftChars="-1"/>
        <w:rPr>
          <w:rFonts w:ascii="宋体" w:hAnsi="宋体" w:cs="宋体"/>
          <w:color w:val="auto"/>
          <w:szCs w:val="21"/>
          <w:highlight w:val="none"/>
          <w:u w:val="single"/>
        </w:rPr>
      </w:pPr>
      <w:r>
        <w:rPr>
          <w:rFonts w:hint="eastAsia" w:ascii="宋体" w:hAnsi="宋体" w:cs="宋体"/>
          <w:color w:val="auto"/>
          <w:szCs w:val="21"/>
          <w:highlight w:val="none"/>
        </w:rPr>
        <w:t xml:space="preserve"> 项目名称：</w:t>
      </w:r>
    </w:p>
    <w:p w14:paraId="2068A2CB">
      <w:pPr>
        <w:spacing w:line="360" w:lineRule="auto"/>
        <w:ind w:left="-2" w:leftChars="-1"/>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21"/>
          <w:highlight w:val="none"/>
        </w:rPr>
        <w:t>项目编号</w:t>
      </w:r>
      <w:r>
        <w:rPr>
          <w:rFonts w:hint="eastAsia" w:ascii="宋体" w:hAnsi="宋体" w:cs="宋体"/>
          <w:color w:val="auto"/>
          <w:szCs w:val="21"/>
          <w:highlight w:val="none"/>
        </w:rPr>
        <w:t xml:space="preserve">： </w:t>
      </w:r>
    </w:p>
    <w:tbl>
      <w:tblPr>
        <w:tblStyle w:val="42"/>
        <w:tblW w:w="9159"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9"/>
        <w:gridCol w:w="7470"/>
      </w:tblGrid>
      <w:tr w14:paraId="1CAE4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689" w:type="dxa"/>
            <w:tcBorders>
              <w:top w:val="single" w:color="auto" w:sz="4" w:space="0"/>
              <w:left w:val="single" w:color="auto" w:sz="4" w:space="0"/>
              <w:bottom w:val="single" w:color="auto" w:sz="4" w:space="0"/>
              <w:right w:val="single" w:color="auto" w:sz="4" w:space="0"/>
            </w:tcBorders>
            <w:vAlign w:val="center"/>
          </w:tcPr>
          <w:p w14:paraId="6147F59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r>
              <w:rPr>
                <w:rFonts w:hint="eastAsia" w:ascii="宋体" w:hAnsi="宋体" w:cs="宋体"/>
                <w:color w:val="auto"/>
                <w:szCs w:val="21"/>
                <w:highlight w:val="none"/>
              </w:rPr>
              <w:t>供应商名称</w:t>
            </w:r>
          </w:p>
        </w:tc>
        <w:tc>
          <w:tcPr>
            <w:tcW w:w="7470" w:type="dxa"/>
            <w:tcBorders>
              <w:top w:val="single" w:color="auto" w:sz="4" w:space="0"/>
              <w:left w:val="single" w:color="auto" w:sz="4" w:space="0"/>
              <w:bottom w:val="single" w:color="auto" w:sz="4" w:space="0"/>
              <w:right w:val="single" w:color="auto" w:sz="4" w:space="0"/>
            </w:tcBorders>
            <w:vAlign w:val="center"/>
          </w:tcPr>
          <w:p w14:paraId="2C8BD61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p>
        </w:tc>
      </w:tr>
      <w:tr w14:paraId="748E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689" w:type="dxa"/>
            <w:tcBorders>
              <w:top w:val="single" w:color="auto" w:sz="4" w:space="0"/>
              <w:left w:val="single" w:color="auto" w:sz="4" w:space="0"/>
              <w:bottom w:val="single" w:color="auto" w:sz="4" w:space="0"/>
              <w:right w:val="single" w:color="auto" w:sz="4" w:space="0"/>
            </w:tcBorders>
            <w:vAlign w:val="center"/>
          </w:tcPr>
          <w:p w14:paraId="5D7182C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r>
              <w:rPr>
                <w:rFonts w:hint="eastAsia" w:ascii="宋体" w:hAnsi="宋体" w:cs="宋体"/>
                <w:color w:val="auto"/>
                <w:szCs w:val="21"/>
                <w:highlight w:val="none"/>
              </w:rPr>
              <w:t>谈判保证金</w:t>
            </w:r>
          </w:p>
          <w:p w14:paraId="0B106F93">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r>
              <w:rPr>
                <w:rFonts w:hint="eastAsia" w:ascii="宋体" w:hAnsi="宋体" w:cs="宋体"/>
                <w:color w:val="auto"/>
                <w:szCs w:val="21"/>
                <w:highlight w:val="none"/>
              </w:rPr>
              <w:t>（有/无）</w:t>
            </w:r>
          </w:p>
        </w:tc>
        <w:tc>
          <w:tcPr>
            <w:tcW w:w="7470" w:type="dxa"/>
            <w:tcBorders>
              <w:top w:val="single" w:color="auto" w:sz="4" w:space="0"/>
              <w:left w:val="single" w:color="auto" w:sz="4" w:space="0"/>
              <w:bottom w:val="single" w:color="auto" w:sz="4" w:space="0"/>
              <w:right w:val="single" w:color="auto" w:sz="4" w:space="0"/>
            </w:tcBorders>
            <w:vAlign w:val="center"/>
          </w:tcPr>
          <w:p w14:paraId="233B5CD4">
            <w:pPr>
              <w:keepNext w:val="0"/>
              <w:keepLines w:val="0"/>
              <w:pageBreakBefore w:val="0"/>
              <w:widowControl w:val="0"/>
              <w:kinsoku/>
              <w:wordWrap/>
              <w:overflowPunct/>
              <w:topLinePunct w:val="0"/>
              <w:autoSpaceDE/>
              <w:autoSpaceDN/>
              <w:bidi w:val="0"/>
              <w:adjustRightInd/>
              <w:snapToGrid/>
              <w:spacing w:line="240" w:lineRule="auto"/>
              <w:ind w:right="0" w:firstLine="945" w:firstLineChars="450"/>
              <w:textAlignment w:val="auto"/>
              <w:rPr>
                <w:rFonts w:ascii="宋体" w:hAnsi="宋体" w:cs="宋体"/>
                <w:color w:val="auto"/>
                <w:szCs w:val="21"/>
                <w:highlight w:val="none"/>
              </w:rPr>
            </w:pPr>
          </w:p>
        </w:tc>
      </w:tr>
      <w:tr w14:paraId="402D8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689" w:type="dxa"/>
            <w:tcBorders>
              <w:top w:val="single" w:color="auto" w:sz="4" w:space="0"/>
              <w:left w:val="single" w:color="auto" w:sz="4" w:space="0"/>
              <w:bottom w:val="single" w:color="auto" w:sz="4" w:space="0"/>
              <w:right w:val="single" w:color="auto" w:sz="4" w:space="0"/>
            </w:tcBorders>
            <w:vAlign w:val="center"/>
          </w:tcPr>
          <w:p w14:paraId="54E91EE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r>
              <w:rPr>
                <w:rFonts w:hint="eastAsia" w:ascii="宋体" w:hAnsi="宋体" w:cs="宋体"/>
                <w:color w:val="auto"/>
                <w:szCs w:val="21"/>
                <w:highlight w:val="none"/>
              </w:rPr>
              <w:t>谈判</w:t>
            </w:r>
            <w:r>
              <w:rPr>
                <w:rFonts w:hint="eastAsia" w:ascii="宋体" w:hAnsi="宋体" w:cs="宋体"/>
                <w:color w:val="auto"/>
                <w:szCs w:val="21"/>
                <w:highlight w:val="none"/>
                <w:lang w:eastAsia="zh-CN"/>
              </w:rPr>
              <w:t>总</w:t>
            </w:r>
            <w:r>
              <w:rPr>
                <w:rFonts w:hint="eastAsia" w:ascii="宋体" w:hAnsi="宋体" w:cs="宋体"/>
                <w:color w:val="auto"/>
                <w:szCs w:val="21"/>
                <w:highlight w:val="none"/>
              </w:rPr>
              <w:t>报价</w:t>
            </w:r>
          </w:p>
        </w:tc>
        <w:tc>
          <w:tcPr>
            <w:tcW w:w="7470" w:type="dxa"/>
            <w:tcBorders>
              <w:top w:val="single" w:color="auto" w:sz="4" w:space="0"/>
              <w:left w:val="single" w:color="auto" w:sz="4" w:space="0"/>
              <w:bottom w:val="single" w:color="auto" w:sz="4" w:space="0"/>
              <w:right w:val="single" w:color="auto" w:sz="4" w:space="0"/>
            </w:tcBorders>
            <w:vAlign w:val="center"/>
          </w:tcPr>
          <w:p w14:paraId="3B52D3C9">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r>
              <w:rPr>
                <w:rFonts w:hint="eastAsia" w:ascii="宋体" w:hAnsi="宋体" w:cs="宋体"/>
                <w:color w:val="auto"/>
                <w:szCs w:val="21"/>
                <w:highlight w:val="none"/>
              </w:rPr>
              <w:t>元</w:t>
            </w:r>
          </w:p>
        </w:tc>
      </w:tr>
      <w:tr w14:paraId="5AB3F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689" w:type="dxa"/>
            <w:tcBorders>
              <w:top w:val="single" w:color="auto" w:sz="4" w:space="0"/>
              <w:left w:val="single" w:color="auto" w:sz="4" w:space="0"/>
              <w:bottom w:val="single" w:color="auto" w:sz="4" w:space="0"/>
              <w:right w:val="single" w:color="auto" w:sz="4" w:space="0"/>
            </w:tcBorders>
            <w:vAlign w:val="center"/>
          </w:tcPr>
          <w:p w14:paraId="3CEB1C30">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r>
              <w:rPr>
                <w:rFonts w:hint="eastAsia" w:ascii="宋体" w:hAnsi="宋体" w:cs="宋体"/>
                <w:color w:val="auto"/>
                <w:szCs w:val="21"/>
                <w:highlight w:val="none"/>
              </w:rPr>
              <w:t>合同履行期限（供货期限）</w:t>
            </w:r>
          </w:p>
        </w:tc>
        <w:tc>
          <w:tcPr>
            <w:tcW w:w="7470" w:type="dxa"/>
            <w:tcBorders>
              <w:top w:val="single" w:color="auto" w:sz="4" w:space="0"/>
              <w:left w:val="single" w:color="auto" w:sz="4" w:space="0"/>
              <w:bottom w:val="single" w:color="auto" w:sz="4" w:space="0"/>
              <w:right w:val="single" w:color="auto" w:sz="4" w:space="0"/>
            </w:tcBorders>
            <w:vAlign w:val="center"/>
          </w:tcPr>
          <w:p w14:paraId="13BD7F4E">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p>
        </w:tc>
      </w:tr>
      <w:tr w14:paraId="74839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689" w:type="dxa"/>
            <w:tcBorders>
              <w:top w:val="single" w:color="auto" w:sz="4" w:space="0"/>
              <w:left w:val="single" w:color="auto" w:sz="4" w:space="0"/>
              <w:bottom w:val="single" w:color="auto" w:sz="4" w:space="0"/>
              <w:right w:val="single" w:color="auto" w:sz="4" w:space="0"/>
            </w:tcBorders>
            <w:vAlign w:val="center"/>
          </w:tcPr>
          <w:p w14:paraId="58B01BBD">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r>
              <w:rPr>
                <w:rFonts w:hint="eastAsia" w:ascii="宋体" w:hAnsi="宋体" w:cs="宋体"/>
                <w:color w:val="auto"/>
                <w:szCs w:val="21"/>
                <w:highlight w:val="none"/>
              </w:rPr>
              <w:t>质量标准</w:t>
            </w:r>
          </w:p>
        </w:tc>
        <w:tc>
          <w:tcPr>
            <w:tcW w:w="7470" w:type="dxa"/>
            <w:tcBorders>
              <w:top w:val="single" w:color="auto" w:sz="4" w:space="0"/>
              <w:left w:val="single" w:color="auto" w:sz="4" w:space="0"/>
              <w:bottom w:val="single" w:color="auto" w:sz="4" w:space="0"/>
              <w:right w:val="single" w:color="auto" w:sz="4" w:space="0"/>
            </w:tcBorders>
            <w:vAlign w:val="center"/>
          </w:tcPr>
          <w:p w14:paraId="4D09592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宋体" w:hAnsi="宋体" w:cs="宋体"/>
                <w:color w:val="auto"/>
                <w:szCs w:val="21"/>
                <w:highlight w:val="none"/>
              </w:rPr>
            </w:pPr>
          </w:p>
        </w:tc>
      </w:tr>
      <w:tr w14:paraId="1B571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6" w:hRule="atLeast"/>
        </w:trPr>
        <w:tc>
          <w:tcPr>
            <w:tcW w:w="9159" w:type="dxa"/>
            <w:gridSpan w:val="2"/>
            <w:tcBorders>
              <w:top w:val="single" w:color="auto" w:sz="4" w:space="0"/>
              <w:left w:val="single" w:color="auto" w:sz="4" w:space="0"/>
              <w:bottom w:val="single" w:color="auto" w:sz="4" w:space="0"/>
              <w:right w:val="single" w:color="auto" w:sz="4" w:space="0"/>
            </w:tcBorders>
            <w:vAlign w:val="center"/>
          </w:tcPr>
          <w:p w14:paraId="75685FB6">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hAnsi="宋体" w:cs="宋体"/>
                <w:color w:val="auto"/>
                <w:szCs w:val="21"/>
                <w:highlight w:val="none"/>
              </w:rPr>
            </w:pPr>
          </w:p>
          <w:p w14:paraId="096D75BE">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hAnsi="宋体" w:cs="宋体"/>
                <w:color w:val="auto"/>
                <w:szCs w:val="21"/>
                <w:highlight w:val="none"/>
              </w:rPr>
            </w:pPr>
            <w:r>
              <w:rPr>
                <w:rFonts w:hint="eastAsia" w:ascii="宋体" w:hAnsi="宋体" w:cs="宋体"/>
                <w:color w:val="auto"/>
                <w:szCs w:val="21"/>
                <w:highlight w:val="none"/>
              </w:rPr>
              <w:t>供应商：        （盖章）                 法定代表人或被授权人：          （签字或盖章）</w:t>
            </w:r>
          </w:p>
          <w:p w14:paraId="30EF64DC">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hAnsi="宋体" w:cs="宋体"/>
                <w:color w:val="auto"/>
                <w:szCs w:val="21"/>
                <w:highlight w:val="none"/>
              </w:rPr>
            </w:pPr>
          </w:p>
        </w:tc>
      </w:tr>
    </w:tbl>
    <w:p w14:paraId="629E4DA9">
      <w:pPr>
        <w:pStyle w:val="17"/>
        <w:snapToGrid w:val="0"/>
        <w:ind w:firstLine="468"/>
        <w:rPr>
          <w:rFonts w:hAnsi="宋体" w:cs="宋体"/>
          <w:snapToGrid w:val="0"/>
          <w:color w:val="auto"/>
          <w:sz w:val="21"/>
          <w:szCs w:val="21"/>
          <w:highlight w:val="none"/>
        </w:rPr>
      </w:pPr>
    </w:p>
    <w:p w14:paraId="3EF22544">
      <w:pPr>
        <w:adjustRightInd w:val="0"/>
        <w:snapToGrid w:val="0"/>
        <w:spacing w:line="360" w:lineRule="auto"/>
        <w:ind w:firstLine="422"/>
        <w:jc w:val="center"/>
        <w:outlineLvl w:val="0"/>
        <w:rPr>
          <w:rFonts w:ascii="宋体" w:hAnsi="宋体" w:cs="宋体"/>
          <w:b/>
          <w:color w:val="auto"/>
          <w:szCs w:val="21"/>
          <w:highlight w:val="none"/>
        </w:rPr>
      </w:pPr>
    </w:p>
    <w:p w14:paraId="6AC7B61C">
      <w:pPr>
        <w:adjustRightInd w:val="0"/>
        <w:snapToGrid w:val="0"/>
        <w:spacing w:line="360" w:lineRule="auto"/>
        <w:ind w:firstLine="422"/>
        <w:jc w:val="center"/>
        <w:outlineLvl w:val="0"/>
        <w:rPr>
          <w:rFonts w:ascii="宋体" w:hAnsi="宋体" w:cs="宋体"/>
          <w:b/>
          <w:color w:val="auto"/>
          <w:szCs w:val="21"/>
          <w:highlight w:val="none"/>
        </w:rPr>
      </w:pPr>
    </w:p>
    <w:p w14:paraId="3826CE3D">
      <w:pPr>
        <w:pStyle w:val="59"/>
        <w:rPr>
          <w:rFonts w:ascii="宋体" w:hAnsi="宋体" w:cs="宋体"/>
          <w:b/>
          <w:color w:val="auto"/>
          <w:szCs w:val="21"/>
          <w:highlight w:val="none"/>
        </w:rPr>
      </w:pPr>
    </w:p>
    <w:p w14:paraId="53CC40B6">
      <w:pPr>
        <w:pStyle w:val="59"/>
        <w:rPr>
          <w:rFonts w:ascii="宋体" w:hAnsi="宋体" w:cs="宋体"/>
          <w:b/>
          <w:color w:val="auto"/>
          <w:szCs w:val="21"/>
          <w:highlight w:val="none"/>
        </w:rPr>
      </w:pPr>
    </w:p>
    <w:p w14:paraId="17C79A12">
      <w:pPr>
        <w:pStyle w:val="59"/>
        <w:rPr>
          <w:rFonts w:ascii="宋体" w:hAnsi="宋体" w:cs="宋体"/>
          <w:b/>
          <w:color w:val="auto"/>
          <w:szCs w:val="21"/>
          <w:highlight w:val="none"/>
        </w:rPr>
      </w:pPr>
    </w:p>
    <w:p w14:paraId="1FA9B30C">
      <w:pPr>
        <w:pStyle w:val="59"/>
        <w:rPr>
          <w:rFonts w:ascii="宋体" w:hAnsi="宋体" w:cs="宋体"/>
          <w:b/>
          <w:color w:val="auto"/>
          <w:szCs w:val="21"/>
          <w:highlight w:val="none"/>
        </w:rPr>
      </w:pPr>
    </w:p>
    <w:p w14:paraId="138B6F38">
      <w:pPr>
        <w:adjustRightInd w:val="0"/>
        <w:snapToGrid w:val="0"/>
        <w:spacing w:line="360" w:lineRule="auto"/>
        <w:ind w:firstLine="422"/>
        <w:jc w:val="center"/>
        <w:outlineLvl w:val="0"/>
        <w:rPr>
          <w:rFonts w:ascii="宋体" w:hAnsi="宋体" w:cs="宋体"/>
          <w:b/>
          <w:color w:val="auto"/>
          <w:szCs w:val="21"/>
          <w:highlight w:val="none"/>
        </w:rPr>
      </w:pPr>
    </w:p>
    <w:p w14:paraId="330C5982">
      <w:pPr>
        <w:pStyle w:val="39"/>
        <w:rPr>
          <w:color w:val="auto"/>
          <w:highlight w:val="none"/>
        </w:rPr>
      </w:pPr>
    </w:p>
    <w:p w14:paraId="2F3D9325">
      <w:pPr>
        <w:adjustRightInd w:val="0"/>
        <w:snapToGrid w:val="0"/>
        <w:spacing w:line="360" w:lineRule="auto"/>
        <w:ind w:firstLine="422"/>
        <w:jc w:val="center"/>
        <w:outlineLvl w:val="0"/>
        <w:rPr>
          <w:rFonts w:ascii="宋体" w:hAnsi="宋体" w:cs="宋体"/>
          <w:b/>
          <w:color w:val="auto"/>
          <w:szCs w:val="21"/>
          <w:highlight w:val="none"/>
        </w:rPr>
      </w:pPr>
    </w:p>
    <w:p w14:paraId="594B48F2">
      <w:pPr>
        <w:ind w:firstLine="562"/>
        <w:rPr>
          <w:rFonts w:ascii="宋体" w:hAnsi="宋体"/>
          <w:b/>
          <w:bCs/>
          <w:color w:val="auto"/>
          <w:sz w:val="28"/>
          <w:szCs w:val="28"/>
          <w:highlight w:val="none"/>
        </w:rPr>
      </w:pPr>
      <w:bookmarkStart w:id="173" w:name="_Toc500518663"/>
      <w:bookmarkStart w:id="174" w:name="_Toc500513558"/>
      <w:bookmarkStart w:id="175" w:name="_Toc421532561"/>
      <w:bookmarkStart w:id="176" w:name="_Toc3023"/>
      <w:bookmarkStart w:id="177" w:name="_Toc2339"/>
      <w:bookmarkStart w:id="178" w:name="_Toc358186919"/>
      <w:bookmarkStart w:id="179" w:name="_Toc333415228"/>
      <w:bookmarkStart w:id="180" w:name="_Toc333312474"/>
      <w:bookmarkStart w:id="181" w:name="_Toc500513514"/>
    </w:p>
    <w:p w14:paraId="620B9C00">
      <w:pPr>
        <w:jc w:val="center"/>
        <w:rPr>
          <w:rFonts w:ascii="宋体" w:hAnsi="宋体"/>
          <w:color w:val="auto"/>
          <w:sz w:val="28"/>
          <w:szCs w:val="28"/>
          <w:highlight w:val="none"/>
        </w:rPr>
      </w:pPr>
      <w:r>
        <w:rPr>
          <w:rFonts w:hint="eastAsia" w:ascii="宋体" w:hAnsi="宋体"/>
          <w:b/>
          <w:bCs/>
          <w:color w:val="auto"/>
          <w:sz w:val="28"/>
          <w:szCs w:val="28"/>
          <w:highlight w:val="none"/>
        </w:rPr>
        <w:t>三、法定代表人身份证明或附有法定代表人身份证明的授权委托书（格式）</w:t>
      </w:r>
      <w:bookmarkEnd w:id="173"/>
      <w:bookmarkEnd w:id="174"/>
      <w:bookmarkEnd w:id="175"/>
      <w:bookmarkEnd w:id="176"/>
      <w:bookmarkEnd w:id="177"/>
      <w:bookmarkEnd w:id="178"/>
      <w:bookmarkEnd w:id="179"/>
      <w:bookmarkEnd w:id="180"/>
      <w:bookmarkEnd w:id="181"/>
    </w:p>
    <w:p w14:paraId="32A79710">
      <w:pPr>
        <w:pStyle w:val="4"/>
        <w:ind w:firstLine="482"/>
        <w:rPr>
          <w:rFonts w:ascii="宋体" w:hAnsi="宋体" w:cs="宋体"/>
          <w:color w:val="auto"/>
          <w:kern w:val="2"/>
          <w:sz w:val="24"/>
          <w:szCs w:val="24"/>
          <w:highlight w:val="none"/>
        </w:rPr>
      </w:pPr>
      <w:bookmarkStart w:id="182" w:name="_Toc333242875"/>
    </w:p>
    <w:bookmarkEnd w:id="182"/>
    <w:p w14:paraId="5C90C7C5">
      <w:pPr>
        <w:adjustRightInd w:val="0"/>
        <w:snapToGrid w:val="0"/>
        <w:spacing w:line="360" w:lineRule="auto"/>
        <w:ind w:firstLine="3373" w:firstLineChars="1400"/>
        <w:rPr>
          <w:rFonts w:ascii="宋体" w:hAnsi="宋体" w:cs="宋体"/>
          <w:b/>
          <w:color w:val="auto"/>
          <w:sz w:val="24"/>
          <w:highlight w:val="none"/>
          <w:u w:val="single"/>
        </w:rPr>
      </w:pPr>
    </w:p>
    <w:p w14:paraId="0C7FBF69">
      <w:pPr>
        <w:adjustRightInd w:val="0"/>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 xml:space="preserve">  法定代表人资格证明书</w:t>
      </w:r>
    </w:p>
    <w:p w14:paraId="00BFD76E">
      <w:pPr>
        <w:adjustRightInd w:val="0"/>
        <w:snapToGrid w:val="0"/>
        <w:spacing w:line="360" w:lineRule="auto"/>
        <w:ind w:firstLine="482"/>
        <w:rPr>
          <w:rFonts w:ascii="宋体" w:hAnsi="宋体" w:cs="宋体"/>
          <w:b/>
          <w:color w:val="auto"/>
          <w:sz w:val="24"/>
          <w:highlight w:val="none"/>
        </w:rPr>
      </w:pPr>
    </w:p>
    <w:p w14:paraId="763D26AF">
      <w:pPr>
        <w:adjustRightInd w:val="0"/>
        <w:snapToGrid w:val="0"/>
        <w:spacing w:line="360" w:lineRule="auto"/>
        <w:ind w:firstLine="422"/>
        <w:rPr>
          <w:rFonts w:ascii="宋体" w:hAnsi="宋体" w:cs="宋体"/>
          <w:b/>
          <w:color w:val="auto"/>
          <w:szCs w:val="21"/>
          <w:highlight w:val="none"/>
        </w:rPr>
      </w:pPr>
    </w:p>
    <w:p w14:paraId="315917F1">
      <w:pPr>
        <w:adjustRightInd w:val="0"/>
        <w:snapToGrid w:val="0"/>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供应商名称：</w:t>
      </w:r>
    </w:p>
    <w:p w14:paraId="591D1CD1">
      <w:pPr>
        <w:adjustRightInd w:val="0"/>
        <w:snapToGrid w:val="0"/>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地址：</w:t>
      </w:r>
    </w:p>
    <w:p w14:paraId="2296B160">
      <w:pPr>
        <w:adjustRightInd w:val="0"/>
        <w:snapToGrid w:val="0"/>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姓名：  性别：    年龄：        职务：</w:t>
      </w:r>
    </w:p>
    <w:p w14:paraId="3539276B">
      <w:pPr>
        <w:adjustRightInd w:val="0"/>
        <w:snapToGrid w:val="0"/>
        <w:spacing w:line="360" w:lineRule="auto"/>
        <w:ind w:firstLine="422"/>
        <w:jc w:val="center"/>
        <w:rPr>
          <w:rFonts w:ascii="宋体" w:hAnsi="宋体" w:cs="宋体"/>
          <w:b/>
          <w:color w:val="auto"/>
          <w:szCs w:val="21"/>
          <w:highlight w:val="none"/>
        </w:rPr>
      </w:pPr>
    </w:p>
    <w:p w14:paraId="6CBCF126">
      <w:pPr>
        <w:adjustRightInd w:val="0"/>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系</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（供应商名称）的法定代表人。</w:t>
      </w:r>
    </w:p>
    <w:p w14:paraId="592B530F">
      <w:pPr>
        <w:adjustRightInd w:val="0"/>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特此证明。</w:t>
      </w:r>
    </w:p>
    <w:p w14:paraId="3A5BE730">
      <w:pPr>
        <w:adjustRightInd w:val="0"/>
        <w:snapToGrid w:val="0"/>
        <w:spacing w:line="360" w:lineRule="auto"/>
        <w:ind w:firstLine="420"/>
        <w:rPr>
          <w:rFonts w:hint="eastAsia" w:ascii="宋体" w:hAnsi="宋体" w:cs="宋体"/>
          <w:bCs/>
          <w:color w:val="auto"/>
          <w:szCs w:val="21"/>
          <w:highlight w:val="none"/>
        </w:rPr>
      </w:pPr>
    </w:p>
    <w:p w14:paraId="64F2B116">
      <w:pPr>
        <w:adjustRightInd w:val="0"/>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附法定代表人身份证复印件。</w:t>
      </w:r>
    </w:p>
    <w:p w14:paraId="3BDCE3CB">
      <w:pPr>
        <w:adjustRightInd w:val="0"/>
        <w:snapToGrid w:val="0"/>
        <w:spacing w:line="360" w:lineRule="auto"/>
        <w:ind w:firstLine="420"/>
        <w:rPr>
          <w:rFonts w:ascii="宋体" w:hAnsi="宋体" w:cs="宋体"/>
          <w:bCs/>
          <w:color w:val="auto"/>
          <w:szCs w:val="21"/>
          <w:highlight w:val="none"/>
        </w:rPr>
      </w:pPr>
    </w:p>
    <w:p w14:paraId="7E09C8C6">
      <w:pPr>
        <w:pStyle w:val="39"/>
        <w:rPr>
          <w:color w:val="auto"/>
          <w:highlight w:val="none"/>
        </w:rPr>
      </w:pPr>
    </w:p>
    <w:p w14:paraId="1547F0DB">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供应商（盖章）：                                          </w:t>
      </w:r>
    </w:p>
    <w:p w14:paraId="5C81563D">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日  期：年月日 </w:t>
      </w:r>
    </w:p>
    <w:p w14:paraId="5B19D4B6">
      <w:pPr>
        <w:adjustRightInd w:val="0"/>
        <w:snapToGrid w:val="0"/>
        <w:spacing w:line="360" w:lineRule="auto"/>
        <w:ind w:firstLine="422"/>
        <w:rPr>
          <w:rFonts w:ascii="宋体" w:hAnsi="宋体" w:cs="宋体"/>
          <w:b/>
          <w:color w:val="auto"/>
          <w:szCs w:val="21"/>
          <w:highlight w:val="none"/>
        </w:rPr>
      </w:pPr>
    </w:p>
    <w:p w14:paraId="22D44C07">
      <w:pPr>
        <w:adjustRightInd w:val="0"/>
        <w:snapToGrid w:val="0"/>
        <w:spacing w:line="360" w:lineRule="auto"/>
        <w:ind w:firstLine="422"/>
        <w:rPr>
          <w:rFonts w:ascii="宋体" w:hAnsi="宋体" w:cs="宋体"/>
          <w:b/>
          <w:color w:val="auto"/>
          <w:szCs w:val="21"/>
          <w:highlight w:val="none"/>
        </w:rPr>
      </w:pPr>
    </w:p>
    <w:p w14:paraId="053D1D38">
      <w:pPr>
        <w:adjustRightInd w:val="0"/>
        <w:snapToGrid w:val="0"/>
        <w:spacing w:line="360" w:lineRule="auto"/>
        <w:rPr>
          <w:rFonts w:ascii="宋体" w:hAnsi="宋体" w:cs="宋体"/>
          <w:bCs/>
          <w:color w:val="auto"/>
          <w:szCs w:val="21"/>
          <w:highlight w:val="none"/>
        </w:rPr>
      </w:pPr>
    </w:p>
    <w:p w14:paraId="51716ECA">
      <w:pPr>
        <w:adjustRightInd w:val="0"/>
        <w:snapToGrid w:val="0"/>
        <w:spacing w:line="360" w:lineRule="auto"/>
        <w:ind w:firstLine="422"/>
        <w:jc w:val="center"/>
        <w:rPr>
          <w:rFonts w:ascii="宋体" w:hAnsi="宋体" w:cs="宋体"/>
          <w:b/>
          <w:color w:val="auto"/>
          <w:szCs w:val="21"/>
          <w:highlight w:val="none"/>
        </w:rPr>
      </w:pPr>
    </w:p>
    <w:p w14:paraId="360A7916">
      <w:pPr>
        <w:adjustRightInd w:val="0"/>
        <w:snapToGrid w:val="0"/>
        <w:spacing w:line="360" w:lineRule="auto"/>
        <w:ind w:firstLine="422"/>
        <w:jc w:val="center"/>
        <w:rPr>
          <w:rFonts w:ascii="宋体" w:hAnsi="宋体" w:cs="宋体"/>
          <w:b/>
          <w:color w:val="auto"/>
          <w:szCs w:val="21"/>
          <w:highlight w:val="none"/>
        </w:rPr>
      </w:pPr>
    </w:p>
    <w:p w14:paraId="7DAB7AFB">
      <w:pPr>
        <w:adjustRightInd w:val="0"/>
        <w:snapToGrid w:val="0"/>
        <w:spacing w:line="360" w:lineRule="auto"/>
        <w:ind w:firstLine="422"/>
        <w:jc w:val="center"/>
        <w:rPr>
          <w:rFonts w:ascii="宋体" w:hAnsi="宋体" w:cs="宋体"/>
          <w:b/>
          <w:color w:val="auto"/>
          <w:szCs w:val="21"/>
          <w:highlight w:val="none"/>
        </w:rPr>
      </w:pPr>
    </w:p>
    <w:p w14:paraId="1CE1B8CE">
      <w:pPr>
        <w:adjustRightInd w:val="0"/>
        <w:snapToGrid w:val="0"/>
        <w:spacing w:line="360" w:lineRule="auto"/>
        <w:ind w:firstLine="422"/>
        <w:jc w:val="center"/>
        <w:rPr>
          <w:rFonts w:ascii="宋体" w:hAnsi="宋体" w:cs="宋体"/>
          <w:b/>
          <w:color w:val="auto"/>
          <w:szCs w:val="21"/>
          <w:highlight w:val="none"/>
        </w:rPr>
      </w:pPr>
    </w:p>
    <w:p w14:paraId="7661DF9D">
      <w:pPr>
        <w:adjustRightInd w:val="0"/>
        <w:snapToGrid w:val="0"/>
        <w:spacing w:line="360" w:lineRule="auto"/>
        <w:ind w:firstLine="422"/>
        <w:jc w:val="center"/>
        <w:rPr>
          <w:rFonts w:ascii="宋体" w:hAnsi="宋体" w:cs="宋体"/>
          <w:b/>
          <w:color w:val="auto"/>
          <w:szCs w:val="21"/>
          <w:highlight w:val="none"/>
        </w:rPr>
      </w:pPr>
    </w:p>
    <w:p w14:paraId="792A02F9">
      <w:pPr>
        <w:adjustRightInd w:val="0"/>
        <w:snapToGrid w:val="0"/>
        <w:spacing w:line="360" w:lineRule="auto"/>
        <w:ind w:firstLine="422"/>
        <w:jc w:val="center"/>
        <w:rPr>
          <w:rFonts w:ascii="宋体" w:hAnsi="宋体" w:cs="宋体"/>
          <w:b/>
          <w:color w:val="auto"/>
          <w:szCs w:val="21"/>
          <w:highlight w:val="none"/>
        </w:rPr>
      </w:pPr>
    </w:p>
    <w:p w14:paraId="4680179C">
      <w:pPr>
        <w:adjustRightInd w:val="0"/>
        <w:snapToGrid w:val="0"/>
        <w:spacing w:line="360" w:lineRule="auto"/>
        <w:ind w:firstLine="422"/>
        <w:jc w:val="center"/>
        <w:rPr>
          <w:rFonts w:ascii="宋体" w:hAnsi="宋体" w:cs="宋体"/>
          <w:b/>
          <w:color w:val="auto"/>
          <w:szCs w:val="21"/>
          <w:highlight w:val="none"/>
        </w:rPr>
      </w:pPr>
    </w:p>
    <w:p w14:paraId="4A87BE7A">
      <w:pPr>
        <w:adjustRightInd w:val="0"/>
        <w:snapToGrid w:val="0"/>
        <w:spacing w:line="360" w:lineRule="auto"/>
        <w:ind w:firstLine="422"/>
        <w:rPr>
          <w:rFonts w:ascii="宋体" w:hAnsi="宋体" w:cs="宋体"/>
          <w:b/>
          <w:color w:val="auto"/>
          <w:szCs w:val="21"/>
          <w:highlight w:val="none"/>
        </w:rPr>
      </w:pPr>
    </w:p>
    <w:p w14:paraId="54CE862D">
      <w:pPr>
        <w:adjustRightInd w:val="0"/>
        <w:snapToGrid w:val="0"/>
        <w:spacing w:line="360" w:lineRule="auto"/>
        <w:ind w:firstLine="422"/>
        <w:jc w:val="center"/>
        <w:rPr>
          <w:rFonts w:ascii="宋体" w:hAnsi="宋体" w:cs="宋体"/>
          <w:b/>
          <w:color w:val="auto"/>
          <w:sz w:val="24"/>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授权委托书</w:t>
      </w:r>
    </w:p>
    <w:p w14:paraId="282EE214">
      <w:pPr>
        <w:adjustRightInd w:val="0"/>
        <w:snapToGrid w:val="0"/>
        <w:spacing w:line="360" w:lineRule="auto"/>
        <w:rPr>
          <w:rFonts w:ascii="宋体" w:hAnsi="宋体" w:cs="宋体"/>
          <w:color w:val="auto"/>
          <w:szCs w:val="21"/>
          <w:highlight w:val="none"/>
        </w:rPr>
      </w:pPr>
    </w:p>
    <w:p w14:paraId="39119C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本授权书声明：我（姓名）系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w:t>
      </w:r>
      <w:r>
        <w:rPr>
          <w:rFonts w:hint="eastAsia" w:ascii="宋体" w:hAnsi="宋体" w:cs="宋体"/>
          <w:color w:val="auto"/>
          <w:szCs w:val="21"/>
          <w:highlight w:val="none"/>
        </w:rPr>
        <w:t>的（姓名）为本公司的合法代理人，可就项目编号为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w:t>
      </w:r>
      <w:r>
        <w:rPr>
          <w:rFonts w:hint="eastAsia" w:ascii="宋体" w:hAnsi="宋体" w:cs="宋体"/>
          <w:color w:val="auto"/>
          <w:szCs w:val="21"/>
          <w:highlight w:val="none"/>
        </w:rPr>
        <w:t>项目名称）项目的竞争性谈判活动及合同执行、完成，以本公司的名义处理一切与之有关的事务。</w:t>
      </w:r>
    </w:p>
    <w:p w14:paraId="46AB116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本授权书于年月日签字生效，至年月日前有效。 特此声明。</w:t>
      </w:r>
    </w:p>
    <w:p w14:paraId="09590107">
      <w:pPr>
        <w:adjustRightInd w:val="0"/>
        <w:snapToGrid w:val="0"/>
        <w:spacing w:line="360" w:lineRule="auto"/>
        <w:outlineLvl w:val="0"/>
        <w:rPr>
          <w:rFonts w:ascii="宋体" w:hAnsi="宋体" w:cs="宋体"/>
          <w:color w:val="auto"/>
          <w:szCs w:val="21"/>
          <w:highlight w:val="none"/>
        </w:rPr>
      </w:pPr>
      <w:bookmarkStart w:id="183" w:name="_Toc500513515"/>
      <w:bookmarkStart w:id="184" w:name="_Toc8708"/>
      <w:bookmarkStart w:id="185" w:name="_Toc500513559"/>
      <w:bookmarkStart w:id="186" w:name="_Toc14208"/>
      <w:bookmarkStart w:id="187" w:name="_Toc500518664"/>
      <w:bookmarkStart w:id="188" w:name="_Toc7168794"/>
      <w:bookmarkStart w:id="189" w:name="_Toc14120"/>
      <w:bookmarkStart w:id="190" w:name="_Toc24719"/>
      <w:r>
        <w:rPr>
          <w:rFonts w:hint="eastAsia" w:ascii="宋体" w:hAnsi="宋体" w:cs="宋体"/>
          <w:color w:val="auto"/>
          <w:szCs w:val="21"/>
          <w:highlight w:val="none"/>
        </w:rPr>
        <w:t>附被授权人身份证</w:t>
      </w:r>
      <w:bookmarkEnd w:id="183"/>
      <w:bookmarkEnd w:id="184"/>
      <w:bookmarkEnd w:id="185"/>
      <w:bookmarkEnd w:id="186"/>
      <w:bookmarkEnd w:id="187"/>
      <w:r>
        <w:rPr>
          <w:rFonts w:hint="eastAsia" w:ascii="宋体" w:hAnsi="宋体" w:cs="宋体"/>
          <w:color w:val="auto"/>
          <w:szCs w:val="21"/>
          <w:highlight w:val="none"/>
        </w:rPr>
        <w:t>复印件。</w:t>
      </w:r>
      <w:bookmarkEnd w:id="188"/>
      <w:bookmarkEnd w:id="189"/>
      <w:bookmarkEnd w:id="190"/>
    </w:p>
    <w:p w14:paraId="4EDE070C">
      <w:pPr>
        <w:adjustRightInd w:val="0"/>
        <w:snapToGrid w:val="0"/>
        <w:spacing w:line="360" w:lineRule="auto"/>
        <w:outlineLvl w:val="0"/>
        <w:rPr>
          <w:rFonts w:ascii="宋体" w:hAnsi="宋体" w:cs="宋体"/>
          <w:color w:val="auto"/>
          <w:szCs w:val="21"/>
          <w:highlight w:val="none"/>
        </w:rPr>
      </w:pPr>
    </w:p>
    <w:p w14:paraId="5F109787">
      <w:pPr>
        <w:spacing w:line="360" w:lineRule="auto"/>
        <w:rPr>
          <w:rFonts w:ascii="宋体" w:hAnsi="宋体"/>
          <w:color w:val="auto"/>
          <w:szCs w:val="21"/>
          <w:highlight w:val="none"/>
        </w:rPr>
      </w:pPr>
      <w:r>
        <w:rPr>
          <w:rFonts w:hint="eastAsia" w:ascii="宋体" w:hAnsi="宋体"/>
          <w:color w:val="auto"/>
          <w:szCs w:val="21"/>
          <w:highlight w:val="none"/>
        </w:rPr>
        <w:t>法定代表人（签字）：</w:t>
      </w:r>
    </w:p>
    <w:p w14:paraId="559E52CD">
      <w:pPr>
        <w:spacing w:line="360" w:lineRule="auto"/>
        <w:rPr>
          <w:rFonts w:ascii="宋体" w:hAnsi="宋体"/>
          <w:color w:val="auto"/>
          <w:szCs w:val="21"/>
          <w:highlight w:val="none"/>
        </w:rPr>
      </w:pPr>
      <w:r>
        <w:rPr>
          <w:rFonts w:hint="eastAsia" w:ascii="宋体" w:hAnsi="宋体"/>
          <w:color w:val="auto"/>
          <w:szCs w:val="21"/>
          <w:highlight w:val="none"/>
        </w:rPr>
        <w:t xml:space="preserve">              职务：</w:t>
      </w:r>
    </w:p>
    <w:p w14:paraId="39989AB4">
      <w:pPr>
        <w:spacing w:line="360" w:lineRule="auto"/>
        <w:rPr>
          <w:rFonts w:ascii="宋体" w:hAnsi="宋体"/>
          <w:color w:val="auto"/>
          <w:szCs w:val="21"/>
          <w:highlight w:val="none"/>
        </w:rPr>
      </w:pPr>
      <w:r>
        <w:rPr>
          <w:rFonts w:hint="eastAsia" w:ascii="宋体" w:hAnsi="宋体"/>
          <w:color w:val="auto"/>
          <w:szCs w:val="21"/>
          <w:highlight w:val="none"/>
        </w:rPr>
        <w:t>供应商名称（公章）：</w:t>
      </w:r>
    </w:p>
    <w:p w14:paraId="7F57C12B">
      <w:pPr>
        <w:spacing w:line="360" w:lineRule="auto"/>
        <w:rPr>
          <w:rFonts w:ascii="宋体" w:hAnsi="宋体"/>
          <w:color w:val="auto"/>
          <w:szCs w:val="21"/>
          <w:highlight w:val="none"/>
        </w:rPr>
      </w:pPr>
      <w:r>
        <w:rPr>
          <w:rFonts w:hint="eastAsia" w:ascii="宋体" w:hAnsi="宋体"/>
          <w:color w:val="auto"/>
          <w:szCs w:val="21"/>
          <w:highlight w:val="none"/>
        </w:rPr>
        <w:t xml:space="preserve">              地址：</w:t>
      </w:r>
    </w:p>
    <w:p w14:paraId="6470548C">
      <w:pPr>
        <w:spacing w:line="360" w:lineRule="auto"/>
        <w:rPr>
          <w:rFonts w:ascii="宋体" w:hAnsi="宋体"/>
          <w:color w:val="auto"/>
          <w:szCs w:val="21"/>
          <w:highlight w:val="none"/>
        </w:rPr>
      </w:pPr>
      <w:r>
        <w:rPr>
          <w:rFonts w:hint="eastAsia" w:ascii="宋体" w:hAnsi="宋体"/>
          <w:color w:val="auto"/>
          <w:szCs w:val="21"/>
          <w:highlight w:val="none"/>
        </w:rPr>
        <w:t xml:space="preserve">              电话：</w:t>
      </w:r>
    </w:p>
    <w:p w14:paraId="648C61D2">
      <w:pPr>
        <w:spacing w:line="360" w:lineRule="auto"/>
        <w:rPr>
          <w:rFonts w:ascii="宋体" w:hAnsi="宋体"/>
          <w:color w:val="auto"/>
          <w:szCs w:val="21"/>
          <w:highlight w:val="none"/>
        </w:rPr>
      </w:pPr>
    </w:p>
    <w:p w14:paraId="54D5BFEF">
      <w:pPr>
        <w:spacing w:line="360" w:lineRule="auto"/>
        <w:rPr>
          <w:rFonts w:ascii="宋体" w:hAnsi="宋体"/>
          <w:color w:val="auto"/>
          <w:szCs w:val="21"/>
          <w:highlight w:val="none"/>
        </w:rPr>
      </w:pPr>
      <w:r>
        <w:rPr>
          <w:rFonts w:hint="eastAsia" w:ascii="宋体" w:hAnsi="宋体" w:cs="宋体"/>
          <w:color w:val="auto"/>
          <w:szCs w:val="21"/>
          <w:highlight w:val="none"/>
        </w:rPr>
        <w:t>被授权人</w:t>
      </w:r>
      <w:r>
        <w:rPr>
          <w:rFonts w:hint="eastAsia" w:ascii="宋体" w:hAnsi="宋体"/>
          <w:color w:val="auto"/>
          <w:szCs w:val="21"/>
          <w:highlight w:val="none"/>
        </w:rPr>
        <w:t>（签字）：</w:t>
      </w:r>
    </w:p>
    <w:p w14:paraId="1973ABA6">
      <w:pPr>
        <w:spacing w:line="360" w:lineRule="auto"/>
        <w:rPr>
          <w:rFonts w:ascii="宋体" w:hAnsi="宋体"/>
          <w:color w:val="auto"/>
          <w:szCs w:val="21"/>
          <w:highlight w:val="none"/>
        </w:rPr>
      </w:pPr>
      <w:r>
        <w:rPr>
          <w:rFonts w:hint="eastAsia" w:ascii="宋体" w:hAnsi="宋体"/>
          <w:color w:val="auto"/>
          <w:szCs w:val="21"/>
          <w:highlight w:val="none"/>
        </w:rPr>
        <w:t xml:space="preserve">        职务：</w:t>
      </w:r>
    </w:p>
    <w:p w14:paraId="483CDC6C">
      <w:pPr>
        <w:spacing w:line="360" w:lineRule="auto"/>
        <w:rPr>
          <w:rFonts w:ascii="宋体" w:hAnsi="宋体"/>
          <w:color w:val="auto"/>
          <w:szCs w:val="21"/>
          <w:highlight w:val="none"/>
        </w:rPr>
      </w:pPr>
      <w:r>
        <w:rPr>
          <w:rFonts w:hint="eastAsia" w:ascii="宋体" w:hAnsi="宋体"/>
          <w:color w:val="auto"/>
          <w:szCs w:val="21"/>
          <w:highlight w:val="none"/>
        </w:rPr>
        <w:t xml:space="preserve">    单位名称：</w:t>
      </w:r>
    </w:p>
    <w:p w14:paraId="28A94C3D">
      <w:pPr>
        <w:spacing w:line="360" w:lineRule="auto"/>
        <w:rPr>
          <w:rFonts w:ascii="宋体" w:hAnsi="宋体"/>
          <w:color w:val="auto"/>
          <w:szCs w:val="21"/>
          <w:highlight w:val="none"/>
        </w:rPr>
      </w:pPr>
      <w:r>
        <w:rPr>
          <w:rFonts w:hint="eastAsia" w:ascii="宋体" w:hAnsi="宋体"/>
          <w:color w:val="auto"/>
          <w:szCs w:val="21"/>
          <w:highlight w:val="none"/>
        </w:rPr>
        <w:t xml:space="preserve">        电话：</w:t>
      </w:r>
    </w:p>
    <w:p w14:paraId="20A7FAB3">
      <w:pPr>
        <w:spacing w:line="360" w:lineRule="auto"/>
        <w:rPr>
          <w:rFonts w:ascii="宋体" w:hAnsi="宋体"/>
          <w:color w:val="auto"/>
          <w:szCs w:val="21"/>
          <w:highlight w:val="none"/>
        </w:rPr>
      </w:pPr>
      <w:r>
        <w:rPr>
          <w:rFonts w:hint="eastAsia" w:ascii="宋体" w:hAnsi="宋体"/>
          <w:color w:val="auto"/>
          <w:szCs w:val="21"/>
          <w:highlight w:val="none"/>
        </w:rPr>
        <w:t xml:space="preserve">        地址：</w:t>
      </w:r>
    </w:p>
    <w:p w14:paraId="3FCDBB8D">
      <w:pPr>
        <w:spacing w:line="360" w:lineRule="auto"/>
        <w:rPr>
          <w:rFonts w:ascii="宋体" w:hAnsi="宋体" w:cs="宋体"/>
          <w:color w:val="auto"/>
          <w:szCs w:val="21"/>
          <w:highlight w:val="none"/>
        </w:rPr>
      </w:pPr>
    </w:p>
    <w:p w14:paraId="1BBB48D6">
      <w:pPr>
        <w:spacing w:line="360" w:lineRule="auto"/>
        <w:rPr>
          <w:rFonts w:ascii="宋体" w:hAnsi="宋体" w:cs="宋体"/>
          <w:color w:val="auto"/>
          <w:szCs w:val="21"/>
          <w:highlight w:val="none"/>
        </w:rPr>
      </w:pPr>
    </w:p>
    <w:p w14:paraId="0F26C32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出具日期：年 月 日 </w:t>
      </w:r>
    </w:p>
    <w:p w14:paraId="0D18A303">
      <w:pPr>
        <w:spacing w:line="360" w:lineRule="auto"/>
        <w:rPr>
          <w:rFonts w:ascii="宋体" w:hAnsi="宋体" w:cs="宋体"/>
          <w:color w:val="auto"/>
          <w:szCs w:val="21"/>
          <w:highlight w:val="none"/>
        </w:rPr>
      </w:pPr>
    </w:p>
    <w:p w14:paraId="53CD8E83">
      <w:pPr>
        <w:pStyle w:val="3"/>
        <w:jc w:val="both"/>
        <w:rPr>
          <w:rFonts w:cs="宋体"/>
          <w:b w:val="0"/>
          <w:color w:val="auto"/>
          <w:sz w:val="21"/>
          <w:szCs w:val="21"/>
          <w:highlight w:val="none"/>
        </w:rPr>
      </w:pPr>
    </w:p>
    <w:p w14:paraId="4BB6384A">
      <w:pPr>
        <w:pStyle w:val="3"/>
        <w:ind w:firstLine="422"/>
        <w:rPr>
          <w:rFonts w:cs="宋体"/>
          <w:color w:val="auto"/>
          <w:sz w:val="28"/>
          <w:szCs w:val="28"/>
          <w:highlight w:val="none"/>
        </w:rPr>
      </w:pPr>
      <w:bookmarkStart w:id="191" w:name="_Toc333415229"/>
      <w:bookmarkStart w:id="192" w:name="_Toc358186920"/>
      <w:bookmarkStart w:id="193" w:name="_Toc333312475"/>
      <w:bookmarkStart w:id="194" w:name="_Toc421532562"/>
      <w:r>
        <w:rPr>
          <w:rFonts w:hint="eastAsia" w:cs="宋体"/>
          <w:color w:val="auto"/>
          <w:kern w:val="2"/>
          <w:sz w:val="21"/>
          <w:szCs w:val="21"/>
          <w:highlight w:val="none"/>
        </w:rPr>
        <w:br w:type="page"/>
      </w:r>
      <w:bookmarkStart w:id="195" w:name="_Toc7168795"/>
      <w:bookmarkStart w:id="196" w:name="_Toc500518665"/>
      <w:bookmarkStart w:id="197" w:name="_Toc500513560"/>
      <w:bookmarkStart w:id="198" w:name="_Toc4573"/>
      <w:bookmarkStart w:id="199" w:name="_Toc19032"/>
      <w:bookmarkStart w:id="200" w:name="_Toc12175"/>
      <w:bookmarkStart w:id="201" w:name="_Toc5361"/>
      <w:bookmarkStart w:id="202" w:name="_Toc500513516"/>
      <w:r>
        <w:rPr>
          <w:rFonts w:hint="eastAsia" w:cs="宋体"/>
          <w:color w:val="auto"/>
          <w:kern w:val="2"/>
          <w:sz w:val="28"/>
          <w:szCs w:val="28"/>
          <w:highlight w:val="none"/>
        </w:rPr>
        <w:t>四、谈判保证金</w:t>
      </w:r>
      <w:bookmarkEnd w:id="191"/>
      <w:bookmarkEnd w:id="192"/>
      <w:bookmarkEnd w:id="193"/>
      <w:bookmarkEnd w:id="194"/>
      <w:bookmarkEnd w:id="195"/>
      <w:bookmarkEnd w:id="196"/>
      <w:bookmarkEnd w:id="197"/>
      <w:bookmarkEnd w:id="198"/>
      <w:bookmarkEnd w:id="199"/>
      <w:bookmarkEnd w:id="200"/>
      <w:bookmarkEnd w:id="201"/>
      <w:bookmarkEnd w:id="202"/>
    </w:p>
    <w:p w14:paraId="1BE0307F">
      <w:pPr>
        <w:spacing w:line="440" w:lineRule="exact"/>
        <w:rPr>
          <w:rFonts w:ascii="宋体" w:hAnsi="宋体" w:cs="宋体"/>
          <w:color w:val="auto"/>
          <w:szCs w:val="21"/>
          <w:highlight w:val="none"/>
        </w:rPr>
      </w:pPr>
    </w:p>
    <w:p w14:paraId="54B1DAEB">
      <w:pPr>
        <w:spacing w:line="440" w:lineRule="exact"/>
        <w:rPr>
          <w:rFonts w:ascii="宋体" w:hAnsi="宋体" w:cs="宋体"/>
          <w:color w:val="auto"/>
          <w:szCs w:val="21"/>
          <w:highlight w:val="none"/>
        </w:rPr>
      </w:pPr>
    </w:p>
    <w:p w14:paraId="7CC0289F">
      <w:pPr>
        <w:spacing w:line="440" w:lineRule="exact"/>
        <w:ind w:firstLine="422"/>
        <w:jc w:val="center"/>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附：后附谈判</w:t>
      </w:r>
      <w:r>
        <w:rPr>
          <w:rFonts w:hint="eastAsia" w:ascii="宋体" w:hAnsi="宋体" w:cs="宋体"/>
          <w:color w:val="auto"/>
          <w:szCs w:val="21"/>
          <w:highlight w:val="none"/>
          <w:lang w:val="zh-CN"/>
        </w:rPr>
        <w:t>保证金递交凭证复印件及企业基本账户信息复印件。</w:t>
      </w:r>
    </w:p>
    <w:p w14:paraId="7A169DF6">
      <w:pPr>
        <w:autoSpaceDE w:val="0"/>
        <w:autoSpaceDN w:val="0"/>
        <w:adjustRightInd w:val="0"/>
        <w:spacing w:line="400" w:lineRule="exact"/>
        <w:ind w:firstLine="420" w:firstLineChars="200"/>
        <w:jc w:val="center"/>
        <w:rPr>
          <w:rFonts w:hint="eastAsia" w:ascii="宋体" w:hAnsi="宋体" w:eastAsia="宋体" w:cs="宋体"/>
          <w:bCs/>
          <w:color w:val="auto"/>
          <w:sz w:val="21"/>
          <w:szCs w:val="21"/>
          <w:highlight w:val="none"/>
        </w:rPr>
      </w:pPr>
    </w:p>
    <w:p w14:paraId="26CF97D6">
      <w:pPr>
        <w:spacing w:line="440" w:lineRule="exact"/>
        <w:rPr>
          <w:rFonts w:ascii="宋体" w:hAnsi="宋体" w:cs="宋体"/>
          <w:b/>
          <w:bCs w:val="0"/>
          <w:color w:val="auto"/>
          <w:szCs w:val="21"/>
          <w:highlight w:val="none"/>
        </w:rPr>
      </w:pPr>
    </w:p>
    <w:p w14:paraId="53F9FFCE">
      <w:pPr>
        <w:spacing w:line="360" w:lineRule="auto"/>
        <w:ind w:firstLine="482"/>
        <w:rPr>
          <w:rFonts w:ascii="宋体" w:hAnsi="宋体" w:cs="宋体"/>
          <w:b/>
          <w:color w:val="auto"/>
          <w:sz w:val="24"/>
          <w:highlight w:val="none"/>
        </w:rPr>
      </w:pPr>
    </w:p>
    <w:p w14:paraId="063A1B28">
      <w:pPr>
        <w:pStyle w:val="3"/>
        <w:ind w:firstLine="482"/>
        <w:jc w:val="center"/>
        <w:rPr>
          <w:rFonts w:cs="宋体"/>
          <w:color w:val="auto"/>
          <w:szCs w:val="21"/>
          <w:highlight w:val="none"/>
        </w:rPr>
      </w:pPr>
      <w:bookmarkStart w:id="203" w:name="_Toc421532563"/>
      <w:r>
        <w:rPr>
          <w:rFonts w:hint="eastAsia" w:cs="宋体"/>
          <w:color w:val="auto"/>
          <w:sz w:val="24"/>
          <w:highlight w:val="none"/>
        </w:rPr>
        <w:br w:type="page"/>
      </w:r>
      <w:bookmarkEnd w:id="203"/>
      <w:bookmarkStart w:id="204" w:name="_Toc500513518"/>
      <w:bookmarkStart w:id="205" w:name="_Toc419879305"/>
      <w:bookmarkStart w:id="206" w:name="_Toc500513562"/>
      <w:bookmarkStart w:id="207" w:name="_Toc421532564"/>
      <w:bookmarkStart w:id="208" w:name="_Toc500518667"/>
    </w:p>
    <w:p w14:paraId="7B9FFEE6">
      <w:pPr>
        <w:pStyle w:val="3"/>
        <w:ind w:firstLine="482"/>
        <w:rPr>
          <w:rFonts w:cs="宋体"/>
          <w:color w:val="auto"/>
          <w:kern w:val="2"/>
          <w:sz w:val="24"/>
          <w:szCs w:val="24"/>
          <w:highlight w:val="none"/>
        </w:rPr>
      </w:pPr>
      <w:bookmarkStart w:id="209" w:name="_Toc468"/>
      <w:r>
        <w:rPr>
          <w:rFonts w:hint="eastAsia" w:cs="宋体"/>
          <w:color w:val="auto"/>
          <w:kern w:val="2"/>
          <w:sz w:val="24"/>
          <w:szCs w:val="24"/>
          <w:highlight w:val="none"/>
        </w:rPr>
        <w:t>五、商务和技术偏差表</w:t>
      </w:r>
      <w:bookmarkEnd w:id="209"/>
    </w:p>
    <w:p w14:paraId="606F95A4">
      <w:pPr>
        <w:spacing w:line="440" w:lineRule="exact"/>
        <w:rPr>
          <w:rFonts w:ascii="宋体" w:hAnsi="宋体" w:cs="宋体"/>
          <w:color w:val="auto"/>
          <w:szCs w:val="21"/>
          <w:highlight w:val="none"/>
        </w:rPr>
      </w:pPr>
    </w:p>
    <w:p w14:paraId="097AAC33">
      <w:pPr>
        <w:spacing w:line="200" w:lineRule="exact"/>
        <w:ind w:firstLine="480"/>
        <w:jc w:val="left"/>
        <w:rPr>
          <w:rFonts w:ascii="宋体" w:hAnsi="宋体"/>
          <w:color w:val="auto"/>
          <w:sz w:val="24"/>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77"/>
        <w:gridCol w:w="2450"/>
        <w:gridCol w:w="1584"/>
        <w:gridCol w:w="1026"/>
      </w:tblGrid>
      <w:tr w14:paraId="4579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6FEC936A">
            <w:pPr>
              <w:ind w:left="0" w:leftChars="0" w:firstLine="0" w:firstLineChars="0"/>
              <w:jc w:val="center"/>
              <w:rPr>
                <w:rFonts w:ascii="宋体" w:hAnsi="宋体"/>
                <w:color w:val="auto"/>
                <w:sz w:val="24"/>
                <w:highlight w:val="none"/>
              </w:rPr>
            </w:pPr>
            <w:r>
              <w:rPr>
                <w:rFonts w:hint="eastAsia" w:ascii="宋体" w:hAnsi="宋体"/>
                <w:b/>
                <w:color w:val="auto"/>
                <w:highlight w:val="none"/>
              </w:rPr>
              <w:t>序号</w:t>
            </w:r>
          </w:p>
        </w:tc>
        <w:tc>
          <w:tcPr>
            <w:tcW w:w="3077" w:type="dxa"/>
            <w:vAlign w:val="center"/>
          </w:tcPr>
          <w:p w14:paraId="0D2351B5">
            <w:pPr>
              <w:ind w:left="0" w:leftChars="0" w:firstLine="0" w:firstLineChars="0"/>
              <w:jc w:val="center"/>
              <w:rPr>
                <w:rFonts w:hint="eastAsia" w:ascii="宋体" w:hAnsi="宋体"/>
                <w:b/>
                <w:color w:val="auto"/>
                <w:highlight w:val="none"/>
              </w:rPr>
            </w:pPr>
            <w:r>
              <w:rPr>
                <w:rFonts w:hint="eastAsia" w:ascii="宋体" w:hAnsi="宋体"/>
                <w:b/>
                <w:color w:val="auto"/>
                <w:highlight w:val="none"/>
              </w:rPr>
              <w:t>竞争性谈判文件的商务</w:t>
            </w:r>
            <w:r>
              <w:rPr>
                <w:rFonts w:hint="eastAsia" w:ascii="宋体" w:hAnsi="宋体"/>
                <w:b/>
                <w:color w:val="auto"/>
                <w:highlight w:val="none"/>
                <w:lang w:eastAsia="zh-CN"/>
              </w:rPr>
              <w:t>和技术</w:t>
            </w:r>
            <w:r>
              <w:rPr>
                <w:rFonts w:hint="eastAsia" w:ascii="宋体" w:hAnsi="宋体"/>
                <w:b/>
                <w:color w:val="auto"/>
                <w:highlight w:val="none"/>
              </w:rPr>
              <w:t>条款</w:t>
            </w:r>
          </w:p>
        </w:tc>
        <w:tc>
          <w:tcPr>
            <w:tcW w:w="2450" w:type="dxa"/>
            <w:vAlign w:val="center"/>
          </w:tcPr>
          <w:p w14:paraId="761E98DE">
            <w:pPr>
              <w:ind w:left="0" w:leftChars="0" w:firstLine="0" w:firstLineChars="0"/>
              <w:jc w:val="center"/>
              <w:rPr>
                <w:rFonts w:hint="eastAsia" w:ascii="宋体" w:hAnsi="宋体"/>
                <w:b/>
                <w:color w:val="auto"/>
                <w:highlight w:val="none"/>
              </w:rPr>
            </w:pPr>
            <w:r>
              <w:rPr>
                <w:rFonts w:hint="eastAsia" w:ascii="宋体" w:hAnsi="宋体"/>
                <w:b/>
                <w:color w:val="auto"/>
                <w:highlight w:val="none"/>
              </w:rPr>
              <w:t>响应文件的商务</w:t>
            </w:r>
            <w:r>
              <w:rPr>
                <w:rFonts w:hint="eastAsia" w:ascii="宋体" w:hAnsi="宋体"/>
                <w:b/>
                <w:color w:val="auto"/>
                <w:highlight w:val="none"/>
                <w:lang w:eastAsia="zh-CN"/>
              </w:rPr>
              <w:t>和技术</w:t>
            </w:r>
            <w:r>
              <w:rPr>
                <w:rFonts w:hint="eastAsia" w:ascii="宋体" w:hAnsi="宋体"/>
                <w:b/>
                <w:color w:val="auto"/>
                <w:highlight w:val="none"/>
              </w:rPr>
              <w:t>条款</w:t>
            </w:r>
          </w:p>
        </w:tc>
        <w:tc>
          <w:tcPr>
            <w:tcW w:w="1584" w:type="dxa"/>
            <w:vAlign w:val="center"/>
          </w:tcPr>
          <w:p w14:paraId="774457A5">
            <w:pPr>
              <w:ind w:left="0" w:leftChars="0" w:firstLine="0" w:firstLineChars="0"/>
              <w:jc w:val="center"/>
              <w:rPr>
                <w:rFonts w:hint="eastAsia" w:ascii="宋体" w:hAnsi="宋体"/>
                <w:b/>
                <w:color w:val="auto"/>
                <w:highlight w:val="none"/>
              </w:rPr>
            </w:pPr>
            <w:r>
              <w:rPr>
                <w:rFonts w:hint="eastAsia" w:ascii="宋体" w:hAnsi="宋体"/>
                <w:b/>
                <w:color w:val="auto"/>
                <w:highlight w:val="none"/>
              </w:rPr>
              <w:t>偏差说明</w:t>
            </w:r>
          </w:p>
        </w:tc>
        <w:tc>
          <w:tcPr>
            <w:tcW w:w="1026" w:type="dxa"/>
            <w:vAlign w:val="center"/>
          </w:tcPr>
          <w:p w14:paraId="1B41510E">
            <w:pPr>
              <w:ind w:left="0" w:leftChars="0" w:firstLine="0" w:firstLineChars="0"/>
              <w:jc w:val="center"/>
              <w:rPr>
                <w:rFonts w:hint="eastAsia" w:ascii="宋体" w:hAnsi="宋体"/>
                <w:b/>
                <w:color w:val="auto"/>
                <w:highlight w:val="none"/>
              </w:rPr>
            </w:pPr>
            <w:r>
              <w:rPr>
                <w:rFonts w:hint="eastAsia" w:ascii="宋体" w:hAnsi="宋体"/>
                <w:b/>
                <w:color w:val="auto"/>
                <w:highlight w:val="none"/>
              </w:rPr>
              <w:t>备注</w:t>
            </w:r>
          </w:p>
        </w:tc>
      </w:tr>
      <w:tr w14:paraId="0E9F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F60483B">
            <w:pPr>
              <w:spacing w:line="200" w:lineRule="exact"/>
              <w:ind w:left="0" w:leftChars="0" w:firstLine="0" w:firstLineChars="0"/>
              <w:jc w:val="center"/>
              <w:rPr>
                <w:rFonts w:ascii="宋体" w:hAnsi="宋体"/>
                <w:color w:val="auto"/>
                <w:sz w:val="24"/>
                <w:highlight w:val="none"/>
              </w:rPr>
            </w:pPr>
            <w:r>
              <w:rPr>
                <w:rFonts w:hint="eastAsia" w:ascii="宋体" w:hAnsi="宋体"/>
                <w:color w:val="auto"/>
                <w:sz w:val="24"/>
                <w:highlight w:val="none"/>
              </w:rPr>
              <w:t>1</w:t>
            </w:r>
          </w:p>
        </w:tc>
        <w:tc>
          <w:tcPr>
            <w:tcW w:w="3077" w:type="dxa"/>
          </w:tcPr>
          <w:p w14:paraId="09B7F3AD">
            <w:pPr>
              <w:spacing w:line="200" w:lineRule="exact"/>
              <w:ind w:firstLine="480"/>
              <w:jc w:val="left"/>
              <w:rPr>
                <w:rFonts w:ascii="宋体" w:hAnsi="宋体"/>
                <w:color w:val="auto"/>
                <w:sz w:val="24"/>
                <w:highlight w:val="none"/>
              </w:rPr>
            </w:pPr>
          </w:p>
        </w:tc>
        <w:tc>
          <w:tcPr>
            <w:tcW w:w="2450" w:type="dxa"/>
          </w:tcPr>
          <w:p w14:paraId="205BE025">
            <w:pPr>
              <w:spacing w:line="200" w:lineRule="exact"/>
              <w:ind w:firstLine="480"/>
              <w:jc w:val="left"/>
              <w:rPr>
                <w:rFonts w:ascii="宋体" w:hAnsi="宋体"/>
                <w:color w:val="auto"/>
                <w:sz w:val="24"/>
                <w:highlight w:val="none"/>
              </w:rPr>
            </w:pPr>
          </w:p>
        </w:tc>
        <w:tc>
          <w:tcPr>
            <w:tcW w:w="1584" w:type="dxa"/>
          </w:tcPr>
          <w:p w14:paraId="0821D4C7">
            <w:pPr>
              <w:spacing w:line="200" w:lineRule="exact"/>
              <w:ind w:firstLine="480"/>
              <w:jc w:val="left"/>
              <w:rPr>
                <w:rFonts w:ascii="宋体" w:hAnsi="宋体"/>
                <w:color w:val="auto"/>
                <w:sz w:val="24"/>
                <w:highlight w:val="none"/>
              </w:rPr>
            </w:pPr>
          </w:p>
        </w:tc>
        <w:tc>
          <w:tcPr>
            <w:tcW w:w="1026" w:type="dxa"/>
          </w:tcPr>
          <w:p w14:paraId="05BE671D">
            <w:pPr>
              <w:spacing w:line="200" w:lineRule="exact"/>
              <w:ind w:firstLine="480"/>
              <w:jc w:val="left"/>
              <w:rPr>
                <w:rFonts w:ascii="宋体" w:hAnsi="宋体"/>
                <w:color w:val="auto"/>
                <w:sz w:val="24"/>
                <w:highlight w:val="none"/>
              </w:rPr>
            </w:pPr>
          </w:p>
        </w:tc>
      </w:tr>
      <w:tr w14:paraId="38FC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DBCFC6B">
            <w:pPr>
              <w:spacing w:line="200" w:lineRule="exact"/>
              <w:ind w:left="0" w:leftChars="0" w:firstLine="0" w:firstLineChars="0"/>
              <w:jc w:val="center"/>
              <w:rPr>
                <w:rFonts w:ascii="宋体" w:hAnsi="宋体"/>
                <w:color w:val="auto"/>
                <w:sz w:val="24"/>
                <w:highlight w:val="none"/>
              </w:rPr>
            </w:pPr>
            <w:r>
              <w:rPr>
                <w:rFonts w:hint="eastAsia" w:ascii="宋体" w:hAnsi="宋体"/>
                <w:color w:val="auto"/>
                <w:sz w:val="24"/>
                <w:highlight w:val="none"/>
              </w:rPr>
              <w:t>2</w:t>
            </w:r>
          </w:p>
        </w:tc>
        <w:tc>
          <w:tcPr>
            <w:tcW w:w="3077" w:type="dxa"/>
          </w:tcPr>
          <w:p w14:paraId="303E1C78">
            <w:pPr>
              <w:spacing w:line="200" w:lineRule="exact"/>
              <w:ind w:firstLine="480"/>
              <w:jc w:val="left"/>
              <w:rPr>
                <w:rFonts w:ascii="宋体" w:hAnsi="宋体"/>
                <w:color w:val="auto"/>
                <w:sz w:val="24"/>
                <w:highlight w:val="none"/>
              </w:rPr>
            </w:pPr>
          </w:p>
        </w:tc>
        <w:tc>
          <w:tcPr>
            <w:tcW w:w="2450" w:type="dxa"/>
          </w:tcPr>
          <w:p w14:paraId="5A630CFE">
            <w:pPr>
              <w:spacing w:line="200" w:lineRule="exact"/>
              <w:ind w:firstLine="480"/>
              <w:jc w:val="left"/>
              <w:rPr>
                <w:rFonts w:ascii="宋体" w:hAnsi="宋体"/>
                <w:color w:val="auto"/>
                <w:sz w:val="24"/>
                <w:highlight w:val="none"/>
              </w:rPr>
            </w:pPr>
          </w:p>
        </w:tc>
        <w:tc>
          <w:tcPr>
            <w:tcW w:w="1584" w:type="dxa"/>
          </w:tcPr>
          <w:p w14:paraId="1F81E0C9">
            <w:pPr>
              <w:spacing w:line="200" w:lineRule="exact"/>
              <w:ind w:firstLine="480"/>
              <w:jc w:val="left"/>
              <w:rPr>
                <w:rFonts w:ascii="宋体" w:hAnsi="宋体"/>
                <w:color w:val="auto"/>
                <w:sz w:val="24"/>
                <w:highlight w:val="none"/>
              </w:rPr>
            </w:pPr>
          </w:p>
        </w:tc>
        <w:tc>
          <w:tcPr>
            <w:tcW w:w="1026" w:type="dxa"/>
          </w:tcPr>
          <w:p w14:paraId="16602B61">
            <w:pPr>
              <w:spacing w:line="200" w:lineRule="exact"/>
              <w:ind w:firstLine="480"/>
              <w:jc w:val="left"/>
              <w:rPr>
                <w:rFonts w:ascii="宋体" w:hAnsi="宋体"/>
                <w:color w:val="auto"/>
                <w:sz w:val="24"/>
                <w:highlight w:val="none"/>
              </w:rPr>
            </w:pPr>
          </w:p>
        </w:tc>
      </w:tr>
      <w:tr w14:paraId="3526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743FB3F">
            <w:pPr>
              <w:spacing w:line="200" w:lineRule="exact"/>
              <w:ind w:left="0" w:leftChars="0" w:firstLine="0" w:firstLineChars="0"/>
              <w:jc w:val="center"/>
              <w:rPr>
                <w:rFonts w:ascii="宋体" w:hAnsi="宋体"/>
                <w:color w:val="auto"/>
                <w:sz w:val="24"/>
                <w:highlight w:val="none"/>
              </w:rPr>
            </w:pPr>
            <w:r>
              <w:rPr>
                <w:rFonts w:hint="eastAsia" w:ascii="宋体" w:hAnsi="宋体"/>
                <w:color w:val="auto"/>
                <w:sz w:val="24"/>
                <w:highlight w:val="none"/>
              </w:rPr>
              <w:t>3</w:t>
            </w:r>
          </w:p>
        </w:tc>
        <w:tc>
          <w:tcPr>
            <w:tcW w:w="3077" w:type="dxa"/>
          </w:tcPr>
          <w:p w14:paraId="66FCA4E5">
            <w:pPr>
              <w:spacing w:line="200" w:lineRule="exact"/>
              <w:ind w:firstLine="480"/>
              <w:jc w:val="left"/>
              <w:rPr>
                <w:rFonts w:ascii="宋体" w:hAnsi="宋体"/>
                <w:color w:val="auto"/>
                <w:sz w:val="24"/>
                <w:highlight w:val="none"/>
              </w:rPr>
            </w:pPr>
          </w:p>
        </w:tc>
        <w:tc>
          <w:tcPr>
            <w:tcW w:w="2450" w:type="dxa"/>
          </w:tcPr>
          <w:p w14:paraId="07C36A32">
            <w:pPr>
              <w:spacing w:line="200" w:lineRule="exact"/>
              <w:ind w:firstLine="480"/>
              <w:jc w:val="left"/>
              <w:rPr>
                <w:rFonts w:ascii="宋体" w:hAnsi="宋体"/>
                <w:color w:val="auto"/>
                <w:sz w:val="24"/>
                <w:highlight w:val="none"/>
              </w:rPr>
            </w:pPr>
          </w:p>
        </w:tc>
        <w:tc>
          <w:tcPr>
            <w:tcW w:w="1584" w:type="dxa"/>
          </w:tcPr>
          <w:p w14:paraId="30E6CC3F">
            <w:pPr>
              <w:spacing w:line="200" w:lineRule="exact"/>
              <w:ind w:firstLine="480"/>
              <w:jc w:val="left"/>
              <w:rPr>
                <w:rFonts w:ascii="宋体" w:hAnsi="宋体"/>
                <w:color w:val="auto"/>
                <w:sz w:val="24"/>
                <w:highlight w:val="none"/>
              </w:rPr>
            </w:pPr>
          </w:p>
        </w:tc>
        <w:tc>
          <w:tcPr>
            <w:tcW w:w="1026" w:type="dxa"/>
          </w:tcPr>
          <w:p w14:paraId="27024B11">
            <w:pPr>
              <w:spacing w:line="200" w:lineRule="exact"/>
              <w:ind w:firstLine="480"/>
              <w:jc w:val="left"/>
              <w:rPr>
                <w:rFonts w:ascii="宋体" w:hAnsi="宋体"/>
                <w:color w:val="auto"/>
                <w:sz w:val="24"/>
                <w:highlight w:val="none"/>
              </w:rPr>
            </w:pPr>
          </w:p>
        </w:tc>
      </w:tr>
      <w:tr w14:paraId="6B11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C7EEDAD">
            <w:pPr>
              <w:spacing w:line="200" w:lineRule="exact"/>
              <w:ind w:left="0" w:leftChars="0" w:firstLine="0" w:firstLineChars="0"/>
              <w:jc w:val="center"/>
              <w:rPr>
                <w:rFonts w:ascii="宋体" w:hAnsi="宋体"/>
                <w:color w:val="auto"/>
                <w:sz w:val="24"/>
                <w:highlight w:val="none"/>
              </w:rPr>
            </w:pPr>
            <w:r>
              <w:rPr>
                <w:rFonts w:hint="eastAsia" w:ascii="宋体" w:hAnsi="宋体"/>
                <w:color w:val="auto"/>
                <w:sz w:val="24"/>
                <w:highlight w:val="none"/>
              </w:rPr>
              <w:t>4</w:t>
            </w:r>
          </w:p>
        </w:tc>
        <w:tc>
          <w:tcPr>
            <w:tcW w:w="3077" w:type="dxa"/>
          </w:tcPr>
          <w:p w14:paraId="4CB6E0C5">
            <w:pPr>
              <w:spacing w:line="200" w:lineRule="exact"/>
              <w:ind w:firstLine="480"/>
              <w:jc w:val="left"/>
              <w:rPr>
                <w:rFonts w:ascii="宋体" w:hAnsi="宋体"/>
                <w:color w:val="auto"/>
                <w:sz w:val="24"/>
                <w:highlight w:val="none"/>
              </w:rPr>
            </w:pPr>
          </w:p>
        </w:tc>
        <w:tc>
          <w:tcPr>
            <w:tcW w:w="2450" w:type="dxa"/>
          </w:tcPr>
          <w:p w14:paraId="0E94E95F">
            <w:pPr>
              <w:spacing w:line="200" w:lineRule="exact"/>
              <w:ind w:firstLine="480"/>
              <w:jc w:val="left"/>
              <w:rPr>
                <w:rFonts w:ascii="宋体" w:hAnsi="宋体"/>
                <w:color w:val="auto"/>
                <w:sz w:val="24"/>
                <w:highlight w:val="none"/>
              </w:rPr>
            </w:pPr>
          </w:p>
        </w:tc>
        <w:tc>
          <w:tcPr>
            <w:tcW w:w="1584" w:type="dxa"/>
          </w:tcPr>
          <w:p w14:paraId="7FD8FC98">
            <w:pPr>
              <w:spacing w:line="200" w:lineRule="exact"/>
              <w:ind w:firstLine="480"/>
              <w:jc w:val="left"/>
              <w:rPr>
                <w:rFonts w:ascii="宋体" w:hAnsi="宋体"/>
                <w:color w:val="auto"/>
                <w:sz w:val="24"/>
                <w:highlight w:val="none"/>
              </w:rPr>
            </w:pPr>
          </w:p>
        </w:tc>
        <w:tc>
          <w:tcPr>
            <w:tcW w:w="1026" w:type="dxa"/>
          </w:tcPr>
          <w:p w14:paraId="1315D9B4">
            <w:pPr>
              <w:spacing w:line="200" w:lineRule="exact"/>
              <w:ind w:firstLine="480"/>
              <w:jc w:val="left"/>
              <w:rPr>
                <w:rFonts w:ascii="宋体" w:hAnsi="宋体"/>
                <w:color w:val="auto"/>
                <w:sz w:val="24"/>
                <w:highlight w:val="none"/>
              </w:rPr>
            </w:pPr>
          </w:p>
        </w:tc>
      </w:tr>
      <w:tr w14:paraId="4798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73C71B27">
            <w:pPr>
              <w:spacing w:line="200" w:lineRule="exact"/>
              <w:ind w:left="0" w:leftChars="0" w:firstLine="0" w:firstLineChars="0"/>
              <w:jc w:val="center"/>
              <w:rPr>
                <w:rFonts w:ascii="宋体" w:hAnsi="宋体"/>
                <w:color w:val="auto"/>
                <w:sz w:val="24"/>
                <w:highlight w:val="none"/>
              </w:rPr>
            </w:pPr>
            <w:r>
              <w:rPr>
                <w:rFonts w:hint="eastAsia" w:ascii="宋体" w:hAnsi="宋体"/>
                <w:color w:val="auto"/>
                <w:sz w:val="24"/>
                <w:highlight w:val="none"/>
              </w:rPr>
              <w:t>5</w:t>
            </w:r>
          </w:p>
        </w:tc>
        <w:tc>
          <w:tcPr>
            <w:tcW w:w="3077" w:type="dxa"/>
          </w:tcPr>
          <w:p w14:paraId="6D00686C">
            <w:pPr>
              <w:spacing w:line="200" w:lineRule="exact"/>
              <w:ind w:firstLine="480"/>
              <w:jc w:val="left"/>
              <w:rPr>
                <w:rFonts w:ascii="宋体" w:hAnsi="宋体"/>
                <w:color w:val="auto"/>
                <w:sz w:val="24"/>
                <w:highlight w:val="none"/>
              </w:rPr>
            </w:pPr>
          </w:p>
        </w:tc>
        <w:tc>
          <w:tcPr>
            <w:tcW w:w="2450" w:type="dxa"/>
          </w:tcPr>
          <w:p w14:paraId="32274AC9">
            <w:pPr>
              <w:spacing w:line="200" w:lineRule="exact"/>
              <w:ind w:firstLine="480"/>
              <w:jc w:val="left"/>
              <w:rPr>
                <w:rFonts w:ascii="宋体" w:hAnsi="宋体"/>
                <w:color w:val="auto"/>
                <w:sz w:val="24"/>
                <w:highlight w:val="none"/>
              </w:rPr>
            </w:pPr>
          </w:p>
        </w:tc>
        <w:tc>
          <w:tcPr>
            <w:tcW w:w="1584" w:type="dxa"/>
          </w:tcPr>
          <w:p w14:paraId="02F4953F">
            <w:pPr>
              <w:spacing w:line="200" w:lineRule="exact"/>
              <w:ind w:firstLine="480"/>
              <w:jc w:val="left"/>
              <w:rPr>
                <w:rFonts w:ascii="宋体" w:hAnsi="宋体"/>
                <w:color w:val="auto"/>
                <w:sz w:val="24"/>
                <w:highlight w:val="none"/>
              </w:rPr>
            </w:pPr>
          </w:p>
        </w:tc>
        <w:tc>
          <w:tcPr>
            <w:tcW w:w="1026" w:type="dxa"/>
          </w:tcPr>
          <w:p w14:paraId="0FEE9E27">
            <w:pPr>
              <w:spacing w:line="200" w:lineRule="exact"/>
              <w:ind w:firstLine="480"/>
              <w:jc w:val="left"/>
              <w:rPr>
                <w:rFonts w:ascii="宋体" w:hAnsi="宋体"/>
                <w:color w:val="auto"/>
                <w:sz w:val="24"/>
                <w:highlight w:val="none"/>
              </w:rPr>
            </w:pPr>
          </w:p>
        </w:tc>
      </w:tr>
      <w:tr w14:paraId="33AD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50" w:type="dxa"/>
            <w:vAlign w:val="center"/>
          </w:tcPr>
          <w:p w14:paraId="4A82CEA1">
            <w:pPr>
              <w:spacing w:line="200" w:lineRule="exact"/>
              <w:ind w:left="0" w:leftChars="0" w:firstLine="0" w:firstLineChars="0"/>
              <w:jc w:val="center"/>
              <w:rPr>
                <w:rFonts w:ascii="宋体" w:hAnsi="宋体"/>
                <w:color w:val="auto"/>
                <w:sz w:val="24"/>
                <w:highlight w:val="none"/>
              </w:rPr>
            </w:pPr>
            <w:r>
              <w:rPr>
                <w:rFonts w:hint="eastAsia" w:ascii="宋体" w:hAnsi="宋体"/>
                <w:color w:val="auto"/>
                <w:sz w:val="24"/>
                <w:highlight w:val="none"/>
              </w:rPr>
              <w:t>……</w:t>
            </w:r>
          </w:p>
        </w:tc>
        <w:tc>
          <w:tcPr>
            <w:tcW w:w="3077" w:type="dxa"/>
          </w:tcPr>
          <w:p w14:paraId="25153081">
            <w:pPr>
              <w:spacing w:line="200" w:lineRule="exact"/>
              <w:ind w:firstLine="480"/>
              <w:jc w:val="left"/>
              <w:rPr>
                <w:rFonts w:ascii="宋体" w:hAnsi="宋体"/>
                <w:color w:val="auto"/>
                <w:sz w:val="24"/>
                <w:highlight w:val="none"/>
              </w:rPr>
            </w:pPr>
          </w:p>
        </w:tc>
        <w:tc>
          <w:tcPr>
            <w:tcW w:w="2450" w:type="dxa"/>
          </w:tcPr>
          <w:p w14:paraId="60851DAB">
            <w:pPr>
              <w:spacing w:line="200" w:lineRule="exact"/>
              <w:ind w:firstLine="480"/>
              <w:jc w:val="left"/>
              <w:rPr>
                <w:rFonts w:ascii="宋体" w:hAnsi="宋体"/>
                <w:color w:val="auto"/>
                <w:sz w:val="24"/>
                <w:highlight w:val="none"/>
              </w:rPr>
            </w:pPr>
          </w:p>
        </w:tc>
        <w:tc>
          <w:tcPr>
            <w:tcW w:w="1584" w:type="dxa"/>
          </w:tcPr>
          <w:p w14:paraId="78B74AAD">
            <w:pPr>
              <w:spacing w:line="200" w:lineRule="exact"/>
              <w:ind w:firstLine="480"/>
              <w:jc w:val="left"/>
              <w:rPr>
                <w:rFonts w:ascii="宋体" w:hAnsi="宋体"/>
                <w:color w:val="auto"/>
                <w:sz w:val="24"/>
                <w:highlight w:val="none"/>
              </w:rPr>
            </w:pPr>
          </w:p>
        </w:tc>
        <w:tc>
          <w:tcPr>
            <w:tcW w:w="1026" w:type="dxa"/>
          </w:tcPr>
          <w:p w14:paraId="28ACADFB">
            <w:pPr>
              <w:spacing w:line="200" w:lineRule="exact"/>
              <w:ind w:firstLine="480"/>
              <w:jc w:val="left"/>
              <w:rPr>
                <w:rFonts w:ascii="宋体" w:hAnsi="宋体"/>
                <w:color w:val="auto"/>
                <w:sz w:val="24"/>
                <w:highlight w:val="none"/>
              </w:rPr>
            </w:pPr>
          </w:p>
        </w:tc>
      </w:tr>
    </w:tbl>
    <w:p w14:paraId="17E17B31">
      <w:pPr>
        <w:adjustRightInd w:val="0"/>
        <w:snapToGrid w:val="0"/>
        <w:spacing w:line="240" w:lineRule="auto"/>
        <w:jc w:val="left"/>
        <w:rPr>
          <w:rFonts w:hint="eastAsia" w:ascii="宋体" w:hAnsi="宋体"/>
          <w:color w:val="auto"/>
          <w:sz w:val="21"/>
          <w:szCs w:val="21"/>
          <w:highlight w:val="none"/>
        </w:rPr>
      </w:pP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所提供的文件与</w:t>
      </w:r>
      <w:r>
        <w:rPr>
          <w:rFonts w:hint="eastAsia" w:ascii="宋体" w:hAnsi="宋体"/>
          <w:color w:val="auto"/>
          <w:sz w:val="21"/>
          <w:szCs w:val="21"/>
          <w:highlight w:val="none"/>
          <w:lang w:eastAsia="zh-CN"/>
        </w:rPr>
        <w:t>采购文件</w:t>
      </w:r>
      <w:r>
        <w:rPr>
          <w:rFonts w:hint="eastAsia" w:ascii="宋体" w:hAnsi="宋体"/>
          <w:color w:val="auto"/>
          <w:sz w:val="21"/>
          <w:szCs w:val="21"/>
          <w:highlight w:val="none"/>
        </w:rPr>
        <w:t>中的要求如有任何偏差，都应在“偏离表”中列出。若未在“偏离表”中列出，即使在响应文件其他地方写明与</w:t>
      </w:r>
      <w:r>
        <w:rPr>
          <w:rFonts w:hint="eastAsia" w:ascii="宋体" w:hAnsi="宋体"/>
          <w:color w:val="auto"/>
          <w:sz w:val="21"/>
          <w:szCs w:val="21"/>
          <w:highlight w:val="none"/>
          <w:lang w:eastAsia="zh-CN"/>
        </w:rPr>
        <w:t>采购文件</w:t>
      </w:r>
      <w:r>
        <w:rPr>
          <w:rFonts w:hint="eastAsia" w:ascii="宋体" w:hAnsi="宋体"/>
          <w:color w:val="auto"/>
          <w:sz w:val="21"/>
          <w:szCs w:val="21"/>
          <w:highlight w:val="none"/>
        </w:rPr>
        <w:t>要求有所不同，采购人也认同符合</w:t>
      </w:r>
      <w:r>
        <w:rPr>
          <w:rFonts w:hint="eastAsia" w:ascii="宋体" w:hAnsi="宋体"/>
          <w:color w:val="auto"/>
          <w:sz w:val="21"/>
          <w:szCs w:val="21"/>
          <w:highlight w:val="none"/>
          <w:lang w:eastAsia="zh-CN"/>
        </w:rPr>
        <w:t>采购文件</w:t>
      </w:r>
      <w:r>
        <w:rPr>
          <w:rFonts w:hint="eastAsia" w:ascii="宋体" w:hAnsi="宋体"/>
          <w:color w:val="auto"/>
          <w:sz w:val="21"/>
          <w:szCs w:val="21"/>
          <w:highlight w:val="none"/>
        </w:rPr>
        <w:t>最佳值的要求。</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成交后如据此提出疑义，不履行签订合同等下一步工作，采购人有权没收其</w:t>
      </w:r>
      <w:r>
        <w:rPr>
          <w:rFonts w:hint="eastAsia" w:ascii="宋体" w:hAnsi="宋体"/>
          <w:color w:val="auto"/>
          <w:sz w:val="21"/>
          <w:szCs w:val="21"/>
          <w:highlight w:val="none"/>
          <w:lang w:val="en-US" w:eastAsia="zh-CN"/>
        </w:rPr>
        <w:t>谈判</w:t>
      </w:r>
      <w:r>
        <w:rPr>
          <w:rFonts w:hint="eastAsia" w:ascii="宋体" w:hAnsi="宋体"/>
          <w:color w:val="auto"/>
          <w:sz w:val="21"/>
          <w:szCs w:val="21"/>
          <w:highlight w:val="none"/>
        </w:rPr>
        <w:t>保证金。</w:t>
      </w:r>
    </w:p>
    <w:p w14:paraId="4CC0A214">
      <w:pPr>
        <w:adjustRightInd w:val="0"/>
        <w:snapToGrid w:val="0"/>
        <w:spacing w:line="360" w:lineRule="auto"/>
        <w:ind w:firstLine="480"/>
        <w:jc w:val="left"/>
        <w:rPr>
          <w:rFonts w:ascii="宋体" w:hAnsi="宋体"/>
          <w:color w:val="auto"/>
          <w:sz w:val="24"/>
          <w:highlight w:val="none"/>
        </w:rPr>
      </w:pPr>
    </w:p>
    <w:p w14:paraId="4345754E">
      <w:pPr>
        <w:spacing w:line="360" w:lineRule="auto"/>
        <w:ind w:firstLine="482"/>
        <w:rPr>
          <w:rFonts w:ascii="宋体" w:hAnsi="宋体" w:cs="宋体"/>
          <w:b/>
          <w:color w:val="auto"/>
          <w:sz w:val="24"/>
          <w:highlight w:val="none"/>
        </w:rPr>
      </w:pPr>
    </w:p>
    <w:p w14:paraId="3D33C232">
      <w:pPr>
        <w:spacing w:line="440" w:lineRule="exact"/>
        <w:rPr>
          <w:rFonts w:ascii="宋体" w:hAnsi="宋体" w:cs="宋体"/>
          <w:color w:val="auto"/>
          <w:szCs w:val="21"/>
          <w:highlight w:val="none"/>
        </w:rPr>
      </w:pPr>
      <w:r>
        <w:rPr>
          <w:rFonts w:hint="eastAsia" w:ascii="宋体" w:hAnsi="宋体" w:cs="宋体"/>
          <w:color w:val="auto"/>
          <w:szCs w:val="21"/>
          <w:highlight w:val="none"/>
        </w:rPr>
        <w:t>供应商：（盖单位章）</w:t>
      </w:r>
    </w:p>
    <w:p w14:paraId="4808B2B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14:paraId="79D1F34F">
      <w:pPr>
        <w:pStyle w:val="59"/>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日期：</w:t>
      </w:r>
    </w:p>
    <w:p w14:paraId="4AF6C789">
      <w:pPr>
        <w:pStyle w:val="21"/>
        <w:spacing w:line="480" w:lineRule="auto"/>
        <w:rPr>
          <w:rFonts w:hAnsi="宋体" w:cs="宋体"/>
          <w:b w:val="0"/>
          <w:bCs w:val="0"/>
          <w:color w:val="auto"/>
          <w:sz w:val="21"/>
          <w:szCs w:val="21"/>
          <w:highlight w:val="none"/>
          <w:lang w:val="en-US" w:eastAsia="zh-CN"/>
        </w:rPr>
      </w:pPr>
      <w:r>
        <w:rPr>
          <w:rFonts w:hint="eastAsia" w:hAnsi="宋体" w:cs="宋体"/>
          <w:b w:val="0"/>
          <w:bCs w:val="0"/>
          <w:color w:val="auto"/>
          <w:sz w:val="21"/>
          <w:szCs w:val="21"/>
          <w:highlight w:val="none"/>
          <w:u w:val="single"/>
          <w:lang w:val="en-US" w:eastAsia="zh-CN"/>
        </w:rPr>
        <w:t xml:space="preserve">                         </w:t>
      </w:r>
    </w:p>
    <w:p w14:paraId="5056D5EB">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2CA10099">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3335AD74">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0C7E9A24">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26E81DDD">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48CC28B0">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523B916A">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061F6CB2">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1CA3EA32">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5BFB4829">
      <w:pPr>
        <w:pStyle w:val="3"/>
        <w:ind w:firstLine="482"/>
        <w:rPr>
          <w:color w:val="auto"/>
          <w:sz w:val="24"/>
          <w:szCs w:val="24"/>
          <w:highlight w:val="none"/>
        </w:rPr>
      </w:pPr>
      <w:bookmarkStart w:id="210" w:name="_Toc25250"/>
      <w:r>
        <w:rPr>
          <w:rFonts w:hint="eastAsia"/>
          <w:color w:val="auto"/>
          <w:sz w:val="24"/>
          <w:szCs w:val="24"/>
          <w:highlight w:val="none"/>
        </w:rPr>
        <w:t>六、分项报价表</w:t>
      </w:r>
      <w:bookmarkEnd w:id="210"/>
    </w:p>
    <w:p w14:paraId="603963EC">
      <w:pPr>
        <w:spacing w:line="332" w:lineRule="exact"/>
        <w:jc w:val="left"/>
        <w:rPr>
          <w:rFonts w:ascii="宋体" w:hAnsi="宋体"/>
          <w:color w:val="auto"/>
          <w:szCs w:val="21"/>
          <w:highlight w:val="none"/>
        </w:rPr>
      </w:pPr>
    </w:p>
    <w:p w14:paraId="2B01EBAA">
      <w:pPr>
        <w:pStyle w:val="21"/>
        <w:spacing w:line="360" w:lineRule="auto"/>
        <w:ind w:firstLine="210" w:firstLineChars="100"/>
        <w:rPr>
          <w:rFonts w:hint="eastAsia" w:ascii="宋体" w:hAnsi="宋体" w:eastAsia="宋体" w:cs="宋体"/>
          <w:bCs/>
          <w:color w:val="auto"/>
          <w:sz w:val="21"/>
          <w:szCs w:val="21"/>
          <w:highlight w:val="none"/>
          <w:lang w:val="zh-CN"/>
        </w:rPr>
      </w:pPr>
      <w:bookmarkStart w:id="211" w:name="page87"/>
      <w:bookmarkEnd w:id="211"/>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lang w:val="zh-CN"/>
        </w:rPr>
        <w:t>名称：</w:t>
      </w:r>
    </w:p>
    <w:p w14:paraId="4B74D527">
      <w:pPr>
        <w:spacing w:line="360" w:lineRule="auto"/>
        <w:ind w:firstLine="210" w:firstLineChars="100"/>
        <w:rPr>
          <w:rFonts w:ascii="宋体" w:hAnsi="宋体"/>
          <w:color w:val="auto"/>
          <w:szCs w:val="21"/>
          <w:highlight w:val="none"/>
          <w:u w:val="single"/>
        </w:rPr>
      </w:pPr>
      <w:r>
        <w:rPr>
          <w:rFonts w:hint="eastAsia" w:ascii="宋体" w:hAnsi="宋体"/>
          <w:color w:val="auto"/>
          <w:szCs w:val="21"/>
          <w:highlight w:val="none"/>
        </w:rPr>
        <w:t>项目</w:t>
      </w:r>
      <w:r>
        <w:rPr>
          <w:rFonts w:ascii="宋体" w:hAnsi="宋体"/>
          <w:color w:val="auto"/>
          <w:szCs w:val="21"/>
          <w:highlight w:val="none"/>
        </w:rPr>
        <w:t>编号：</w:t>
      </w:r>
    </w:p>
    <w:tbl>
      <w:tblPr>
        <w:tblStyle w:val="4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61"/>
        <w:gridCol w:w="2061"/>
        <w:gridCol w:w="2061"/>
        <w:gridCol w:w="2063"/>
      </w:tblGrid>
      <w:tr w14:paraId="2B9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0" w:type="dxa"/>
            <w:vAlign w:val="center"/>
          </w:tcPr>
          <w:p w14:paraId="5CC704F5">
            <w:pPr>
              <w:jc w:val="center"/>
              <w:rPr>
                <w:rFonts w:ascii="宋体" w:hAnsi="宋体"/>
                <w:color w:val="auto"/>
                <w:szCs w:val="21"/>
                <w:highlight w:val="none"/>
              </w:rPr>
            </w:pPr>
            <w:r>
              <w:rPr>
                <w:rFonts w:ascii="宋体" w:hAnsi="宋体"/>
                <w:color w:val="auto"/>
                <w:szCs w:val="21"/>
                <w:highlight w:val="none"/>
              </w:rPr>
              <w:t>序号</w:t>
            </w:r>
          </w:p>
        </w:tc>
        <w:tc>
          <w:tcPr>
            <w:tcW w:w="2061" w:type="dxa"/>
            <w:vAlign w:val="center"/>
          </w:tcPr>
          <w:p w14:paraId="005669C3">
            <w:pPr>
              <w:jc w:val="center"/>
              <w:rPr>
                <w:rFonts w:ascii="宋体" w:hAnsi="宋体"/>
                <w:color w:val="auto"/>
                <w:szCs w:val="21"/>
                <w:highlight w:val="none"/>
              </w:rPr>
            </w:pPr>
            <w:r>
              <w:rPr>
                <w:rFonts w:hint="eastAsia" w:ascii="宋体" w:hAnsi="宋体"/>
                <w:color w:val="auto"/>
                <w:szCs w:val="21"/>
                <w:highlight w:val="none"/>
                <w:lang w:val="zh-CN"/>
              </w:rPr>
              <w:t>货物</w:t>
            </w:r>
            <w:r>
              <w:rPr>
                <w:rFonts w:hint="eastAsia" w:ascii="宋体" w:hAnsi="宋体"/>
                <w:color w:val="auto"/>
                <w:szCs w:val="21"/>
                <w:highlight w:val="none"/>
                <w:lang w:val="en-US" w:eastAsia="zh-CN"/>
              </w:rPr>
              <w:t>或服务</w:t>
            </w:r>
            <w:r>
              <w:rPr>
                <w:rFonts w:hint="eastAsia" w:ascii="宋体" w:hAnsi="宋体"/>
                <w:color w:val="auto"/>
                <w:szCs w:val="21"/>
                <w:highlight w:val="none"/>
                <w:lang w:val="zh-CN"/>
              </w:rPr>
              <w:t>名称</w:t>
            </w:r>
          </w:p>
        </w:tc>
        <w:tc>
          <w:tcPr>
            <w:tcW w:w="2061" w:type="dxa"/>
            <w:vAlign w:val="center"/>
          </w:tcPr>
          <w:p w14:paraId="5E3511BC">
            <w:pPr>
              <w:jc w:val="center"/>
              <w:rPr>
                <w:rFonts w:ascii="宋体" w:hAnsi="宋体"/>
                <w:color w:val="auto"/>
                <w:szCs w:val="21"/>
                <w:highlight w:val="none"/>
              </w:rPr>
            </w:pPr>
            <w:r>
              <w:rPr>
                <w:rFonts w:ascii="宋体" w:hAnsi="宋体"/>
                <w:color w:val="auto"/>
                <w:szCs w:val="21"/>
                <w:highlight w:val="none"/>
              </w:rPr>
              <w:t>数量</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单位）</w:t>
            </w:r>
          </w:p>
        </w:tc>
        <w:tc>
          <w:tcPr>
            <w:tcW w:w="2061" w:type="dxa"/>
            <w:vAlign w:val="center"/>
          </w:tcPr>
          <w:p w14:paraId="747F0B0C">
            <w:pPr>
              <w:jc w:val="center"/>
              <w:rPr>
                <w:rFonts w:ascii="宋体" w:hAnsi="宋体"/>
                <w:color w:val="auto"/>
                <w:szCs w:val="21"/>
                <w:highlight w:val="none"/>
              </w:rPr>
            </w:pPr>
            <w:r>
              <w:rPr>
                <w:rFonts w:ascii="宋体" w:hAnsi="宋体"/>
                <w:color w:val="auto"/>
                <w:szCs w:val="21"/>
                <w:highlight w:val="none"/>
              </w:rPr>
              <w:t>单价（元）</w:t>
            </w:r>
          </w:p>
        </w:tc>
        <w:tc>
          <w:tcPr>
            <w:tcW w:w="2063" w:type="dxa"/>
            <w:vAlign w:val="center"/>
          </w:tcPr>
          <w:p w14:paraId="3C7A2102">
            <w:pPr>
              <w:jc w:val="center"/>
              <w:rPr>
                <w:rFonts w:ascii="宋体" w:hAnsi="宋体"/>
                <w:color w:val="auto"/>
                <w:szCs w:val="21"/>
                <w:highlight w:val="none"/>
              </w:rPr>
            </w:pPr>
            <w:r>
              <w:rPr>
                <w:rFonts w:hint="eastAsia" w:ascii="宋体" w:hAnsi="宋体"/>
                <w:color w:val="auto"/>
                <w:szCs w:val="21"/>
                <w:highlight w:val="none"/>
                <w:lang w:eastAsia="zh-CN"/>
              </w:rPr>
              <w:t>总价</w:t>
            </w:r>
            <w:r>
              <w:rPr>
                <w:rFonts w:ascii="宋体" w:hAnsi="宋体"/>
                <w:color w:val="auto"/>
                <w:szCs w:val="21"/>
                <w:highlight w:val="none"/>
              </w:rPr>
              <w:t>（元）</w:t>
            </w:r>
          </w:p>
        </w:tc>
      </w:tr>
      <w:tr w14:paraId="3F8C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0" w:type="dxa"/>
            <w:vAlign w:val="center"/>
          </w:tcPr>
          <w:p w14:paraId="48AC615A">
            <w:pPr>
              <w:jc w:val="center"/>
              <w:rPr>
                <w:rFonts w:ascii="宋体" w:hAnsi="宋体"/>
                <w:color w:val="auto"/>
                <w:szCs w:val="21"/>
                <w:highlight w:val="none"/>
              </w:rPr>
            </w:pPr>
            <w:r>
              <w:rPr>
                <w:rFonts w:hint="eastAsia" w:ascii="宋体" w:hAnsi="宋体"/>
                <w:color w:val="auto"/>
                <w:szCs w:val="21"/>
                <w:highlight w:val="none"/>
              </w:rPr>
              <w:t>1</w:t>
            </w:r>
          </w:p>
        </w:tc>
        <w:tc>
          <w:tcPr>
            <w:tcW w:w="2061" w:type="dxa"/>
            <w:vAlign w:val="center"/>
          </w:tcPr>
          <w:p w14:paraId="447E108C">
            <w:pPr>
              <w:jc w:val="center"/>
              <w:rPr>
                <w:rFonts w:ascii="宋体" w:hAnsi="宋体"/>
                <w:color w:val="auto"/>
                <w:szCs w:val="21"/>
                <w:highlight w:val="none"/>
              </w:rPr>
            </w:pPr>
          </w:p>
        </w:tc>
        <w:tc>
          <w:tcPr>
            <w:tcW w:w="2061" w:type="dxa"/>
            <w:vAlign w:val="center"/>
          </w:tcPr>
          <w:p w14:paraId="04EA7645">
            <w:pPr>
              <w:jc w:val="center"/>
              <w:rPr>
                <w:rFonts w:ascii="宋体" w:hAnsi="宋体"/>
                <w:color w:val="auto"/>
                <w:szCs w:val="21"/>
                <w:highlight w:val="none"/>
              </w:rPr>
            </w:pPr>
          </w:p>
        </w:tc>
        <w:tc>
          <w:tcPr>
            <w:tcW w:w="2061" w:type="dxa"/>
            <w:vAlign w:val="center"/>
          </w:tcPr>
          <w:p w14:paraId="7549E814">
            <w:pPr>
              <w:jc w:val="center"/>
              <w:rPr>
                <w:rFonts w:ascii="宋体" w:hAnsi="宋体"/>
                <w:color w:val="auto"/>
                <w:szCs w:val="21"/>
                <w:highlight w:val="none"/>
              </w:rPr>
            </w:pPr>
          </w:p>
        </w:tc>
        <w:tc>
          <w:tcPr>
            <w:tcW w:w="2063" w:type="dxa"/>
            <w:vAlign w:val="center"/>
          </w:tcPr>
          <w:p w14:paraId="709871D2">
            <w:pPr>
              <w:jc w:val="center"/>
              <w:rPr>
                <w:rFonts w:ascii="宋体" w:hAnsi="宋体"/>
                <w:color w:val="auto"/>
                <w:szCs w:val="21"/>
                <w:highlight w:val="none"/>
              </w:rPr>
            </w:pPr>
          </w:p>
        </w:tc>
      </w:tr>
      <w:tr w14:paraId="53F1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0" w:type="dxa"/>
            <w:vAlign w:val="center"/>
          </w:tcPr>
          <w:p w14:paraId="31004A57">
            <w:pPr>
              <w:jc w:val="center"/>
              <w:rPr>
                <w:rFonts w:ascii="宋体" w:hAnsi="宋体"/>
                <w:color w:val="auto"/>
                <w:szCs w:val="21"/>
                <w:highlight w:val="none"/>
              </w:rPr>
            </w:pPr>
            <w:r>
              <w:rPr>
                <w:rFonts w:hint="eastAsia" w:ascii="宋体" w:hAnsi="宋体"/>
                <w:color w:val="auto"/>
                <w:szCs w:val="21"/>
                <w:highlight w:val="none"/>
              </w:rPr>
              <w:t>2</w:t>
            </w:r>
          </w:p>
        </w:tc>
        <w:tc>
          <w:tcPr>
            <w:tcW w:w="2061" w:type="dxa"/>
            <w:vAlign w:val="center"/>
          </w:tcPr>
          <w:p w14:paraId="2941337E">
            <w:pPr>
              <w:jc w:val="center"/>
              <w:rPr>
                <w:rFonts w:ascii="宋体" w:hAnsi="宋体"/>
                <w:color w:val="auto"/>
                <w:szCs w:val="21"/>
                <w:highlight w:val="none"/>
              </w:rPr>
            </w:pPr>
          </w:p>
        </w:tc>
        <w:tc>
          <w:tcPr>
            <w:tcW w:w="2061" w:type="dxa"/>
            <w:vAlign w:val="center"/>
          </w:tcPr>
          <w:p w14:paraId="5CFC81AB">
            <w:pPr>
              <w:jc w:val="center"/>
              <w:rPr>
                <w:rFonts w:ascii="宋体" w:hAnsi="宋体"/>
                <w:color w:val="auto"/>
                <w:szCs w:val="21"/>
                <w:highlight w:val="none"/>
              </w:rPr>
            </w:pPr>
          </w:p>
        </w:tc>
        <w:tc>
          <w:tcPr>
            <w:tcW w:w="2061" w:type="dxa"/>
            <w:vAlign w:val="center"/>
          </w:tcPr>
          <w:p w14:paraId="4F6A4F12">
            <w:pPr>
              <w:jc w:val="center"/>
              <w:rPr>
                <w:rFonts w:ascii="宋体" w:hAnsi="宋体"/>
                <w:color w:val="auto"/>
                <w:szCs w:val="21"/>
                <w:highlight w:val="none"/>
              </w:rPr>
            </w:pPr>
          </w:p>
        </w:tc>
        <w:tc>
          <w:tcPr>
            <w:tcW w:w="2063" w:type="dxa"/>
            <w:vAlign w:val="center"/>
          </w:tcPr>
          <w:p w14:paraId="402B0740">
            <w:pPr>
              <w:jc w:val="center"/>
              <w:rPr>
                <w:rFonts w:ascii="宋体" w:hAnsi="宋体"/>
                <w:color w:val="auto"/>
                <w:szCs w:val="21"/>
                <w:highlight w:val="none"/>
              </w:rPr>
            </w:pPr>
          </w:p>
        </w:tc>
      </w:tr>
      <w:tr w14:paraId="4181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0" w:type="dxa"/>
            <w:vAlign w:val="center"/>
          </w:tcPr>
          <w:p w14:paraId="4E941824">
            <w:pPr>
              <w:jc w:val="center"/>
              <w:rPr>
                <w:rFonts w:ascii="宋体" w:hAnsi="宋体"/>
                <w:color w:val="auto"/>
                <w:szCs w:val="21"/>
                <w:highlight w:val="none"/>
              </w:rPr>
            </w:pPr>
            <w:r>
              <w:rPr>
                <w:rFonts w:hint="eastAsia" w:ascii="宋体" w:hAnsi="宋体"/>
                <w:color w:val="auto"/>
                <w:szCs w:val="21"/>
                <w:highlight w:val="none"/>
              </w:rPr>
              <w:t>3</w:t>
            </w:r>
          </w:p>
        </w:tc>
        <w:tc>
          <w:tcPr>
            <w:tcW w:w="2061" w:type="dxa"/>
            <w:vAlign w:val="center"/>
          </w:tcPr>
          <w:p w14:paraId="79326198">
            <w:pPr>
              <w:jc w:val="center"/>
              <w:rPr>
                <w:rFonts w:ascii="宋体" w:hAnsi="宋体"/>
                <w:color w:val="auto"/>
                <w:szCs w:val="21"/>
                <w:highlight w:val="none"/>
              </w:rPr>
            </w:pPr>
          </w:p>
        </w:tc>
        <w:tc>
          <w:tcPr>
            <w:tcW w:w="2061" w:type="dxa"/>
            <w:vAlign w:val="center"/>
          </w:tcPr>
          <w:p w14:paraId="7768544F">
            <w:pPr>
              <w:jc w:val="center"/>
              <w:rPr>
                <w:rFonts w:ascii="宋体" w:hAnsi="宋体"/>
                <w:color w:val="auto"/>
                <w:szCs w:val="21"/>
                <w:highlight w:val="none"/>
              </w:rPr>
            </w:pPr>
          </w:p>
        </w:tc>
        <w:tc>
          <w:tcPr>
            <w:tcW w:w="2061" w:type="dxa"/>
            <w:vAlign w:val="center"/>
          </w:tcPr>
          <w:p w14:paraId="08040D36">
            <w:pPr>
              <w:jc w:val="center"/>
              <w:rPr>
                <w:rFonts w:ascii="宋体" w:hAnsi="宋体"/>
                <w:color w:val="auto"/>
                <w:szCs w:val="21"/>
                <w:highlight w:val="none"/>
              </w:rPr>
            </w:pPr>
          </w:p>
        </w:tc>
        <w:tc>
          <w:tcPr>
            <w:tcW w:w="2063" w:type="dxa"/>
            <w:vAlign w:val="center"/>
          </w:tcPr>
          <w:p w14:paraId="10573921">
            <w:pPr>
              <w:jc w:val="center"/>
              <w:rPr>
                <w:rFonts w:ascii="宋体" w:hAnsi="宋体"/>
                <w:color w:val="auto"/>
                <w:szCs w:val="21"/>
                <w:highlight w:val="none"/>
              </w:rPr>
            </w:pPr>
          </w:p>
        </w:tc>
      </w:tr>
      <w:tr w14:paraId="5C4E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0" w:type="dxa"/>
            <w:vAlign w:val="center"/>
          </w:tcPr>
          <w:p w14:paraId="5E186152">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2061" w:type="dxa"/>
            <w:vAlign w:val="center"/>
          </w:tcPr>
          <w:p w14:paraId="32279164">
            <w:pPr>
              <w:jc w:val="center"/>
              <w:rPr>
                <w:rFonts w:ascii="宋体" w:hAnsi="宋体"/>
                <w:color w:val="auto"/>
                <w:szCs w:val="21"/>
                <w:highlight w:val="none"/>
              </w:rPr>
            </w:pPr>
          </w:p>
        </w:tc>
        <w:tc>
          <w:tcPr>
            <w:tcW w:w="2061" w:type="dxa"/>
            <w:vAlign w:val="center"/>
          </w:tcPr>
          <w:p w14:paraId="43298D3D">
            <w:pPr>
              <w:jc w:val="center"/>
              <w:rPr>
                <w:rFonts w:ascii="宋体" w:hAnsi="宋体"/>
                <w:color w:val="auto"/>
                <w:szCs w:val="21"/>
                <w:highlight w:val="none"/>
              </w:rPr>
            </w:pPr>
          </w:p>
        </w:tc>
        <w:tc>
          <w:tcPr>
            <w:tcW w:w="2061" w:type="dxa"/>
            <w:vAlign w:val="center"/>
          </w:tcPr>
          <w:p w14:paraId="073C2E45">
            <w:pPr>
              <w:jc w:val="center"/>
              <w:rPr>
                <w:rFonts w:ascii="宋体" w:hAnsi="宋体"/>
                <w:color w:val="auto"/>
                <w:szCs w:val="21"/>
                <w:highlight w:val="none"/>
              </w:rPr>
            </w:pPr>
          </w:p>
        </w:tc>
        <w:tc>
          <w:tcPr>
            <w:tcW w:w="2063" w:type="dxa"/>
            <w:vAlign w:val="center"/>
          </w:tcPr>
          <w:p w14:paraId="6A9EAF69">
            <w:pPr>
              <w:jc w:val="center"/>
              <w:rPr>
                <w:rFonts w:ascii="宋体" w:hAnsi="宋体"/>
                <w:color w:val="auto"/>
                <w:szCs w:val="21"/>
                <w:highlight w:val="none"/>
              </w:rPr>
            </w:pPr>
          </w:p>
        </w:tc>
      </w:tr>
      <w:tr w14:paraId="5300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791" w:type="dxa"/>
            <w:gridSpan w:val="2"/>
            <w:vAlign w:val="center"/>
          </w:tcPr>
          <w:p w14:paraId="7D0E3D98">
            <w:pPr>
              <w:jc w:val="center"/>
              <w:rPr>
                <w:rFonts w:ascii="宋体" w:hAnsi="宋体"/>
                <w:color w:val="auto"/>
                <w:szCs w:val="21"/>
                <w:highlight w:val="none"/>
              </w:rPr>
            </w:pPr>
            <w:r>
              <w:rPr>
                <w:rFonts w:hint="eastAsia" w:ascii="宋体" w:hAnsi="宋体"/>
                <w:color w:val="auto"/>
                <w:szCs w:val="21"/>
                <w:highlight w:val="none"/>
                <w:lang w:eastAsia="zh-CN"/>
              </w:rPr>
              <w:t>总计</w:t>
            </w:r>
            <w:r>
              <w:rPr>
                <w:rFonts w:ascii="宋体" w:hAnsi="宋体"/>
                <w:color w:val="auto"/>
                <w:szCs w:val="21"/>
                <w:highlight w:val="none"/>
              </w:rPr>
              <w:t>（元）</w:t>
            </w:r>
          </w:p>
        </w:tc>
        <w:tc>
          <w:tcPr>
            <w:tcW w:w="6185" w:type="dxa"/>
            <w:gridSpan w:val="3"/>
            <w:vAlign w:val="center"/>
          </w:tcPr>
          <w:p w14:paraId="22249D81">
            <w:pPr>
              <w:jc w:val="center"/>
              <w:rPr>
                <w:rFonts w:ascii="宋体" w:hAnsi="宋体"/>
                <w:color w:val="auto"/>
                <w:szCs w:val="21"/>
                <w:highlight w:val="none"/>
              </w:rPr>
            </w:pPr>
          </w:p>
        </w:tc>
      </w:tr>
    </w:tbl>
    <w:p w14:paraId="02778395">
      <w:pP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注：1.如果按单价计算的结果与总价不一致，以单价为准修正总价。</w:t>
      </w:r>
    </w:p>
    <w:p w14:paraId="6E36D782">
      <w:pPr>
        <w:ind w:firstLine="840" w:firstLineChars="400"/>
        <w:rPr>
          <w:rFonts w:ascii="宋体" w:hAnsi="宋体"/>
          <w:color w:val="auto"/>
          <w:szCs w:val="21"/>
          <w:highlight w:val="none"/>
        </w:rPr>
      </w:pPr>
      <w:r>
        <w:rPr>
          <w:rFonts w:ascii="宋体" w:hAnsi="宋体"/>
          <w:color w:val="auto"/>
          <w:szCs w:val="21"/>
          <w:highlight w:val="none"/>
        </w:rPr>
        <w:t>2.如果不提供详细分项报价将视为没有实质性响应</w:t>
      </w:r>
      <w:r>
        <w:rPr>
          <w:rFonts w:hint="eastAsia" w:ascii="宋体" w:hAnsi="宋体"/>
          <w:color w:val="auto"/>
          <w:szCs w:val="21"/>
          <w:highlight w:val="none"/>
        </w:rPr>
        <w:t>竞争性谈判</w:t>
      </w:r>
      <w:r>
        <w:rPr>
          <w:rFonts w:ascii="宋体" w:hAnsi="宋体"/>
          <w:color w:val="auto"/>
          <w:szCs w:val="21"/>
          <w:highlight w:val="none"/>
        </w:rPr>
        <w:t>文件。</w:t>
      </w:r>
    </w:p>
    <w:p w14:paraId="3D771848">
      <w:pPr>
        <w:rPr>
          <w:rFonts w:hint="eastAsia" w:ascii="宋体" w:hAnsi="宋体"/>
          <w:color w:val="auto"/>
          <w:szCs w:val="21"/>
          <w:highlight w:val="none"/>
        </w:rPr>
      </w:pPr>
    </w:p>
    <w:p w14:paraId="74EAB091">
      <w:pPr>
        <w:pStyle w:val="59"/>
        <w:rPr>
          <w:rFonts w:hint="eastAsia"/>
          <w:color w:val="auto"/>
          <w:highlight w:val="none"/>
        </w:rPr>
      </w:pPr>
    </w:p>
    <w:p w14:paraId="68C815C4">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供应商：（盖单位章）</w:t>
      </w:r>
    </w:p>
    <w:p w14:paraId="6E4C0ECB">
      <w:pPr>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14:paraId="396FE07E">
      <w:pPr>
        <w:pStyle w:val="59"/>
        <w:ind w:left="0" w:leftChars="0"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日期：</w:t>
      </w:r>
    </w:p>
    <w:p w14:paraId="2E6F838F">
      <w:pPr>
        <w:rPr>
          <w:rFonts w:ascii="宋体" w:hAnsi="宋体"/>
          <w:color w:val="auto"/>
          <w:szCs w:val="21"/>
          <w:highlight w:val="none"/>
        </w:rPr>
      </w:pPr>
    </w:p>
    <w:p w14:paraId="7DA82BE3">
      <w:pPr>
        <w:rPr>
          <w:rFonts w:ascii="宋体" w:hAnsi="宋体"/>
          <w:color w:val="auto"/>
          <w:szCs w:val="21"/>
          <w:highlight w:val="none"/>
        </w:rPr>
      </w:pPr>
    </w:p>
    <w:p w14:paraId="38C55EA4">
      <w:pPr>
        <w:autoSpaceDE w:val="0"/>
        <w:autoSpaceDN w:val="0"/>
        <w:adjustRightInd w:val="0"/>
        <w:spacing w:line="360" w:lineRule="auto"/>
        <w:jc w:val="center"/>
        <w:rPr>
          <w:rFonts w:ascii="宋体" w:hAnsi="宋体"/>
          <w:color w:val="auto"/>
          <w:szCs w:val="21"/>
          <w:highlight w:val="none"/>
        </w:rPr>
      </w:pPr>
    </w:p>
    <w:p w14:paraId="780D3223">
      <w:pPr>
        <w:widowControl/>
        <w:jc w:val="left"/>
        <w:rPr>
          <w:rFonts w:ascii="宋体" w:hAnsi="宋体" w:cs="宋体"/>
          <w:b/>
          <w:bCs/>
          <w:color w:val="auto"/>
          <w:szCs w:val="21"/>
          <w:highlight w:val="none"/>
        </w:rPr>
      </w:pPr>
      <w:r>
        <w:rPr>
          <w:rFonts w:ascii="宋体" w:hAnsi="宋体"/>
          <w:color w:val="auto"/>
          <w:szCs w:val="21"/>
          <w:highlight w:val="none"/>
        </w:rPr>
        <w:br w:type="page"/>
      </w:r>
    </w:p>
    <w:p w14:paraId="7EA961F2">
      <w:pPr>
        <w:adjustRightInd w:val="0"/>
        <w:snapToGrid w:val="0"/>
        <w:spacing w:line="360" w:lineRule="auto"/>
        <w:ind w:firstLine="422"/>
        <w:jc w:val="center"/>
        <w:rPr>
          <w:rFonts w:ascii="宋体" w:hAnsi="宋体" w:cs="宋体"/>
          <w:bCs/>
          <w:color w:val="auto"/>
          <w:szCs w:val="21"/>
          <w:highlight w:val="none"/>
        </w:rPr>
      </w:pPr>
      <w:r>
        <w:rPr>
          <w:rFonts w:hint="eastAsia" w:ascii="宋体" w:hAnsi="宋体" w:cs="宋体"/>
          <w:b/>
          <w:bCs/>
          <w:color w:val="auto"/>
          <w:szCs w:val="21"/>
          <w:highlight w:val="none"/>
        </w:rPr>
        <w:t>政府采购节能产品、环境标志产品汇总表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144"/>
        <w:gridCol w:w="2502"/>
        <w:gridCol w:w="1296"/>
        <w:gridCol w:w="2795"/>
        <w:gridCol w:w="1200"/>
      </w:tblGrid>
      <w:tr w14:paraId="45F9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143" w:type="dxa"/>
            <w:vAlign w:val="center"/>
          </w:tcPr>
          <w:p w14:paraId="3C5003DA">
            <w:pPr>
              <w:adjustRightInd w:val="0"/>
              <w:snapToGrid w:val="0"/>
              <w:spacing w:before="60" w:beforeLines="25" w:line="300" w:lineRule="auto"/>
              <w:ind w:left="-105" w:leftChars="-50" w:right="-105" w:rightChars="-5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序号</w:t>
            </w:r>
          </w:p>
        </w:tc>
        <w:tc>
          <w:tcPr>
            <w:tcW w:w="1144" w:type="dxa"/>
            <w:vAlign w:val="center"/>
          </w:tcPr>
          <w:p w14:paraId="7670D800">
            <w:pPr>
              <w:adjustRightInd w:val="0"/>
              <w:snapToGrid w:val="0"/>
              <w:spacing w:before="60" w:beforeLines="25" w:line="300" w:lineRule="auto"/>
              <w:ind w:left="-105" w:leftChars="-50" w:right="-105" w:rightChars="-5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产品名称</w:t>
            </w:r>
          </w:p>
        </w:tc>
        <w:tc>
          <w:tcPr>
            <w:tcW w:w="2502" w:type="dxa"/>
            <w:vAlign w:val="center"/>
          </w:tcPr>
          <w:p w14:paraId="7237B91F">
            <w:pPr>
              <w:adjustRightInd w:val="0"/>
              <w:snapToGrid w:val="0"/>
              <w:spacing w:before="60" w:beforeLines="25" w:line="300" w:lineRule="auto"/>
              <w:ind w:left="-105" w:leftChars="-50" w:right="-105" w:rightChars="-50"/>
              <w:jc w:val="center"/>
              <w:rPr>
                <w:rFonts w:ascii="宋体" w:hAnsi="宋体" w:cs="宋体"/>
                <w:bCs/>
                <w:color w:val="auto"/>
                <w:szCs w:val="21"/>
                <w:highlight w:val="none"/>
              </w:rPr>
            </w:pPr>
            <w:r>
              <w:rPr>
                <w:rFonts w:hint="eastAsia" w:ascii="宋体" w:hAnsi="宋体" w:cs="宋体"/>
                <w:bCs/>
                <w:color w:val="auto"/>
                <w:szCs w:val="21"/>
                <w:highlight w:val="none"/>
              </w:rPr>
              <w:t>属于政府采购节能产品实施品目清单范围内且获得合格认证证书的投标产品</w:t>
            </w:r>
          </w:p>
        </w:tc>
        <w:tc>
          <w:tcPr>
            <w:tcW w:w="1296" w:type="dxa"/>
            <w:vAlign w:val="center"/>
          </w:tcPr>
          <w:p w14:paraId="16B8A2E0">
            <w:pPr>
              <w:adjustRightInd w:val="0"/>
              <w:snapToGrid w:val="0"/>
              <w:spacing w:before="60" w:beforeLines="25" w:line="300" w:lineRule="auto"/>
              <w:ind w:left="-105" w:leftChars="-50" w:right="-105" w:rightChars="-50"/>
              <w:jc w:val="center"/>
              <w:rPr>
                <w:rFonts w:ascii="宋体" w:hAnsi="宋体" w:cs="宋体"/>
                <w:bCs/>
                <w:color w:val="auto"/>
                <w:szCs w:val="21"/>
                <w:highlight w:val="none"/>
              </w:rPr>
            </w:pPr>
            <w:r>
              <w:rPr>
                <w:rFonts w:hint="eastAsia" w:ascii="宋体" w:hAnsi="宋体" w:cs="宋体"/>
                <w:bCs/>
                <w:color w:val="auto"/>
                <w:szCs w:val="21"/>
                <w:highlight w:val="none"/>
              </w:rPr>
              <w:t>金额</w:t>
            </w:r>
          </w:p>
          <w:p w14:paraId="2335B633">
            <w:pPr>
              <w:adjustRightInd w:val="0"/>
              <w:snapToGrid w:val="0"/>
              <w:spacing w:before="60" w:beforeLines="25" w:line="300" w:lineRule="auto"/>
              <w:ind w:left="-105" w:leftChars="-50" w:right="-105" w:rightChars="-50"/>
              <w:jc w:val="center"/>
              <w:rPr>
                <w:rFonts w:ascii="宋体" w:hAnsi="宋体" w:cs="宋体"/>
                <w:bCs/>
                <w:color w:val="auto"/>
                <w:szCs w:val="21"/>
                <w:highlight w:val="none"/>
              </w:rPr>
            </w:pPr>
            <w:r>
              <w:rPr>
                <w:rFonts w:hint="eastAsia" w:ascii="宋体" w:hAnsi="宋体" w:cs="宋体"/>
                <w:bCs/>
                <w:color w:val="auto"/>
                <w:szCs w:val="21"/>
                <w:highlight w:val="none"/>
              </w:rPr>
              <w:t>（元）</w:t>
            </w:r>
          </w:p>
        </w:tc>
        <w:tc>
          <w:tcPr>
            <w:tcW w:w="2795" w:type="dxa"/>
            <w:vAlign w:val="center"/>
          </w:tcPr>
          <w:p w14:paraId="1EB4DABF">
            <w:pPr>
              <w:adjustRightInd w:val="0"/>
              <w:snapToGrid w:val="0"/>
              <w:spacing w:before="60" w:beforeLines="25" w:line="300" w:lineRule="auto"/>
              <w:ind w:left="-105" w:leftChars="-50" w:right="-105" w:rightChars="-50"/>
              <w:jc w:val="center"/>
              <w:rPr>
                <w:rFonts w:ascii="宋体" w:hAnsi="宋体" w:cs="宋体"/>
                <w:bCs/>
                <w:color w:val="auto"/>
                <w:szCs w:val="21"/>
                <w:highlight w:val="none"/>
              </w:rPr>
            </w:pPr>
            <w:r>
              <w:rPr>
                <w:rFonts w:hint="eastAsia" w:ascii="宋体" w:hAnsi="宋体" w:cs="宋体"/>
                <w:bCs/>
                <w:color w:val="auto"/>
                <w:szCs w:val="21"/>
                <w:highlight w:val="none"/>
              </w:rPr>
              <w:t>属于政府采购环境标志产品实施品目清单范围内且获得合格认证证书的投标产品</w:t>
            </w:r>
          </w:p>
        </w:tc>
        <w:tc>
          <w:tcPr>
            <w:tcW w:w="1200" w:type="dxa"/>
            <w:vAlign w:val="center"/>
          </w:tcPr>
          <w:p w14:paraId="4C2845A5">
            <w:pPr>
              <w:adjustRightInd w:val="0"/>
              <w:snapToGrid w:val="0"/>
              <w:spacing w:before="60" w:beforeLines="25" w:line="300" w:lineRule="auto"/>
              <w:ind w:left="-105" w:leftChars="-50" w:right="-105" w:rightChars="-50"/>
              <w:jc w:val="center"/>
              <w:rPr>
                <w:rFonts w:ascii="宋体" w:hAnsi="宋体" w:cs="宋体"/>
                <w:bCs/>
                <w:color w:val="auto"/>
                <w:szCs w:val="21"/>
                <w:highlight w:val="none"/>
              </w:rPr>
            </w:pPr>
            <w:r>
              <w:rPr>
                <w:rFonts w:hint="eastAsia" w:ascii="宋体" w:hAnsi="宋体" w:cs="宋体"/>
                <w:bCs/>
                <w:color w:val="auto"/>
                <w:szCs w:val="21"/>
                <w:highlight w:val="none"/>
              </w:rPr>
              <w:t>金额</w:t>
            </w:r>
          </w:p>
          <w:p w14:paraId="1784ABDF">
            <w:pPr>
              <w:adjustRightInd w:val="0"/>
              <w:snapToGrid w:val="0"/>
              <w:spacing w:before="60" w:beforeLines="25" w:line="300" w:lineRule="auto"/>
              <w:ind w:left="-105" w:leftChars="-50" w:right="-105" w:rightChars="-50"/>
              <w:jc w:val="center"/>
              <w:rPr>
                <w:rFonts w:ascii="宋体" w:hAnsi="宋体" w:cs="宋体"/>
                <w:bCs/>
                <w:color w:val="auto"/>
                <w:szCs w:val="21"/>
                <w:highlight w:val="none"/>
              </w:rPr>
            </w:pPr>
            <w:r>
              <w:rPr>
                <w:rFonts w:hint="eastAsia" w:ascii="宋体" w:hAnsi="宋体" w:cs="宋体"/>
                <w:bCs/>
                <w:color w:val="auto"/>
                <w:szCs w:val="21"/>
                <w:highlight w:val="none"/>
              </w:rPr>
              <w:t>（元）</w:t>
            </w:r>
          </w:p>
        </w:tc>
      </w:tr>
      <w:tr w14:paraId="665D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14:paraId="3DEF548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144" w:type="dxa"/>
          </w:tcPr>
          <w:p w14:paraId="5D517456">
            <w:pPr>
              <w:spacing w:line="360" w:lineRule="auto"/>
              <w:rPr>
                <w:rFonts w:ascii="宋体" w:hAnsi="宋体" w:cs="宋体"/>
                <w:bCs/>
                <w:color w:val="auto"/>
                <w:szCs w:val="21"/>
                <w:highlight w:val="none"/>
              </w:rPr>
            </w:pPr>
          </w:p>
        </w:tc>
        <w:tc>
          <w:tcPr>
            <w:tcW w:w="2502" w:type="dxa"/>
          </w:tcPr>
          <w:p w14:paraId="0778F6A2">
            <w:pPr>
              <w:spacing w:line="360" w:lineRule="auto"/>
              <w:rPr>
                <w:rFonts w:ascii="宋体" w:hAnsi="宋体" w:cs="宋体"/>
                <w:bCs/>
                <w:color w:val="auto"/>
                <w:szCs w:val="21"/>
                <w:highlight w:val="none"/>
              </w:rPr>
            </w:pPr>
          </w:p>
        </w:tc>
        <w:tc>
          <w:tcPr>
            <w:tcW w:w="1296" w:type="dxa"/>
          </w:tcPr>
          <w:p w14:paraId="21A99B73">
            <w:pPr>
              <w:spacing w:line="360" w:lineRule="auto"/>
              <w:rPr>
                <w:rFonts w:ascii="宋体" w:hAnsi="宋体" w:cs="宋体"/>
                <w:bCs/>
                <w:color w:val="auto"/>
                <w:szCs w:val="21"/>
                <w:highlight w:val="none"/>
              </w:rPr>
            </w:pPr>
          </w:p>
        </w:tc>
        <w:tc>
          <w:tcPr>
            <w:tcW w:w="2795" w:type="dxa"/>
          </w:tcPr>
          <w:p w14:paraId="36B17A4F">
            <w:pPr>
              <w:spacing w:line="360" w:lineRule="auto"/>
              <w:rPr>
                <w:rFonts w:ascii="宋体" w:hAnsi="宋体" w:cs="宋体"/>
                <w:bCs/>
                <w:color w:val="auto"/>
                <w:szCs w:val="21"/>
                <w:highlight w:val="none"/>
              </w:rPr>
            </w:pPr>
          </w:p>
        </w:tc>
        <w:tc>
          <w:tcPr>
            <w:tcW w:w="1200" w:type="dxa"/>
          </w:tcPr>
          <w:p w14:paraId="7865852C">
            <w:pPr>
              <w:spacing w:line="360" w:lineRule="auto"/>
              <w:rPr>
                <w:rFonts w:ascii="宋体" w:hAnsi="宋体" w:cs="宋体"/>
                <w:bCs/>
                <w:color w:val="auto"/>
                <w:szCs w:val="21"/>
                <w:highlight w:val="none"/>
              </w:rPr>
            </w:pPr>
          </w:p>
        </w:tc>
      </w:tr>
      <w:tr w14:paraId="3F62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14:paraId="31BD67A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144" w:type="dxa"/>
          </w:tcPr>
          <w:p w14:paraId="06A62C02">
            <w:pPr>
              <w:spacing w:line="360" w:lineRule="auto"/>
              <w:rPr>
                <w:rFonts w:ascii="宋体" w:hAnsi="宋体" w:cs="宋体"/>
                <w:bCs/>
                <w:color w:val="auto"/>
                <w:szCs w:val="21"/>
                <w:highlight w:val="none"/>
              </w:rPr>
            </w:pPr>
          </w:p>
        </w:tc>
        <w:tc>
          <w:tcPr>
            <w:tcW w:w="2502" w:type="dxa"/>
          </w:tcPr>
          <w:p w14:paraId="5B650574">
            <w:pPr>
              <w:spacing w:line="360" w:lineRule="auto"/>
              <w:rPr>
                <w:rFonts w:ascii="宋体" w:hAnsi="宋体" w:cs="宋体"/>
                <w:bCs/>
                <w:color w:val="auto"/>
                <w:szCs w:val="21"/>
                <w:highlight w:val="none"/>
              </w:rPr>
            </w:pPr>
          </w:p>
        </w:tc>
        <w:tc>
          <w:tcPr>
            <w:tcW w:w="1296" w:type="dxa"/>
          </w:tcPr>
          <w:p w14:paraId="17E955D5">
            <w:pPr>
              <w:spacing w:line="360" w:lineRule="auto"/>
              <w:rPr>
                <w:rFonts w:ascii="宋体" w:hAnsi="宋体" w:cs="宋体"/>
                <w:bCs/>
                <w:color w:val="auto"/>
                <w:szCs w:val="21"/>
                <w:highlight w:val="none"/>
              </w:rPr>
            </w:pPr>
          </w:p>
        </w:tc>
        <w:tc>
          <w:tcPr>
            <w:tcW w:w="2795" w:type="dxa"/>
          </w:tcPr>
          <w:p w14:paraId="22AEA628">
            <w:pPr>
              <w:spacing w:line="360" w:lineRule="auto"/>
              <w:rPr>
                <w:rFonts w:ascii="宋体" w:hAnsi="宋体" w:cs="宋体"/>
                <w:bCs/>
                <w:color w:val="auto"/>
                <w:szCs w:val="21"/>
                <w:highlight w:val="none"/>
              </w:rPr>
            </w:pPr>
          </w:p>
        </w:tc>
        <w:tc>
          <w:tcPr>
            <w:tcW w:w="1200" w:type="dxa"/>
          </w:tcPr>
          <w:p w14:paraId="367D327A">
            <w:pPr>
              <w:spacing w:line="360" w:lineRule="auto"/>
              <w:rPr>
                <w:rFonts w:ascii="宋体" w:hAnsi="宋体" w:cs="宋体"/>
                <w:bCs/>
                <w:color w:val="auto"/>
                <w:szCs w:val="21"/>
                <w:highlight w:val="none"/>
              </w:rPr>
            </w:pPr>
          </w:p>
        </w:tc>
      </w:tr>
      <w:tr w14:paraId="6B53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14:paraId="0818CA2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144" w:type="dxa"/>
          </w:tcPr>
          <w:p w14:paraId="408E1575">
            <w:pPr>
              <w:spacing w:line="360" w:lineRule="auto"/>
              <w:rPr>
                <w:rFonts w:ascii="宋体" w:hAnsi="宋体" w:cs="宋体"/>
                <w:bCs/>
                <w:color w:val="auto"/>
                <w:szCs w:val="21"/>
                <w:highlight w:val="none"/>
              </w:rPr>
            </w:pPr>
          </w:p>
        </w:tc>
        <w:tc>
          <w:tcPr>
            <w:tcW w:w="2502" w:type="dxa"/>
          </w:tcPr>
          <w:p w14:paraId="1128DC9F">
            <w:pPr>
              <w:spacing w:line="360" w:lineRule="auto"/>
              <w:rPr>
                <w:rFonts w:ascii="宋体" w:hAnsi="宋体" w:cs="宋体"/>
                <w:bCs/>
                <w:color w:val="auto"/>
                <w:szCs w:val="21"/>
                <w:highlight w:val="none"/>
              </w:rPr>
            </w:pPr>
          </w:p>
        </w:tc>
        <w:tc>
          <w:tcPr>
            <w:tcW w:w="1296" w:type="dxa"/>
          </w:tcPr>
          <w:p w14:paraId="4D08D22B">
            <w:pPr>
              <w:spacing w:line="360" w:lineRule="auto"/>
              <w:rPr>
                <w:rFonts w:ascii="宋体" w:hAnsi="宋体" w:cs="宋体"/>
                <w:bCs/>
                <w:color w:val="auto"/>
                <w:szCs w:val="21"/>
                <w:highlight w:val="none"/>
              </w:rPr>
            </w:pPr>
          </w:p>
        </w:tc>
        <w:tc>
          <w:tcPr>
            <w:tcW w:w="2795" w:type="dxa"/>
          </w:tcPr>
          <w:p w14:paraId="4B166EA1">
            <w:pPr>
              <w:spacing w:line="360" w:lineRule="auto"/>
              <w:rPr>
                <w:rFonts w:ascii="宋体" w:hAnsi="宋体" w:cs="宋体"/>
                <w:bCs/>
                <w:color w:val="auto"/>
                <w:szCs w:val="21"/>
                <w:highlight w:val="none"/>
              </w:rPr>
            </w:pPr>
          </w:p>
        </w:tc>
        <w:tc>
          <w:tcPr>
            <w:tcW w:w="1200" w:type="dxa"/>
          </w:tcPr>
          <w:p w14:paraId="5DF22BCB">
            <w:pPr>
              <w:spacing w:line="360" w:lineRule="auto"/>
              <w:rPr>
                <w:rFonts w:ascii="宋体" w:hAnsi="宋体" w:cs="宋体"/>
                <w:bCs/>
                <w:color w:val="auto"/>
                <w:szCs w:val="21"/>
                <w:highlight w:val="none"/>
              </w:rPr>
            </w:pPr>
          </w:p>
        </w:tc>
      </w:tr>
      <w:tr w14:paraId="470A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14:paraId="66E9148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144" w:type="dxa"/>
          </w:tcPr>
          <w:p w14:paraId="5CD3CD44">
            <w:pPr>
              <w:spacing w:line="360" w:lineRule="auto"/>
              <w:rPr>
                <w:rFonts w:ascii="宋体" w:hAnsi="宋体" w:cs="宋体"/>
                <w:bCs/>
                <w:color w:val="auto"/>
                <w:szCs w:val="21"/>
                <w:highlight w:val="none"/>
              </w:rPr>
            </w:pPr>
          </w:p>
        </w:tc>
        <w:tc>
          <w:tcPr>
            <w:tcW w:w="2502" w:type="dxa"/>
          </w:tcPr>
          <w:p w14:paraId="268F55BC">
            <w:pPr>
              <w:spacing w:line="360" w:lineRule="auto"/>
              <w:rPr>
                <w:rFonts w:ascii="宋体" w:hAnsi="宋体" w:cs="宋体"/>
                <w:bCs/>
                <w:color w:val="auto"/>
                <w:szCs w:val="21"/>
                <w:highlight w:val="none"/>
              </w:rPr>
            </w:pPr>
          </w:p>
        </w:tc>
        <w:tc>
          <w:tcPr>
            <w:tcW w:w="1296" w:type="dxa"/>
          </w:tcPr>
          <w:p w14:paraId="22EBEA51">
            <w:pPr>
              <w:spacing w:line="360" w:lineRule="auto"/>
              <w:rPr>
                <w:rFonts w:ascii="宋体" w:hAnsi="宋体" w:cs="宋体"/>
                <w:bCs/>
                <w:color w:val="auto"/>
                <w:szCs w:val="21"/>
                <w:highlight w:val="none"/>
              </w:rPr>
            </w:pPr>
          </w:p>
        </w:tc>
        <w:tc>
          <w:tcPr>
            <w:tcW w:w="2795" w:type="dxa"/>
          </w:tcPr>
          <w:p w14:paraId="43FF1A6B">
            <w:pPr>
              <w:spacing w:line="360" w:lineRule="auto"/>
              <w:rPr>
                <w:rFonts w:ascii="宋体" w:hAnsi="宋体" w:cs="宋体"/>
                <w:bCs/>
                <w:color w:val="auto"/>
                <w:szCs w:val="21"/>
                <w:highlight w:val="none"/>
              </w:rPr>
            </w:pPr>
          </w:p>
        </w:tc>
        <w:tc>
          <w:tcPr>
            <w:tcW w:w="1200" w:type="dxa"/>
          </w:tcPr>
          <w:p w14:paraId="6FBBA59A">
            <w:pPr>
              <w:spacing w:line="360" w:lineRule="auto"/>
              <w:rPr>
                <w:rFonts w:ascii="宋体" w:hAnsi="宋体" w:cs="宋体"/>
                <w:bCs/>
                <w:color w:val="auto"/>
                <w:szCs w:val="21"/>
                <w:highlight w:val="none"/>
              </w:rPr>
            </w:pPr>
          </w:p>
        </w:tc>
      </w:tr>
      <w:tr w14:paraId="6149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14:paraId="038B420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144" w:type="dxa"/>
          </w:tcPr>
          <w:p w14:paraId="2AA71904">
            <w:pPr>
              <w:spacing w:line="360" w:lineRule="auto"/>
              <w:rPr>
                <w:rFonts w:ascii="宋体" w:hAnsi="宋体" w:cs="宋体"/>
                <w:bCs/>
                <w:color w:val="auto"/>
                <w:szCs w:val="21"/>
                <w:highlight w:val="none"/>
              </w:rPr>
            </w:pPr>
          </w:p>
        </w:tc>
        <w:tc>
          <w:tcPr>
            <w:tcW w:w="2502" w:type="dxa"/>
          </w:tcPr>
          <w:p w14:paraId="26E7AD48">
            <w:pPr>
              <w:spacing w:line="360" w:lineRule="auto"/>
              <w:rPr>
                <w:rFonts w:ascii="宋体" w:hAnsi="宋体" w:cs="宋体"/>
                <w:bCs/>
                <w:color w:val="auto"/>
                <w:szCs w:val="21"/>
                <w:highlight w:val="none"/>
              </w:rPr>
            </w:pPr>
          </w:p>
        </w:tc>
        <w:tc>
          <w:tcPr>
            <w:tcW w:w="1296" w:type="dxa"/>
          </w:tcPr>
          <w:p w14:paraId="43CE07B0">
            <w:pPr>
              <w:spacing w:line="360" w:lineRule="auto"/>
              <w:rPr>
                <w:rFonts w:ascii="宋体" w:hAnsi="宋体" w:cs="宋体"/>
                <w:bCs/>
                <w:color w:val="auto"/>
                <w:szCs w:val="21"/>
                <w:highlight w:val="none"/>
              </w:rPr>
            </w:pPr>
          </w:p>
        </w:tc>
        <w:tc>
          <w:tcPr>
            <w:tcW w:w="2795" w:type="dxa"/>
          </w:tcPr>
          <w:p w14:paraId="1E9BE8C8">
            <w:pPr>
              <w:spacing w:line="360" w:lineRule="auto"/>
              <w:rPr>
                <w:rFonts w:ascii="宋体" w:hAnsi="宋体" w:cs="宋体"/>
                <w:bCs/>
                <w:color w:val="auto"/>
                <w:szCs w:val="21"/>
                <w:highlight w:val="none"/>
              </w:rPr>
            </w:pPr>
          </w:p>
        </w:tc>
        <w:tc>
          <w:tcPr>
            <w:tcW w:w="1200" w:type="dxa"/>
          </w:tcPr>
          <w:p w14:paraId="08795570">
            <w:pPr>
              <w:spacing w:line="360" w:lineRule="auto"/>
              <w:rPr>
                <w:rFonts w:ascii="宋体" w:hAnsi="宋体" w:cs="宋体"/>
                <w:bCs/>
                <w:color w:val="auto"/>
                <w:szCs w:val="21"/>
                <w:highlight w:val="none"/>
              </w:rPr>
            </w:pPr>
          </w:p>
        </w:tc>
      </w:tr>
      <w:tr w14:paraId="434A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14:paraId="186E9A0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p>
        </w:tc>
        <w:tc>
          <w:tcPr>
            <w:tcW w:w="1144" w:type="dxa"/>
          </w:tcPr>
          <w:p w14:paraId="4AC0C533">
            <w:pPr>
              <w:spacing w:line="360" w:lineRule="auto"/>
              <w:rPr>
                <w:rFonts w:ascii="宋体" w:hAnsi="宋体" w:cs="宋体"/>
                <w:bCs/>
                <w:color w:val="auto"/>
                <w:szCs w:val="21"/>
                <w:highlight w:val="none"/>
              </w:rPr>
            </w:pPr>
          </w:p>
        </w:tc>
        <w:tc>
          <w:tcPr>
            <w:tcW w:w="2502" w:type="dxa"/>
          </w:tcPr>
          <w:p w14:paraId="6FEDD3F7">
            <w:pPr>
              <w:spacing w:line="360" w:lineRule="auto"/>
              <w:rPr>
                <w:rFonts w:ascii="宋体" w:hAnsi="宋体" w:cs="宋体"/>
                <w:bCs/>
                <w:color w:val="auto"/>
                <w:szCs w:val="21"/>
                <w:highlight w:val="none"/>
              </w:rPr>
            </w:pPr>
          </w:p>
        </w:tc>
        <w:tc>
          <w:tcPr>
            <w:tcW w:w="1296" w:type="dxa"/>
          </w:tcPr>
          <w:p w14:paraId="520A3CFF">
            <w:pPr>
              <w:spacing w:line="360" w:lineRule="auto"/>
              <w:rPr>
                <w:rFonts w:ascii="宋体" w:hAnsi="宋体" w:cs="宋体"/>
                <w:bCs/>
                <w:color w:val="auto"/>
                <w:szCs w:val="21"/>
                <w:highlight w:val="none"/>
              </w:rPr>
            </w:pPr>
          </w:p>
        </w:tc>
        <w:tc>
          <w:tcPr>
            <w:tcW w:w="2795" w:type="dxa"/>
          </w:tcPr>
          <w:p w14:paraId="4D4BB414">
            <w:pPr>
              <w:spacing w:line="360" w:lineRule="auto"/>
              <w:rPr>
                <w:rFonts w:ascii="宋体" w:hAnsi="宋体" w:cs="宋体"/>
                <w:bCs/>
                <w:color w:val="auto"/>
                <w:szCs w:val="21"/>
                <w:highlight w:val="none"/>
              </w:rPr>
            </w:pPr>
          </w:p>
        </w:tc>
        <w:tc>
          <w:tcPr>
            <w:tcW w:w="1200" w:type="dxa"/>
          </w:tcPr>
          <w:p w14:paraId="1D949039">
            <w:pPr>
              <w:spacing w:line="360" w:lineRule="auto"/>
              <w:rPr>
                <w:rFonts w:ascii="宋体" w:hAnsi="宋体" w:cs="宋体"/>
                <w:bCs/>
                <w:color w:val="auto"/>
                <w:szCs w:val="21"/>
                <w:highlight w:val="none"/>
              </w:rPr>
            </w:pPr>
          </w:p>
        </w:tc>
      </w:tr>
      <w:tr w14:paraId="201D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14:paraId="53C8E24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1144" w:type="dxa"/>
          </w:tcPr>
          <w:p w14:paraId="784530C5">
            <w:pPr>
              <w:spacing w:line="360" w:lineRule="auto"/>
              <w:rPr>
                <w:rFonts w:ascii="宋体" w:hAnsi="宋体" w:cs="宋体"/>
                <w:bCs/>
                <w:color w:val="auto"/>
                <w:szCs w:val="21"/>
                <w:highlight w:val="none"/>
              </w:rPr>
            </w:pPr>
          </w:p>
        </w:tc>
        <w:tc>
          <w:tcPr>
            <w:tcW w:w="2502" w:type="dxa"/>
          </w:tcPr>
          <w:p w14:paraId="4775292D">
            <w:pPr>
              <w:spacing w:line="360" w:lineRule="auto"/>
              <w:rPr>
                <w:rFonts w:ascii="宋体" w:hAnsi="宋体" w:cs="宋体"/>
                <w:bCs/>
                <w:color w:val="auto"/>
                <w:szCs w:val="21"/>
                <w:highlight w:val="none"/>
              </w:rPr>
            </w:pPr>
          </w:p>
        </w:tc>
        <w:tc>
          <w:tcPr>
            <w:tcW w:w="1296" w:type="dxa"/>
          </w:tcPr>
          <w:p w14:paraId="00A8570B">
            <w:pPr>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元</w:t>
            </w:r>
          </w:p>
        </w:tc>
        <w:tc>
          <w:tcPr>
            <w:tcW w:w="2795" w:type="dxa"/>
          </w:tcPr>
          <w:p w14:paraId="3BE3E629">
            <w:pPr>
              <w:spacing w:line="360" w:lineRule="auto"/>
              <w:jc w:val="right"/>
              <w:rPr>
                <w:rFonts w:ascii="宋体" w:hAnsi="宋体" w:cs="宋体"/>
                <w:bCs/>
                <w:color w:val="auto"/>
                <w:szCs w:val="21"/>
                <w:highlight w:val="none"/>
              </w:rPr>
            </w:pPr>
          </w:p>
        </w:tc>
        <w:tc>
          <w:tcPr>
            <w:tcW w:w="1200" w:type="dxa"/>
          </w:tcPr>
          <w:p w14:paraId="2FBC7157">
            <w:pPr>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元</w:t>
            </w:r>
          </w:p>
        </w:tc>
      </w:tr>
    </w:tbl>
    <w:p w14:paraId="6059F02C">
      <w:pPr>
        <w:adjustRightInd w:val="0"/>
        <w:snapToGrid w:val="0"/>
        <w:spacing w:before="60" w:beforeLines="25" w:line="300" w:lineRule="auto"/>
        <w:rPr>
          <w:rFonts w:ascii="宋体" w:hAnsi="宋体" w:cs="宋体"/>
          <w:bCs/>
          <w:color w:val="auto"/>
          <w:szCs w:val="21"/>
          <w:highlight w:val="none"/>
        </w:rPr>
      </w:pPr>
      <w:r>
        <w:rPr>
          <w:rFonts w:hint="eastAsia" w:ascii="宋体" w:hAnsi="宋体" w:cs="宋体"/>
          <w:bCs/>
          <w:color w:val="auto"/>
          <w:szCs w:val="21"/>
          <w:highlight w:val="none"/>
        </w:rPr>
        <w:t>注：1、若未使用节能、环境标志产品则本表不填写。</w:t>
      </w:r>
    </w:p>
    <w:p w14:paraId="0D821737">
      <w:pPr>
        <w:numPr>
          <w:ilvl w:val="0"/>
          <w:numId w:val="5"/>
        </w:numPr>
        <w:adjustRightInd w:val="0"/>
        <w:snapToGrid w:val="0"/>
        <w:spacing w:before="60" w:beforeLines="25" w:line="300" w:lineRule="auto"/>
        <w:ind w:left="420" w:leftChars="0"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 xml:space="preserve">“金额”一列填报相应产品在本项目投入使用的总价格。    </w:t>
      </w:r>
    </w:p>
    <w:p w14:paraId="40557127">
      <w:pPr>
        <w:numPr>
          <w:ilvl w:val="0"/>
          <w:numId w:val="0"/>
        </w:numPr>
        <w:adjustRightInd w:val="0"/>
        <w:snapToGrid w:val="0"/>
        <w:spacing w:before="60" w:beforeLines="25" w:line="300" w:lineRule="auto"/>
        <w:ind w:left="420" w:leftChars="0"/>
        <w:rPr>
          <w:rFonts w:ascii="宋体" w:hAnsi="宋体" w:cs="宋体"/>
          <w:bCs/>
          <w:color w:val="auto"/>
          <w:szCs w:val="21"/>
          <w:highlight w:val="none"/>
        </w:rPr>
      </w:pPr>
      <w:r>
        <w:rPr>
          <w:rFonts w:hint="eastAsia" w:ascii="宋体" w:hAnsi="宋体" w:cs="宋体"/>
          <w:bCs/>
          <w:color w:val="auto"/>
          <w:szCs w:val="21"/>
          <w:highlight w:val="none"/>
        </w:rPr>
        <w:t>3、若填报节能、环境标志产品，则本表后附国家确定的认证机构出具的、处于有效期之内的节能产品、环境标志产品认证证书及中国政府采购网（www.ccgp.gov.cn）节能产品、环境标志产品查询截图打印件。</w:t>
      </w:r>
    </w:p>
    <w:p w14:paraId="4B4301F6">
      <w:pPr>
        <w:rPr>
          <w:color w:val="auto"/>
          <w:highlight w:val="none"/>
        </w:rPr>
      </w:pPr>
    </w:p>
    <w:p w14:paraId="13B8DA07">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1A0C0BFE">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4E61B9DB">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660213DD">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3A7D7AA2">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7B23D81B">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2BC50D09">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5709DF42">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2B17F4A7">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46A88AFC">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31D50D63">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094ABD25">
      <w:pPr>
        <w:autoSpaceDE w:val="0"/>
        <w:autoSpaceDN w:val="0"/>
        <w:adjustRightInd w:val="0"/>
        <w:spacing w:line="360" w:lineRule="auto"/>
        <w:ind w:firstLine="562"/>
        <w:jc w:val="center"/>
        <w:rPr>
          <w:rFonts w:ascii="宋体" w:hAnsi="宋体" w:cs="宋体"/>
          <w:b/>
          <w:color w:val="auto"/>
          <w:kern w:val="0"/>
          <w:sz w:val="28"/>
          <w:szCs w:val="28"/>
          <w:highlight w:val="none"/>
        </w:rPr>
      </w:pPr>
    </w:p>
    <w:p w14:paraId="28AF6B5F">
      <w:pPr>
        <w:widowControl/>
        <w:ind w:firstLine="562"/>
        <w:jc w:val="left"/>
        <w:rPr>
          <w:rFonts w:ascii="宋体" w:hAnsi="宋体" w:cs="宋体"/>
          <w:b/>
          <w:color w:val="auto"/>
          <w:kern w:val="0"/>
          <w:sz w:val="28"/>
          <w:szCs w:val="28"/>
          <w:highlight w:val="none"/>
        </w:rPr>
      </w:pPr>
      <w:r>
        <w:rPr>
          <w:rFonts w:ascii="宋体" w:hAnsi="宋体" w:cs="宋体"/>
          <w:b/>
          <w:color w:val="auto"/>
          <w:kern w:val="0"/>
          <w:sz w:val="28"/>
          <w:szCs w:val="28"/>
          <w:highlight w:val="none"/>
        </w:rPr>
        <w:br w:type="page"/>
      </w:r>
    </w:p>
    <w:p w14:paraId="7CC6FDC5">
      <w:pPr>
        <w:autoSpaceDE w:val="0"/>
        <w:autoSpaceDN w:val="0"/>
        <w:adjustRightInd w:val="0"/>
        <w:spacing w:line="360" w:lineRule="auto"/>
        <w:ind w:firstLine="562"/>
        <w:jc w:val="center"/>
        <w:rPr>
          <w:rFonts w:ascii="宋体" w:hAnsi="宋体" w:cs="宋体"/>
          <w:color w:val="auto"/>
          <w:sz w:val="28"/>
          <w:szCs w:val="28"/>
          <w:highlight w:val="none"/>
        </w:rPr>
      </w:pPr>
      <w:r>
        <w:rPr>
          <w:rFonts w:hint="eastAsia" w:ascii="宋体" w:hAnsi="宋体" w:cs="宋体"/>
          <w:b/>
          <w:color w:val="auto"/>
          <w:kern w:val="0"/>
          <w:sz w:val="28"/>
          <w:szCs w:val="28"/>
          <w:highlight w:val="none"/>
        </w:rPr>
        <w:t>七、资格审查资料</w:t>
      </w:r>
      <w:bookmarkEnd w:id="204"/>
      <w:bookmarkEnd w:id="205"/>
      <w:bookmarkEnd w:id="206"/>
      <w:bookmarkEnd w:id="207"/>
      <w:bookmarkEnd w:id="208"/>
    </w:p>
    <w:p w14:paraId="79B09899">
      <w:pPr>
        <w:adjustRightInd w:val="0"/>
        <w:snapToGrid w:val="0"/>
        <w:ind w:firstLine="480"/>
        <w:jc w:val="left"/>
        <w:rPr>
          <w:rFonts w:ascii="宋体" w:hAnsi="宋体"/>
          <w:color w:val="auto"/>
          <w:sz w:val="24"/>
          <w:highlight w:val="none"/>
        </w:rPr>
      </w:pPr>
      <w:bookmarkStart w:id="212" w:name="_Toc300659772"/>
      <w:bookmarkStart w:id="213" w:name="_Toc500513519"/>
      <w:bookmarkStart w:id="214" w:name="_Toc30764"/>
      <w:bookmarkStart w:id="215" w:name="_Toc9476"/>
      <w:bookmarkStart w:id="216" w:name="_Toc13872"/>
      <w:bookmarkStart w:id="217" w:name="_Toc421532565"/>
      <w:bookmarkStart w:id="218" w:name="_Toc500518668"/>
      <w:bookmarkStart w:id="219" w:name="_Toc335231770"/>
      <w:bookmarkStart w:id="220" w:name="_Toc500513563"/>
      <w:bookmarkStart w:id="221" w:name="_Toc419879306"/>
      <w:r>
        <w:rPr>
          <w:rFonts w:hint="eastAsia" w:ascii="宋体" w:hAnsi="宋体" w:cs="宋体"/>
          <w:color w:val="auto"/>
          <w:sz w:val="24"/>
          <w:highlight w:val="none"/>
        </w:rPr>
        <w:t>（一）供应商基本情况表</w:t>
      </w:r>
      <w:bookmarkEnd w:id="212"/>
      <w:bookmarkEnd w:id="213"/>
      <w:bookmarkEnd w:id="214"/>
      <w:bookmarkEnd w:id="215"/>
      <w:bookmarkEnd w:id="216"/>
      <w:bookmarkEnd w:id="217"/>
      <w:bookmarkEnd w:id="218"/>
      <w:bookmarkEnd w:id="219"/>
      <w:bookmarkEnd w:id="220"/>
      <w:bookmarkEnd w:id="221"/>
    </w:p>
    <w:p w14:paraId="7B90A989">
      <w:pPr>
        <w:spacing w:line="260" w:lineRule="exact"/>
        <w:ind w:firstLine="480"/>
        <w:jc w:val="left"/>
        <w:rPr>
          <w:rFonts w:ascii="宋体" w:hAnsi="宋体"/>
          <w:color w:val="auto"/>
          <w:sz w:val="24"/>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300"/>
        <w:gridCol w:w="2259"/>
        <w:gridCol w:w="1212"/>
        <w:gridCol w:w="2317"/>
      </w:tblGrid>
      <w:tr w14:paraId="4A74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Align w:val="center"/>
          </w:tcPr>
          <w:p w14:paraId="449B3981">
            <w:pPr>
              <w:spacing w:line="260" w:lineRule="exact"/>
              <w:jc w:val="center"/>
              <w:rPr>
                <w:rFonts w:ascii="宋体" w:hAnsi="宋体"/>
                <w:color w:val="auto"/>
                <w:highlight w:val="none"/>
              </w:rPr>
            </w:pPr>
            <w:r>
              <w:rPr>
                <w:rFonts w:hint="eastAsia" w:ascii="宋体" w:hAnsi="宋体"/>
                <w:color w:val="auto"/>
                <w:highlight w:val="none"/>
              </w:rPr>
              <w:t>供应商名称</w:t>
            </w:r>
          </w:p>
        </w:tc>
        <w:tc>
          <w:tcPr>
            <w:tcW w:w="7088" w:type="dxa"/>
            <w:gridSpan w:val="4"/>
            <w:vAlign w:val="center"/>
          </w:tcPr>
          <w:p w14:paraId="29CA916C">
            <w:pPr>
              <w:spacing w:line="260" w:lineRule="exact"/>
              <w:ind w:firstLine="480"/>
              <w:jc w:val="center"/>
              <w:rPr>
                <w:rFonts w:ascii="宋体" w:hAnsi="宋体"/>
                <w:color w:val="auto"/>
                <w:sz w:val="24"/>
                <w:highlight w:val="none"/>
              </w:rPr>
            </w:pPr>
          </w:p>
        </w:tc>
      </w:tr>
      <w:tr w14:paraId="7FB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Align w:val="center"/>
          </w:tcPr>
          <w:p w14:paraId="609C5082">
            <w:pPr>
              <w:spacing w:line="260" w:lineRule="exact"/>
              <w:jc w:val="center"/>
              <w:rPr>
                <w:rFonts w:ascii="宋体" w:hAnsi="宋体"/>
                <w:color w:val="auto"/>
                <w:highlight w:val="none"/>
              </w:rPr>
            </w:pPr>
            <w:r>
              <w:rPr>
                <w:rFonts w:hint="eastAsia" w:ascii="宋体" w:hAnsi="宋体"/>
                <w:color w:val="auto"/>
                <w:highlight w:val="none"/>
              </w:rPr>
              <w:t>注册资金</w:t>
            </w:r>
          </w:p>
        </w:tc>
        <w:tc>
          <w:tcPr>
            <w:tcW w:w="3559" w:type="dxa"/>
            <w:gridSpan w:val="2"/>
            <w:vAlign w:val="center"/>
          </w:tcPr>
          <w:p w14:paraId="00FF9388">
            <w:pPr>
              <w:spacing w:line="260" w:lineRule="exact"/>
              <w:ind w:firstLine="480"/>
              <w:jc w:val="center"/>
              <w:rPr>
                <w:rFonts w:ascii="宋体" w:hAnsi="宋体"/>
                <w:color w:val="auto"/>
                <w:sz w:val="24"/>
                <w:highlight w:val="none"/>
              </w:rPr>
            </w:pPr>
          </w:p>
        </w:tc>
        <w:tc>
          <w:tcPr>
            <w:tcW w:w="1212" w:type="dxa"/>
            <w:vAlign w:val="center"/>
          </w:tcPr>
          <w:p w14:paraId="334B1C28">
            <w:pPr>
              <w:spacing w:line="260" w:lineRule="exact"/>
              <w:jc w:val="center"/>
              <w:rPr>
                <w:rFonts w:ascii="宋体" w:hAnsi="宋体"/>
                <w:color w:val="auto"/>
                <w:highlight w:val="none"/>
              </w:rPr>
            </w:pPr>
            <w:r>
              <w:rPr>
                <w:rFonts w:hint="eastAsia" w:ascii="宋体" w:hAnsi="宋体"/>
                <w:color w:val="auto"/>
                <w:highlight w:val="none"/>
              </w:rPr>
              <w:t>成立时间</w:t>
            </w:r>
          </w:p>
        </w:tc>
        <w:tc>
          <w:tcPr>
            <w:tcW w:w="2317" w:type="dxa"/>
            <w:vAlign w:val="center"/>
          </w:tcPr>
          <w:p w14:paraId="240A16AC">
            <w:pPr>
              <w:spacing w:line="260" w:lineRule="exact"/>
              <w:ind w:firstLine="480"/>
              <w:jc w:val="center"/>
              <w:rPr>
                <w:rFonts w:ascii="宋体" w:hAnsi="宋体"/>
                <w:color w:val="auto"/>
                <w:sz w:val="24"/>
                <w:highlight w:val="none"/>
              </w:rPr>
            </w:pPr>
          </w:p>
        </w:tc>
      </w:tr>
      <w:tr w14:paraId="0844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Align w:val="center"/>
          </w:tcPr>
          <w:p w14:paraId="22766DEE">
            <w:pPr>
              <w:spacing w:line="260" w:lineRule="exact"/>
              <w:jc w:val="center"/>
              <w:rPr>
                <w:rFonts w:ascii="宋体" w:hAnsi="宋体"/>
                <w:color w:val="auto"/>
                <w:highlight w:val="none"/>
              </w:rPr>
            </w:pPr>
            <w:r>
              <w:rPr>
                <w:rFonts w:hint="eastAsia" w:ascii="宋体" w:hAnsi="宋体"/>
                <w:color w:val="auto"/>
                <w:highlight w:val="none"/>
              </w:rPr>
              <w:t>注册地址</w:t>
            </w:r>
          </w:p>
        </w:tc>
        <w:tc>
          <w:tcPr>
            <w:tcW w:w="3559" w:type="dxa"/>
            <w:gridSpan w:val="2"/>
            <w:vAlign w:val="center"/>
          </w:tcPr>
          <w:p w14:paraId="4157CCA7">
            <w:pPr>
              <w:spacing w:line="260" w:lineRule="exact"/>
              <w:ind w:firstLine="480"/>
              <w:jc w:val="center"/>
              <w:rPr>
                <w:rFonts w:ascii="宋体" w:hAnsi="宋体"/>
                <w:color w:val="auto"/>
                <w:sz w:val="24"/>
                <w:highlight w:val="none"/>
              </w:rPr>
            </w:pPr>
          </w:p>
        </w:tc>
        <w:tc>
          <w:tcPr>
            <w:tcW w:w="1212" w:type="dxa"/>
            <w:vAlign w:val="center"/>
          </w:tcPr>
          <w:p w14:paraId="729557CB">
            <w:pPr>
              <w:spacing w:line="260" w:lineRule="exact"/>
              <w:jc w:val="center"/>
              <w:rPr>
                <w:rFonts w:ascii="宋体" w:hAnsi="宋体"/>
                <w:color w:val="auto"/>
                <w:highlight w:val="none"/>
              </w:rPr>
            </w:pPr>
            <w:r>
              <w:rPr>
                <w:rFonts w:hint="eastAsia" w:ascii="宋体" w:hAnsi="宋体"/>
                <w:color w:val="auto"/>
                <w:highlight w:val="none"/>
              </w:rPr>
              <w:t>员工总数</w:t>
            </w:r>
          </w:p>
        </w:tc>
        <w:tc>
          <w:tcPr>
            <w:tcW w:w="2317" w:type="dxa"/>
            <w:vAlign w:val="center"/>
          </w:tcPr>
          <w:p w14:paraId="45404DEE">
            <w:pPr>
              <w:spacing w:line="260" w:lineRule="exact"/>
              <w:ind w:firstLine="480"/>
              <w:jc w:val="center"/>
              <w:rPr>
                <w:rFonts w:ascii="宋体" w:hAnsi="宋体"/>
                <w:color w:val="auto"/>
                <w:sz w:val="24"/>
                <w:highlight w:val="none"/>
              </w:rPr>
            </w:pPr>
          </w:p>
        </w:tc>
      </w:tr>
      <w:tr w14:paraId="249E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Align w:val="center"/>
          </w:tcPr>
          <w:p w14:paraId="261CAB86">
            <w:pPr>
              <w:spacing w:line="260" w:lineRule="exact"/>
              <w:jc w:val="center"/>
              <w:rPr>
                <w:rFonts w:ascii="宋体" w:hAnsi="宋体"/>
                <w:color w:val="auto"/>
                <w:highlight w:val="none"/>
              </w:rPr>
            </w:pPr>
            <w:r>
              <w:rPr>
                <w:rFonts w:hint="eastAsia" w:ascii="宋体" w:hAnsi="宋体"/>
                <w:color w:val="auto"/>
                <w:highlight w:val="none"/>
              </w:rPr>
              <w:t>邮政编码</w:t>
            </w:r>
          </w:p>
        </w:tc>
        <w:tc>
          <w:tcPr>
            <w:tcW w:w="3559" w:type="dxa"/>
            <w:gridSpan w:val="2"/>
            <w:vAlign w:val="center"/>
          </w:tcPr>
          <w:p w14:paraId="62248DC8">
            <w:pPr>
              <w:spacing w:line="260" w:lineRule="exact"/>
              <w:ind w:firstLine="480"/>
              <w:jc w:val="center"/>
              <w:rPr>
                <w:rFonts w:ascii="宋体" w:hAnsi="宋体"/>
                <w:color w:val="auto"/>
                <w:sz w:val="24"/>
                <w:highlight w:val="none"/>
              </w:rPr>
            </w:pPr>
          </w:p>
        </w:tc>
        <w:tc>
          <w:tcPr>
            <w:tcW w:w="1212" w:type="dxa"/>
            <w:vAlign w:val="center"/>
          </w:tcPr>
          <w:p w14:paraId="5AB7B153">
            <w:pPr>
              <w:spacing w:line="260" w:lineRule="exact"/>
              <w:jc w:val="center"/>
              <w:rPr>
                <w:rFonts w:ascii="宋体" w:hAnsi="宋体"/>
                <w:color w:val="auto"/>
                <w:highlight w:val="none"/>
              </w:rPr>
            </w:pPr>
          </w:p>
        </w:tc>
        <w:tc>
          <w:tcPr>
            <w:tcW w:w="2317" w:type="dxa"/>
            <w:vAlign w:val="center"/>
          </w:tcPr>
          <w:p w14:paraId="2195B003">
            <w:pPr>
              <w:spacing w:line="260" w:lineRule="exact"/>
              <w:ind w:firstLine="480"/>
              <w:jc w:val="center"/>
              <w:rPr>
                <w:rFonts w:ascii="宋体" w:hAnsi="宋体"/>
                <w:color w:val="auto"/>
                <w:sz w:val="24"/>
                <w:highlight w:val="none"/>
              </w:rPr>
            </w:pPr>
          </w:p>
        </w:tc>
      </w:tr>
      <w:tr w14:paraId="0A26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Merge w:val="restart"/>
            <w:vAlign w:val="center"/>
          </w:tcPr>
          <w:p w14:paraId="5F8E9286">
            <w:pPr>
              <w:spacing w:line="260" w:lineRule="exact"/>
              <w:jc w:val="center"/>
              <w:rPr>
                <w:rFonts w:ascii="宋体" w:hAnsi="宋体"/>
                <w:color w:val="auto"/>
                <w:highlight w:val="none"/>
              </w:rPr>
            </w:pPr>
            <w:r>
              <w:rPr>
                <w:rFonts w:hint="eastAsia" w:ascii="宋体" w:hAnsi="宋体"/>
                <w:color w:val="auto"/>
                <w:highlight w:val="none"/>
              </w:rPr>
              <w:t>联系方式</w:t>
            </w:r>
          </w:p>
        </w:tc>
        <w:tc>
          <w:tcPr>
            <w:tcW w:w="1300" w:type="dxa"/>
            <w:vAlign w:val="center"/>
          </w:tcPr>
          <w:p w14:paraId="4F7A7538">
            <w:pPr>
              <w:spacing w:line="260" w:lineRule="exact"/>
              <w:jc w:val="center"/>
              <w:rPr>
                <w:rFonts w:ascii="宋体" w:hAnsi="宋体"/>
                <w:color w:val="auto"/>
                <w:highlight w:val="none"/>
              </w:rPr>
            </w:pPr>
            <w:r>
              <w:rPr>
                <w:rFonts w:hint="eastAsia" w:ascii="宋体" w:hAnsi="宋体"/>
                <w:color w:val="auto"/>
                <w:highlight w:val="none"/>
              </w:rPr>
              <w:t>联系人</w:t>
            </w:r>
          </w:p>
        </w:tc>
        <w:tc>
          <w:tcPr>
            <w:tcW w:w="2259" w:type="dxa"/>
            <w:vAlign w:val="center"/>
          </w:tcPr>
          <w:p w14:paraId="5D4D20C7">
            <w:pPr>
              <w:spacing w:line="260" w:lineRule="exact"/>
              <w:jc w:val="center"/>
              <w:rPr>
                <w:rFonts w:ascii="宋体" w:hAnsi="宋体"/>
                <w:color w:val="auto"/>
                <w:highlight w:val="none"/>
              </w:rPr>
            </w:pPr>
          </w:p>
        </w:tc>
        <w:tc>
          <w:tcPr>
            <w:tcW w:w="1212" w:type="dxa"/>
            <w:vAlign w:val="center"/>
          </w:tcPr>
          <w:p w14:paraId="1E536C9E">
            <w:pPr>
              <w:spacing w:line="260" w:lineRule="exact"/>
              <w:jc w:val="center"/>
              <w:rPr>
                <w:rFonts w:ascii="宋体" w:hAnsi="宋体"/>
                <w:color w:val="auto"/>
                <w:highlight w:val="none"/>
              </w:rPr>
            </w:pPr>
            <w:r>
              <w:rPr>
                <w:rFonts w:hint="eastAsia" w:ascii="宋体" w:hAnsi="宋体"/>
                <w:color w:val="auto"/>
                <w:highlight w:val="none"/>
              </w:rPr>
              <w:t>电话</w:t>
            </w:r>
          </w:p>
        </w:tc>
        <w:tc>
          <w:tcPr>
            <w:tcW w:w="2317" w:type="dxa"/>
            <w:vAlign w:val="center"/>
          </w:tcPr>
          <w:p w14:paraId="128CFE67">
            <w:pPr>
              <w:spacing w:line="260" w:lineRule="exact"/>
              <w:jc w:val="center"/>
              <w:rPr>
                <w:rFonts w:ascii="宋体" w:hAnsi="宋体"/>
                <w:color w:val="auto"/>
                <w:highlight w:val="none"/>
              </w:rPr>
            </w:pPr>
          </w:p>
        </w:tc>
      </w:tr>
      <w:tr w14:paraId="6CA9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Merge w:val="continue"/>
            <w:vAlign w:val="center"/>
          </w:tcPr>
          <w:p w14:paraId="5AFFB575">
            <w:pPr>
              <w:spacing w:line="260" w:lineRule="exact"/>
              <w:jc w:val="center"/>
              <w:rPr>
                <w:rFonts w:ascii="宋体" w:hAnsi="宋体"/>
                <w:color w:val="auto"/>
                <w:highlight w:val="none"/>
              </w:rPr>
            </w:pPr>
          </w:p>
        </w:tc>
        <w:tc>
          <w:tcPr>
            <w:tcW w:w="1300" w:type="dxa"/>
            <w:vAlign w:val="center"/>
          </w:tcPr>
          <w:p w14:paraId="3FB76816">
            <w:pPr>
              <w:spacing w:line="260" w:lineRule="exact"/>
              <w:jc w:val="center"/>
              <w:rPr>
                <w:rFonts w:ascii="宋体" w:hAnsi="宋体"/>
                <w:color w:val="auto"/>
                <w:highlight w:val="none"/>
              </w:rPr>
            </w:pPr>
            <w:r>
              <w:rPr>
                <w:rFonts w:hint="eastAsia" w:ascii="宋体" w:hAnsi="宋体"/>
                <w:color w:val="auto"/>
                <w:highlight w:val="none"/>
              </w:rPr>
              <w:t>网址</w:t>
            </w:r>
          </w:p>
        </w:tc>
        <w:tc>
          <w:tcPr>
            <w:tcW w:w="2259" w:type="dxa"/>
            <w:vAlign w:val="center"/>
          </w:tcPr>
          <w:p w14:paraId="0265AE8D">
            <w:pPr>
              <w:spacing w:line="260" w:lineRule="exact"/>
              <w:jc w:val="center"/>
              <w:rPr>
                <w:rFonts w:ascii="宋体" w:hAnsi="宋体"/>
                <w:color w:val="auto"/>
                <w:highlight w:val="none"/>
              </w:rPr>
            </w:pPr>
          </w:p>
        </w:tc>
        <w:tc>
          <w:tcPr>
            <w:tcW w:w="1212" w:type="dxa"/>
            <w:vAlign w:val="center"/>
          </w:tcPr>
          <w:p w14:paraId="5E0E9307">
            <w:pPr>
              <w:spacing w:line="260" w:lineRule="exact"/>
              <w:jc w:val="center"/>
              <w:rPr>
                <w:rFonts w:ascii="宋体" w:hAnsi="宋体"/>
                <w:color w:val="auto"/>
                <w:highlight w:val="none"/>
              </w:rPr>
            </w:pPr>
            <w:r>
              <w:rPr>
                <w:rFonts w:hint="eastAsia" w:ascii="宋体" w:hAnsi="宋体"/>
                <w:color w:val="auto"/>
                <w:highlight w:val="none"/>
              </w:rPr>
              <w:t>传真</w:t>
            </w:r>
          </w:p>
        </w:tc>
        <w:tc>
          <w:tcPr>
            <w:tcW w:w="2317" w:type="dxa"/>
            <w:vAlign w:val="center"/>
          </w:tcPr>
          <w:p w14:paraId="3E226108">
            <w:pPr>
              <w:spacing w:line="260" w:lineRule="exact"/>
              <w:jc w:val="center"/>
              <w:rPr>
                <w:rFonts w:ascii="宋体" w:hAnsi="宋体"/>
                <w:color w:val="auto"/>
                <w:highlight w:val="none"/>
              </w:rPr>
            </w:pPr>
          </w:p>
        </w:tc>
      </w:tr>
      <w:tr w14:paraId="028F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Align w:val="center"/>
          </w:tcPr>
          <w:p w14:paraId="55E47D90">
            <w:pPr>
              <w:spacing w:line="260" w:lineRule="exact"/>
              <w:jc w:val="center"/>
              <w:rPr>
                <w:rFonts w:ascii="宋体" w:hAnsi="宋体"/>
                <w:color w:val="auto"/>
                <w:highlight w:val="none"/>
              </w:rPr>
            </w:pPr>
            <w:r>
              <w:rPr>
                <w:rFonts w:hint="eastAsia" w:ascii="宋体" w:hAnsi="宋体"/>
                <w:color w:val="auto"/>
                <w:highlight w:val="none"/>
              </w:rPr>
              <w:t>法定代表人</w:t>
            </w:r>
          </w:p>
        </w:tc>
        <w:tc>
          <w:tcPr>
            <w:tcW w:w="1300" w:type="dxa"/>
            <w:vAlign w:val="center"/>
          </w:tcPr>
          <w:p w14:paraId="1E50B06E">
            <w:pPr>
              <w:spacing w:line="260" w:lineRule="exact"/>
              <w:jc w:val="center"/>
              <w:rPr>
                <w:rFonts w:ascii="宋体" w:hAnsi="宋体"/>
                <w:color w:val="auto"/>
                <w:highlight w:val="none"/>
              </w:rPr>
            </w:pPr>
            <w:r>
              <w:rPr>
                <w:rFonts w:hint="eastAsia" w:ascii="宋体" w:hAnsi="宋体"/>
                <w:color w:val="auto"/>
                <w:highlight w:val="none"/>
              </w:rPr>
              <w:t>姓名</w:t>
            </w:r>
          </w:p>
        </w:tc>
        <w:tc>
          <w:tcPr>
            <w:tcW w:w="2259" w:type="dxa"/>
            <w:vAlign w:val="center"/>
          </w:tcPr>
          <w:p w14:paraId="6B9EF742">
            <w:pPr>
              <w:spacing w:line="260" w:lineRule="exact"/>
              <w:jc w:val="center"/>
              <w:rPr>
                <w:rFonts w:ascii="宋体" w:hAnsi="宋体"/>
                <w:color w:val="auto"/>
                <w:highlight w:val="none"/>
              </w:rPr>
            </w:pPr>
          </w:p>
        </w:tc>
        <w:tc>
          <w:tcPr>
            <w:tcW w:w="1212" w:type="dxa"/>
            <w:vAlign w:val="center"/>
          </w:tcPr>
          <w:p w14:paraId="5AB8D262">
            <w:pPr>
              <w:spacing w:line="260" w:lineRule="exact"/>
              <w:jc w:val="center"/>
              <w:rPr>
                <w:rFonts w:ascii="宋体" w:hAnsi="宋体"/>
                <w:color w:val="auto"/>
                <w:highlight w:val="none"/>
              </w:rPr>
            </w:pPr>
            <w:r>
              <w:rPr>
                <w:rFonts w:hint="eastAsia" w:ascii="宋体" w:hAnsi="宋体"/>
                <w:color w:val="auto"/>
                <w:highlight w:val="none"/>
              </w:rPr>
              <w:t>电话</w:t>
            </w:r>
          </w:p>
        </w:tc>
        <w:tc>
          <w:tcPr>
            <w:tcW w:w="2317" w:type="dxa"/>
            <w:vAlign w:val="center"/>
          </w:tcPr>
          <w:p w14:paraId="196EA21C">
            <w:pPr>
              <w:spacing w:line="260" w:lineRule="exact"/>
              <w:jc w:val="center"/>
              <w:rPr>
                <w:rFonts w:ascii="宋体" w:hAnsi="宋体"/>
                <w:color w:val="auto"/>
                <w:highlight w:val="none"/>
              </w:rPr>
            </w:pPr>
          </w:p>
        </w:tc>
      </w:tr>
      <w:tr w14:paraId="1C1F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Align w:val="center"/>
          </w:tcPr>
          <w:p w14:paraId="031C47C3">
            <w:pPr>
              <w:spacing w:line="260" w:lineRule="exact"/>
              <w:jc w:val="center"/>
              <w:rPr>
                <w:rFonts w:ascii="宋体" w:hAnsi="宋体"/>
                <w:color w:val="auto"/>
                <w:highlight w:val="none"/>
              </w:rPr>
            </w:pPr>
            <w:r>
              <w:rPr>
                <w:rFonts w:hint="eastAsia" w:ascii="宋体" w:hAnsi="宋体"/>
                <w:color w:val="auto"/>
                <w:highlight w:val="none"/>
              </w:rPr>
              <w:t>基本账户开户银行</w:t>
            </w:r>
          </w:p>
        </w:tc>
        <w:tc>
          <w:tcPr>
            <w:tcW w:w="7088" w:type="dxa"/>
            <w:gridSpan w:val="4"/>
            <w:vAlign w:val="center"/>
          </w:tcPr>
          <w:p w14:paraId="0AF9BF91">
            <w:pPr>
              <w:spacing w:line="260" w:lineRule="exact"/>
              <w:ind w:firstLine="480"/>
              <w:jc w:val="center"/>
              <w:rPr>
                <w:rFonts w:ascii="宋体" w:hAnsi="宋体"/>
                <w:color w:val="auto"/>
                <w:sz w:val="24"/>
                <w:highlight w:val="none"/>
              </w:rPr>
            </w:pPr>
          </w:p>
        </w:tc>
      </w:tr>
      <w:tr w14:paraId="66E8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Align w:val="center"/>
          </w:tcPr>
          <w:p w14:paraId="55B26CF0">
            <w:pPr>
              <w:spacing w:line="260" w:lineRule="exact"/>
              <w:jc w:val="center"/>
              <w:rPr>
                <w:rFonts w:ascii="宋体" w:hAnsi="宋体"/>
                <w:color w:val="auto"/>
                <w:highlight w:val="none"/>
              </w:rPr>
            </w:pPr>
            <w:r>
              <w:rPr>
                <w:rFonts w:hint="eastAsia" w:ascii="宋体" w:hAnsi="宋体"/>
                <w:color w:val="auto"/>
                <w:highlight w:val="none"/>
              </w:rPr>
              <w:t>基本账户银行账号</w:t>
            </w:r>
          </w:p>
        </w:tc>
        <w:tc>
          <w:tcPr>
            <w:tcW w:w="7088" w:type="dxa"/>
            <w:gridSpan w:val="4"/>
            <w:vAlign w:val="center"/>
          </w:tcPr>
          <w:p w14:paraId="763372F3">
            <w:pPr>
              <w:spacing w:line="260" w:lineRule="exact"/>
              <w:ind w:firstLine="480"/>
              <w:jc w:val="center"/>
              <w:rPr>
                <w:rFonts w:ascii="宋体" w:hAnsi="宋体"/>
                <w:color w:val="auto"/>
                <w:sz w:val="24"/>
                <w:highlight w:val="none"/>
              </w:rPr>
            </w:pPr>
          </w:p>
        </w:tc>
      </w:tr>
      <w:tr w14:paraId="78E2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Align w:val="center"/>
          </w:tcPr>
          <w:p w14:paraId="75FD6EA4">
            <w:pPr>
              <w:spacing w:line="260" w:lineRule="exact"/>
              <w:jc w:val="center"/>
              <w:rPr>
                <w:rFonts w:ascii="宋体" w:hAnsi="宋体"/>
                <w:color w:val="auto"/>
                <w:highlight w:val="none"/>
              </w:rPr>
            </w:pPr>
            <w:r>
              <w:rPr>
                <w:rFonts w:hint="eastAsia" w:ascii="宋体" w:hAnsi="宋体"/>
                <w:color w:val="auto"/>
                <w:highlight w:val="none"/>
              </w:rPr>
              <w:t>经营范围</w:t>
            </w:r>
          </w:p>
        </w:tc>
        <w:tc>
          <w:tcPr>
            <w:tcW w:w="7088" w:type="dxa"/>
            <w:gridSpan w:val="4"/>
            <w:vAlign w:val="center"/>
          </w:tcPr>
          <w:p w14:paraId="62B642C8">
            <w:pPr>
              <w:spacing w:line="260" w:lineRule="exact"/>
              <w:ind w:firstLine="480"/>
              <w:jc w:val="center"/>
              <w:rPr>
                <w:rFonts w:ascii="宋体" w:hAnsi="宋体"/>
                <w:color w:val="auto"/>
                <w:sz w:val="24"/>
                <w:highlight w:val="none"/>
              </w:rPr>
            </w:pPr>
          </w:p>
        </w:tc>
      </w:tr>
      <w:tr w14:paraId="2185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vAlign w:val="center"/>
          </w:tcPr>
          <w:p w14:paraId="5A4AA191">
            <w:pPr>
              <w:spacing w:line="260" w:lineRule="exact"/>
              <w:jc w:val="center"/>
              <w:rPr>
                <w:rFonts w:ascii="宋体" w:hAnsi="宋体"/>
                <w:color w:val="auto"/>
                <w:highlight w:val="none"/>
              </w:rPr>
            </w:pPr>
            <w:r>
              <w:rPr>
                <w:rFonts w:hint="eastAsia" w:ascii="宋体" w:hAnsi="宋体"/>
                <w:color w:val="auto"/>
                <w:highlight w:val="none"/>
              </w:rPr>
              <w:t>供应商关联企业情况（包括但不限于与供应商法定代表人为同一人或者存在控、管理关系的不同单位）</w:t>
            </w:r>
          </w:p>
        </w:tc>
        <w:tc>
          <w:tcPr>
            <w:tcW w:w="7088" w:type="dxa"/>
            <w:gridSpan w:val="4"/>
            <w:vAlign w:val="center"/>
          </w:tcPr>
          <w:p w14:paraId="03958366">
            <w:pPr>
              <w:spacing w:line="260" w:lineRule="exact"/>
              <w:ind w:firstLine="480"/>
              <w:jc w:val="center"/>
              <w:rPr>
                <w:rFonts w:ascii="宋体" w:hAnsi="宋体"/>
                <w:color w:val="auto"/>
                <w:sz w:val="24"/>
                <w:highlight w:val="none"/>
              </w:rPr>
            </w:pPr>
          </w:p>
        </w:tc>
      </w:tr>
      <w:tr w14:paraId="4E5E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2070" w:type="dxa"/>
            <w:vAlign w:val="center"/>
          </w:tcPr>
          <w:p w14:paraId="51029091">
            <w:pPr>
              <w:spacing w:line="260" w:lineRule="exact"/>
              <w:jc w:val="center"/>
              <w:rPr>
                <w:rFonts w:ascii="宋体" w:hAnsi="宋体"/>
                <w:color w:val="auto"/>
                <w:highlight w:val="none"/>
              </w:rPr>
            </w:pPr>
            <w:r>
              <w:rPr>
                <w:rFonts w:hint="eastAsia" w:ascii="宋体" w:hAnsi="宋体"/>
                <w:color w:val="auto"/>
                <w:highlight w:val="none"/>
              </w:rPr>
              <w:t>备注</w:t>
            </w:r>
          </w:p>
        </w:tc>
        <w:tc>
          <w:tcPr>
            <w:tcW w:w="7088" w:type="dxa"/>
            <w:gridSpan w:val="4"/>
            <w:vAlign w:val="center"/>
          </w:tcPr>
          <w:p w14:paraId="19CF7537">
            <w:pPr>
              <w:spacing w:line="260" w:lineRule="exact"/>
              <w:ind w:firstLine="480"/>
              <w:jc w:val="center"/>
              <w:rPr>
                <w:rFonts w:ascii="宋体" w:hAnsi="宋体"/>
                <w:color w:val="auto"/>
                <w:sz w:val="24"/>
                <w:highlight w:val="none"/>
              </w:rPr>
            </w:pPr>
          </w:p>
        </w:tc>
      </w:tr>
    </w:tbl>
    <w:p w14:paraId="041D9A91">
      <w:pPr>
        <w:spacing w:line="200" w:lineRule="exact"/>
        <w:ind w:firstLine="480"/>
        <w:jc w:val="left"/>
        <w:rPr>
          <w:rFonts w:ascii="宋体" w:hAnsi="宋体"/>
          <w:color w:val="auto"/>
          <w:sz w:val="24"/>
          <w:highlight w:val="none"/>
        </w:rPr>
      </w:pPr>
      <w:bookmarkStart w:id="222" w:name="page88"/>
      <w:bookmarkEnd w:id="222"/>
    </w:p>
    <w:p w14:paraId="35EEAB85">
      <w:pPr>
        <w:spacing w:line="260" w:lineRule="exact"/>
        <w:jc w:val="left"/>
        <w:rPr>
          <w:rFonts w:ascii="宋体" w:hAnsi="宋体"/>
          <w:color w:val="auto"/>
          <w:highlight w:val="none"/>
        </w:rPr>
      </w:pPr>
      <w:r>
        <w:rPr>
          <w:rFonts w:hint="eastAsia" w:ascii="宋体" w:hAnsi="宋体"/>
          <w:color w:val="auto"/>
          <w:highlight w:val="none"/>
        </w:rPr>
        <w:t xml:space="preserve"> 备注：本表应附营业执照（副本）等材料的复印件。</w:t>
      </w:r>
    </w:p>
    <w:p w14:paraId="617B0101">
      <w:pPr>
        <w:pStyle w:val="4"/>
        <w:ind w:firstLine="482"/>
        <w:rPr>
          <w:b w:val="0"/>
          <w:bCs/>
          <w:color w:val="auto"/>
          <w:szCs w:val="32"/>
          <w:highlight w:val="none"/>
        </w:rPr>
      </w:pPr>
      <w:r>
        <w:rPr>
          <w:rFonts w:hint="eastAsia" w:ascii="宋体" w:hAnsi="宋体" w:cs="宋体"/>
          <w:color w:val="auto"/>
          <w:sz w:val="24"/>
          <w:highlight w:val="none"/>
        </w:rPr>
        <w:br w:type="page"/>
      </w:r>
      <w:bookmarkStart w:id="223" w:name="_Toc421532566"/>
      <w:bookmarkStart w:id="224" w:name="_Toc500513520"/>
      <w:bookmarkStart w:id="225" w:name="_Toc500518669"/>
      <w:bookmarkStart w:id="226" w:name="_Toc500513564"/>
      <w:bookmarkStart w:id="227" w:name="_Toc419879307"/>
      <w:bookmarkStart w:id="228" w:name="_Toc7168797"/>
      <w:bookmarkStart w:id="229" w:name="_Toc7362"/>
      <w:bookmarkStart w:id="230" w:name="_Toc26292"/>
      <w:bookmarkStart w:id="231" w:name="_Toc1820"/>
    </w:p>
    <w:p w14:paraId="73CDE76D">
      <w:pPr>
        <w:spacing w:line="260" w:lineRule="exact"/>
        <w:jc w:val="left"/>
        <w:rPr>
          <w:rFonts w:ascii="宋体" w:hAnsi="宋体"/>
          <w:color w:val="auto"/>
          <w:highlight w:val="none"/>
        </w:rPr>
      </w:pPr>
    </w:p>
    <w:p w14:paraId="3ADEB2EE">
      <w:pPr>
        <w:pStyle w:val="4"/>
        <w:jc w:val="center"/>
        <w:rPr>
          <w:rFonts w:ascii="宋体" w:hAnsi="宋体" w:cs="宋体"/>
          <w:color w:val="auto"/>
          <w:sz w:val="24"/>
          <w:highlight w:val="none"/>
        </w:rPr>
      </w:pPr>
      <w:r>
        <w:rPr>
          <w:rFonts w:hint="eastAsia" w:ascii="宋体" w:hAnsi="宋体" w:cs="宋体"/>
          <w:color w:val="auto"/>
          <w:sz w:val="24"/>
          <w:highlight w:val="none"/>
        </w:rPr>
        <w:t>（二）供应商已完成类似项目情况</w:t>
      </w:r>
      <w:bookmarkEnd w:id="223"/>
      <w:bookmarkEnd w:id="224"/>
      <w:bookmarkEnd w:id="225"/>
      <w:bookmarkEnd w:id="226"/>
      <w:bookmarkEnd w:id="227"/>
      <w:bookmarkEnd w:id="228"/>
      <w:bookmarkEnd w:id="229"/>
      <w:bookmarkEnd w:id="230"/>
      <w:bookmarkEnd w:id="231"/>
    </w:p>
    <w:tbl>
      <w:tblPr>
        <w:tblStyle w:val="4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313"/>
        <w:gridCol w:w="2548"/>
        <w:gridCol w:w="2394"/>
        <w:gridCol w:w="1317"/>
        <w:gridCol w:w="893"/>
      </w:tblGrid>
      <w:tr w14:paraId="207E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92" w:type="dxa"/>
            <w:vAlign w:val="center"/>
          </w:tcPr>
          <w:p w14:paraId="75C74B8E">
            <w:pPr>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313" w:type="dxa"/>
            <w:vAlign w:val="center"/>
          </w:tcPr>
          <w:p w14:paraId="0A71E6EA">
            <w:pPr>
              <w:jc w:val="center"/>
              <w:rPr>
                <w:rFonts w:ascii="宋体" w:hAnsi="宋体" w:cs="宋体"/>
                <w:color w:val="auto"/>
                <w:kern w:val="0"/>
                <w:szCs w:val="21"/>
                <w:highlight w:val="none"/>
              </w:rPr>
            </w:pPr>
            <w:r>
              <w:rPr>
                <w:rFonts w:hint="eastAsia" w:ascii="宋体" w:hAnsi="宋体" w:cs="宋体"/>
                <w:color w:val="auto"/>
                <w:kern w:val="0"/>
                <w:szCs w:val="21"/>
                <w:highlight w:val="none"/>
              </w:rPr>
              <w:t>起止时间</w:t>
            </w:r>
          </w:p>
        </w:tc>
        <w:tc>
          <w:tcPr>
            <w:tcW w:w="2548" w:type="dxa"/>
            <w:vAlign w:val="center"/>
          </w:tcPr>
          <w:p w14:paraId="511512BB">
            <w:pPr>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2394" w:type="dxa"/>
            <w:vAlign w:val="center"/>
          </w:tcPr>
          <w:p w14:paraId="69CBBAF7">
            <w:pPr>
              <w:jc w:val="center"/>
              <w:rPr>
                <w:rFonts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317" w:type="dxa"/>
            <w:vAlign w:val="center"/>
          </w:tcPr>
          <w:p w14:paraId="57CA2C05">
            <w:pPr>
              <w:jc w:val="center"/>
              <w:rPr>
                <w:rFonts w:ascii="宋体" w:hAnsi="宋体" w:cs="宋体"/>
                <w:color w:val="auto"/>
                <w:kern w:val="0"/>
                <w:szCs w:val="21"/>
                <w:highlight w:val="none"/>
              </w:rPr>
            </w:pPr>
            <w:r>
              <w:rPr>
                <w:rFonts w:hint="eastAsia" w:ascii="宋体" w:hAnsi="宋体" w:cs="宋体"/>
                <w:color w:val="auto"/>
                <w:kern w:val="0"/>
                <w:szCs w:val="21"/>
                <w:highlight w:val="none"/>
              </w:rPr>
              <w:t>完成情况</w:t>
            </w:r>
          </w:p>
        </w:tc>
        <w:tc>
          <w:tcPr>
            <w:tcW w:w="893" w:type="dxa"/>
            <w:vAlign w:val="center"/>
          </w:tcPr>
          <w:p w14:paraId="70483C26">
            <w:pPr>
              <w:jc w:val="center"/>
              <w:rPr>
                <w:rFonts w:ascii="宋体" w:hAnsi="宋体" w:cs="宋体"/>
                <w:color w:val="auto"/>
                <w:szCs w:val="21"/>
                <w:highlight w:val="none"/>
              </w:rPr>
            </w:pPr>
            <w:r>
              <w:rPr>
                <w:rFonts w:hint="eastAsia" w:ascii="宋体" w:hAnsi="宋体" w:cs="宋体"/>
                <w:color w:val="auto"/>
                <w:kern w:val="0"/>
                <w:szCs w:val="21"/>
                <w:highlight w:val="none"/>
              </w:rPr>
              <w:t>备注</w:t>
            </w:r>
          </w:p>
        </w:tc>
      </w:tr>
      <w:tr w14:paraId="532B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2" w:type="dxa"/>
          </w:tcPr>
          <w:p w14:paraId="13712394">
            <w:pPr>
              <w:jc w:val="center"/>
              <w:rPr>
                <w:rFonts w:ascii="宋体" w:hAnsi="宋体" w:cs="宋体"/>
                <w:color w:val="auto"/>
                <w:szCs w:val="21"/>
                <w:highlight w:val="none"/>
              </w:rPr>
            </w:pPr>
          </w:p>
        </w:tc>
        <w:tc>
          <w:tcPr>
            <w:tcW w:w="1313" w:type="dxa"/>
            <w:vAlign w:val="center"/>
          </w:tcPr>
          <w:p w14:paraId="0280BEFE">
            <w:pPr>
              <w:jc w:val="center"/>
              <w:rPr>
                <w:rFonts w:ascii="宋体" w:hAnsi="宋体" w:cs="宋体"/>
                <w:color w:val="auto"/>
                <w:szCs w:val="21"/>
                <w:highlight w:val="none"/>
              </w:rPr>
            </w:pPr>
          </w:p>
        </w:tc>
        <w:tc>
          <w:tcPr>
            <w:tcW w:w="2548" w:type="dxa"/>
            <w:vAlign w:val="center"/>
          </w:tcPr>
          <w:p w14:paraId="270C380C">
            <w:pPr>
              <w:jc w:val="center"/>
              <w:rPr>
                <w:rFonts w:ascii="宋体" w:hAnsi="宋体" w:cs="宋体"/>
                <w:color w:val="auto"/>
                <w:szCs w:val="21"/>
                <w:highlight w:val="none"/>
              </w:rPr>
            </w:pPr>
          </w:p>
        </w:tc>
        <w:tc>
          <w:tcPr>
            <w:tcW w:w="2394" w:type="dxa"/>
            <w:vAlign w:val="center"/>
          </w:tcPr>
          <w:p w14:paraId="276122B6">
            <w:pPr>
              <w:jc w:val="center"/>
              <w:rPr>
                <w:rFonts w:ascii="宋体" w:hAnsi="宋体" w:cs="宋体"/>
                <w:color w:val="auto"/>
                <w:szCs w:val="21"/>
                <w:highlight w:val="none"/>
              </w:rPr>
            </w:pPr>
          </w:p>
        </w:tc>
        <w:tc>
          <w:tcPr>
            <w:tcW w:w="1317" w:type="dxa"/>
            <w:vAlign w:val="center"/>
          </w:tcPr>
          <w:p w14:paraId="2C624164">
            <w:pPr>
              <w:jc w:val="center"/>
              <w:rPr>
                <w:rFonts w:ascii="宋体" w:hAnsi="宋体" w:cs="宋体"/>
                <w:color w:val="auto"/>
                <w:szCs w:val="21"/>
                <w:highlight w:val="none"/>
              </w:rPr>
            </w:pPr>
          </w:p>
        </w:tc>
        <w:tc>
          <w:tcPr>
            <w:tcW w:w="893" w:type="dxa"/>
            <w:vAlign w:val="center"/>
          </w:tcPr>
          <w:p w14:paraId="2FE2A267">
            <w:pPr>
              <w:jc w:val="center"/>
              <w:rPr>
                <w:rFonts w:ascii="宋体" w:hAnsi="宋体" w:cs="宋体"/>
                <w:color w:val="auto"/>
                <w:szCs w:val="21"/>
                <w:highlight w:val="none"/>
              </w:rPr>
            </w:pPr>
          </w:p>
        </w:tc>
      </w:tr>
      <w:tr w14:paraId="2418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2" w:type="dxa"/>
          </w:tcPr>
          <w:p w14:paraId="3C94A99C">
            <w:pPr>
              <w:jc w:val="center"/>
              <w:rPr>
                <w:rFonts w:ascii="宋体" w:hAnsi="宋体" w:cs="宋体"/>
                <w:color w:val="auto"/>
                <w:szCs w:val="21"/>
                <w:highlight w:val="none"/>
              </w:rPr>
            </w:pPr>
          </w:p>
        </w:tc>
        <w:tc>
          <w:tcPr>
            <w:tcW w:w="1313" w:type="dxa"/>
            <w:vAlign w:val="center"/>
          </w:tcPr>
          <w:p w14:paraId="3024DE20">
            <w:pPr>
              <w:jc w:val="center"/>
              <w:rPr>
                <w:rFonts w:ascii="宋体" w:hAnsi="宋体" w:cs="宋体"/>
                <w:color w:val="auto"/>
                <w:szCs w:val="21"/>
                <w:highlight w:val="none"/>
              </w:rPr>
            </w:pPr>
          </w:p>
        </w:tc>
        <w:tc>
          <w:tcPr>
            <w:tcW w:w="2548" w:type="dxa"/>
            <w:vAlign w:val="center"/>
          </w:tcPr>
          <w:p w14:paraId="4B99B53B">
            <w:pPr>
              <w:jc w:val="center"/>
              <w:rPr>
                <w:rFonts w:ascii="宋体" w:hAnsi="宋体" w:cs="宋体"/>
                <w:color w:val="auto"/>
                <w:szCs w:val="21"/>
                <w:highlight w:val="none"/>
              </w:rPr>
            </w:pPr>
          </w:p>
        </w:tc>
        <w:tc>
          <w:tcPr>
            <w:tcW w:w="2394" w:type="dxa"/>
            <w:vAlign w:val="center"/>
          </w:tcPr>
          <w:p w14:paraId="62FA5C57">
            <w:pPr>
              <w:jc w:val="center"/>
              <w:rPr>
                <w:rFonts w:ascii="宋体" w:hAnsi="宋体" w:cs="宋体"/>
                <w:color w:val="auto"/>
                <w:szCs w:val="21"/>
                <w:highlight w:val="none"/>
              </w:rPr>
            </w:pPr>
          </w:p>
        </w:tc>
        <w:tc>
          <w:tcPr>
            <w:tcW w:w="1317" w:type="dxa"/>
            <w:vAlign w:val="center"/>
          </w:tcPr>
          <w:p w14:paraId="07586D9C">
            <w:pPr>
              <w:jc w:val="center"/>
              <w:rPr>
                <w:rFonts w:ascii="宋体" w:hAnsi="宋体" w:cs="宋体"/>
                <w:color w:val="auto"/>
                <w:szCs w:val="21"/>
                <w:highlight w:val="none"/>
              </w:rPr>
            </w:pPr>
          </w:p>
        </w:tc>
        <w:tc>
          <w:tcPr>
            <w:tcW w:w="893" w:type="dxa"/>
            <w:vAlign w:val="center"/>
          </w:tcPr>
          <w:p w14:paraId="6113AC0E">
            <w:pPr>
              <w:jc w:val="center"/>
              <w:rPr>
                <w:rFonts w:ascii="宋体" w:hAnsi="宋体" w:cs="宋体"/>
                <w:color w:val="auto"/>
                <w:szCs w:val="21"/>
                <w:highlight w:val="none"/>
              </w:rPr>
            </w:pPr>
          </w:p>
        </w:tc>
      </w:tr>
      <w:tr w14:paraId="5B19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2" w:type="dxa"/>
          </w:tcPr>
          <w:p w14:paraId="497C5FF3">
            <w:pPr>
              <w:jc w:val="center"/>
              <w:rPr>
                <w:rFonts w:ascii="宋体" w:hAnsi="宋体" w:cs="宋体"/>
                <w:color w:val="auto"/>
                <w:szCs w:val="21"/>
                <w:highlight w:val="none"/>
              </w:rPr>
            </w:pPr>
          </w:p>
        </w:tc>
        <w:tc>
          <w:tcPr>
            <w:tcW w:w="1313" w:type="dxa"/>
            <w:vAlign w:val="center"/>
          </w:tcPr>
          <w:p w14:paraId="09974AED">
            <w:pPr>
              <w:jc w:val="center"/>
              <w:rPr>
                <w:rFonts w:ascii="宋体" w:hAnsi="宋体" w:cs="宋体"/>
                <w:color w:val="auto"/>
                <w:szCs w:val="21"/>
                <w:highlight w:val="none"/>
              </w:rPr>
            </w:pPr>
          </w:p>
        </w:tc>
        <w:tc>
          <w:tcPr>
            <w:tcW w:w="2548" w:type="dxa"/>
            <w:vAlign w:val="center"/>
          </w:tcPr>
          <w:p w14:paraId="42C57688">
            <w:pPr>
              <w:jc w:val="center"/>
              <w:rPr>
                <w:rFonts w:ascii="宋体" w:hAnsi="宋体" w:cs="宋体"/>
                <w:color w:val="auto"/>
                <w:szCs w:val="21"/>
                <w:highlight w:val="none"/>
              </w:rPr>
            </w:pPr>
          </w:p>
        </w:tc>
        <w:tc>
          <w:tcPr>
            <w:tcW w:w="2394" w:type="dxa"/>
            <w:vAlign w:val="center"/>
          </w:tcPr>
          <w:p w14:paraId="26C63195">
            <w:pPr>
              <w:jc w:val="center"/>
              <w:rPr>
                <w:rFonts w:ascii="宋体" w:hAnsi="宋体" w:cs="宋体"/>
                <w:color w:val="auto"/>
                <w:szCs w:val="21"/>
                <w:highlight w:val="none"/>
              </w:rPr>
            </w:pPr>
          </w:p>
        </w:tc>
        <w:tc>
          <w:tcPr>
            <w:tcW w:w="1317" w:type="dxa"/>
            <w:vAlign w:val="center"/>
          </w:tcPr>
          <w:p w14:paraId="576E22E9">
            <w:pPr>
              <w:jc w:val="center"/>
              <w:rPr>
                <w:rFonts w:ascii="宋体" w:hAnsi="宋体" w:cs="宋体"/>
                <w:color w:val="auto"/>
                <w:szCs w:val="21"/>
                <w:highlight w:val="none"/>
              </w:rPr>
            </w:pPr>
          </w:p>
        </w:tc>
        <w:tc>
          <w:tcPr>
            <w:tcW w:w="893" w:type="dxa"/>
            <w:vAlign w:val="center"/>
          </w:tcPr>
          <w:p w14:paraId="2F2976B6">
            <w:pPr>
              <w:jc w:val="center"/>
              <w:rPr>
                <w:rFonts w:ascii="宋体" w:hAnsi="宋体" w:cs="宋体"/>
                <w:color w:val="auto"/>
                <w:szCs w:val="21"/>
                <w:highlight w:val="none"/>
              </w:rPr>
            </w:pPr>
          </w:p>
        </w:tc>
      </w:tr>
      <w:tr w14:paraId="6366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2" w:type="dxa"/>
          </w:tcPr>
          <w:p w14:paraId="22C0610B">
            <w:pPr>
              <w:jc w:val="center"/>
              <w:rPr>
                <w:rFonts w:ascii="宋体" w:hAnsi="宋体" w:cs="宋体"/>
                <w:color w:val="auto"/>
                <w:szCs w:val="21"/>
                <w:highlight w:val="none"/>
              </w:rPr>
            </w:pPr>
          </w:p>
        </w:tc>
        <w:tc>
          <w:tcPr>
            <w:tcW w:w="1313" w:type="dxa"/>
            <w:vAlign w:val="center"/>
          </w:tcPr>
          <w:p w14:paraId="31C0CD16">
            <w:pPr>
              <w:jc w:val="center"/>
              <w:rPr>
                <w:rFonts w:ascii="宋体" w:hAnsi="宋体" w:cs="宋体"/>
                <w:color w:val="auto"/>
                <w:szCs w:val="21"/>
                <w:highlight w:val="none"/>
              </w:rPr>
            </w:pPr>
          </w:p>
        </w:tc>
        <w:tc>
          <w:tcPr>
            <w:tcW w:w="2548" w:type="dxa"/>
            <w:vAlign w:val="center"/>
          </w:tcPr>
          <w:p w14:paraId="2A493B72">
            <w:pPr>
              <w:jc w:val="center"/>
              <w:rPr>
                <w:rFonts w:ascii="宋体" w:hAnsi="宋体" w:cs="宋体"/>
                <w:color w:val="auto"/>
                <w:szCs w:val="21"/>
                <w:highlight w:val="none"/>
              </w:rPr>
            </w:pPr>
          </w:p>
        </w:tc>
        <w:tc>
          <w:tcPr>
            <w:tcW w:w="2394" w:type="dxa"/>
            <w:vAlign w:val="center"/>
          </w:tcPr>
          <w:p w14:paraId="326CA45E">
            <w:pPr>
              <w:jc w:val="center"/>
              <w:rPr>
                <w:rFonts w:ascii="宋体" w:hAnsi="宋体" w:cs="宋体"/>
                <w:color w:val="auto"/>
                <w:szCs w:val="21"/>
                <w:highlight w:val="none"/>
              </w:rPr>
            </w:pPr>
          </w:p>
        </w:tc>
        <w:tc>
          <w:tcPr>
            <w:tcW w:w="1317" w:type="dxa"/>
            <w:vAlign w:val="center"/>
          </w:tcPr>
          <w:p w14:paraId="7C67FA05">
            <w:pPr>
              <w:jc w:val="center"/>
              <w:rPr>
                <w:rFonts w:ascii="宋体" w:hAnsi="宋体" w:cs="宋体"/>
                <w:color w:val="auto"/>
                <w:szCs w:val="21"/>
                <w:highlight w:val="none"/>
              </w:rPr>
            </w:pPr>
          </w:p>
        </w:tc>
        <w:tc>
          <w:tcPr>
            <w:tcW w:w="893" w:type="dxa"/>
            <w:vAlign w:val="center"/>
          </w:tcPr>
          <w:p w14:paraId="233C3313">
            <w:pPr>
              <w:jc w:val="center"/>
              <w:rPr>
                <w:rFonts w:ascii="宋体" w:hAnsi="宋体" w:cs="宋体"/>
                <w:color w:val="auto"/>
                <w:szCs w:val="21"/>
                <w:highlight w:val="none"/>
              </w:rPr>
            </w:pPr>
          </w:p>
        </w:tc>
      </w:tr>
      <w:tr w14:paraId="4689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2" w:type="dxa"/>
          </w:tcPr>
          <w:p w14:paraId="59FED5B2">
            <w:pPr>
              <w:jc w:val="center"/>
              <w:rPr>
                <w:rFonts w:ascii="宋体" w:hAnsi="宋体" w:cs="宋体"/>
                <w:color w:val="auto"/>
                <w:szCs w:val="21"/>
                <w:highlight w:val="none"/>
              </w:rPr>
            </w:pPr>
          </w:p>
        </w:tc>
        <w:tc>
          <w:tcPr>
            <w:tcW w:w="1313" w:type="dxa"/>
            <w:vAlign w:val="center"/>
          </w:tcPr>
          <w:p w14:paraId="4DF702D8">
            <w:pPr>
              <w:jc w:val="center"/>
              <w:rPr>
                <w:rFonts w:ascii="宋体" w:hAnsi="宋体" w:cs="宋体"/>
                <w:color w:val="auto"/>
                <w:szCs w:val="21"/>
                <w:highlight w:val="none"/>
              </w:rPr>
            </w:pPr>
          </w:p>
        </w:tc>
        <w:tc>
          <w:tcPr>
            <w:tcW w:w="2548" w:type="dxa"/>
            <w:vAlign w:val="center"/>
          </w:tcPr>
          <w:p w14:paraId="10F640A5">
            <w:pPr>
              <w:jc w:val="center"/>
              <w:rPr>
                <w:rFonts w:ascii="宋体" w:hAnsi="宋体" w:cs="宋体"/>
                <w:color w:val="auto"/>
                <w:szCs w:val="21"/>
                <w:highlight w:val="none"/>
              </w:rPr>
            </w:pPr>
          </w:p>
        </w:tc>
        <w:tc>
          <w:tcPr>
            <w:tcW w:w="2394" w:type="dxa"/>
            <w:vAlign w:val="center"/>
          </w:tcPr>
          <w:p w14:paraId="470DDE70">
            <w:pPr>
              <w:jc w:val="center"/>
              <w:rPr>
                <w:rFonts w:ascii="宋体" w:hAnsi="宋体" w:cs="宋体"/>
                <w:color w:val="auto"/>
                <w:szCs w:val="21"/>
                <w:highlight w:val="none"/>
              </w:rPr>
            </w:pPr>
          </w:p>
        </w:tc>
        <w:tc>
          <w:tcPr>
            <w:tcW w:w="1317" w:type="dxa"/>
            <w:vAlign w:val="center"/>
          </w:tcPr>
          <w:p w14:paraId="05B6A639">
            <w:pPr>
              <w:jc w:val="center"/>
              <w:rPr>
                <w:rFonts w:ascii="宋体" w:hAnsi="宋体" w:cs="宋体"/>
                <w:color w:val="auto"/>
                <w:szCs w:val="21"/>
                <w:highlight w:val="none"/>
              </w:rPr>
            </w:pPr>
          </w:p>
        </w:tc>
        <w:tc>
          <w:tcPr>
            <w:tcW w:w="893" w:type="dxa"/>
            <w:vAlign w:val="center"/>
          </w:tcPr>
          <w:p w14:paraId="2E172542">
            <w:pPr>
              <w:jc w:val="center"/>
              <w:rPr>
                <w:rFonts w:ascii="宋体" w:hAnsi="宋体" w:cs="宋体"/>
                <w:color w:val="auto"/>
                <w:szCs w:val="21"/>
                <w:highlight w:val="none"/>
              </w:rPr>
            </w:pPr>
          </w:p>
        </w:tc>
      </w:tr>
      <w:tr w14:paraId="6AF8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2" w:type="dxa"/>
          </w:tcPr>
          <w:p w14:paraId="5ADC1382">
            <w:pPr>
              <w:jc w:val="center"/>
              <w:rPr>
                <w:rFonts w:ascii="宋体" w:hAnsi="宋体" w:cs="宋体"/>
                <w:color w:val="auto"/>
                <w:szCs w:val="21"/>
                <w:highlight w:val="none"/>
              </w:rPr>
            </w:pPr>
          </w:p>
        </w:tc>
        <w:tc>
          <w:tcPr>
            <w:tcW w:w="1313" w:type="dxa"/>
            <w:vAlign w:val="center"/>
          </w:tcPr>
          <w:p w14:paraId="1CAA3DE6">
            <w:pPr>
              <w:jc w:val="center"/>
              <w:rPr>
                <w:rFonts w:ascii="宋体" w:hAnsi="宋体" w:cs="宋体"/>
                <w:color w:val="auto"/>
                <w:szCs w:val="21"/>
                <w:highlight w:val="none"/>
              </w:rPr>
            </w:pPr>
          </w:p>
        </w:tc>
        <w:tc>
          <w:tcPr>
            <w:tcW w:w="2548" w:type="dxa"/>
            <w:vAlign w:val="center"/>
          </w:tcPr>
          <w:p w14:paraId="49EAFBD7">
            <w:pPr>
              <w:jc w:val="center"/>
              <w:rPr>
                <w:rFonts w:ascii="宋体" w:hAnsi="宋体" w:cs="宋体"/>
                <w:color w:val="auto"/>
                <w:szCs w:val="21"/>
                <w:highlight w:val="none"/>
              </w:rPr>
            </w:pPr>
          </w:p>
        </w:tc>
        <w:tc>
          <w:tcPr>
            <w:tcW w:w="2394" w:type="dxa"/>
            <w:vAlign w:val="center"/>
          </w:tcPr>
          <w:p w14:paraId="5C360427">
            <w:pPr>
              <w:jc w:val="center"/>
              <w:rPr>
                <w:rFonts w:ascii="宋体" w:hAnsi="宋体" w:cs="宋体"/>
                <w:color w:val="auto"/>
                <w:szCs w:val="21"/>
                <w:highlight w:val="none"/>
              </w:rPr>
            </w:pPr>
          </w:p>
        </w:tc>
        <w:tc>
          <w:tcPr>
            <w:tcW w:w="1317" w:type="dxa"/>
            <w:vAlign w:val="center"/>
          </w:tcPr>
          <w:p w14:paraId="7DDF738C">
            <w:pPr>
              <w:jc w:val="center"/>
              <w:rPr>
                <w:rFonts w:ascii="宋体" w:hAnsi="宋体" w:cs="宋体"/>
                <w:color w:val="auto"/>
                <w:szCs w:val="21"/>
                <w:highlight w:val="none"/>
              </w:rPr>
            </w:pPr>
          </w:p>
        </w:tc>
        <w:tc>
          <w:tcPr>
            <w:tcW w:w="893" w:type="dxa"/>
            <w:vAlign w:val="center"/>
          </w:tcPr>
          <w:p w14:paraId="536B49F0">
            <w:pPr>
              <w:jc w:val="center"/>
              <w:rPr>
                <w:rFonts w:ascii="宋体" w:hAnsi="宋体" w:cs="宋体"/>
                <w:color w:val="auto"/>
                <w:szCs w:val="21"/>
                <w:highlight w:val="none"/>
              </w:rPr>
            </w:pPr>
          </w:p>
        </w:tc>
      </w:tr>
      <w:tr w14:paraId="06DC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2" w:type="dxa"/>
          </w:tcPr>
          <w:p w14:paraId="26BA8A2E">
            <w:pPr>
              <w:jc w:val="center"/>
              <w:rPr>
                <w:rFonts w:ascii="宋体" w:hAnsi="宋体" w:cs="宋体"/>
                <w:color w:val="auto"/>
                <w:szCs w:val="21"/>
                <w:highlight w:val="none"/>
              </w:rPr>
            </w:pPr>
          </w:p>
        </w:tc>
        <w:tc>
          <w:tcPr>
            <w:tcW w:w="1313" w:type="dxa"/>
            <w:vAlign w:val="center"/>
          </w:tcPr>
          <w:p w14:paraId="1F538903">
            <w:pPr>
              <w:jc w:val="center"/>
              <w:rPr>
                <w:rFonts w:ascii="宋体" w:hAnsi="宋体" w:cs="宋体"/>
                <w:color w:val="auto"/>
                <w:szCs w:val="21"/>
                <w:highlight w:val="none"/>
              </w:rPr>
            </w:pPr>
          </w:p>
        </w:tc>
        <w:tc>
          <w:tcPr>
            <w:tcW w:w="2548" w:type="dxa"/>
            <w:vAlign w:val="center"/>
          </w:tcPr>
          <w:p w14:paraId="5FD65951">
            <w:pPr>
              <w:jc w:val="center"/>
              <w:rPr>
                <w:rFonts w:ascii="宋体" w:hAnsi="宋体" w:cs="宋体"/>
                <w:color w:val="auto"/>
                <w:szCs w:val="21"/>
                <w:highlight w:val="none"/>
              </w:rPr>
            </w:pPr>
          </w:p>
        </w:tc>
        <w:tc>
          <w:tcPr>
            <w:tcW w:w="2394" w:type="dxa"/>
            <w:vAlign w:val="center"/>
          </w:tcPr>
          <w:p w14:paraId="4E96BA7D">
            <w:pPr>
              <w:jc w:val="center"/>
              <w:rPr>
                <w:rFonts w:ascii="宋体" w:hAnsi="宋体" w:cs="宋体"/>
                <w:color w:val="auto"/>
                <w:szCs w:val="21"/>
                <w:highlight w:val="none"/>
              </w:rPr>
            </w:pPr>
          </w:p>
        </w:tc>
        <w:tc>
          <w:tcPr>
            <w:tcW w:w="1317" w:type="dxa"/>
            <w:vAlign w:val="center"/>
          </w:tcPr>
          <w:p w14:paraId="6DC58925">
            <w:pPr>
              <w:jc w:val="center"/>
              <w:rPr>
                <w:rFonts w:ascii="宋体" w:hAnsi="宋体" w:cs="宋体"/>
                <w:color w:val="auto"/>
                <w:szCs w:val="21"/>
                <w:highlight w:val="none"/>
              </w:rPr>
            </w:pPr>
          </w:p>
        </w:tc>
        <w:tc>
          <w:tcPr>
            <w:tcW w:w="893" w:type="dxa"/>
            <w:vAlign w:val="center"/>
          </w:tcPr>
          <w:p w14:paraId="2F27D73E">
            <w:pPr>
              <w:jc w:val="center"/>
              <w:rPr>
                <w:rFonts w:ascii="宋体" w:hAnsi="宋体" w:cs="宋体"/>
                <w:color w:val="auto"/>
                <w:szCs w:val="21"/>
                <w:highlight w:val="none"/>
              </w:rPr>
            </w:pPr>
          </w:p>
        </w:tc>
      </w:tr>
      <w:tr w14:paraId="187C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2" w:type="dxa"/>
          </w:tcPr>
          <w:p w14:paraId="76E14E03">
            <w:pPr>
              <w:jc w:val="center"/>
              <w:rPr>
                <w:rFonts w:ascii="宋体" w:hAnsi="宋体" w:cs="宋体"/>
                <w:color w:val="auto"/>
                <w:szCs w:val="21"/>
                <w:highlight w:val="none"/>
              </w:rPr>
            </w:pPr>
          </w:p>
        </w:tc>
        <w:tc>
          <w:tcPr>
            <w:tcW w:w="1313" w:type="dxa"/>
            <w:vAlign w:val="center"/>
          </w:tcPr>
          <w:p w14:paraId="45365C3E">
            <w:pPr>
              <w:jc w:val="center"/>
              <w:rPr>
                <w:rFonts w:ascii="宋体" w:hAnsi="宋体" w:cs="宋体"/>
                <w:color w:val="auto"/>
                <w:szCs w:val="21"/>
                <w:highlight w:val="none"/>
              </w:rPr>
            </w:pPr>
          </w:p>
        </w:tc>
        <w:tc>
          <w:tcPr>
            <w:tcW w:w="2548" w:type="dxa"/>
            <w:vAlign w:val="center"/>
          </w:tcPr>
          <w:p w14:paraId="35B7F08A">
            <w:pPr>
              <w:jc w:val="center"/>
              <w:rPr>
                <w:rFonts w:ascii="宋体" w:hAnsi="宋体" w:cs="宋体"/>
                <w:color w:val="auto"/>
                <w:szCs w:val="21"/>
                <w:highlight w:val="none"/>
              </w:rPr>
            </w:pPr>
          </w:p>
        </w:tc>
        <w:tc>
          <w:tcPr>
            <w:tcW w:w="2394" w:type="dxa"/>
            <w:vAlign w:val="center"/>
          </w:tcPr>
          <w:p w14:paraId="63117FCD">
            <w:pPr>
              <w:jc w:val="center"/>
              <w:rPr>
                <w:rFonts w:ascii="宋体" w:hAnsi="宋体" w:cs="宋体"/>
                <w:color w:val="auto"/>
                <w:szCs w:val="21"/>
                <w:highlight w:val="none"/>
              </w:rPr>
            </w:pPr>
          </w:p>
        </w:tc>
        <w:tc>
          <w:tcPr>
            <w:tcW w:w="1317" w:type="dxa"/>
            <w:vAlign w:val="center"/>
          </w:tcPr>
          <w:p w14:paraId="14F83579">
            <w:pPr>
              <w:jc w:val="center"/>
              <w:rPr>
                <w:rFonts w:ascii="宋体" w:hAnsi="宋体" w:cs="宋体"/>
                <w:color w:val="auto"/>
                <w:szCs w:val="21"/>
                <w:highlight w:val="none"/>
              </w:rPr>
            </w:pPr>
          </w:p>
        </w:tc>
        <w:tc>
          <w:tcPr>
            <w:tcW w:w="893" w:type="dxa"/>
            <w:vAlign w:val="center"/>
          </w:tcPr>
          <w:p w14:paraId="747FB8FC">
            <w:pPr>
              <w:jc w:val="center"/>
              <w:rPr>
                <w:rFonts w:ascii="宋体" w:hAnsi="宋体" w:cs="宋体"/>
                <w:color w:val="auto"/>
                <w:szCs w:val="21"/>
                <w:highlight w:val="none"/>
              </w:rPr>
            </w:pPr>
          </w:p>
        </w:tc>
      </w:tr>
    </w:tbl>
    <w:p w14:paraId="0C28A59C">
      <w:pPr>
        <w:pStyle w:val="4"/>
        <w:jc w:val="center"/>
        <w:rPr>
          <w:rFonts w:ascii="宋体" w:hAnsi="宋体" w:cs="宋体"/>
          <w:color w:val="auto"/>
          <w:sz w:val="24"/>
          <w:highlight w:val="none"/>
        </w:rPr>
      </w:pPr>
      <w:r>
        <w:rPr>
          <w:rFonts w:hint="eastAsia" w:ascii="宋体" w:hAnsi="宋体" w:cs="宋体"/>
          <w:color w:val="auto"/>
          <w:sz w:val="24"/>
          <w:szCs w:val="24"/>
          <w:highlight w:val="none"/>
        </w:rPr>
        <w:br w:type="page"/>
      </w:r>
      <w:bookmarkStart w:id="232" w:name="_Toc419879308"/>
      <w:bookmarkStart w:id="233" w:name="_Toc7168798"/>
      <w:bookmarkStart w:id="234" w:name="_Toc421532567"/>
      <w:bookmarkStart w:id="235" w:name="_Toc500513521"/>
      <w:bookmarkStart w:id="236" w:name="_Toc17455"/>
      <w:bookmarkStart w:id="237" w:name="_Toc7247"/>
      <w:bookmarkStart w:id="238" w:name="_Toc500518670"/>
      <w:bookmarkStart w:id="239" w:name="_Toc500513565"/>
      <w:bookmarkStart w:id="240" w:name="_Toc7520"/>
      <w:r>
        <w:rPr>
          <w:rFonts w:hint="eastAsia" w:ascii="宋体" w:hAnsi="宋体" w:cs="宋体"/>
          <w:color w:val="auto"/>
          <w:sz w:val="24"/>
          <w:highlight w:val="none"/>
        </w:rPr>
        <w:t>（三）供应商正在承担的类似项目情况</w:t>
      </w:r>
      <w:bookmarkEnd w:id="232"/>
      <w:bookmarkEnd w:id="233"/>
      <w:bookmarkEnd w:id="234"/>
      <w:bookmarkEnd w:id="235"/>
      <w:bookmarkEnd w:id="236"/>
      <w:bookmarkEnd w:id="237"/>
      <w:bookmarkEnd w:id="238"/>
      <w:bookmarkEnd w:id="239"/>
      <w:bookmarkEnd w:id="240"/>
    </w:p>
    <w:p w14:paraId="7A16AF49">
      <w:pPr>
        <w:rPr>
          <w:rFonts w:ascii="宋体" w:hAnsi="宋体" w:cs="宋体"/>
          <w:color w:val="auto"/>
          <w:highlight w:val="none"/>
        </w:rPr>
      </w:pPr>
    </w:p>
    <w:tbl>
      <w:tblPr>
        <w:tblStyle w:val="4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345"/>
        <w:gridCol w:w="2361"/>
        <w:gridCol w:w="2379"/>
        <w:gridCol w:w="1325"/>
        <w:gridCol w:w="892"/>
      </w:tblGrid>
      <w:tr w14:paraId="1117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vAlign w:val="center"/>
          </w:tcPr>
          <w:p w14:paraId="0B83D114">
            <w:pPr>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345" w:type="dxa"/>
            <w:vAlign w:val="center"/>
          </w:tcPr>
          <w:p w14:paraId="3CFFB0EE">
            <w:pPr>
              <w:jc w:val="center"/>
              <w:rPr>
                <w:rFonts w:ascii="宋体" w:hAnsi="宋体" w:cs="宋体"/>
                <w:color w:val="auto"/>
                <w:kern w:val="0"/>
                <w:szCs w:val="21"/>
                <w:highlight w:val="none"/>
              </w:rPr>
            </w:pPr>
            <w:r>
              <w:rPr>
                <w:rFonts w:hint="eastAsia" w:ascii="宋体" w:hAnsi="宋体" w:cs="宋体"/>
                <w:color w:val="auto"/>
                <w:kern w:val="0"/>
                <w:szCs w:val="21"/>
                <w:highlight w:val="none"/>
              </w:rPr>
              <w:t>起止时间</w:t>
            </w:r>
          </w:p>
        </w:tc>
        <w:tc>
          <w:tcPr>
            <w:tcW w:w="2361" w:type="dxa"/>
            <w:vAlign w:val="center"/>
          </w:tcPr>
          <w:p w14:paraId="6778EB6E">
            <w:pPr>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2379" w:type="dxa"/>
            <w:vAlign w:val="center"/>
          </w:tcPr>
          <w:p w14:paraId="1112E0A5">
            <w:pPr>
              <w:jc w:val="center"/>
              <w:rPr>
                <w:rFonts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325" w:type="dxa"/>
            <w:vAlign w:val="center"/>
          </w:tcPr>
          <w:p w14:paraId="51CFF3DA">
            <w:pPr>
              <w:jc w:val="center"/>
              <w:rPr>
                <w:rFonts w:ascii="宋体" w:hAnsi="宋体" w:cs="宋体"/>
                <w:color w:val="auto"/>
                <w:kern w:val="0"/>
                <w:szCs w:val="21"/>
                <w:highlight w:val="none"/>
              </w:rPr>
            </w:pPr>
            <w:r>
              <w:rPr>
                <w:rFonts w:hint="eastAsia" w:ascii="宋体" w:hAnsi="宋体" w:cs="宋体"/>
                <w:color w:val="auto"/>
                <w:kern w:val="0"/>
                <w:szCs w:val="21"/>
                <w:highlight w:val="none"/>
              </w:rPr>
              <w:t>完成情况</w:t>
            </w:r>
          </w:p>
        </w:tc>
        <w:tc>
          <w:tcPr>
            <w:tcW w:w="892" w:type="dxa"/>
            <w:vAlign w:val="center"/>
          </w:tcPr>
          <w:p w14:paraId="6A3F953D">
            <w:pPr>
              <w:jc w:val="center"/>
              <w:rPr>
                <w:rFonts w:ascii="宋体" w:hAnsi="宋体" w:cs="宋体"/>
                <w:color w:val="auto"/>
                <w:szCs w:val="21"/>
                <w:highlight w:val="none"/>
              </w:rPr>
            </w:pPr>
            <w:r>
              <w:rPr>
                <w:rFonts w:hint="eastAsia" w:ascii="宋体" w:hAnsi="宋体" w:cs="宋体"/>
                <w:color w:val="auto"/>
                <w:kern w:val="0"/>
                <w:szCs w:val="21"/>
                <w:highlight w:val="none"/>
              </w:rPr>
              <w:t>备注</w:t>
            </w:r>
          </w:p>
        </w:tc>
      </w:tr>
      <w:tr w14:paraId="63FF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4F95FFBF">
            <w:pPr>
              <w:jc w:val="center"/>
              <w:rPr>
                <w:rFonts w:ascii="宋体" w:hAnsi="宋体" w:cs="宋体"/>
                <w:color w:val="auto"/>
                <w:szCs w:val="21"/>
                <w:highlight w:val="none"/>
              </w:rPr>
            </w:pPr>
          </w:p>
        </w:tc>
        <w:tc>
          <w:tcPr>
            <w:tcW w:w="1345" w:type="dxa"/>
            <w:vAlign w:val="center"/>
          </w:tcPr>
          <w:p w14:paraId="35E37235">
            <w:pPr>
              <w:jc w:val="center"/>
              <w:rPr>
                <w:rFonts w:ascii="宋体" w:hAnsi="宋体" w:cs="宋体"/>
                <w:color w:val="auto"/>
                <w:szCs w:val="21"/>
                <w:highlight w:val="none"/>
              </w:rPr>
            </w:pPr>
          </w:p>
        </w:tc>
        <w:tc>
          <w:tcPr>
            <w:tcW w:w="2361" w:type="dxa"/>
            <w:vAlign w:val="center"/>
          </w:tcPr>
          <w:p w14:paraId="5D48EEC7">
            <w:pPr>
              <w:jc w:val="center"/>
              <w:rPr>
                <w:rFonts w:ascii="宋体" w:hAnsi="宋体" w:cs="宋体"/>
                <w:color w:val="auto"/>
                <w:szCs w:val="21"/>
                <w:highlight w:val="none"/>
              </w:rPr>
            </w:pPr>
          </w:p>
        </w:tc>
        <w:tc>
          <w:tcPr>
            <w:tcW w:w="2379" w:type="dxa"/>
            <w:vAlign w:val="center"/>
          </w:tcPr>
          <w:p w14:paraId="598AE02D">
            <w:pPr>
              <w:jc w:val="center"/>
              <w:rPr>
                <w:rFonts w:ascii="宋体" w:hAnsi="宋体" w:cs="宋体"/>
                <w:color w:val="auto"/>
                <w:szCs w:val="21"/>
                <w:highlight w:val="none"/>
              </w:rPr>
            </w:pPr>
          </w:p>
        </w:tc>
        <w:tc>
          <w:tcPr>
            <w:tcW w:w="1325" w:type="dxa"/>
            <w:vAlign w:val="center"/>
          </w:tcPr>
          <w:p w14:paraId="5A44949D">
            <w:pPr>
              <w:jc w:val="center"/>
              <w:rPr>
                <w:rFonts w:ascii="宋体" w:hAnsi="宋体" w:cs="宋体"/>
                <w:color w:val="auto"/>
                <w:szCs w:val="21"/>
                <w:highlight w:val="none"/>
              </w:rPr>
            </w:pPr>
          </w:p>
        </w:tc>
        <w:tc>
          <w:tcPr>
            <w:tcW w:w="892" w:type="dxa"/>
            <w:vAlign w:val="center"/>
          </w:tcPr>
          <w:p w14:paraId="67A982DE">
            <w:pPr>
              <w:jc w:val="center"/>
              <w:rPr>
                <w:rFonts w:ascii="宋体" w:hAnsi="宋体" w:cs="宋体"/>
                <w:color w:val="auto"/>
                <w:szCs w:val="21"/>
                <w:highlight w:val="none"/>
              </w:rPr>
            </w:pPr>
          </w:p>
        </w:tc>
      </w:tr>
      <w:tr w14:paraId="6064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33079159">
            <w:pPr>
              <w:jc w:val="center"/>
              <w:rPr>
                <w:rFonts w:ascii="宋体" w:hAnsi="宋体" w:cs="宋体"/>
                <w:color w:val="auto"/>
                <w:szCs w:val="21"/>
                <w:highlight w:val="none"/>
              </w:rPr>
            </w:pPr>
          </w:p>
        </w:tc>
        <w:tc>
          <w:tcPr>
            <w:tcW w:w="1345" w:type="dxa"/>
            <w:vAlign w:val="center"/>
          </w:tcPr>
          <w:p w14:paraId="7826FE42">
            <w:pPr>
              <w:jc w:val="center"/>
              <w:rPr>
                <w:rFonts w:ascii="宋体" w:hAnsi="宋体" w:cs="宋体"/>
                <w:color w:val="auto"/>
                <w:szCs w:val="21"/>
                <w:highlight w:val="none"/>
              </w:rPr>
            </w:pPr>
          </w:p>
        </w:tc>
        <w:tc>
          <w:tcPr>
            <w:tcW w:w="2361" w:type="dxa"/>
            <w:vAlign w:val="center"/>
          </w:tcPr>
          <w:p w14:paraId="79B18DEB">
            <w:pPr>
              <w:jc w:val="center"/>
              <w:rPr>
                <w:rFonts w:ascii="宋体" w:hAnsi="宋体" w:cs="宋体"/>
                <w:color w:val="auto"/>
                <w:szCs w:val="21"/>
                <w:highlight w:val="none"/>
              </w:rPr>
            </w:pPr>
          </w:p>
        </w:tc>
        <w:tc>
          <w:tcPr>
            <w:tcW w:w="2379" w:type="dxa"/>
            <w:vAlign w:val="center"/>
          </w:tcPr>
          <w:p w14:paraId="41E3E1AE">
            <w:pPr>
              <w:jc w:val="center"/>
              <w:rPr>
                <w:rFonts w:ascii="宋体" w:hAnsi="宋体" w:cs="宋体"/>
                <w:color w:val="auto"/>
                <w:szCs w:val="21"/>
                <w:highlight w:val="none"/>
              </w:rPr>
            </w:pPr>
          </w:p>
        </w:tc>
        <w:tc>
          <w:tcPr>
            <w:tcW w:w="1325" w:type="dxa"/>
            <w:vAlign w:val="center"/>
          </w:tcPr>
          <w:p w14:paraId="58C6E5EF">
            <w:pPr>
              <w:jc w:val="center"/>
              <w:rPr>
                <w:rFonts w:ascii="宋体" w:hAnsi="宋体" w:cs="宋体"/>
                <w:color w:val="auto"/>
                <w:szCs w:val="21"/>
                <w:highlight w:val="none"/>
              </w:rPr>
            </w:pPr>
          </w:p>
        </w:tc>
        <w:tc>
          <w:tcPr>
            <w:tcW w:w="892" w:type="dxa"/>
            <w:vAlign w:val="center"/>
          </w:tcPr>
          <w:p w14:paraId="4F9F9692">
            <w:pPr>
              <w:jc w:val="center"/>
              <w:rPr>
                <w:rFonts w:ascii="宋体" w:hAnsi="宋体" w:cs="宋体"/>
                <w:color w:val="auto"/>
                <w:szCs w:val="21"/>
                <w:highlight w:val="none"/>
              </w:rPr>
            </w:pPr>
          </w:p>
        </w:tc>
      </w:tr>
      <w:tr w14:paraId="2E1B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61A5FE13">
            <w:pPr>
              <w:jc w:val="center"/>
              <w:rPr>
                <w:rFonts w:ascii="宋体" w:hAnsi="宋体" w:cs="宋体"/>
                <w:color w:val="auto"/>
                <w:szCs w:val="21"/>
                <w:highlight w:val="none"/>
              </w:rPr>
            </w:pPr>
          </w:p>
        </w:tc>
        <w:tc>
          <w:tcPr>
            <w:tcW w:w="1345" w:type="dxa"/>
            <w:vAlign w:val="center"/>
          </w:tcPr>
          <w:p w14:paraId="43F78E73">
            <w:pPr>
              <w:jc w:val="center"/>
              <w:rPr>
                <w:rFonts w:ascii="宋体" w:hAnsi="宋体" w:cs="宋体"/>
                <w:color w:val="auto"/>
                <w:szCs w:val="21"/>
                <w:highlight w:val="none"/>
              </w:rPr>
            </w:pPr>
          </w:p>
        </w:tc>
        <w:tc>
          <w:tcPr>
            <w:tcW w:w="2361" w:type="dxa"/>
            <w:vAlign w:val="center"/>
          </w:tcPr>
          <w:p w14:paraId="4873892E">
            <w:pPr>
              <w:jc w:val="center"/>
              <w:rPr>
                <w:rFonts w:ascii="宋体" w:hAnsi="宋体" w:cs="宋体"/>
                <w:color w:val="auto"/>
                <w:szCs w:val="21"/>
                <w:highlight w:val="none"/>
              </w:rPr>
            </w:pPr>
          </w:p>
        </w:tc>
        <w:tc>
          <w:tcPr>
            <w:tcW w:w="2379" w:type="dxa"/>
            <w:vAlign w:val="center"/>
          </w:tcPr>
          <w:p w14:paraId="7E16F051">
            <w:pPr>
              <w:jc w:val="center"/>
              <w:rPr>
                <w:rFonts w:ascii="宋体" w:hAnsi="宋体" w:cs="宋体"/>
                <w:color w:val="auto"/>
                <w:szCs w:val="21"/>
                <w:highlight w:val="none"/>
              </w:rPr>
            </w:pPr>
          </w:p>
        </w:tc>
        <w:tc>
          <w:tcPr>
            <w:tcW w:w="1325" w:type="dxa"/>
            <w:vAlign w:val="center"/>
          </w:tcPr>
          <w:p w14:paraId="2AE065FB">
            <w:pPr>
              <w:jc w:val="center"/>
              <w:rPr>
                <w:rFonts w:ascii="宋体" w:hAnsi="宋体" w:cs="宋体"/>
                <w:color w:val="auto"/>
                <w:szCs w:val="21"/>
                <w:highlight w:val="none"/>
              </w:rPr>
            </w:pPr>
          </w:p>
        </w:tc>
        <w:tc>
          <w:tcPr>
            <w:tcW w:w="892" w:type="dxa"/>
            <w:vAlign w:val="center"/>
          </w:tcPr>
          <w:p w14:paraId="766B31C4">
            <w:pPr>
              <w:jc w:val="center"/>
              <w:rPr>
                <w:rFonts w:ascii="宋体" w:hAnsi="宋体" w:cs="宋体"/>
                <w:color w:val="auto"/>
                <w:szCs w:val="21"/>
                <w:highlight w:val="none"/>
              </w:rPr>
            </w:pPr>
          </w:p>
        </w:tc>
      </w:tr>
      <w:tr w14:paraId="1D58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0FD743B0">
            <w:pPr>
              <w:jc w:val="center"/>
              <w:rPr>
                <w:rFonts w:ascii="宋体" w:hAnsi="宋体" w:cs="宋体"/>
                <w:color w:val="auto"/>
                <w:szCs w:val="21"/>
                <w:highlight w:val="none"/>
              </w:rPr>
            </w:pPr>
          </w:p>
        </w:tc>
        <w:tc>
          <w:tcPr>
            <w:tcW w:w="1345" w:type="dxa"/>
            <w:vAlign w:val="center"/>
          </w:tcPr>
          <w:p w14:paraId="3D472F0F">
            <w:pPr>
              <w:jc w:val="center"/>
              <w:rPr>
                <w:rFonts w:ascii="宋体" w:hAnsi="宋体" w:cs="宋体"/>
                <w:color w:val="auto"/>
                <w:szCs w:val="21"/>
                <w:highlight w:val="none"/>
              </w:rPr>
            </w:pPr>
          </w:p>
        </w:tc>
        <w:tc>
          <w:tcPr>
            <w:tcW w:w="2361" w:type="dxa"/>
            <w:vAlign w:val="center"/>
          </w:tcPr>
          <w:p w14:paraId="2E5554E0">
            <w:pPr>
              <w:jc w:val="center"/>
              <w:rPr>
                <w:rFonts w:ascii="宋体" w:hAnsi="宋体" w:cs="宋体"/>
                <w:color w:val="auto"/>
                <w:szCs w:val="21"/>
                <w:highlight w:val="none"/>
              </w:rPr>
            </w:pPr>
          </w:p>
        </w:tc>
        <w:tc>
          <w:tcPr>
            <w:tcW w:w="2379" w:type="dxa"/>
            <w:vAlign w:val="center"/>
          </w:tcPr>
          <w:p w14:paraId="45E12C44">
            <w:pPr>
              <w:jc w:val="center"/>
              <w:rPr>
                <w:rFonts w:ascii="宋体" w:hAnsi="宋体" w:cs="宋体"/>
                <w:color w:val="auto"/>
                <w:szCs w:val="21"/>
                <w:highlight w:val="none"/>
              </w:rPr>
            </w:pPr>
          </w:p>
        </w:tc>
        <w:tc>
          <w:tcPr>
            <w:tcW w:w="1325" w:type="dxa"/>
            <w:vAlign w:val="center"/>
          </w:tcPr>
          <w:p w14:paraId="73978A32">
            <w:pPr>
              <w:jc w:val="center"/>
              <w:rPr>
                <w:rFonts w:ascii="宋体" w:hAnsi="宋体" w:cs="宋体"/>
                <w:color w:val="auto"/>
                <w:szCs w:val="21"/>
                <w:highlight w:val="none"/>
              </w:rPr>
            </w:pPr>
          </w:p>
        </w:tc>
        <w:tc>
          <w:tcPr>
            <w:tcW w:w="892" w:type="dxa"/>
            <w:vAlign w:val="center"/>
          </w:tcPr>
          <w:p w14:paraId="4BA09E21">
            <w:pPr>
              <w:jc w:val="center"/>
              <w:rPr>
                <w:rFonts w:ascii="宋体" w:hAnsi="宋体" w:cs="宋体"/>
                <w:color w:val="auto"/>
                <w:szCs w:val="21"/>
                <w:highlight w:val="none"/>
              </w:rPr>
            </w:pPr>
          </w:p>
        </w:tc>
      </w:tr>
      <w:tr w14:paraId="76C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2EF20C44">
            <w:pPr>
              <w:jc w:val="center"/>
              <w:rPr>
                <w:rFonts w:ascii="宋体" w:hAnsi="宋体" w:cs="宋体"/>
                <w:color w:val="auto"/>
                <w:szCs w:val="21"/>
                <w:highlight w:val="none"/>
              </w:rPr>
            </w:pPr>
          </w:p>
        </w:tc>
        <w:tc>
          <w:tcPr>
            <w:tcW w:w="1345" w:type="dxa"/>
            <w:vAlign w:val="center"/>
          </w:tcPr>
          <w:p w14:paraId="041E6333">
            <w:pPr>
              <w:jc w:val="center"/>
              <w:rPr>
                <w:rFonts w:ascii="宋体" w:hAnsi="宋体" w:cs="宋体"/>
                <w:color w:val="auto"/>
                <w:szCs w:val="21"/>
                <w:highlight w:val="none"/>
              </w:rPr>
            </w:pPr>
          </w:p>
        </w:tc>
        <w:tc>
          <w:tcPr>
            <w:tcW w:w="2361" w:type="dxa"/>
            <w:vAlign w:val="center"/>
          </w:tcPr>
          <w:p w14:paraId="436D6D0F">
            <w:pPr>
              <w:jc w:val="center"/>
              <w:rPr>
                <w:rFonts w:ascii="宋体" w:hAnsi="宋体" w:cs="宋体"/>
                <w:color w:val="auto"/>
                <w:szCs w:val="21"/>
                <w:highlight w:val="none"/>
              </w:rPr>
            </w:pPr>
          </w:p>
        </w:tc>
        <w:tc>
          <w:tcPr>
            <w:tcW w:w="2379" w:type="dxa"/>
            <w:vAlign w:val="center"/>
          </w:tcPr>
          <w:p w14:paraId="4266825B">
            <w:pPr>
              <w:jc w:val="center"/>
              <w:rPr>
                <w:rFonts w:ascii="宋体" w:hAnsi="宋体" w:cs="宋体"/>
                <w:color w:val="auto"/>
                <w:szCs w:val="21"/>
                <w:highlight w:val="none"/>
              </w:rPr>
            </w:pPr>
          </w:p>
        </w:tc>
        <w:tc>
          <w:tcPr>
            <w:tcW w:w="1325" w:type="dxa"/>
            <w:vAlign w:val="center"/>
          </w:tcPr>
          <w:p w14:paraId="68623897">
            <w:pPr>
              <w:jc w:val="center"/>
              <w:rPr>
                <w:rFonts w:ascii="宋体" w:hAnsi="宋体" w:cs="宋体"/>
                <w:color w:val="auto"/>
                <w:szCs w:val="21"/>
                <w:highlight w:val="none"/>
              </w:rPr>
            </w:pPr>
          </w:p>
        </w:tc>
        <w:tc>
          <w:tcPr>
            <w:tcW w:w="892" w:type="dxa"/>
            <w:vAlign w:val="center"/>
          </w:tcPr>
          <w:p w14:paraId="40C2370C">
            <w:pPr>
              <w:jc w:val="center"/>
              <w:rPr>
                <w:rFonts w:ascii="宋体" w:hAnsi="宋体" w:cs="宋体"/>
                <w:color w:val="auto"/>
                <w:szCs w:val="21"/>
                <w:highlight w:val="none"/>
              </w:rPr>
            </w:pPr>
          </w:p>
        </w:tc>
      </w:tr>
      <w:tr w14:paraId="0C08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5236D643">
            <w:pPr>
              <w:jc w:val="center"/>
              <w:rPr>
                <w:rFonts w:ascii="宋体" w:hAnsi="宋体" w:cs="宋体"/>
                <w:color w:val="auto"/>
                <w:szCs w:val="21"/>
                <w:highlight w:val="none"/>
              </w:rPr>
            </w:pPr>
          </w:p>
        </w:tc>
        <w:tc>
          <w:tcPr>
            <w:tcW w:w="1345" w:type="dxa"/>
            <w:vAlign w:val="center"/>
          </w:tcPr>
          <w:p w14:paraId="4786E7C0">
            <w:pPr>
              <w:jc w:val="center"/>
              <w:rPr>
                <w:rFonts w:ascii="宋体" w:hAnsi="宋体" w:cs="宋体"/>
                <w:color w:val="auto"/>
                <w:szCs w:val="21"/>
                <w:highlight w:val="none"/>
              </w:rPr>
            </w:pPr>
          </w:p>
        </w:tc>
        <w:tc>
          <w:tcPr>
            <w:tcW w:w="2361" w:type="dxa"/>
            <w:vAlign w:val="center"/>
          </w:tcPr>
          <w:p w14:paraId="6E52FC12">
            <w:pPr>
              <w:jc w:val="center"/>
              <w:rPr>
                <w:rFonts w:ascii="宋体" w:hAnsi="宋体" w:cs="宋体"/>
                <w:color w:val="auto"/>
                <w:szCs w:val="21"/>
                <w:highlight w:val="none"/>
              </w:rPr>
            </w:pPr>
          </w:p>
        </w:tc>
        <w:tc>
          <w:tcPr>
            <w:tcW w:w="2379" w:type="dxa"/>
            <w:vAlign w:val="center"/>
          </w:tcPr>
          <w:p w14:paraId="6DD935CB">
            <w:pPr>
              <w:jc w:val="center"/>
              <w:rPr>
                <w:rFonts w:ascii="宋体" w:hAnsi="宋体" w:cs="宋体"/>
                <w:color w:val="auto"/>
                <w:szCs w:val="21"/>
                <w:highlight w:val="none"/>
              </w:rPr>
            </w:pPr>
          </w:p>
        </w:tc>
        <w:tc>
          <w:tcPr>
            <w:tcW w:w="1325" w:type="dxa"/>
            <w:vAlign w:val="center"/>
          </w:tcPr>
          <w:p w14:paraId="023FD381">
            <w:pPr>
              <w:jc w:val="center"/>
              <w:rPr>
                <w:rFonts w:ascii="宋体" w:hAnsi="宋体" w:cs="宋体"/>
                <w:color w:val="auto"/>
                <w:szCs w:val="21"/>
                <w:highlight w:val="none"/>
              </w:rPr>
            </w:pPr>
          </w:p>
        </w:tc>
        <w:tc>
          <w:tcPr>
            <w:tcW w:w="892" w:type="dxa"/>
            <w:vAlign w:val="center"/>
          </w:tcPr>
          <w:p w14:paraId="2E626618">
            <w:pPr>
              <w:jc w:val="center"/>
              <w:rPr>
                <w:rFonts w:ascii="宋体" w:hAnsi="宋体" w:cs="宋体"/>
                <w:color w:val="auto"/>
                <w:szCs w:val="21"/>
                <w:highlight w:val="none"/>
              </w:rPr>
            </w:pPr>
          </w:p>
        </w:tc>
      </w:tr>
    </w:tbl>
    <w:p w14:paraId="08A6CDAC">
      <w:pPr>
        <w:pStyle w:val="4"/>
        <w:ind w:firstLine="422"/>
        <w:rPr>
          <w:rFonts w:ascii="宋体" w:hAnsi="宋体" w:cs="宋体"/>
          <w:color w:val="auto"/>
          <w:sz w:val="24"/>
          <w:highlight w:val="none"/>
        </w:rPr>
      </w:pPr>
      <w:r>
        <w:rPr>
          <w:rFonts w:hint="eastAsia" w:ascii="宋体" w:hAnsi="宋体" w:cs="宋体"/>
          <w:color w:val="auto"/>
          <w:sz w:val="21"/>
          <w:szCs w:val="21"/>
          <w:highlight w:val="none"/>
        </w:rPr>
        <w:br w:type="page"/>
      </w:r>
      <w:bookmarkStart w:id="241" w:name="_Toc500513567"/>
      <w:bookmarkStart w:id="242" w:name="_Toc22359"/>
      <w:bookmarkStart w:id="243" w:name="_Toc4467"/>
      <w:bookmarkStart w:id="244" w:name="_Toc419879310"/>
      <w:bookmarkStart w:id="245" w:name="_Toc500518672"/>
      <w:bookmarkStart w:id="246" w:name="_Toc500513523"/>
      <w:bookmarkStart w:id="247" w:name="_Toc23489"/>
      <w:bookmarkStart w:id="248" w:name="_Toc421532569"/>
    </w:p>
    <w:bookmarkEnd w:id="241"/>
    <w:bookmarkEnd w:id="242"/>
    <w:bookmarkEnd w:id="243"/>
    <w:bookmarkEnd w:id="244"/>
    <w:bookmarkEnd w:id="245"/>
    <w:bookmarkEnd w:id="246"/>
    <w:bookmarkEnd w:id="247"/>
    <w:bookmarkEnd w:id="248"/>
    <w:p w14:paraId="78010A6B">
      <w:pPr>
        <w:pStyle w:val="4"/>
        <w:ind w:firstLine="562"/>
        <w:rPr>
          <w:rFonts w:ascii="宋体" w:hAnsi="宋体" w:cs="宋体"/>
          <w:color w:val="auto"/>
          <w:sz w:val="28"/>
          <w:szCs w:val="28"/>
          <w:highlight w:val="none"/>
        </w:rPr>
      </w:pPr>
      <w:bookmarkStart w:id="249" w:name="_Toc419879312"/>
      <w:bookmarkStart w:id="250" w:name="_Toc421532571"/>
      <w:bookmarkStart w:id="251" w:name="_Toc21547"/>
      <w:bookmarkStart w:id="252" w:name="_Toc20803"/>
      <w:bookmarkStart w:id="253" w:name="_Toc500513569"/>
      <w:bookmarkStart w:id="254" w:name="_Toc500513525"/>
      <w:bookmarkStart w:id="255" w:name="_Toc28340"/>
      <w:bookmarkStart w:id="256" w:name="_Toc7168800"/>
      <w:bookmarkStart w:id="257" w:name="_Toc500518674"/>
      <w:r>
        <w:rPr>
          <w:rFonts w:hint="eastAsia" w:ascii="宋体" w:hAnsi="宋体" w:cs="宋体"/>
          <w:color w:val="auto"/>
          <w:sz w:val="28"/>
          <w:szCs w:val="28"/>
          <w:highlight w:val="none"/>
          <w:lang w:eastAsia="zh-CN"/>
        </w:rPr>
        <w:t>八</w:t>
      </w:r>
      <w:r>
        <w:rPr>
          <w:rFonts w:hint="eastAsia" w:ascii="宋体" w:hAnsi="宋体" w:cs="宋体"/>
          <w:color w:val="auto"/>
          <w:sz w:val="28"/>
          <w:szCs w:val="28"/>
          <w:highlight w:val="none"/>
        </w:rPr>
        <w:t>、</w:t>
      </w:r>
      <w:bookmarkEnd w:id="249"/>
      <w:bookmarkEnd w:id="250"/>
      <w:bookmarkEnd w:id="251"/>
      <w:bookmarkEnd w:id="252"/>
      <w:bookmarkEnd w:id="253"/>
      <w:bookmarkEnd w:id="254"/>
      <w:bookmarkEnd w:id="255"/>
      <w:bookmarkEnd w:id="256"/>
      <w:bookmarkEnd w:id="257"/>
      <w:r>
        <w:rPr>
          <w:rFonts w:hint="eastAsia" w:ascii="宋体" w:hAnsi="宋体" w:cs="宋体"/>
          <w:color w:val="auto"/>
          <w:sz w:val="28"/>
          <w:szCs w:val="28"/>
          <w:highlight w:val="none"/>
        </w:rPr>
        <w:t>技术部分</w:t>
      </w:r>
    </w:p>
    <w:p w14:paraId="7D263263">
      <w:pPr>
        <w:pStyle w:val="12"/>
        <w:spacing w:line="360" w:lineRule="auto"/>
        <w:rPr>
          <w:rFonts w:ascii="宋体" w:hAnsi="宋体" w:cs="宋体"/>
          <w:color w:val="auto"/>
          <w:sz w:val="21"/>
          <w:szCs w:val="21"/>
          <w:highlight w:val="none"/>
        </w:rPr>
      </w:pPr>
    </w:p>
    <w:p w14:paraId="47E81438">
      <w:pPr>
        <w:adjustRightInd w:val="0"/>
        <w:snapToGrid w:val="0"/>
        <w:spacing w:line="360" w:lineRule="auto"/>
        <w:ind w:firstLine="420" w:firstLineChars="200"/>
        <w:jc w:val="center"/>
        <w:rPr>
          <w:rFonts w:ascii="宋体" w:hAnsi="宋体" w:cs="宋体"/>
          <w:color w:val="auto"/>
          <w:sz w:val="24"/>
          <w:highlight w:val="none"/>
        </w:rPr>
      </w:pPr>
      <w:r>
        <w:rPr>
          <w:rFonts w:hint="eastAsia" w:ascii="宋体" w:hAnsi="宋体" w:cs="宋体"/>
          <w:color w:val="auto"/>
          <w:kern w:val="0"/>
          <w:szCs w:val="21"/>
          <w:highlight w:val="none"/>
        </w:rPr>
        <w:t>针对本次项目情况，供应商须编制出一个整体的实施方案。</w:t>
      </w:r>
      <w:r>
        <w:rPr>
          <w:rFonts w:hint="eastAsia" w:ascii="宋体" w:hAnsi="宋体" w:cs="宋体"/>
          <w:color w:val="auto"/>
          <w:szCs w:val="21"/>
          <w:highlight w:val="none"/>
        </w:rPr>
        <w:br w:type="page"/>
      </w:r>
      <w:bookmarkStart w:id="258" w:name="_Toc500513528"/>
      <w:bookmarkStart w:id="259" w:name="_Toc17686"/>
      <w:bookmarkStart w:id="260" w:name="_Toc500518677"/>
      <w:bookmarkStart w:id="261" w:name="_Toc4330"/>
      <w:bookmarkStart w:id="262" w:name="_Toc421532574"/>
      <w:bookmarkStart w:id="263" w:name="_Toc419879315"/>
      <w:bookmarkStart w:id="264" w:name="_Toc18945"/>
      <w:bookmarkStart w:id="265" w:name="_Toc500513572"/>
    </w:p>
    <w:p w14:paraId="5D54DC1C">
      <w:pPr>
        <w:pStyle w:val="4"/>
        <w:ind w:firstLine="562"/>
        <w:rPr>
          <w:rFonts w:ascii="宋体" w:hAnsi="宋体" w:cs="宋体"/>
          <w:color w:val="auto"/>
          <w:sz w:val="28"/>
          <w:szCs w:val="28"/>
          <w:highlight w:val="none"/>
        </w:rPr>
      </w:pPr>
      <w:bookmarkStart w:id="266" w:name="_Toc7168801"/>
      <w:r>
        <w:rPr>
          <w:rFonts w:hint="eastAsia" w:ascii="宋体" w:hAnsi="宋体" w:cs="宋体"/>
          <w:color w:val="auto"/>
          <w:sz w:val="28"/>
          <w:szCs w:val="28"/>
          <w:highlight w:val="none"/>
          <w:lang w:eastAsia="zh-CN"/>
        </w:rPr>
        <w:t>九</w:t>
      </w:r>
      <w:r>
        <w:rPr>
          <w:rFonts w:hint="eastAsia" w:ascii="宋体" w:hAnsi="宋体" w:cs="宋体"/>
          <w:color w:val="auto"/>
          <w:sz w:val="28"/>
          <w:szCs w:val="28"/>
          <w:highlight w:val="none"/>
        </w:rPr>
        <w:t>、其他资料</w:t>
      </w:r>
      <w:bookmarkEnd w:id="258"/>
      <w:bookmarkEnd w:id="259"/>
      <w:bookmarkEnd w:id="260"/>
      <w:bookmarkEnd w:id="261"/>
      <w:bookmarkEnd w:id="262"/>
      <w:bookmarkEnd w:id="263"/>
      <w:bookmarkEnd w:id="264"/>
      <w:bookmarkEnd w:id="265"/>
      <w:bookmarkEnd w:id="266"/>
    </w:p>
    <w:p w14:paraId="4A8E2425">
      <w:pPr>
        <w:widowControl/>
        <w:adjustRightInd w:val="0"/>
        <w:snapToGrid w:val="0"/>
        <w:spacing w:before="36" w:beforeLines="15"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（一）信誉要求</w:t>
      </w:r>
    </w:p>
    <w:p w14:paraId="3255BA6E">
      <w:pPr>
        <w:widowControl/>
        <w:adjustRightInd w:val="0"/>
        <w:snapToGrid w:val="0"/>
        <w:spacing w:before="36" w:beforeLines="15"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承诺书</w:t>
      </w:r>
    </w:p>
    <w:p w14:paraId="452985CE">
      <w:pPr>
        <w:adjustRightInd w:val="0"/>
        <w:snapToGrid w:val="0"/>
        <w:spacing w:line="360" w:lineRule="auto"/>
        <w:ind w:firstLine="413"/>
        <w:rPr>
          <w:rFonts w:ascii="宋体" w:hAnsi="宋体" w:cs="宋体"/>
          <w:color w:val="auto"/>
          <w:w w:val="99"/>
          <w:szCs w:val="21"/>
          <w:highlight w:val="none"/>
        </w:rPr>
      </w:pPr>
      <w:r>
        <w:rPr>
          <w:rFonts w:hint="eastAsia" w:ascii="宋体" w:hAnsi="宋体" w:cs="宋体"/>
          <w:color w:val="auto"/>
          <w:w w:val="99"/>
          <w:szCs w:val="21"/>
          <w:highlight w:val="none"/>
        </w:rPr>
        <w:t xml:space="preserve"> （</w:t>
      </w:r>
      <w:r>
        <w:rPr>
          <w:rFonts w:hint="eastAsia" w:ascii="宋体" w:hAnsi="宋体" w:cs="宋体"/>
          <w:color w:val="auto"/>
          <w:szCs w:val="21"/>
          <w:highlight w:val="none"/>
        </w:rPr>
        <w:t>采购人</w:t>
      </w:r>
      <w:r>
        <w:rPr>
          <w:rFonts w:hint="eastAsia" w:ascii="宋体" w:hAnsi="宋体" w:cs="宋体"/>
          <w:color w:val="auto"/>
          <w:w w:val="99"/>
          <w:szCs w:val="21"/>
          <w:highlight w:val="none"/>
        </w:rPr>
        <w:t>）：</w:t>
      </w:r>
    </w:p>
    <w:p w14:paraId="6DE04AEB">
      <w:pPr>
        <w:adjustRightInd w:val="0"/>
        <w:snapToGrid w:val="0"/>
        <w:spacing w:before="36" w:beforeLines="15" w:line="360" w:lineRule="auto"/>
        <w:jc w:val="left"/>
        <w:rPr>
          <w:rFonts w:ascii="宋体" w:hAnsi="宋体" w:cs="宋体"/>
          <w:color w:val="auto"/>
          <w:szCs w:val="21"/>
          <w:highlight w:val="none"/>
        </w:rPr>
      </w:pPr>
      <w:r>
        <w:rPr>
          <w:rFonts w:hint="eastAsia" w:ascii="宋体" w:hAnsi="宋体" w:cs="宋体"/>
          <w:color w:val="auto"/>
          <w:szCs w:val="21"/>
          <w:highlight w:val="none"/>
        </w:rPr>
        <w:t>我方郑重承诺：</w:t>
      </w:r>
    </w:p>
    <w:p w14:paraId="56732AC6">
      <w:pPr>
        <w:widowControl/>
        <w:adjustRightInd w:val="0"/>
        <w:snapToGrid w:val="0"/>
        <w:spacing w:before="36" w:beforeLines="15" w:line="360" w:lineRule="auto"/>
        <w:rPr>
          <w:rFonts w:ascii="宋体" w:hAnsi="宋体" w:cs="宋体"/>
          <w:color w:val="auto"/>
          <w:szCs w:val="21"/>
          <w:highlight w:val="none"/>
        </w:rPr>
      </w:pPr>
      <w:r>
        <w:rPr>
          <w:rFonts w:hint="eastAsia" w:ascii="宋体" w:hAnsi="宋体" w:cs="宋体"/>
          <w:color w:val="auto"/>
          <w:szCs w:val="21"/>
          <w:highlight w:val="none"/>
        </w:rPr>
        <w:t xml:space="preserve">   1、不存在被政府列入取消投标资格期限内的企业或个人参加本项目的情况；</w:t>
      </w:r>
      <w:r>
        <w:rPr>
          <w:rFonts w:hint="eastAsia" w:ascii="宋体" w:hAnsi="宋体" w:cs="宋体"/>
          <w:color w:val="auto"/>
          <w:szCs w:val="21"/>
          <w:highlight w:val="none"/>
          <w:lang w:eastAsia="zh-CN"/>
        </w:rPr>
        <w:t>参加政府采购活动前三年内在经营活动中没有重大违法记录</w:t>
      </w:r>
      <w:r>
        <w:rPr>
          <w:rFonts w:hint="eastAsia" w:ascii="宋体" w:hAnsi="宋体" w:cs="宋体"/>
          <w:color w:val="auto"/>
          <w:szCs w:val="21"/>
          <w:highlight w:val="none"/>
        </w:rPr>
        <w:t>。</w:t>
      </w:r>
    </w:p>
    <w:p w14:paraId="72100B97">
      <w:pPr>
        <w:widowControl/>
        <w:adjustRightInd w:val="0"/>
        <w:snapToGrid w:val="0"/>
        <w:spacing w:before="36" w:beforeLines="15" w:line="360" w:lineRule="auto"/>
        <w:rPr>
          <w:rFonts w:ascii="宋体" w:hAnsi="宋体" w:cs="宋体"/>
          <w:color w:val="auto"/>
          <w:szCs w:val="21"/>
          <w:highlight w:val="none"/>
        </w:rPr>
      </w:pPr>
      <w:r>
        <w:rPr>
          <w:rFonts w:hint="eastAsia" w:ascii="宋体" w:hAnsi="宋体" w:cs="宋体"/>
          <w:color w:val="auto"/>
          <w:szCs w:val="21"/>
          <w:highlight w:val="none"/>
        </w:rPr>
        <w:t xml:space="preserve">   2、不存在被列入失信被执行人、</w:t>
      </w:r>
      <w:r>
        <w:rPr>
          <w:rFonts w:hint="eastAsia" w:ascii="宋体" w:hAnsi="宋体"/>
          <w:bCs/>
          <w:color w:val="auto"/>
          <w:szCs w:val="21"/>
          <w:highlight w:val="none"/>
        </w:rPr>
        <w:t>重大税收违法案件当事人名单</w:t>
      </w:r>
      <w:r>
        <w:rPr>
          <w:rFonts w:hint="eastAsia" w:ascii="宋体" w:hAnsi="宋体" w:cs="宋体"/>
          <w:color w:val="auto"/>
          <w:szCs w:val="21"/>
          <w:highlight w:val="none"/>
        </w:rPr>
        <w:t>、政府采购严重违法失信行为记录名单的供应商参与本项目的情况。</w:t>
      </w:r>
    </w:p>
    <w:p w14:paraId="13262E18">
      <w:pPr>
        <w:widowControl/>
        <w:adjustRightInd w:val="0"/>
        <w:snapToGrid w:val="0"/>
        <w:spacing w:before="36" w:beforeLines="15" w:line="360" w:lineRule="auto"/>
        <w:rPr>
          <w:rFonts w:ascii="宋体" w:hAnsi="宋体" w:cs="宋体"/>
          <w:color w:val="auto"/>
          <w:szCs w:val="21"/>
          <w:highlight w:val="none"/>
        </w:rPr>
      </w:pPr>
      <w:r>
        <w:rPr>
          <w:rFonts w:hint="eastAsia" w:ascii="宋体" w:hAnsi="宋体" w:cs="宋体"/>
          <w:color w:val="auto"/>
          <w:szCs w:val="21"/>
          <w:highlight w:val="none"/>
        </w:rPr>
        <w:t xml:space="preserve">   3、不存在与采购人存在利害关系可能影响采购公正性的法人、其它组织或者个人参加本项目的情况；不存在单位负责人为同一人或者存在直接控股、管理关系的不同供应商，参加同一合同项下的政府采购活动的情况。</w:t>
      </w:r>
    </w:p>
    <w:p w14:paraId="4ECCC3BE">
      <w:pPr>
        <w:adjustRightInd w:val="0"/>
        <w:snapToGrid w:val="0"/>
        <w:spacing w:before="36" w:beforeLines="15" w:line="360" w:lineRule="auto"/>
        <w:rPr>
          <w:rFonts w:ascii="宋体" w:hAnsi="宋体" w:cs="宋体"/>
          <w:color w:val="auto"/>
          <w:szCs w:val="21"/>
          <w:highlight w:val="none"/>
        </w:rPr>
      </w:pPr>
    </w:p>
    <w:p w14:paraId="2F615B23">
      <w:pPr>
        <w:adjustRightInd w:val="0"/>
        <w:snapToGrid w:val="0"/>
        <w:spacing w:before="36" w:beforeLines="15" w:line="360" w:lineRule="auto"/>
        <w:rPr>
          <w:rFonts w:ascii="宋体" w:hAnsi="宋体" w:cs="宋体"/>
          <w:color w:val="auto"/>
          <w:szCs w:val="21"/>
          <w:highlight w:val="none"/>
        </w:rPr>
      </w:pPr>
    </w:p>
    <w:p w14:paraId="68667C16">
      <w:pPr>
        <w:adjustRightInd w:val="0"/>
        <w:snapToGrid w:val="0"/>
        <w:spacing w:before="36" w:beforeLines="15" w:line="360" w:lineRule="auto"/>
        <w:rPr>
          <w:rFonts w:ascii="宋体" w:hAnsi="宋体" w:cs="宋体"/>
          <w:color w:val="auto"/>
          <w:szCs w:val="21"/>
          <w:highlight w:val="none"/>
        </w:rPr>
      </w:pPr>
    </w:p>
    <w:p w14:paraId="0117BA7F">
      <w:pPr>
        <w:adjustRightInd w:val="0"/>
        <w:snapToGrid w:val="0"/>
        <w:spacing w:before="36" w:beforeLines="15" w:line="360" w:lineRule="auto"/>
        <w:rPr>
          <w:rFonts w:ascii="宋体" w:hAnsi="宋体" w:cs="宋体"/>
          <w:color w:val="auto"/>
          <w:szCs w:val="21"/>
          <w:highlight w:val="none"/>
        </w:rPr>
      </w:pPr>
    </w:p>
    <w:p w14:paraId="40153BBC">
      <w:pPr>
        <w:adjustRightInd w:val="0"/>
        <w:snapToGrid w:val="0"/>
        <w:spacing w:before="36" w:beforeLines="15" w:line="360" w:lineRule="auto"/>
        <w:rPr>
          <w:rFonts w:ascii="宋体" w:hAnsi="宋体" w:cs="宋体"/>
          <w:color w:val="auto"/>
          <w:szCs w:val="21"/>
          <w:highlight w:val="none"/>
        </w:rPr>
      </w:pPr>
    </w:p>
    <w:p w14:paraId="0816B371">
      <w:pPr>
        <w:adjustRightInd w:val="0"/>
        <w:snapToGrid w:val="0"/>
        <w:spacing w:before="36" w:beforeLines="15" w:line="360" w:lineRule="auto"/>
        <w:rPr>
          <w:rFonts w:ascii="宋体" w:hAnsi="宋体" w:cs="宋体"/>
          <w:color w:val="auto"/>
          <w:szCs w:val="21"/>
          <w:highlight w:val="none"/>
        </w:rPr>
      </w:pPr>
    </w:p>
    <w:p w14:paraId="08A894B9">
      <w:pPr>
        <w:adjustRightInd w:val="0"/>
        <w:snapToGrid w:val="0"/>
        <w:spacing w:before="36" w:beforeLines="15" w:line="360" w:lineRule="auto"/>
        <w:rPr>
          <w:rFonts w:ascii="宋体" w:hAnsi="宋体" w:cs="宋体"/>
          <w:color w:val="auto"/>
          <w:szCs w:val="21"/>
          <w:highlight w:val="none"/>
        </w:rPr>
      </w:pPr>
    </w:p>
    <w:p w14:paraId="35A45C13">
      <w:pPr>
        <w:adjustRightInd w:val="0"/>
        <w:snapToGrid w:val="0"/>
        <w:spacing w:before="36" w:beforeLines="15" w:line="360" w:lineRule="auto"/>
        <w:ind w:left="3578" w:leftChars="1704"/>
        <w:rPr>
          <w:rFonts w:ascii="宋体" w:hAnsi="宋体" w:cs="宋体"/>
          <w:color w:val="auto"/>
          <w:szCs w:val="21"/>
          <w:highlight w:val="none"/>
        </w:rPr>
      </w:pPr>
      <w:r>
        <w:rPr>
          <w:rFonts w:hint="eastAsia" w:ascii="宋体" w:hAnsi="宋体" w:cs="宋体"/>
          <w:color w:val="auto"/>
          <w:szCs w:val="21"/>
          <w:highlight w:val="none"/>
        </w:rPr>
        <w:t>供应商名称（盖章）：</w:t>
      </w:r>
    </w:p>
    <w:p w14:paraId="050FACE9">
      <w:pPr>
        <w:adjustRightInd w:val="0"/>
        <w:snapToGrid w:val="0"/>
        <w:spacing w:before="36" w:beforeLines="15" w:line="360" w:lineRule="auto"/>
        <w:ind w:left="3578" w:leftChars="1704"/>
        <w:rPr>
          <w:rFonts w:ascii="宋体" w:hAnsi="宋体" w:cs="宋体"/>
          <w:color w:val="auto"/>
          <w:szCs w:val="21"/>
          <w:highlight w:val="none"/>
        </w:rPr>
      </w:pPr>
      <w:r>
        <w:rPr>
          <w:rFonts w:hint="eastAsia" w:ascii="宋体" w:hAnsi="宋体" w:cs="宋体"/>
          <w:color w:val="auto"/>
          <w:szCs w:val="21"/>
          <w:highlight w:val="none"/>
        </w:rPr>
        <w:t>法定代表人或授权委托人（签字或盖章）：</w:t>
      </w:r>
    </w:p>
    <w:p w14:paraId="762C3D8E">
      <w:pPr>
        <w:spacing w:before="120" w:beforeLines="50" w:after="120" w:afterLines="50" w:line="288"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F00BF37">
      <w:pPr>
        <w:spacing w:before="120" w:beforeLines="50" w:after="120" w:afterLines="50" w:line="288" w:lineRule="auto"/>
        <w:jc w:val="center"/>
        <w:rPr>
          <w:rFonts w:ascii="宋体" w:hAnsi="宋体" w:cs="宋体"/>
          <w:color w:val="auto"/>
          <w:szCs w:val="21"/>
          <w:highlight w:val="none"/>
        </w:rPr>
      </w:pPr>
    </w:p>
    <w:p w14:paraId="2967B1FF">
      <w:pPr>
        <w:spacing w:before="120" w:beforeLines="50" w:after="120" w:afterLines="50" w:line="288" w:lineRule="auto"/>
        <w:jc w:val="center"/>
        <w:rPr>
          <w:rFonts w:ascii="宋体" w:hAnsi="宋体" w:cs="宋体"/>
          <w:color w:val="auto"/>
          <w:szCs w:val="21"/>
          <w:highlight w:val="none"/>
        </w:rPr>
      </w:pPr>
    </w:p>
    <w:p w14:paraId="1ACEABFC">
      <w:pPr>
        <w:spacing w:before="120" w:beforeLines="50" w:after="120" w:afterLines="50" w:line="288" w:lineRule="auto"/>
        <w:jc w:val="center"/>
        <w:rPr>
          <w:rFonts w:ascii="宋体" w:hAnsi="宋体" w:cs="宋体"/>
          <w:color w:val="auto"/>
          <w:szCs w:val="21"/>
          <w:highlight w:val="none"/>
        </w:rPr>
      </w:pPr>
    </w:p>
    <w:p w14:paraId="3DFD7140">
      <w:pPr>
        <w:spacing w:before="120" w:beforeLines="50" w:after="120" w:afterLines="50" w:line="288" w:lineRule="auto"/>
        <w:jc w:val="center"/>
        <w:rPr>
          <w:rFonts w:ascii="宋体" w:hAnsi="宋体" w:cs="宋体"/>
          <w:color w:val="auto"/>
          <w:szCs w:val="21"/>
          <w:highlight w:val="none"/>
        </w:rPr>
      </w:pPr>
    </w:p>
    <w:p w14:paraId="65E5B651">
      <w:pPr>
        <w:spacing w:before="120" w:beforeLines="50" w:after="120" w:afterLines="50" w:line="288" w:lineRule="auto"/>
        <w:jc w:val="center"/>
        <w:rPr>
          <w:rFonts w:ascii="宋体" w:hAnsi="宋体" w:cs="宋体"/>
          <w:color w:val="auto"/>
          <w:szCs w:val="21"/>
          <w:highlight w:val="none"/>
        </w:rPr>
      </w:pPr>
    </w:p>
    <w:p w14:paraId="0C824EDD">
      <w:pPr>
        <w:spacing w:before="120" w:beforeLines="50" w:after="120" w:afterLines="50" w:line="288" w:lineRule="auto"/>
        <w:jc w:val="center"/>
        <w:rPr>
          <w:rFonts w:ascii="宋体" w:hAnsi="宋体" w:cs="宋体"/>
          <w:color w:val="auto"/>
          <w:szCs w:val="21"/>
          <w:highlight w:val="none"/>
        </w:rPr>
      </w:pPr>
    </w:p>
    <w:p w14:paraId="753B5432">
      <w:pPr>
        <w:spacing w:before="120" w:beforeLines="50" w:after="120" w:afterLines="50" w:line="288" w:lineRule="auto"/>
        <w:jc w:val="center"/>
        <w:rPr>
          <w:rFonts w:ascii="宋体" w:hAnsi="宋体" w:cs="宋体"/>
          <w:color w:val="auto"/>
          <w:szCs w:val="21"/>
          <w:highlight w:val="none"/>
        </w:rPr>
      </w:pPr>
    </w:p>
    <w:p w14:paraId="558D2BDA">
      <w:pPr>
        <w:spacing w:before="120" w:beforeLines="50" w:after="120" w:afterLines="50" w:line="288" w:lineRule="auto"/>
        <w:jc w:val="center"/>
        <w:rPr>
          <w:rFonts w:ascii="宋体" w:hAnsi="宋体" w:cs="宋体"/>
          <w:color w:val="auto"/>
          <w:szCs w:val="21"/>
          <w:highlight w:val="none"/>
        </w:rPr>
      </w:pPr>
    </w:p>
    <w:p w14:paraId="7BFE8030">
      <w:pPr>
        <w:spacing w:before="120" w:beforeLines="50" w:after="120" w:afterLines="50" w:line="288" w:lineRule="auto"/>
        <w:jc w:val="center"/>
        <w:rPr>
          <w:rFonts w:ascii="宋体" w:hAnsi="宋体" w:cs="宋体"/>
          <w:color w:val="auto"/>
          <w:szCs w:val="21"/>
          <w:highlight w:val="none"/>
        </w:rPr>
      </w:pPr>
    </w:p>
    <w:p w14:paraId="43C01ED3">
      <w:pPr>
        <w:widowControl/>
        <w:adjustRightInd w:val="0"/>
        <w:snapToGrid w:val="0"/>
        <w:spacing w:line="360" w:lineRule="auto"/>
        <w:ind w:firstLine="480"/>
        <w:jc w:val="center"/>
        <w:rPr>
          <w:rFonts w:ascii="宋体" w:hAnsi="宋体" w:cs="宋体"/>
          <w:color w:val="auto"/>
          <w:sz w:val="24"/>
          <w:highlight w:val="none"/>
        </w:rPr>
      </w:pPr>
      <w:r>
        <w:rPr>
          <w:rFonts w:ascii="宋体" w:hAnsi="宋体" w:cs="宋体"/>
          <w:color w:val="auto"/>
          <w:sz w:val="24"/>
          <w:highlight w:val="none"/>
        </w:rPr>
        <w:br w:type="page"/>
      </w:r>
    </w:p>
    <w:p w14:paraId="6FBC69DB">
      <w:pPr>
        <w:widowControl/>
        <w:adjustRightInd w:val="0"/>
        <w:snapToGrid w:val="0"/>
        <w:spacing w:line="360" w:lineRule="auto"/>
        <w:jc w:val="center"/>
        <w:rPr>
          <w:rFonts w:ascii="宋体" w:hAnsi="宋体"/>
          <w:color w:val="auto"/>
          <w:szCs w:val="21"/>
          <w:highlight w:val="none"/>
        </w:rPr>
      </w:pPr>
    </w:p>
    <w:p w14:paraId="1321A7DE">
      <w:pPr>
        <w:widowControl/>
        <w:adjustRightInd w:val="0"/>
        <w:snapToGrid w:val="0"/>
        <w:spacing w:before="36" w:beforeLines="15"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（二）提供供应商认为有必要提交的其他材料</w:t>
      </w:r>
    </w:p>
    <w:p w14:paraId="1FAECB0B">
      <w:pPr>
        <w:spacing w:line="440" w:lineRule="exact"/>
        <w:rPr>
          <w:rFonts w:ascii="宋体" w:hAnsi="宋体" w:cs="宋体"/>
          <w:color w:val="auto"/>
          <w:kern w:val="0"/>
          <w:szCs w:val="21"/>
          <w:highlight w:val="none"/>
        </w:rPr>
      </w:pPr>
    </w:p>
    <w:p w14:paraId="2A374C13">
      <w:pPr>
        <w:spacing w:line="440" w:lineRule="exact"/>
        <w:rPr>
          <w:rFonts w:ascii="宋体" w:hAnsi="宋体" w:cs="宋体"/>
          <w:color w:val="auto"/>
          <w:kern w:val="0"/>
          <w:szCs w:val="21"/>
          <w:highlight w:val="none"/>
        </w:rPr>
      </w:pPr>
    </w:p>
    <w:p w14:paraId="577B7891">
      <w:pPr>
        <w:spacing w:line="440" w:lineRule="exact"/>
        <w:rPr>
          <w:rFonts w:ascii="宋体" w:hAnsi="宋体" w:cs="宋体"/>
          <w:color w:val="auto"/>
          <w:kern w:val="0"/>
          <w:szCs w:val="21"/>
          <w:highlight w:val="none"/>
        </w:rPr>
      </w:pPr>
    </w:p>
    <w:p w14:paraId="6915692A">
      <w:pPr>
        <w:rPr>
          <w:rFonts w:ascii="宋体" w:hAnsi="宋体" w:cs="宋体"/>
          <w:color w:val="auto"/>
          <w:kern w:val="0"/>
          <w:szCs w:val="21"/>
          <w:highlight w:val="none"/>
        </w:rPr>
      </w:pPr>
      <w:r>
        <w:rPr>
          <w:rFonts w:ascii="宋体" w:hAnsi="宋体" w:cs="宋体"/>
          <w:color w:val="auto"/>
          <w:kern w:val="0"/>
          <w:szCs w:val="21"/>
          <w:highlight w:val="none"/>
        </w:rPr>
        <w:br w:type="page"/>
      </w:r>
    </w:p>
    <w:p w14:paraId="5A8218AD">
      <w:pPr>
        <w:widowControl/>
        <w:adjustRightInd w:val="0"/>
        <w:snapToGrid w:val="0"/>
        <w:spacing w:line="360" w:lineRule="auto"/>
        <w:jc w:val="both"/>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eastAsia="zh-CN"/>
        </w:rPr>
        <w:t>（三）落实政府采购政策</w:t>
      </w:r>
    </w:p>
    <w:p w14:paraId="7D3A0CAA">
      <w:pPr>
        <w:numPr>
          <w:ilvl w:val="0"/>
          <w:numId w:val="0"/>
        </w:numPr>
        <w:spacing w:before="240" w:beforeLines="100" w:after="240" w:afterLines="100" w:line="360" w:lineRule="auto"/>
        <w:jc w:val="center"/>
        <w:rPr>
          <w:rFonts w:hint="eastAsia" w:ascii="宋体" w:hAnsi="宋体" w:cs="宋体"/>
          <w:b/>
          <w:bCs/>
          <w:color w:val="auto"/>
          <w:sz w:val="24"/>
          <w:szCs w:val="24"/>
          <w:highlight w:val="none"/>
          <w:lang w:val="zh-CN" w:bidi="zh-CN"/>
        </w:rPr>
      </w:pPr>
      <w:r>
        <w:rPr>
          <w:rFonts w:hint="eastAsia" w:ascii="宋体" w:hAnsi="宋体" w:cs="宋体"/>
          <w:b/>
          <w:bCs/>
          <w:color w:val="auto"/>
          <w:sz w:val="24"/>
          <w:szCs w:val="24"/>
          <w:highlight w:val="none"/>
          <w:lang w:val="zh-CN" w:bidi="zh-CN"/>
        </w:rPr>
        <w:t>（</w:t>
      </w:r>
      <w:r>
        <w:rPr>
          <w:rFonts w:hint="eastAsia" w:ascii="宋体" w:hAnsi="宋体" w:cs="宋体"/>
          <w:b/>
          <w:bCs/>
          <w:color w:val="auto"/>
          <w:sz w:val="24"/>
          <w:szCs w:val="24"/>
          <w:highlight w:val="none"/>
          <w:lang w:val="en-US" w:bidi="zh-CN"/>
        </w:rPr>
        <w:t>1</w:t>
      </w:r>
      <w:r>
        <w:rPr>
          <w:rFonts w:hint="eastAsia" w:ascii="宋体" w:hAnsi="宋体" w:cs="宋体"/>
          <w:b/>
          <w:bCs/>
          <w:color w:val="auto"/>
          <w:sz w:val="24"/>
          <w:szCs w:val="24"/>
          <w:highlight w:val="none"/>
          <w:lang w:val="zh-CN" w:bidi="zh-CN"/>
        </w:rPr>
        <w:t>）中小企业声明函（</w:t>
      </w:r>
      <w:r>
        <w:rPr>
          <w:rFonts w:hint="eastAsia" w:ascii="宋体" w:hAnsi="宋体" w:cs="宋体"/>
          <w:b/>
          <w:bCs/>
          <w:color w:val="auto"/>
          <w:sz w:val="24"/>
          <w:szCs w:val="24"/>
          <w:highlight w:val="none"/>
          <w:lang w:val="en-US" w:bidi="zh-CN"/>
        </w:rPr>
        <w:t>货物</w:t>
      </w:r>
      <w:r>
        <w:rPr>
          <w:rFonts w:hint="eastAsia" w:ascii="宋体" w:hAnsi="宋体" w:cs="宋体"/>
          <w:b/>
          <w:bCs/>
          <w:color w:val="auto"/>
          <w:sz w:val="24"/>
          <w:szCs w:val="24"/>
          <w:highlight w:val="none"/>
          <w:lang w:val="zh-CN" w:bidi="zh-CN"/>
        </w:rPr>
        <w:t>）</w:t>
      </w:r>
    </w:p>
    <w:p w14:paraId="613F1A34">
      <w:pPr>
        <w:pStyle w:val="130"/>
        <w:spacing w:line="240" w:lineRule="auto"/>
        <w:ind w:right="157" w:firstLine="6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 ﹝2020﹞46号）的规定，本公司（联合体）参加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采购活动，提供的货物全部由符合政策要求的中小企业制造。相关企业（含联合体中的中小企业、签订分包意向协议的中小企业）的具体情况如下： </w:t>
      </w:r>
    </w:p>
    <w:p w14:paraId="26758657">
      <w:pPr>
        <w:widowControl/>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position w:val="16"/>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357DCC2B">
      <w:pPr>
        <w:widowControl/>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04F799A6">
      <w:pPr>
        <w:pStyle w:val="131"/>
        <w:spacing w:line="240" w:lineRule="auto"/>
        <w:ind w:left="6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6AB5D57">
      <w:pPr>
        <w:pStyle w:val="130"/>
        <w:spacing w:line="240" w:lineRule="auto"/>
        <w:ind w:right="157" w:firstLine="6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7313883">
      <w:pPr>
        <w:pStyle w:val="131"/>
        <w:spacing w:line="240" w:lineRule="auto"/>
        <w:ind w:left="6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3833D1E9">
      <w:pPr>
        <w:pStyle w:val="132"/>
        <w:spacing w:line="240" w:lineRule="auto"/>
        <w:ind w:left="4378" w:leftChars="1960" w:hanging="262" w:hangingChars="125"/>
        <w:rPr>
          <w:rFonts w:hint="eastAsia" w:ascii="宋体" w:hAnsi="宋体" w:eastAsia="宋体" w:cs="宋体"/>
          <w:color w:val="auto"/>
          <w:sz w:val="21"/>
          <w:szCs w:val="21"/>
          <w:highlight w:val="none"/>
        </w:rPr>
      </w:pPr>
    </w:p>
    <w:p w14:paraId="0AF61A13">
      <w:pPr>
        <w:pStyle w:val="75"/>
        <w:spacing w:line="240" w:lineRule="auto"/>
        <w:rPr>
          <w:rFonts w:hint="eastAsia" w:ascii="宋体" w:hAnsi="宋体" w:eastAsia="宋体" w:cs="宋体"/>
          <w:color w:val="auto"/>
          <w:sz w:val="21"/>
          <w:szCs w:val="21"/>
          <w:highlight w:val="none"/>
        </w:rPr>
      </w:pPr>
    </w:p>
    <w:p w14:paraId="3F4AD24A">
      <w:pPr>
        <w:pStyle w:val="75"/>
        <w:spacing w:line="240" w:lineRule="auto"/>
        <w:rPr>
          <w:rFonts w:hint="eastAsia" w:ascii="宋体" w:hAnsi="宋体" w:eastAsia="宋体" w:cs="宋体"/>
          <w:color w:val="auto"/>
          <w:sz w:val="21"/>
          <w:szCs w:val="21"/>
          <w:highlight w:val="none"/>
        </w:rPr>
      </w:pPr>
    </w:p>
    <w:p w14:paraId="2B035797">
      <w:pPr>
        <w:pStyle w:val="132"/>
        <w:spacing w:line="240" w:lineRule="auto"/>
        <w:ind w:left="4378" w:leftChars="1960" w:hanging="262" w:hangingChars="125"/>
        <w:rPr>
          <w:rFonts w:hint="eastAsia" w:ascii="宋体" w:hAnsi="宋体" w:eastAsia="宋体" w:cs="宋体"/>
          <w:color w:val="auto"/>
          <w:sz w:val="21"/>
          <w:szCs w:val="21"/>
          <w:highlight w:val="none"/>
        </w:rPr>
      </w:pPr>
    </w:p>
    <w:p w14:paraId="18450BD5">
      <w:pPr>
        <w:pStyle w:val="13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08B857A4">
      <w:pPr>
        <w:pStyle w:val="132"/>
        <w:spacing w:line="240" w:lineRule="auto"/>
        <w:rPr>
          <w:rFonts w:hint="eastAsia" w:ascii="宋体" w:hAnsi="宋体" w:eastAsia="宋体" w:cs="宋体"/>
          <w:color w:val="auto"/>
          <w:sz w:val="21"/>
          <w:szCs w:val="21"/>
          <w:highlight w:val="none"/>
        </w:rPr>
      </w:pPr>
    </w:p>
    <w:p w14:paraId="08B0376D">
      <w:pPr>
        <w:pStyle w:val="13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3076C273">
      <w:pPr>
        <w:pStyle w:val="75"/>
        <w:rPr>
          <w:rFonts w:hint="eastAsia" w:ascii="宋体" w:hAnsi="宋体" w:eastAsia="宋体" w:cs="宋体"/>
          <w:color w:val="auto"/>
          <w:sz w:val="21"/>
          <w:szCs w:val="21"/>
          <w:highlight w:val="none"/>
        </w:rPr>
      </w:pPr>
    </w:p>
    <w:p w14:paraId="110EAEE5">
      <w:pPr>
        <w:pStyle w:val="23"/>
        <w:rPr>
          <w:rFonts w:hint="eastAsia" w:ascii="宋体" w:hAnsi="宋体" w:eastAsia="宋体" w:cs="宋体"/>
          <w:color w:val="auto"/>
          <w:sz w:val="21"/>
          <w:szCs w:val="21"/>
          <w:highlight w:val="none"/>
        </w:rPr>
      </w:pPr>
    </w:p>
    <w:p w14:paraId="1BD274F1">
      <w:pPr>
        <w:rPr>
          <w:rFonts w:hint="eastAsia" w:ascii="宋体" w:hAnsi="宋体" w:eastAsia="宋体" w:cs="宋体"/>
          <w:color w:val="auto"/>
          <w:sz w:val="21"/>
          <w:szCs w:val="21"/>
          <w:highlight w:val="none"/>
        </w:rPr>
      </w:pPr>
    </w:p>
    <w:p w14:paraId="3EA8C796">
      <w:pPr>
        <w:pStyle w:val="59"/>
        <w:rPr>
          <w:rFonts w:hint="eastAsia" w:ascii="宋体" w:hAnsi="宋体" w:eastAsia="宋体" w:cs="宋体"/>
          <w:color w:val="auto"/>
          <w:sz w:val="21"/>
          <w:szCs w:val="21"/>
          <w:highlight w:val="none"/>
        </w:rPr>
      </w:pPr>
    </w:p>
    <w:p w14:paraId="13ECC7E3">
      <w:pPr>
        <w:pStyle w:val="59"/>
        <w:rPr>
          <w:rFonts w:hint="eastAsia" w:ascii="宋体" w:hAnsi="宋体" w:eastAsia="宋体" w:cs="宋体"/>
          <w:color w:val="auto"/>
          <w:sz w:val="21"/>
          <w:szCs w:val="21"/>
          <w:highlight w:val="none"/>
        </w:rPr>
      </w:pPr>
    </w:p>
    <w:p w14:paraId="6DC063F6">
      <w:pPr>
        <w:pStyle w:val="59"/>
        <w:rPr>
          <w:rFonts w:hint="eastAsia" w:ascii="宋体" w:hAnsi="宋体" w:eastAsia="宋体" w:cs="宋体"/>
          <w:color w:val="auto"/>
          <w:sz w:val="21"/>
          <w:szCs w:val="21"/>
          <w:highlight w:val="none"/>
        </w:rPr>
      </w:pPr>
    </w:p>
    <w:p w14:paraId="064A17FE">
      <w:pPr>
        <w:pStyle w:val="59"/>
        <w:rPr>
          <w:rFonts w:hint="eastAsia" w:ascii="宋体" w:hAnsi="宋体" w:eastAsia="宋体" w:cs="宋体"/>
          <w:color w:val="auto"/>
          <w:sz w:val="21"/>
          <w:szCs w:val="21"/>
          <w:highlight w:val="none"/>
        </w:rPr>
      </w:pPr>
    </w:p>
    <w:p w14:paraId="7300576E">
      <w:pPr>
        <w:pStyle w:val="59"/>
        <w:rPr>
          <w:rFonts w:hint="eastAsia" w:ascii="宋体" w:hAnsi="宋体" w:eastAsia="宋体" w:cs="宋体"/>
          <w:color w:val="auto"/>
          <w:sz w:val="21"/>
          <w:szCs w:val="21"/>
          <w:highlight w:val="none"/>
        </w:rPr>
      </w:pPr>
    </w:p>
    <w:p w14:paraId="58936FAE">
      <w:pPr>
        <w:pStyle w:val="59"/>
        <w:rPr>
          <w:rFonts w:hint="eastAsia" w:ascii="宋体" w:hAnsi="宋体" w:eastAsia="宋体" w:cs="宋体"/>
          <w:color w:val="auto"/>
          <w:sz w:val="21"/>
          <w:szCs w:val="21"/>
          <w:highlight w:val="none"/>
        </w:rPr>
      </w:pPr>
    </w:p>
    <w:p w14:paraId="27ED5BA5">
      <w:pPr>
        <w:pStyle w:val="59"/>
        <w:rPr>
          <w:rFonts w:hint="eastAsia" w:ascii="宋体" w:hAnsi="宋体" w:eastAsia="宋体" w:cs="宋体"/>
          <w:color w:val="auto"/>
          <w:sz w:val="21"/>
          <w:szCs w:val="21"/>
          <w:highlight w:val="none"/>
        </w:rPr>
      </w:pPr>
    </w:p>
    <w:p w14:paraId="3BDCC870">
      <w:pPr>
        <w:pStyle w:val="59"/>
        <w:rPr>
          <w:rFonts w:hint="eastAsia" w:ascii="宋体" w:hAnsi="宋体" w:eastAsia="宋体" w:cs="宋体"/>
          <w:color w:val="auto"/>
          <w:sz w:val="21"/>
          <w:szCs w:val="21"/>
          <w:highlight w:val="none"/>
        </w:rPr>
      </w:pPr>
    </w:p>
    <w:p w14:paraId="38FE1D75">
      <w:pPr>
        <w:pStyle w:val="59"/>
        <w:rPr>
          <w:rFonts w:hint="eastAsia" w:ascii="宋体" w:hAnsi="宋体" w:eastAsia="宋体" w:cs="宋体"/>
          <w:color w:val="auto"/>
          <w:sz w:val="21"/>
          <w:szCs w:val="21"/>
          <w:highlight w:val="none"/>
        </w:rPr>
      </w:pPr>
    </w:p>
    <w:p w14:paraId="5326E777">
      <w:pPr>
        <w:pStyle w:val="59"/>
        <w:rPr>
          <w:rFonts w:hint="eastAsia" w:ascii="宋体" w:hAnsi="宋体" w:eastAsia="宋体" w:cs="宋体"/>
          <w:color w:val="auto"/>
          <w:sz w:val="21"/>
          <w:szCs w:val="21"/>
          <w:highlight w:val="none"/>
        </w:rPr>
      </w:pPr>
    </w:p>
    <w:p w14:paraId="672F282C">
      <w:pPr>
        <w:pStyle w:val="59"/>
        <w:rPr>
          <w:rFonts w:hint="eastAsia" w:ascii="宋体" w:hAnsi="宋体" w:eastAsia="宋体" w:cs="宋体"/>
          <w:color w:val="auto"/>
          <w:sz w:val="21"/>
          <w:szCs w:val="21"/>
          <w:highlight w:val="none"/>
        </w:rPr>
      </w:pPr>
    </w:p>
    <w:p w14:paraId="271E9331">
      <w:pPr>
        <w:pStyle w:val="59"/>
        <w:rPr>
          <w:rFonts w:hint="eastAsia" w:ascii="宋体" w:hAnsi="宋体" w:eastAsia="宋体" w:cs="宋体"/>
          <w:color w:val="auto"/>
          <w:sz w:val="21"/>
          <w:szCs w:val="21"/>
          <w:highlight w:val="none"/>
        </w:rPr>
      </w:pPr>
    </w:p>
    <w:p w14:paraId="61817B92">
      <w:pPr>
        <w:pStyle w:val="59"/>
        <w:rPr>
          <w:rFonts w:hint="eastAsia" w:ascii="宋体" w:hAnsi="宋体" w:eastAsia="宋体" w:cs="宋体"/>
          <w:color w:val="auto"/>
          <w:sz w:val="21"/>
          <w:szCs w:val="21"/>
          <w:highlight w:val="none"/>
        </w:rPr>
      </w:pPr>
    </w:p>
    <w:p w14:paraId="4A79E903">
      <w:pPr>
        <w:pStyle w:val="75"/>
        <w:spacing w:line="240" w:lineRule="auto"/>
        <w:rPr>
          <w:rFonts w:hint="eastAsia" w:ascii="宋体" w:hAnsi="宋体" w:eastAsia="宋体" w:cs="宋体"/>
          <w:color w:val="auto"/>
          <w:sz w:val="21"/>
          <w:szCs w:val="21"/>
          <w:highlight w:val="none"/>
        </w:rPr>
      </w:pPr>
    </w:p>
    <w:p w14:paraId="29020665">
      <w:pPr>
        <w:pStyle w:val="75"/>
        <w:spacing w:line="240" w:lineRule="auto"/>
        <w:rPr>
          <w:rFonts w:hint="eastAsia" w:ascii="宋体" w:hAnsi="宋体" w:eastAsia="宋体" w:cs="宋体"/>
          <w:color w:val="auto"/>
          <w:sz w:val="21"/>
          <w:szCs w:val="21"/>
          <w:highlight w:val="none"/>
        </w:rPr>
      </w:pPr>
    </w:p>
    <w:p w14:paraId="3CB5BBC9">
      <w:pPr>
        <w:pStyle w:val="132"/>
        <w:spacing w:line="240" w:lineRule="auto"/>
        <w:rPr>
          <w:rFonts w:hint="eastAsia" w:ascii="宋体" w:hAnsi="宋体" w:eastAsia="宋体" w:cs="宋体"/>
          <w:color w:val="auto"/>
          <w:sz w:val="24"/>
          <w:szCs w:val="24"/>
          <w:highlight w:val="none"/>
          <w:vertAlign w:val="superscript"/>
        </w:rPr>
      </w:pPr>
      <w:r>
        <w:rPr>
          <w:rFonts w:hint="eastAsia" w:ascii="宋体" w:hAnsi="宋体" w:eastAsia="宋体" w:cs="宋体"/>
          <w:color w:val="auto"/>
          <w:sz w:val="24"/>
          <w:szCs w:val="24"/>
          <w:highlight w:val="none"/>
          <w:vertAlign w:val="superscript"/>
        </w:rPr>
        <w:t xml:space="preserve"> </w:t>
      </w:r>
    </w:p>
    <w:p w14:paraId="1D9D7667">
      <w:pPr>
        <w:pStyle w:val="132"/>
        <w:pBdr>
          <w:top w:val="single" w:color="auto" w:sz="4" w:space="1"/>
          <w:left w:val="none" w:color="auto" w:sz="0" w:space="4"/>
          <w:bottom w:val="none" w:color="auto" w:sz="0" w:space="1"/>
          <w:right w:val="none" w:color="auto" w:sz="0" w:space="4"/>
        </w:pBd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superscript"/>
        </w:rPr>
        <w:t>1</w:t>
      </w: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0A033D33">
      <w:pPr>
        <w:spacing w:before="240" w:beforeLines="100" w:after="240" w:afterLines="100" w:line="240" w:lineRule="auto"/>
        <w:jc w:val="center"/>
        <w:rPr>
          <w:rFonts w:ascii="宋体" w:hAnsi="宋体" w:cs="宋体"/>
          <w:b/>
          <w:color w:val="auto"/>
          <w:spacing w:val="20"/>
          <w:sz w:val="32"/>
          <w:szCs w:val="32"/>
          <w:highlight w:val="none"/>
        </w:rPr>
      </w:pPr>
      <w:r>
        <w:rPr>
          <w:rFonts w:hint="eastAsia" w:ascii="宋体" w:hAnsi="宋体" w:eastAsia="宋体" w:cs="宋体"/>
          <w:b/>
          <w:bCs w:val="0"/>
          <w:color w:val="auto"/>
          <w:spacing w:val="20"/>
          <w:sz w:val="24"/>
          <w:szCs w:val="24"/>
          <w:highlight w:val="none"/>
          <w:lang w:eastAsia="zh-CN"/>
        </w:rPr>
        <w:t>（</w:t>
      </w:r>
      <w:r>
        <w:rPr>
          <w:rFonts w:hint="eastAsia" w:ascii="宋体" w:hAnsi="宋体" w:eastAsia="宋体" w:cs="宋体"/>
          <w:b/>
          <w:bCs w:val="0"/>
          <w:color w:val="auto"/>
          <w:spacing w:val="20"/>
          <w:sz w:val="24"/>
          <w:szCs w:val="24"/>
          <w:highlight w:val="none"/>
          <w:lang w:val="en-US" w:eastAsia="zh-CN"/>
        </w:rPr>
        <w:t>2）</w:t>
      </w:r>
      <w:r>
        <w:rPr>
          <w:rFonts w:hint="eastAsia" w:ascii="宋体" w:hAnsi="宋体" w:eastAsia="宋体" w:cs="宋体"/>
          <w:b/>
          <w:bCs w:val="0"/>
          <w:color w:val="auto"/>
          <w:spacing w:val="20"/>
          <w:sz w:val="24"/>
          <w:szCs w:val="24"/>
          <w:highlight w:val="none"/>
        </w:rPr>
        <w:t>残疾人福利性单位声明函</w:t>
      </w:r>
    </w:p>
    <w:p w14:paraId="2BC9DCA4">
      <w:pPr>
        <w:spacing w:line="480" w:lineRule="auto"/>
        <w:ind w:firstLine="630" w:firstLineChars="300"/>
        <w:rPr>
          <w:rFonts w:ascii="宋体" w:hAnsi="宋体" w:cs="宋体"/>
          <w:color w:val="auto"/>
          <w:szCs w:val="21"/>
          <w:highlight w:val="none"/>
        </w:rPr>
      </w:pPr>
      <w:r>
        <w:rPr>
          <w:rFonts w:hint="eastAsia" w:ascii="宋体" w:hAnsi="宋体" w:cs="宋体"/>
          <w:bCs/>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92D53A">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0EF4800C">
      <w:pPr>
        <w:spacing w:line="360" w:lineRule="auto"/>
        <w:rPr>
          <w:rFonts w:ascii="宋体" w:hAnsi="宋体" w:cs="宋体"/>
          <w:color w:val="auto"/>
          <w:szCs w:val="21"/>
          <w:highlight w:val="none"/>
        </w:rPr>
      </w:pPr>
    </w:p>
    <w:p w14:paraId="21599A46">
      <w:pPr>
        <w:spacing w:line="360" w:lineRule="auto"/>
        <w:rPr>
          <w:rFonts w:ascii="宋体" w:hAnsi="宋体" w:cs="宋体"/>
          <w:color w:val="auto"/>
          <w:szCs w:val="21"/>
          <w:highlight w:val="none"/>
        </w:rPr>
      </w:pPr>
    </w:p>
    <w:p w14:paraId="7883DECD">
      <w:pPr>
        <w:pStyle w:val="21"/>
        <w:spacing w:line="480" w:lineRule="auto"/>
        <w:rPr>
          <w:rFonts w:hint="eastAsia" w:ascii="宋体" w:hAnsi="宋体" w:eastAsia="宋体" w:cs="宋体"/>
          <w:b/>
          <w:bCs/>
          <w:color w:val="auto"/>
          <w:highlight w:val="none"/>
          <w:lang w:val="zh-CN"/>
        </w:rPr>
      </w:pPr>
    </w:p>
    <w:p w14:paraId="2655A0D6">
      <w:pPr>
        <w:pStyle w:val="21"/>
        <w:spacing w:line="480" w:lineRule="auto"/>
        <w:rPr>
          <w:rFonts w:hint="eastAsia" w:ascii="宋体" w:hAnsi="宋体" w:eastAsia="宋体" w:cs="宋体"/>
          <w:b/>
          <w:bCs/>
          <w:color w:val="auto"/>
          <w:highlight w:val="none"/>
          <w:lang w:val="zh-CN"/>
        </w:rPr>
      </w:pPr>
    </w:p>
    <w:p w14:paraId="562C9A79">
      <w:pPr>
        <w:pStyle w:val="21"/>
        <w:spacing w:line="480" w:lineRule="auto"/>
        <w:rPr>
          <w:rFonts w:hint="eastAsia" w:ascii="宋体" w:hAnsi="宋体" w:eastAsia="宋体" w:cs="宋体"/>
          <w:b/>
          <w:bCs/>
          <w:color w:val="auto"/>
          <w:highlight w:val="none"/>
          <w:lang w:val="zh-CN"/>
        </w:rPr>
      </w:pPr>
    </w:p>
    <w:p w14:paraId="42BAF19C">
      <w:pPr>
        <w:pStyle w:val="21"/>
        <w:spacing w:line="480" w:lineRule="auto"/>
        <w:rPr>
          <w:rFonts w:hint="eastAsia" w:ascii="宋体" w:hAnsi="宋体" w:eastAsia="宋体" w:cs="宋体"/>
          <w:b/>
          <w:bCs/>
          <w:color w:val="auto"/>
          <w:highlight w:val="none"/>
          <w:lang w:val="zh-CN"/>
        </w:rPr>
      </w:pPr>
    </w:p>
    <w:p w14:paraId="62726EB9">
      <w:pPr>
        <w:pStyle w:val="21"/>
        <w:spacing w:line="480" w:lineRule="auto"/>
        <w:ind w:firstLine="4620" w:firstLineChars="2200"/>
        <w:rPr>
          <w:rFonts w:hint="eastAsia" w:ascii="宋体" w:hAnsi="宋体" w:eastAsia="宋体" w:cs="宋体"/>
          <w:b w:val="0"/>
          <w:bCs w:val="0"/>
          <w:color w:val="auto"/>
          <w:sz w:val="21"/>
          <w:szCs w:val="21"/>
          <w:highlight w:val="none"/>
          <w:u w:val="single"/>
        </w:rPr>
      </w:pPr>
      <w:r>
        <w:rPr>
          <w:rFonts w:hint="eastAsia" w:hAnsi="宋体" w:cs="宋体"/>
          <w:b w:val="0"/>
          <w:bCs w:val="0"/>
          <w:color w:val="auto"/>
          <w:sz w:val="21"/>
          <w:szCs w:val="21"/>
          <w:highlight w:val="none"/>
          <w:lang w:val="zh-CN"/>
        </w:rPr>
        <w:t>供应商</w:t>
      </w:r>
      <w:r>
        <w:rPr>
          <w:rFonts w:hint="eastAsia" w:ascii="宋体" w:hAnsi="宋体" w:eastAsia="宋体" w:cs="宋体"/>
          <w:b w:val="0"/>
          <w:bCs w:val="0"/>
          <w:color w:val="auto"/>
          <w:sz w:val="21"/>
          <w:szCs w:val="21"/>
          <w:highlight w:val="none"/>
          <w:lang w:val="zh-CN"/>
        </w:rPr>
        <w:t>名称：</w:t>
      </w:r>
      <w:r>
        <w:rPr>
          <w:rFonts w:hint="eastAsia" w:ascii="宋体" w:hAnsi="宋体" w:eastAsia="宋体" w:cs="宋体"/>
          <w:b w:val="0"/>
          <w:bCs w:val="0"/>
          <w:color w:val="auto"/>
          <w:sz w:val="21"/>
          <w:szCs w:val="21"/>
          <w:highlight w:val="none"/>
          <w:u w:val="single"/>
          <w:lang w:val="zh-CN"/>
        </w:rPr>
        <w:t xml:space="preserve">（盖章）     </w:t>
      </w:r>
      <w:r>
        <w:rPr>
          <w:rFonts w:hint="eastAsia" w:ascii="宋体" w:hAnsi="宋体" w:eastAsia="宋体" w:cs="宋体"/>
          <w:b w:val="0"/>
          <w:bCs w:val="0"/>
          <w:color w:val="auto"/>
          <w:sz w:val="21"/>
          <w:szCs w:val="21"/>
          <w:highlight w:val="none"/>
          <w:u w:val="single"/>
        </w:rPr>
        <w:t xml:space="preserve">              </w:t>
      </w:r>
    </w:p>
    <w:p w14:paraId="54D826ED">
      <w:pPr>
        <w:pStyle w:val="21"/>
        <w:spacing w:line="480" w:lineRule="auto"/>
        <w:ind w:firstLine="4620" w:firstLineChars="2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日 期：</w:t>
      </w:r>
      <w:r>
        <w:rPr>
          <w:rFonts w:hint="eastAsia" w:ascii="宋体" w:hAnsi="宋体" w:eastAsia="宋体" w:cs="宋体"/>
          <w:b w:val="0"/>
          <w:bCs w:val="0"/>
          <w:color w:val="auto"/>
          <w:sz w:val="21"/>
          <w:szCs w:val="21"/>
          <w:highlight w:val="none"/>
          <w:u w:val="single"/>
        </w:rPr>
        <w:t xml:space="preserve">                                </w:t>
      </w:r>
    </w:p>
    <w:p w14:paraId="681A9D5D">
      <w:pPr>
        <w:rPr>
          <w:rFonts w:ascii="宋体" w:hAnsi="宋体" w:cs="宋体"/>
          <w:color w:val="auto"/>
          <w:szCs w:val="21"/>
          <w:highlight w:val="none"/>
        </w:rPr>
      </w:pPr>
    </w:p>
    <w:p w14:paraId="0F6A6B5E">
      <w:pPr>
        <w:jc w:val="center"/>
        <w:rPr>
          <w:rFonts w:ascii="宋体" w:hAnsi="宋体" w:cs="宋体"/>
          <w:color w:val="auto"/>
          <w:szCs w:val="21"/>
          <w:highlight w:val="none"/>
        </w:rPr>
      </w:pPr>
      <w:r>
        <w:rPr>
          <w:rFonts w:hint="eastAsia" w:ascii="宋体" w:hAnsi="宋体" w:cs="宋体"/>
          <w:color w:val="auto"/>
          <w:szCs w:val="21"/>
          <w:highlight w:val="none"/>
        </w:rPr>
        <w:br w:type="page"/>
      </w:r>
    </w:p>
    <w:p w14:paraId="564828F0">
      <w:pPr>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lang w:eastAsia="zh-CN"/>
        </w:rPr>
        <w:t>（</w:t>
      </w:r>
      <w:r>
        <w:rPr>
          <w:rFonts w:hint="eastAsia" w:ascii="宋体" w:hAnsi="宋体" w:eastAsia="宋体" w:cs="宋体"/>
          <w:b/>
          <w:color w:val="auto"/>
          <w:spacing w:val="20"/>
          <w:sz w:val="24"/>
          <w:szCs w:val="24"/>
          <w:highlight w:val="none"/>
          <w:lang w:val="en-US" w:eastAsia="zh-CN"/>
        </w:rPr>
        <w:t>3）</w:t>
      </w:r>
      <w:r>
        <w:rPr>
          <w:rFonts w:hint="eastAsia" w:ascii="宋体" w:hAnsi="宋体" w:eastAsia="宋体" w:cs="宋体"/>
          <w:b/>
          <w:color w:val="auto"/>
          <w:spacing w:val="20"/>
          <w:sz w:val="24"/>
          <w:szCs w:val="24"/>
          <w:highlight w:val="none"/>
        </w:rPr>
        <w:t>监狱企业的证明文件</w:t>
      </w:r>
    </w:p>
    <w:p w14:paraId="1F821AC3">
      <w:pPr>
        <w:spacing w:line="440" w:lineRule="exact"/>
        <w:rPr>
          <w:rFonts w:hint="eastAsia" w:hAnsi="宋体" w:cs="宋体"/>
          <w:color w:val="auto"/>
          <w:szCs w:val="21"/>
          <w:highlight w:val="none"/>
        </w:rPr>
      </w:pPr>
    </w:p>
    <w:p w14:paraId="46BDF940">
      <w:pPr>
        <w:spacing w:line="440" w:lineRule="exact"/>
        <w:ind w:firstLine="210" w:firstLineChars="100"/>
        <w:rPr>
          <w:rFonts w:hAnsi="宋体" w:cs="宋体"/>
          <w:color w:val="auto"/>
          <w:szCs w:val="21"/>
          <w:highlight w:val="none"/>
        </w:rPr>
      </w:pPr>
      <w:r>
        <w:rPr>
          <w:rFonts w:hint="eastAsia" w:hAnsi="宋体" w:cs="宋体"/>
          <w:color w:val="auto"/>
          <w:szCs w:val="21"/>
          <w:highlight w:val="none"/>
        </w:rPr>
        <w:t>说明：监狱企业参加政府采购活动时，应当提供由省级以上监狱管理局、戒毒管理局（含新疆生产建设兵团）出具的属于监狱企业的证明文件并加盖投标单位公章。</w:t>
      </w:r>
    </w:p>
    <w:p w14:paraId="59A69AF6">
      <w:pPr>
        <w:rPr>
          <w:rFonts w:ascii="宋体" w:hAnsi="宋体" w:cs="宋体"/>
          <w:b/>
          <w:bCs/>
          <w:color w:val="auto"/>
          <w:szCs w:val="21"/>
          <w:highlight w:val="none"/>
          <w:lang w:val="zh-CN"/>
        </w:rPr>
      </w:pPr>
    </w:p>
    <w:p w14:paraId="58A02F8A">
      <w:pPr>
        <w:spacing w:line="440" w:lineRule="exact"/>
        <w:rPr>
          <w:rFonts w:ascii="宋体" w:hAnsi="宋体" w:cs="宋体"/>
          <w:color w:val="auto"/>
          <w:kern w:val="0"/>
          <w:szCs w:val="21"/>
          <w:highlight w:val="none"/>
        </w:rPr>
      </w:pPr>
    </w:p>
    <w:p w14:paraId="3E98F8C3">
      <w:pPr>
        <w:spacing w:line="440" w:lineRule="exact"/>
        <w:rPr>
          <w:rFonts w:ascii="宋体" w:hAnsi="宋体" w:cs="宋体"/>
          <w:color w:val="auto"/>
          <w:kern w:val="0"/>
          <w:szCs w:val="21"/>
          <w:highlight w:val="none"/>
        </w:rPr>
      </w:pPr>
    </w:p>
    <w:p w14:paraId="7469CB9B">
      <w:pPr>
        <w:spacing w:line="440" w:lineRule="exact"/>
        <w:rPr>
          <w:rFonts w:ascii="宋体" w:hAnsi="宋体" w:cs="宋体"/>
          <w:color w:val="auto"/>
          <w:kern w:val="0"/>
          <w:szCs w:val="21"/>
          <w:highlight w:val="none"/>
        </w:rPr>
      </w:pPr>
    </w:p>
    <w:p w14:paraId="4513E124">
      <w:pPr>
        <w:spacing w:line="440" w:lineRule="exact"/>
        <w:rPr>
          <w:rFonts w:ascii="宋体" w:hAnsi="宋体" w:cs="宋体"/>
          <w:color w:val="auto"/>
          <w:kern w:val="0"/>
          <w:szCs w:val="21"/>
          <w:highlight w:val="none"/>
        </w:rPr>
      </w:pPr>
    </w:p>
    <w:p w14:paraId="70F27213">
      <w:pPr>
        <w:spacing w:line="440" w:lineRule="exact"/>
        <w:rPr>
          <w:rFonts w:ascii="宋体" w:hAnsi="宋体" w:cs="宋体"/>
          <w:color w:val="auto"/>
          <w:kern w:val="0"/>
          <w:szCs w:val="21"/>
          <w:highlight w:val="none"/>
        </w:rPr>
      </w:pPr>
    </w:p>
    <w:p w14:paraId="07996268">
      <w:pPr>
        <w:spacing w:line="440" w:lineRule="exact"/>
        <w:rPr>
          <w:rFonts w:ascii="宋体" w:hAnsi="宋体" w:cs="宋体"/>
          <w:color w:val="auto"/>
          <w:kern w:val="0"/>
          <w:szCs w:val="21"/>
          <w:highlight w:val="none"/>
        </w:rPr>
      </w:pPr>
    </w:p>
    <w:p w14:paraId="0DC9E1FC">
      <w:pPr>
        <w:spacing w:line="440" w:lineRule="exact"/>
        <w:rPr>
          <w:rFonts w:ascii="宋体" w:hAnsi="宋体" w:cs="宋体"/>
          <w:color w:val="auto"/>
          <w:kern w:val="0"/>
          <w:szCs w:val="21"/>
          <w:highlight w:val="none"/>
        </w:rPr>
      </w:pPr>
    </w:p>
    <w:p w14:paraId="53228C88">
      <w:pPr>
        <w:spacing w:line="440" w:lineRule="exact"/>
        <w:rPr>
          <w:rFonts w:ascii="宋体" w:hAnsi="宋体" w:cs="宋体"/>
          <w:color w:val="auto"/>
          <w:kern w:val="0"/>
          <w:szCs w:val="21"/>
          <w:highlight w:val="none"/>
        </w:rPr>
      </w:pPr>
    </w:p>
    <w:p w14:paraId="1BD7A01A">
      <w:pPr>
        <w:spacing w:line="440" w:lineRule="exact"/>
        <w:rPr>
          <w:rFonts w:ascii="宋体" w:hAnsi="宋体" w:cs="宋体"/>
          <w:color w:val="auto"/>
          <w:kern w:val="0"/>
          <w:szCs w:val="21"/>
          <w:highlight w:val="none"/>
        </w:rPr>
      </w:pPr>
    </w:p>
    <w:p w14:paraId="37BC5FED">
      <w:pPr>
        <w:spacing w:line="440" w:lineRule="exact"/>
        <w:rPr>
          <w:rFonts w:ascii="宋体" w:hAnsi="宋体" w:cs="宋体"/>
          <w:color w:val="auto"/>
          <w:kern w:val="0"/>
          <w:szCs w:val="21"/>
          <w:highlight w:val="none"/>
        </w:rPr>
      </w:pPr>
    </w:p>
    <w:p w14:paraId="68B77832">
      <w:pPr>
        <w:spacing w:line="440" w:lineRule="exact"/>
        <w:rPr>
          <w:rFonts w:ascii="宋体" w:hAnsi="宋体" w:cs="宋体"/>
          <w:color w:val="auto"/>
          <w:kern w:val="0"/>
          <w:szCs w:val="21"/>
          <w:highlight w:val="none"/>
        </w:rPr>
      </w:pPr>
    </w:p>
    <w:p w14:paraId="07754F86">
      <w:pPr>
        <w:spacing w:line="440" w:lineRule="exact"/>
        <w:rPr>
          <w:rFonts w:ascii="宋体" w:hAnsi="宋体" w:cs="宋体"/>
          <w:color w:val="auto"/>
          <w:kern w:val="0"/>
          <w:szCs w:val="21"/>
          <w:highlight w:val="none"/>
        </w:rPr>
      </w:pPr>
    </w:p>
    <w:p w14:paraId="386426CC">
      <w:pPr>
        <w:spacing w:line="440" w:lineRule="exact"/>
        <w:rPr>
          <w:rFonts w:ascii="宋体" w:hAnsi="宋体" w:cs="宋体"/>
          <w:color w:val="auto"/>
          <w:kern w:val="0"/>
          <w:szCs w:val="21"/>
          <w:highlight w:val="none"/>
        </w:rPr>
      </w:pPr>
    </w:p>
    <w:p w14:paraId="2AD49B9C">
      <w:pPr>
        <w:spacing w:line="440" w:lineRule="exact"/>
        <w:rPr>
          <w:rFonts w:ascii="宋体" w:hAnsi="宋体" w:cs="宋体"/>
          <w:color w:val="auto"/>
          <w:kern w:val="0"/>
          <w:szCs w:val="21"/>
          <w:highlight w:val="none"/>
        </w:rPr>
      </w:pPr>
    </w:p>
    <w:p w14:paraId="58E6DF0F">
      <w:pPr>
        <w:spacing w:line="440" w:lineRule="exact"/>
        <w:rPr>
          <w:rFonts w:ascii="宋体" w:hAnsi="宋体" w:cs="宋体"/>
          <w:color w:val="auto"/>
          <w:kern w:val="0"/>
          <w:szCs w:val="21"/>
          <w:highlight w:val="none"/>
        </w:rPr>
      </w:pPr>
    </w:p>
    <w:p w14:paraId="0DEDAA46">
      <w:pPr>
        <w:spacing w:line="440" w:lineRule="exact"/>
        <w:rPr>
          <w:rFonts w:ascii="宋体" w:hAnsi="宋体" w:cs="宋体"/>
          <w:color w:val="auto"/>
          <w:kern w:val="0"/>
          <w:szCs w:val="21"/>
          <w:highlight w:val="none"/>
        </w:rPr>
      </w:pPr>
    </w:p>
    <w:p w14:paraId="105A2809">
      <w:pPr>
        <w:spacing w:line="440" w:lineRule="exact"/>
        <w:rPr>
          <w:rFonts w:ascii="宋体" w:hAnsi="宋体" w:cs="宋体"/>
          <w:color w:val="auto"/>
          <w:kern w:val="0"/>
          <w:szCs w:val="21"/>
          <w:highlight w:val="none"/>
        </w:rPr>
      </w:pPr>
    </w:p>
    <w:p w14:paraId="51D39348">
      <w:pPr>
        <w:spacing w:line="440" w:lineRule="exact"/>
        <w:rPr>
          <w:rFonts w:ascii="宋体" w:hAnsi="宋体" w:cs="宋体"/>
          <w:color w:val="auto"/>
          <w:kern w:val="0"/>
          <w:szCs w:val="21"/>
          <w:highlight w:val="none"/>
        </w:rPr>
      </w:pPr>
    </w:p>
    <w:p w14:paraId="4E5014B8">
      <w:pPr>
        <w:spacing w:line="440" w:lineRule="exact"/>
        <w:rPr>
          <w:rFonts w:ascii="宋体" w:hAnsi="宋体" w:cs="宋体"/>
          <w:color w:val="auto"/>
          <w:kern w:val="0"/>
          <w:szCs w:val="21"/>
          <w:highlight w:val="none"/>
        </w:rPr>
      </w:pPr>
    </w:p>
    <w:p w14:paraId="24086DA8">
      <w:pPr>
        <w:spacing w:line="440" w:lineRule="exact"/>
        <w:rPr>
          <w:rFonts w:ascii="宋体" w:hAnsi="宋体" w:cs="宋体"/>
          <w:color w:val="auto"/>
          <w:kern w:val="0"/>
          <w:szCs w:val="21"/>
          <w:highlight w:val="none"/>
        </w:rPr>
      </w:pPr>
    </w:p>
    <w:p w14:paraId="7A8A6361">
      <w:pPr>
        <w:spacing w:line="440" w:lineRule="exact"/>
        <w:rPr>
          <w:rFonts w:ascii="宋体" w:hAnsi="宋体" w:cs="宋体"/>
          <w:color w:val="auto"/>
          <w:kern w:val="0"/>
          <w:szCs w:val="21"/>
          <w:highlight w:val="none"/>
        </w:rPr>
      </w:pPr>
    </w:p>
    <w:p w14:paraId="6EE53207">
      <w:pPr>
        <w:spacing w:line="440" w:lineRule="exact"/>
        <w:rPr>
          <w:rFonts w:ascii="宋体" w:hAnsi="宋体" w:cs="宋体"/>
          <w:color w:val="auto"/>
          <w:kern w:val="0"/>
          <w:szCs w:val="21"/>
          <w:highlight w:val="none"/>
        </w:rPr>
      </w:pPr>
    </w:p>
    <w:p w14:paraId="414D4AA4">
      <w:pPr>
        <w:spacing w:line="440" w:lineRule="exact"/>
        <w:rPr>
          <w:rFonts w:ascii="宋体" w:hAnsi="宋体" w:cs="宋体"/>
          <w:color w:val="auto"/>
          <w:kern w:val="0"/>
          <w:szCs w:val="21"/>
          <w:highlight w:val="none"/>
        </w:rPr>
      </w:pPr>
    </w:p>
    <w:p w14:paraId="3022C7FC">
      <w:pPr>
        <w:spacing w:line="440" w:lineRule="exact"/>
        <w:rPr>
          <w:rFonts w:ascii="宋体" w:hAnsi="宋体" w:cs="宋体"/>
          <w:color w:val="auto"/>
          <w:kern w:val="0"/>
          <w:szCs w:val="21"/>
          <w:highlight w:val="none"/>
        </w:rPr>
      </w:pPr>
    </w:p>
    <w:p w14:paraId="5F85939F">
      <w:pPr>
        <w:spacing w:line="440" w:lineRule="exact"/>
        <w:rPr>
          <w:rFonts w:ascii="宋体" w:hAnsi="宋体" w:cs="宋体"/>
          <w:color w:val="auto"/>
          <w:kern w:val="0"/>
          <w:szCs w:val="21"/>
          <w:highlight w:val="none"/>
        </w:rPr>
      </w:pPr>
    </w:p>
    <w:p w14:paraId="247FFED3">
      <w:pPr>
        <w:spacing w:line="440" w:lineRule="exact"/>
        <w:rPr>
          <w:rFonts w:ascii="宋体" w:hAnsi="宋体" w:cs="宋体"/>
          <w:color w:val="auto"/>
          <w:kern w:val="0"/>
          <w:szCs w:val="21"/>
          <w:highlight w:val="none"/>
        </w:rPr>
      </w:pPr>
    </w:p>
    <w:p w14:paraId="3B6AC509">
      <w:pPr>
        <w:pStyle w:val="3"/>
        <w:ind w:firstLine="883"/>
        <w:rPr>
          <w:rFonts w:hint="default" w:cs="宋体" w:asciiTheme="majorAscii" w:hAnsiTheme="majorAscii"/>
          <w:color w:val="auto"/>
          <w:highlight w:val="none"/>
        </w:rPr>
      </w:pPr>
      <w:bookmarkStart w:id="267" w:name="_Toc7168802"/>
      <w:bookmarkStart w:id="268" w:name="_Toc14614"/>
      <w:r>
        <w:rPr>
          <w:rFonts w:hint="default" w:cs="宋体" w:asciiTheme="majorAscii" w:hAnsiTheme="majorAscii"/>
          <w:color w:val="auto"/>
          <w:highlight w:val="none"/>
        </w:rPr>
        <w:t>第六部分 谈判原则和成交标准</w:t>
      </w:r>
      <w:bookmarkEnd w:id="267"/>
      <w:bookmarkEnd w:id="268"/>
    </w:p>
    <w:p w14:paraId="700E9672">
      <w:pPr>
        <w:ind w:left="105" w:leftChars="50" w:firstLine="720"/>
        <w:jc w:val="center"/>
        <w:rPr>
          <w:rFonts w:ascii="宋体" w:hAnsi="宋体" w:cs="宋体"/>
          <w:color w:val="auto"/>
          <w:sz w:val="36"/>
          <w:szCs w:val="36"/>
          <w:highlight w:val="none"/>
        </w:rPr>
      </w:pPr>
    </w:p>
    <w:p w14:paraId="279DC5C1">
      <w:pPr>
        <w:ind w:left="105" w:leftChars="50" w:firstLine="422"/>
        <w:jc w:val="center"/>
        <w:rPr>
          <w:rFonts w:ascii="宋体" w:hAnsi="宋体" w:cs="宋体"/>
          <w:b/>
          <w:color w:val="auto"/>
          <w:szCs w:val="21"/>
          <w:highlight w:val="none"/>
        </w:rPr>
      </w:pPr>
      <w:r>
        <w:rPr>
          <w:rFonts w:hint="eastAsia" w:ascii="宋体" w:hAnsi="宋体" w:cs="宋体"/>
          <w:b/>
          <w:color w:val="auto"/>
          <w:szCs w:val="21"/>
          <w:highlight w:val="none"/>
        </w:rPr>
        <w:t>谈判程序及办法</w:t>
      </w:r>
    </w:p>
    <w:p w14:paraId="026A9096">
      <w:pPr>
        <w:ind w:left="105" w:leftChars="50" w:firstLine="422"/>
        <w:jc w:val="center"/>
        <w:rPr>
          <w:rFonts w:ascii="宋体" w:hAnsi="宋体" w:cs="宋体"/>
          <w:b/>
          <w:color w:val="auto"/>
          <w:szCs w:val="21"/>
          <w:highlight w:val="none"/>
        </w:rPr>
      </w:pPr>
    </w:p>
    <w:p w14:paraId="1680CACC">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根据相关法律法规规定，遵循公平、公正和诚实信用的原则，结合本采购项目的实际情况，制定本谈判办法。</w:t>
      </w:r>
    </w:p>
    <w:p w14:paraId="029DF4C1">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一、谈判程序</w:t>
      </w:r>
    </w:p>
    <w:p w14:paraId="594F90F6">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（一）、组成谈判小组</w:t>
      </w:r>
    </w:p>
    <w:p w14:paraId="7F4701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谈判小组是从依法设立的评标专家库中随机抽取的技术、经济方面</w:t>
      </w:r>
      <w:r>
        <w:rPr>
          <w:rFonts w:hint="eastAsia" w:ascii="宋体" w:hAnsi="宋体" w:cs="宋体"/>
          <w:color w:val="auto"/>
          <w:szCs w:val="21"/>
          <w:highlight w:val="none"/>
          <w:lang w:eastAsia="zh-CN"/>
        </w:rPr>
        <w:t>社会</w:t>
      </w:r>
      <w:r>
        <w:rPr>
          <w:rFonts w:hint="eastAsia" w:ascii="宋体" w:hAnsi="宋体" w:cs="宋体"/>
          <w:color w:val="auto"/>
          <w:szCs w:val="21"/>
          <w:highlight w:val="none"/>
        </w:rPr>
        <w:t>专家组成,成员人数为</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p w14:paraId="0362F757">
      <w:pPr>
        <w:spacing w:line="360" w:lineRule="auto"/>
        <w:ind w:firstLine="420" w:firstLineChars="200"/>
        <w:rPr>
          <w:rFonts w:ascii="宋体" w:hAnsi="宋体" w:cs="宋体"/>
          <w:color w:val="auto"/>
          <w:szCs w:val="21"/>
          <w:highlight w:val="none"/>
        </w:rPr>
      </w:pPr>
      <w:r>
        <w:rPr>
          <w:rFonts w:hint="eastAsia" w:ascii="宋体" w:hAnsi="宋体" w:cs="宋体"/>
          <w:b w:val="0"/>
          <w:bCs w:val="0"/>
          <w:color w:val="auto"/>
          <w:szCs w:val="21"/>
          <w:highlight w:val="none"/>
        </w:rPr>
        <w:t>专家确定方式：</w:t>
      </w:r>
      <w:r>
        <w:rPr>
          <w:rFonts w:hint="eastAsia" w:ascii="宋体" w:hAnsi="宋体" w:cs="宋体"/>
          <w:b w:val="0"/>
          <w:bCs w:val="0"/>
          <w:color w:val="auto"/>
          <w:szCs w:val="21"/>
          <w:highlight w:val="none"/>
          <w:lang w:val="zh-CN"/>
        </w:rPr>
        <w:t>从</w:t>
      </w:r>
      <w:r>
        <w:rPr>
          <w:rFonts w:hint="eastAsia" w:ascii="宋体" w:hAnsi="宋体" w:cs="宋体"/>
          <w:b w:val="0"/>
          <w:bCs w:val="0"/>
          <w:color w:val="auto"/>
          <w:szCs w:val="21"/>
          <w:highlight w:val="none"/>
          <w:lang w:val="zh-CN" w:eastAsia="zh-CN"/>
        </w:rPr>
        <w:t>吉林省</w:t>
      </w:r>
      <w:r>
        <w:rPr>
          <w:rFonts w:hint="eastAsia" w:ascii="宋体" w:hAnsi="宋体" w:cs="宋体"/>
          <w:b w:val="0"/>
          <w:bCs w:val="0"/>
          <w:color w:val="auto"/>
          <w:szCs w:val="21"/>
          <w:highlight w:val="none"/>
          <w:lang w:val="en-US" w:eastAsia="zh-CN"/>
        </w:rPr>
        <w:t>政府采购云平台</w:t>
      </w:r>
      <w:r>
        <w:rPr>
          <w:rFonts w:hint="eastAsia" w:ascii="宋体" w:hAnsi="宋体" w:cs="宋体"/>
          <w:b w:val="0"/>
          <w:bCs w:val="0"/>
          <w:color w:val="auto"/>
          <w:szCs w:val="21"/>
          <w:highlight w:val="none"/>
          <w:lang w:val="zh-CN"/>
        </w:rPr>
        <w:t>专家库中随机抽取</w:t>
      </w:r>
      <w:r>
        <w:rPr>
          <w:rFonts w:hint="eastAsia" w:ascii="宋体" w:hAnsi="宋体" w:cs="宋体"/>
          <w:color w:val="auto"/>
          <w:szCs w:val="21"/>
          <w:highlight w:val="none"/>
        </w:rPr>
        <w:t>。</w:t>
      </w:r>
    </w:p>
    <w:p w14:paraId="64FB57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为保证谈判工作的顺利进行，谈判可设1名负责人，负责谈判全</w:t>
      </w:r>
      <w:r>
        <w:rPr>
          <w:rFonts w:hint="eastAsia" w:ascii="宋体" w:hAnsi="宋体" w:cs="宋体"/>
          <w:color w:val="auto"/>
          <w:szCs w:val="21"/>
          <w:highlight w:val="none"/>
        </w:rPr>
        <w:t>面工作。谈判负责人由谈判小组成员推举产生，谈判会负责人与谈判小组的其他成员有同等的表决权。</w:t>
      </w:r>
    </w:p>
    <w:p w14:paraId="2078E94D">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（二）、谈判工作</w:t>
      </w:r>
    </w:p>
    <w:p w14:paraId="483FC834">
      <w:pP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谈判本着客观公正、公平竞争、择优定标、规范合法的原则进行。谈判小组成员在谈判工作开始时，应认真研读竞争性谈判文件，了解和熟悉工程的规格和特点；竞争性谈判文件规定的谈判标准和谈判办法；竞争性谈判文件中规定的主要技术要求、标准及其他与谈判有关的内容，以获取谈判所需的重要信息和数据。</w:t>
      </w:r>
    </w:p>
    <w:p w14:paraId="1EA4287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谈判小组对响应文件的评审分资格、符合性审查，谈判两个阶段评审方式。</w:t>
      </w:r>
    </w:p>
    <w:p w14:paraId="7EBA458B">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第一阶段：资格审查、符合性审查</w:t>
      </w:r>
    </w:p>
    <w:p w14:paraId="2A1F3779">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第二阶段：谈判</w:t>
      </w:r>
    </w:p>
    <w:p w14:paraId="6A1913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谈判、确定成交供应商工作在谈判后的当日内完成。 </w:t>
      </w:r>
    </w:p>
    <w:p w14:paraId="3C4EDB9B">
      <w:pPr>
        <w:numPr>
          <w:ilvl w:val="0"/>
          <w:numId w:val="0"/>
        </w:numPr>
        <w:spacing w:line="360" w:lineRule="auto"/>
        <w:ind w:left="720" w:leftChars="0" w:hanging="300" w:firstLineChars="0"/>
        <w:rPr>
          <w:rFonts w:ascii="宋体" w:hAnsi="宋体" w:cs="宋体"/>
          <w:b/>
          <w:color w:val="auto"/>
          <w:szCs w:val="21"/>
          <w:highlight w:val="none"/>
        </w:rPr>
      </w:pPr>
      <w:r>
        <w:rPr>
          <w:rFonts w:hint="default" w:ascii="宋体" w:hAnsi="宋体" w:eastAsia="宋体" w:cs="宋体"/>
          <w:b/>
          <w:color w:val="auto"/>
          <w:kern w:val="2"/>
          <w:sz w:val="21"/>
          <w:szCs w:val="21"/>
          <w:highlight w:val="none"/>
          <w:lang w:val="en-US" w:eastAsia="zh-CN" w:bidi="ar-SA"/>
        </w:rPr>
        <w:t>（三）</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确定成交供应商</w:t>
      </w:r>
    </w:p>
    <w:p w14:paraId="76CBCEDC">
      <w:pPr>
        <w:pStyle w:val="23"/>
        <w:adjustRightInd w:val="0"/>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项目采取竞争性谈判的方式进行采购。对通过谈判合格的，能提供优质服务和足以使用户确信其具备执行合同能力的，能最大限度满足竞争性谈判文件中规定的各项综合评价标准的供应商，并依法确定最终报价（总价）最低的供应商为本项目成交供应商，如供应商的报价相同时，以供应商技术水平、履约能力、售后服务为标准评判。排名第一的成交候选人放弃、因不可抗力提出不能履行合同，采购人可以依次确定其他的成交候选人为成交供应商，采购人也可以重新组织。</w:t>
      </w:r>
    </w:p>
    <w:p w14:paraId="36C26991">
      <w:pPr>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（四）</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rPr>
        <w:t>谈判报告</w:t>
      </w:r>
    </w:p>
    <w:p w14:paraId="3E092B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谈判工作结束时，谈判小组将本项目评审结果向采购人提交书面《谈判报告》,各谈判小组成员对谈判报告内容讨论通过后，在《谈判报告》上签字，对谈判报告予以确认。</w:t>
      </w:r>
    </w:p>
    <w:p w14:paraId="12CEDD56">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二、谈判办法</w:t>
      </w:r>
    </w:p>
    <w:p w14:paraId="2ADDEE2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（一）资格审查</w:t>
      </w:r>
    </w:p>
    <w:p w14:paraId="3E16F3A2">
      <w:pPr>
        <w:tabs>
          <w:tab w:val="left" w:pos="900"/>
        </w:tabs>
        <w:spacing w:line="360" w:lineRule="auto"/>
        <w:ind w:firstLine="517" w:firstLineChars="245"/>
        <w:rPr>
          <w:rFonts w:ascii="宋体" w:hAnsi="宋体" w:cs="宋体"/>
          <w:b/>
          <w:color w:val="auto"/>
          <w:szCs w:val="21"/>
          <w:highlight w:val="none"/>
        </w:rPr>
      </w:pPr>
      <w:r>
        <w:rPr>
          <w:rFonts w:hint="eastAsia" w:ascii="宋体" w:hAnsi="宋体" w:cs="宋体"/>
          <w:b/>
          <w:bCs/>
          <w:color w:val="auto"/>
          <w:szCs w:val="21"/>
          <w:highlight w:val="none"/>
        </w:rPr>
        <w:t>资格审查采用合格制的审查方式。</w:t>
      </w:r>
    </w:p>
    <w:p w14:paraId="35BDEE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谈判小组成员对各供应商按竞争性谈判文件中要求提供的证明其资格的各种证明文件的有效性、完整性进行审查，确定进入谈判阶段的供应商。评审标准详见附表（一）。</w:t>
      </w:r>
    </w:p>
    <w:p w14:paraId="21301787">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（二）符合性审查</w:t>
      </w:r>
    </w:p>
    <w:p w14:paraId="48E21593">
      <w:pPr>
        <w:tabs>
          <w:tab w:val="left" w:pos="900"/>
        </w:tabs>
        <w:spacing w:line="360" w:lineRule="auto"/>
        <w:ind w:firstLine="517" w:firstLineChars="245"/>
        <w:rPr>
          <w:rFonts w:ascii="宋体" w:hAnsi="宋体" w:cs="宋体"/>
          <w:b/>
          <w:color w:val="auto"/>
          <w:szCs w:val="21"/>
          <w:highlight w:val="none"/>
        </w:rPr>
      </w:pPr>
      <w:r>
        <w:rPr>
          <w:rFonts w:hint="eastAsia" w:ascii="宋体" w:hAnsi="宋体" w:cs="宋体"/>
          <w:b/>
          <w:bCs/>
          <w:color w:val="auto"/>
          <w:szCs w:val="21"/>
          <w:highlight w:val="none"/>
        </w:rPr>
        <w:t>符合性审查采用合格制的审查方式，评审标准详见附表（二）。</w:t>
      </w:r>
    </w:p>
    <w:p w14:paraId="0DD04625">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（三）谈判</w:t>
      </w:r>
    </w:p>
    <w:p w14:paraId="6334E6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过递交响应文件顺序决定供应商谈判顺序，谈判小组分别一对一的与供应商进行谈判，当首次报价采购人不能获得满意的成交供应商时，可组织各供应商分别谈判进行二次报价，供应商的第二次报价为最终谈判报价。</w:t>
      </w:r>
    </w:p>
    <w:p w14:paraId="40BED85C">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（四）结论</w:t>
      </w:r>
    </w:p>
    <w:p w14:paraId="5CDD2421">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对通过谈判合格的，最终报价（总价）最低的，能提供优质服务和足以使用户确信其具备执行合同能力的，能最大限度满足竞争性谈判文件中规定的各项综合评价标准的供应商确定为第一成交候选人，如供应商的报价相同时，以供应商</w:t>
      </w:r>
      <w:r>
        <w:rPr>
          <w:rFonts w:hint="eastAsia" w:ascii="宋体" w:hAnsi="宋体" w:cs="宋体"/>
          <w:color w:val="auto"/>
          <w:kern w:val="0"/>
          <w:szCs w:val="21"/>
          <w:highlight w:val="none"/>
        </w:rPr>
        <w:t>技术水平、履约能力、售后服务</w:t>
      </w:r>
      <w:r>
        <w:rPr>
          <w:rFonts w:hint="eastAsia" w:ascii="宋体" w:hAnsi="宋体" w:cs="宋体"/>
          <w:color w:val="auto"/>
          <w:szCs w:val="21"/>
          <w:highlight w:val="none"/>
        </w:rPr>
        <w:t>为标准评判。</w:t>
      </w:r>
      <w:r>
        <w:rPr>
          <w:rFonts w:hint="eastAsia" w:ascii="宋体" w:hAnsi="宋体" w:cs="宋体"/>
          <w:color w:val="auto"/>
          <w:szCs w:val="21"/>
          <w:highlight w:val="none"/>
        </w:rPr>
        <w:t>谈判工作结束时，谈判小组将本项目评审结果向采购人提交书面《谈判报告》,各谈判小组成员对谈判报告内容讨论通过后，在《谈判报告》上签字，对谈判报告予以确认。</w:t>
      </w:r>
    </w:p>
    <w:p w14:paraId="5B2D13BB">
      <w:pPr>
        <w:autoSpaceDE w:val="0"/>
        <w:autoSpaceDN w:val="0"/>
        <w:spacing w:line="360" w:lineRule="auto"/>
        <w:ind w:firstLine="480"/>
        <w:jc w:val="left"/>
        <w:rPr>
          <w:rFonts w:ascii="宋体" w:hAnsi="宋体" w:cs="宋体"/>
          <w:color w:val="auto"/>
          <w:kern w:val="0"/>
          <w:sz w:val="24"/>
          <w:highlight w:val="none"/>
        </w:rPr>
      </w:pPr>
    </w:p>
    <w:p w14:paraId="324544C6">
      <w:pPr>
        <w:autoSpaceDE w:val="0"/>
        <w:autoSpaceDN w:val="0"/>
        <w:spacing w:line="360" w:lineRule="auto"/>
        <w:ind w:firstLine="480"/>
        <w:jc w:val="left"/>
        <w:rPr>
          <w:rFonts w:ascii="宋体" w:hAnsi="宋体" w:cs="宋体"/>
          <w:color w:val="auto"/>
          <w:kern w:val="0"/>
          <w:sz w:val="24"/>
          <w:highlight w:val="none"/>
        </w:rPr>
        <w:sectPr>
          <w:footerReference r:id="rId9" w:type="first"/>
          <w:footerReference r:id="rId8" w:type="default"/>
          <w:pgSz w:w="11907" w:h="16840"/>
          <w:pgMar w:top="1418" w:right="1249" w:bottom="1134" w:left="1218" w:header="680" w:footer="907" w:gutter="0"/>
          <w:pgNumType w:fmt="decimal"/>
          <w:cols w:space="720" w:num="1"/>
          <w:titlePg/>
        </w:sectPr>
      </w:pPr>
    </w:p>
    <w:p w14:paraId="3604AC2B">
      <w:pPr>
        <w:spacing w:before="100" w:beforeAutospacing="1" w:after="100" w:afterAutospacing="1"/>
        <w:ind w:right="405" w:rightChars="193" w:firstLine="482"/>
        <w:jc w:val="center"/>
        <w:rPr>
          <w:rFonts w:ascii="宋体" w:hAnsi="宋体" w:cs="宋体"/>
          <w:color w:val="auto"/>
          <w:szCs w:val="21"/>
          <w:highlight w:val="none"/>
        </w:rPr>
      </w:pPr>
      <w:r>
        <w:rPr>
          <w:rFonts w:hint="eastAsia" w:ascii="宋体" w:hAnsi="宋体" w:cs="宋体"/>
          <w:b/>
          <w:color w:val="auto"/>
          <w:sz w:val="24"/>
          <w:highlight w:val="none"/>
        </w:rPr>
        <w:t>附表一、资格审查</w:t>
      </w:r>
    </w:p>
    <w:tbl>
      <w:tblPr>
        <w:tblStyle w:val="42"/>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832"/>
      </w:tblGrid>
      <w:tr w14:paraId="1F7D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64" w:type="dxa"/>
            <w:vAlign w:val="center"/>
          </w:tcPr>
          <w:p w14:paraId="06112816">
            <w:pPr>
              <w:spacing w:before="100" w:beforeAutospacing="1" w:after="100" w:afterAutospacing="1"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832" w:type="dxa"/>
            <w:vAlign w:val="center"/>
          </w:tcPr>
          <w:p w14:paraId="79AEA38E">
            <w:pPr>
              <w:spacing w:before="100" w:beforeAutospacing="1" w:after="100" w:afterAutospacing="1" w:line="240" w:lineRule="atLeast"/>
              <w:ind w:firstLine="420"/>
              <w:jc w:val="center"/>
              <w:rPr>
                <w:rFonts w:ascii="宋体" w:hAnsi="宋体" w:cs="宋体"/>
                <w:color w:val="auto"/>
                <w:szCs w:val="21"/>
                <w:highlight w:val="none"/>
              </w:rPr>
            </w:pPr>
            <w:r>
              <w:rPr>
                <w:rFonts w:hint="eastAsia" w:ascii="宋体" w:hAnsi="宋体" w:cs="宋体"/>
                <w:color w:val="auto"/>
                <w:szCs w:val="21"/>
                <w:highlight w:val="none"/>
              </w:rPr>
              <w:t>评审因素</w:t>
            </w:r>
          </w:p>
        </w:tc>
      </w:tr>
      <w:tr w14:paraId="77B6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4" w:type="dxa"/>
            <w:vAlign w:val="center"/>
          </w:tcPr>
          <w:p w14:paraId="265758EF">
            <w:pPr>
              <w:adjustRightInd w:val="0"/>
              <w:snapToGrid w:val="0"/>
              <w:spacing w:before="100" w:beforeAutospacing="1" w:after="100" w:afterAutospacing="1" w:line="24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8832" w:type="dxa"/>
            <w:vAlign w:val="center"/>
          </w:tcPr>
          <w:p w14:paraId="3BE1091F">
            <w:pPr>
              <w:spacing w:line="240" w:lineRule="atLeast"/>
              <w:rPr>
                <w:rFonts w:hint="eastAsia" w:ascii="宋体" w:hAnsi="宋体" w:cs="宋体"/>
                <w:bCs/>
                <w:color w:val="auto"/>
                <w:szCs w:val="21"/>
                <w:highlight w:val="none"/>
                <w:lang w:val="zh-CN"/>
              </w:rPr>
            </w:pPr>
            <w:r>
              <w:rPr>
                <w:rFonts w:hint="eastAsia" w:ascii="宋体" w:hAnsi="宋体"/>
                <w:bCs/>
                <w:color w:val="auto"/>
                <w:szCs w:val="21"/>
                <w:highlight w:val="none"/>
              </w:rPr>
              <w:t>本次采购要求供应商应符合《中华人民共和国政府采购法》第二十二条的相关规定，是具有独立法人资格的供应商，具有有效的营业执照，并具有履行合同所必需的经营和供货能力</w:t>
            </w:r>
            <w:r>
              <w:rPr>
                <w:rFonts w:hint="eastAsia" w:ascii="宋体" w:hAnsi="宋体" w:cs="宋体"/>
                <w:bCs/>
                <w:color w:val="auto"/>
                <w:szCs w:val="21"/>
                <w:highlight w:val="none"/>
                <w:lang w:val="zh-CN"/>
              </w:rPr>
              <w:t>。</w:t>
            </w:r>
          </w:p>
          <w:p w14:paraId="7F88F138">
            <w:pPr>
              <w:spacing w:line="240" w:lineRule="atLeast"/>
              <w:rPr>
                <w:rFonts w:ascii="宋体" w:hAnsi="宋体" w:cs="宋体"/>
                <w:color w:val="auto"/>
                <w:szCs w:val="21"/>
                <w:highlight w:val="none"/>
              </w:rPr>
            </w:pPr>
            <w:r>
              <w:rPr>
                <w:rFonts w:hint="eastAsia" w:ascii="宋体" w:hAnsi="宋体"/>
                <w:b/>
                <w:color w:val="auto"/>
                <w:szCs w:val="21"/>
                <w:highlight w:val="none"/>
              </w:rPr>
              <w:t>响应文件中附营业执照（副本）复印件</w:t>
            </w:r>
            <w:r>
              <w:rPr>
                <w:rFonts w:hint="eastAsia" w:ascii="宋体" w:hAnsi="宋体" w:cs="宋体-18030"/>
                <w:b/>
                <w:color w:val="auto"/>
                <w:kern w:val="0"/>
                <w:szCs w:val="21"/>
                <w:highlight w:val="none"/>
                <w:lang w:val="zh-CN"/>
              </w:rPr>
              <w:t>并加盖供应商公章</w:t>
            </w:r>
            <w:r>
              <w:rPr>
                <w:rFonts w:hint="eastAsia" w:ascii="宋体" w:hAnsi="宋体"/>
                <w:color w:val="auto"/>
                <w:szCs w:val="21"/>
                <w:highlight w:val="none"/>
              </w:rPr>
              <w:t>。</w:t>
            </w:r>
          </w:p>
        </w:tc>
      </w:tr>
      <w:tr w14:paraId="6455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64" w:type="dxa"/>
            <w:vAlign w:val="center"/>
          </w:tcPr>
          <w:p w14:paraId="36DC8E6C">
            <w:pPr>
              <w:adjustRightInd w:val="0"/>
              <w:snapToGrid w:val="0"/>
              <w:spacing w:before="100" w:beforeAutospacing="1" w:after="100" w:afterAutospacing="1" w:line="240"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8832" w:type="dxa"/>
            <w:vAlign w:val="center"/>
          </w:tcPr>
          <w:p w14:paraId="50F80125">
            <w:pPr>
              <w:spacing w:line="240" w:lineRule="atLeast"/>
              <w:rPr>
                <w:rFonts w:ascii="宋体" w:hAnsi="宋体" w:cs="宋体"/>
                <w:color w:val="auto"/>
                <w:szCs w:val="21"/>
                <w:highlight w:val="none"/>
              </w:rPr>
            </w:pPr>
            <w:r>
              <w:rPr>
                <w:rFonts w:hint="eastAsia" w:ascii="宋体" w:hAnsi="宋体" w:cs="宋体"/>
                <w:color w:val="auto"/>
                <w:szCs w:val="21"/>
                <w:highlight w:val="none"/>
                <w:lang w:eastAsia="zh-CN"/>
              </w:rPr>
              <w:t>供应商近三年（202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年）具有经会计师事务所审计的财务审计报告（新成立公司提供现有年限即可）或具有基本账户开户银行出具的资信证明（须于202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年出具），并具有2024年依法缴纳税收和2024年依法缴纳社会保障资金的良好记录(依法免税或不需要缴纳社会保障资金的供应商，应提供相应文件证明其依法免税或不需要缴纳社会保障资金）。</w:t>
            </w:r>
            <w:r>
              <w:rPr>
                <w:rFonts w:hint="eastAsia" w:ascii="宋体" w:hAnsi="宋体"/>
                <w:b/>
                <w:color w:val="auto"/>
                <w:szCs w:val="21"/>
                <w:highlight w:val="none"/>
              </w:rPr>
              <w:t>响应文件中</w:t>
            </w:r>
            <w:r>
              <w:rPr>
                <w:rFonts w:hint="eastAsia" w:ascii="宋体" w:hAnsi="宋体" w:cs="宋体-18030"/>
                <w:b/>
                <w:bCs/>
                <w:color w:val="auto"/>
                <w:kern w:val="0"/>
                <w:szCs w:val="21"/>
                <w:highlight w:val="none"/>
              </w:rPr>
              <w:t>附审计报告或资信证明及202</w:t>
            </w:r>
            <w:r>
              <w:rPr>
                <w:rFonts w:hint="eastAsia" w:ascii="宋体" w:hAnsi="宋体" w:cs="宋体-18030"/>
                <w:b/>
                <w:bCs/>
                <w:color w:val="auto"/>
                <w:kern w:val="0"/>
                <w:szCs w:val="21"/>
                <w:highlight w:val="none"/>
                <w:lang w:val="en-US" w:eastAsia="zh-CN"/>
              </w:rPr>
              <w:t>4</w:t>
            </w:r>
            <w:r>
              <w:rPr>
                <w:rFonts w:hint="eastAsia" w:ascii="宋体" w:hAnsi="宋体" w:cs="宋体-18030"/>
                <w:b/>
                <w:bCs/>
                <w:color w:val="auto"/>
                <w:kern w:val="0"/>
                <w:szCs w:val="21"/>
                <w:highlight w:val="none"/>
              </w:rPr>
              <w:t>年依法缴纳税收和202</w:t>
            </w:r>
            <w:r>
              <w:rPr>
                <w:rFonts w:hint="eastAsia" w:ascii="宋体" w:hAnsi="宋体" w:cs="宋体-18030"/>
                <w:b/>
                <w:bCs/>
                <w:color w:val="auto"/>
                <w:kern w:val="0"/>
                <w:szCs w:val="21"/>
                <w:highlight w:val="none"/>
                <w:lang w:val="en-US" w:eastAsia="zh-CN"/>
              </w:rPr>
              <w:t>4</w:t>
            </w:r>
            <w:r>
              <w:rPr>
                <w:rFonts w:hint="eastAsia" w:ascii="宋体" w:hAnsi="宋体" w:cs="宋体-18030"/>
                <w:b/>
                <w:bCs/>
                <w:color w:val="auto"/>
                <w:kern w:val="0"/>
                <w:szCs w:val="21"/>
                <w:highlight w:val="none"/>
              </w:rPr>
              <w:t>年依法缴纳社会保障资金的良好记录的证明材料复印件并加盖</w:t>
            </w:r>
            <w:r>
              <w:rPr>
                <w:rFonts w:hint="eastAsia" w:ascii="宋体" w:hAnsi="宋体" w:cs="宋体-18030"/>
                <w:b/>
                <w:color w:val="auto"/>
                <w:kern w:val="0"/>
                <w:szCs w:val="21"/>
                <w:highlight w:val="none"/>
                <w:lang w:val="zh-CN"/>
              </w:rPr>
              <w:t>供应商公章。</w:t>
            </w:r>
          </w:p>
        </w:tc>
      </w:tr>
      <w:tr w14:paraId="5095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4" w:type="dxa"/>
            <w:shd w:val="clear" w:color="auto" w:fill="auto"/>
            <w:vAlign w:val="center"/>
          </w:tcPr>
          <w:p w14:paraId="31503027">
            <w:pPr>
              <w:adjustRightInd w:val="0"/>
              <w:snapToGrid w:val="0"/>
              <w:spacing w:before="100" w:beforeAutospacing="1" w:after="100" w:afterAutospacing="1"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8832" w:type="dxa"/>
            <w:shd w:val="clear" w:color="auto" w:fill="auto"/>
            <w:vAlign w:val="center"/>
          </w:tcPr>
          <w:p w14:paraId="3E6FAA40">
            <w:pPr>
              <w:spacing w:line="240" w:lineRule="atLeas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响应文件中附由</w:t>
            </w:r>
            <w:r>
              <w:rPr>
                <w:rFonts w:hint="eastAsia" w:ascii="宋体" w:hAnsi="宋体"/>
                <w:color w:val="auto"/>
                <w:szCs w:val="21"/>
                <w:highlight w:val="none"/>
              </w:rPr>
              <w:t>法定代表人</w:t>
            </w:r>
            <w:r>
              <w:rPr>
                <w:rFonts w:hint="eastAsia" w:ascii="宋体" w:hAnsi="宋体" w:cs="宋体"/>
                <w:color w:val="auto"/>
                <w:szCs w:val="21"/>
                <w:highlight w:val="none"/>
              </w:rPr>
              <w:t>及被授权人签字并加盖公章的授权委托书原件（如法定代表人参与则不需要提供）。</w:t>
            </w:r>
          </w:p>
        </w:tc>
      </w:tr>
      <w:tr w14:paraId="0F79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64" w:type="dxa"/>
            <w:shd w:val="clear" w:color="auto" w:fill="auto"/>
            <w:vAlign w:val="center"/>
          </w:tcPr>
          <w:p w14:paraId="0458EB6B">
            <w:pPr>
              <w:adjustRightInd w:val="0"/>
              <w:snapToGrid w:val="0"/>
              <w:spacing w:before="100" w:beforeAutospacing="1" w:after="100" w:afterAutospacing="1"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8832" w:type="dxa"/>
            <w:shd w:val="clear" w:color="auto" w:fill="auto"/>
            <w:vAlign w:val="center"/>
          </w:tcPr>
          <w:p w14:paraId="2016D96D">
            <w:pPr>
              <w:pStyle w:val="23"/>
              <w:adjustRightInd w:val="0"/>
              <w:snapToGrid w:val="0"/>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不接受被政府列入取消投标资格期限内的企业或个人参加；</w:t>
            </w:r>
            <w:r>
              <w:rPr>
                <w:rFonts w:hint="eastAsia" w:ascii="宋体" w:hAnsi="宋体" w:cs="宋体"/>
                <w:color w:val="auto"/>
                <w:sz w:val="21"/>
                <w:szCs w:val="21"/>
                <w:highlight w:val="none"/>
                <w:lang w:eastAsia="zh-CN"/>
              </w:rPr>
              <w:t>参加政府采购活动前三年内在经营活动中没有重大违法记录</w:t>
            </w:r>
            <w:r>
              <w:rPr>
                <w:rFonts w:hint="eastAsia" w:ascii="宋体" w:hAnsi="宋体" w:cs="宋体"/>
                <w:color w:val="auto"/>
                <w:sz w:val="21"/>
                <w:szCs w:val="21"/>
                <w:highlight w:val="none"/>
              </w:rPr>
              <w:t>。</w:t>
            </w:r>
          </w:p>
          <w:p w14:paraId="4B7E04EE">
            <w:pPr>
              <w:pStyle w:val="23"/>
              <w:adjustRightInd w:val="0"/>
              <w:snapToGrid w:val="0"/>
              <w:spacing w:line="240" w:lineRule="atLeast"/>
              <w:ind w:left="0" w:leftChars="0" w:firstLine="0" w:firstLineChars="0"/>
              <w:rPr>
                <w:rFonts w:ascii="宋体" w:hAnsi="宋体" w:eastAsia="宋体" w:cs="宋体"/>
                <w:bCs/>
                <w:color w:val="auto"/>
                <w:kern w:val="2"/>
                <w:sz w:val="21"/>
                <w:szCs w:val="21"/>
                <w:highlight w:val="none"/>
                <w:lang w:val="zh-CN" w:eastAsia="zh-CN" w:bidi="ar-SA"/>
              </w:rPr>
            </w:pPr>
            <w:r>
              <w:rPr>
                <w:rFonts w:hint="eastAsia" w:ascii="宋体" w:hAnsi="宋体" w:cs="宋体"/>
                <w:b/>
                <w:bCs/>
                <w:color w:val="auto"/>
                <w:sz w:val="21"/>
                <w:szCs w:val="21"/>
                <w:highlight w:val="none"/>
              </w:rPr>
              <w:t>响应文件中提供由法定代表人或授权委托人签字或盖章并加盖供应商公章的承诺书</w:t>
            </w:r>
            <w:r>
              <w:rPr>
                <w:rFonts w:hint="eastAsia" w:ascii="宋体" w:hAnsi="宋体" w:cs="宋体"/>
                <w:color w:val="auto"/>
                <w:sz w:val="21"/>
                <w:szCs w:val="21"/>
                <w:highlight w:val="none"/>
              </w:rPr>
              <w:t>。</w:t>
            </w:r>
          </w:p>
        </w:tc>
      </w:tr>
      <w:tr w14:paraId="3854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64" w:type="dxa"/>
            <w:shd w:val="clear" w:color="auto" w:fill="auto"/>
            <w:vAlign w:val="center"/>
          </w:tcPr>
          <w:p w14:paraId="0FBA8E35">
            <w:pPr>
              <w:adjustRightInd w:val="0"/>
              <w:snapToGrid w:val="0"/>
              <w:spacing w:before="100" w:beforeAutospacing="1" w:after="100" w:afterAutospacing="1" w:line="240" w:lineRule="atLeas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8832" w:type="dxa"/>
            <w:shd w:val="clear" w:color="auto" w:fill="auto"/>
            <w:vAlign w:val="center"/>
          </w:tcPr>
          <w:p w14:paraId="56E9394F">
            <w:pPr>
              <w:pStyle w:val="23"/>
              <w:adjustRightInd w:val="0"/>
              <w:snapToGrid w:val="0"/>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本项目不接受被列入失信被执行人、重大税收违法案件当事人名单、政府采购严重违法失信行为记录名单的供应商参与本项目（详见财库[2016]125号文件）。</w:t>
            </w:r>
          </w:p>
          <w:p w14:paraId="27EB8CEA">
            <w:pPr>
              <w:pStyle w:val="23"/>
              <w:adjustRightInd w:val="0"/>
              <w:snapToGrid w:val="0"/>
              <w:spacing w:line="240" w:lineRule="atLeast"/>
              <w:ind w:left="0" w:leftChars="0" w:firstLine="0" w:firstLineChars="0"/>
              <w:rPr>
                <w:rFonts w:ascii="宋体" w:hAnsi="宋体" w:eastAsia="宋体" w:cs="宋体"/>
                <w:color w:val="auto"/>
                <w:kern w:val="2"/>
                <w:sz w:val="21"/>
                <w:szCs w:val="21"/>
                <w:highlight w:val="none"/>
                <w:lang w:val="zh-CN" w:eastAsia="zh-CN" w:bidi="ar-SA"/>
              </w:rPr>
            </w:pPr>
            <w:r>
              <w:rPr>
                <w:rFonts w:hint="eastAsia" w:ascii="宋体" w:hAnsi="宋体" w:cs="宋体"/>
                <w:b/>
                <w:bCs/>
                <w:color w:val="auto"/>
                <w:sz w:val="21"/>
                <w:szCs w:val="21"/>
                <w:highlight w:val="none"/>
              </w:rPr>
              <w:t>响应文件中提供由法定代表人或授权委托人签字或盖章并加盖供应商公章的承诺书</w:t>
            </w:r>
            <w:r>
              <w:rPr>
                <w:rFonts w:hint="eastAsia" w:ascii="宋体" w:hAnsi="宋体" w:cs="宋体"/>
                <w:color w:val="auto"/>
                <w:sz w:val="21"/>
                <w:szCs w:val="21"/>
                <w:highlight w:val="none"/>
              </w:rPr>
              <w:t>。</w:t>
            </w:r>
          </w:p>
        </w:tc>
      </w:tr>
      <w:tr w14:paraId="6413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64" w:type="dxa"/>
            <w:shd w:val="clear" w:color="auto" w:fill="auto"/>
            <w:vAlign w:val="center"/>
          </w:tcPr>
          <w:p w14:paraId="666AA11D">
            <w:pPr>
              <w:adjustRightInd w:val="0"/>
              <w:snapToGrid w:val="0"/>
              <w:spacing w:before="100" w:beforeAutospacing="1" w:after="100" w:afterAutospacing="1"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8832" w:type="dxa"/>
            <w:shd w:val="clear" w:color="auto" w:fill="auto"/>
            <w:vAlign w:val="center"/>
          </w:tcPr>
          <w:p w14:paraId="4C2F5751">
            <w:pPr>
              <w:pStyle w:val="23"/>
              <w:adjustRightInd w:val="0"/>
              <w:snapToGrid w:val="0"/>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与采购人存在利害关系可能影响采购公正性的法人、其它组织或者个人，不得参加本项目；单位负责人为同一人或者存在直接控股、管理关系的不同供应商，不得参加同一合同项下的政府采购活动。</w:t>
            </w:r>
          </w:p>
          <w:p w14:paraId="612CD4DA">
            <w:pPr>
              <w:pStyle w:val="23"/>
              <w:adjustRightInd w:val="0"/>
              <w:snapToGrid w:val="0"/>
              <w:spacing w:line="240" w:lineRule="atLeast"/>
              <w:ind w:left="0" w:leftChars="0" w:firstLine="0" w:firstLineChars="0"/>
              <w:rPr>
                <w:rFonts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rPr>
              <w:t>响应文件中提供由法定代表人或授权委托人签字或盖章并加盖供应商公章的承诺书</w:t>
            </w:r>
            <w:r>
              <w:rPr>
                <w:rFonts w:hint="eastAsia" w:ascii="宋体" w:hAnsi="宋体" w:cs="宋体"/>
                <w:color w:val="auto"/>
                <w:sz w:val="21"/>
                <w:szCs w:val="21"/>
                <w:highlight w:val="none"/>
              </w:rPr>
              <w:t>。</w:t>
            </w:r>
          </w:p>
        </w:tc>
      </w:tr>
      <w:tr w14:paraId="6342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64" w:type="dxa"/>
            <w:shd w:val="clear" w:color="auto" w:fill="auto"/>
            <w:vAlign w:val="center"/>
          </w:tcPr>
          <w:p w14:paraId="58307F63">
            <w:pPr>
              <w:adjustRightInd w:val="0"/>
              <w:snapToGrid w:val="0"/>
              <w:spacing w:before="100" w:beforeAutospacing="1" w:after="100" w:afterAutospacing="1"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8832" w:type="dxa"/>
            <w:shd w:val="clear" w:color="auto" w:fill="auto"/>
            <w:vAlign w:val="center"/>
          </w:tcPr>
          <w:p w14:paraId="32C8E577">
            <w:pPr>
              <w:pStyle w:val="23"/>
              <w:adjustRightInd w:val="0"/>
              <w:snapToGrid w:val="0"/>
              <w:spacing w:line="240" w:lineRule="atLeast"/>
              <w:rPr>
                <w:rFonts w:ascii="宋体" w:hAnsi="宋体" w:eastAsia="宋体" w:cs="Times New Roman"/>
                <w:bCs/>
                <w:color w:val="auto"/>
                <w:kern w:val="2"/>
                <w:sz w:val="21"/>
                <w:szCs w:val="20"/>
                <w:highlight w:val="none"/>
                <w:lang w:val="en-US" w:eastAsia="zh-CN" w:bidi="ar-SA"/>
              </w:rPr>
            </w:pPr>
            <w:r>
              <w:rPr>
                <w:rFonts w:hint="eastAsia" w:ascii="宋体" w:hAnsi="宋体"/>
                <w:bCs/>
                <w:color w:val="auto"/>
                <w:sz w:val="21"/>
                <w:highlight w:val="none"/>
              </w:rPr>
              <w:t>所提供的所有证明材料真实有效。</w:t>
            </w:r>
            <w:r>
              <w:rPr>
                <w:rFonts w:hint="eastAsia" w:ascii="宋体" w:hAnsi="宋体"/>
                <w:b/>
                <w:bCs/>
                <w:color w:val="auto"/>
                <w:sz w:val="21"/>
                <w:highlight w:val="none"/>
              </w:rPr>
              <w:t>响应文件中提供由法定代表人或授权委托人签字或盖章并加盖</w:t>
            </w:r>
            <w:r>
              <w:rPr>
                <w:rFonts w:hint="eastAsia" w:ascii="宋体" w:hAnsi="宋体" w:cs="宋体"/>
                <w:b/>
                <w:bCs/>
                <w:color w:val="auto"/>
                <w:sz w:val="21"/>
                <w:szCs w:val="21"/>
                <w:highlight w:val="none"/>
              </w:rPr>
              <w:t>供应商</w:t>
            </w:r>
            <w:r>
              <w:rPr>
                <w:rFonts w:hint="eastAsia" w:ascii="宋体" w:hAnsi="宋体"/>
                <w:b/>
                <w:bCs/>
                <w:color w:val="auto"/>
                <w:sz w:val="21"/>
                <w:highlight w:val="none"/>
              </w:rPr>
              <w:t>公章的承诺书。</w:t>
            </w:r>
          </w:p>
        </w:tc>
      </w:tr>
      <w:tr w14:paraId="770F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64" w:type="dxa"/>
            <w:shd w:val="clear" w:color="auto" w:fill="auto"/>
            <w:vAlign w:val="center"/>
          </w:tcPr>
          <w:p w14:paraId="672AC8B5">
            <w:pPr>
              <w:adjustRightInd w:val="0"/>
              <w:snapToGrid w:val="0"/>
              <w:spacing w:before="100" w:beforeAutospacing="1" w:after="100" w:afterAutospacing="1" w:line="240" w:lineRule="atLeas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c>
          <w:tcPr>
            <w:tcW w:w="8832" w:type="dxa"/>
            <w:shd w:val="clear" w:color="auto" w:fill="auto"/>
            <w:vAlign w:val="center"/>
          </w:tcPr>
          <w:p w14:paraId="0AD0F247">
            <w:pPr>
              <w:pStyle w:val="23"/>
              <w:adjustRightInd w:val="0"/>
              <w:snapToGrid w:val="0"/>
              <w:spacing w:line="240" w:lineRule="atLeast"/>
              <w:rPr>
                <w:rFonts w:hint="eastAsia" w:ascii="宋体" w:hAnsi="宋体"/>
                <w:bCs/>
                <w:color w:val="auto"/>
                <w:sz w:val="21"/>
                <w:highlight w:val="none"/>
              </w:rPr>
            </w:pPr>
            <w:r>
              <w:rPr>
                <w:rFonts w:hint="eastAsia" w:ascii="宋体" w:hAnsi="宋体"/>
                <w:bCs/>
                <w:color w:val="auto"/>
                <w:sz w:val="21"/>
                <w:highlight w:val="none"/>
                <w:lang w:val="en-US" w:eastAsia="zh-CN"/>
              </w:rPr>
              <w:t>本项目属于专门面向中小企业采购的项目，</w:t>
            </w:r>
            <w:r>
              <w:rPr>
                <w:rFonts w:hint="eastAsia" w:ascii="宋体" w:hAnsi="宋体"/>
                <w:b/>
                <w:bCs/>
                <w:color w:val="auto"/>
                <w:sz w:val="21"/>
                <w:highlight w:val="none"/>
              </w:rPr>
              <w:t>响应文件中</w:t>
            </w:r>
            <w:r>
              <w:rPr>
                <w:rFonts w:hint="eastAsia" w:ascii="宋体" w:hAnsi="宋体"/>
                <w:b/>
                <w:bCs/>
                <w:color w:val="auto"/>
                <w:sz w:val="21"/>
                <w:highlight w:val="none"/>
                <w:lang w:val="en-US" w:eastAsia="zh-CN"/>
              </w:rPr>
              <w:t>附中小企业声明函或残疾人福利性单位声明函或监狱企业的证明文件</w:t>
            </w:r>
            <w:r>
              <w:rPr>
                <w:rFonts w:hint="eastAsia" w:ascii="宋体" w:hAnsi="宋体"/>
                <w:b/>
                <w:bCs/>
                <w:color w:val="auto"/>
                <w:sz w:val="21"/>
                <w:highlight w:val="none"/>
                <w:lang w:val="zh-CN"/>
              </w:rPr>
              <w:t>（内容详见第五部分 响应文件格式）。</w:t>
            </w:r>
          </w:p>
        </w:tc>
      </w:tr>
    </w:tbl>
    <w:p w14:paraId="0E208367">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1、有一项不合格的，不再进入下步评审。</w:t>
      </w:r>
    </w:p>
    <w:p w14:paraId="14CBF4F5">
      <w:pPr>
        <w:numPr>
          <w:ilvl w:val="0"/>
          <w:numId w:val="0"/>
        </w:numPr>
        <w:spacing w:line="300" w:lineRule="auto"/>
        <w:ind w:left="42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满足评审条件的结论打“√”，不满足评审条件的结论打“×”。</w:t>
      </w:r>
    </w:p>
    <w:p w14:paraId="3ED97D51">
      <w:pPr>
        <w:numPr>
          <w:ilvl w:val="0"/>
          <w:numId w:val="0"/>
        </w:numPr>
        <w:spacing w:line="300" w:lineRule="auto"/>
        <w:ind w:left="420" w:leftChars="0" w:firstLine="210" w:firstLineChars="100"/>
        <w:rPr>
          <w:rFonts w:ascii="宋体" w:hAnsi="宋体" w:cs="宋体"/>
          <w:color w:val="auto"/>
          <w:szCs w:val="21"/>
          <w:highlight w:val="none"/>
        </w:rPr>
      </w:pPr>
      <w:r>
        <w:rPr>
          <w:rFonts w:hint="eastAsia" w:ascii="宋体" w:hAnsi="宋体" w:cs="宋体"/>
          <w:color w:val="auto"/>
          <w:szCs w:val="21"/>
          <w:highlight w:val="none"/>
        </w:rPr>
        <w:t>3、本表由全体谈判小组成员在共同商议的基础上给出结论，谈判小组成员意见不一致时，按照少数服从多数的原则确定。</w:t>
      </w:r>
      <w:r>
        <w:rPr>
          <w:rFonts w:hint="eastAsia" w:ascii="宋体" w:hAnsi="宋体" w:cs="宋体"/>
          <w:b/>
          <w:color w:val="auto"/>
          <w:sz w:val="24"/>
          <w:highlight w:val="none"/>
        </w:rPr>
        <w:br w:type="page"/>
      </w:r>
      <w:r>
        <w:rPr>
          <w:rFonts w:hint="eastAsia" w:ascii="宋体" w:hAnsi="宋体" w:cs="宋体"/>
          <w:b/>
          <w:color w:val="auto"/>
          <w:sz w:val="24"/>
          <w:highlight w:val="none"/>
        </w:rPr>
        <w:t>附表二、响应文件符合性审查</w:t>
      </w:r>
    </w:p>
    <w:p w14:paraId="1BA0FA97">
      <w:pPr>
        <w:ind w:firstLine="482"/>
        <w:rPr>
          <w:rFonts w:ascii="宋体" w:hAnsi="宋体" w:cs="宋体"/>
          <w:b/>
          <w:color w:val="auto"/>
          <w:sz w:val="24"/>
          <w:highlight w:val="none"/>
        </w:rPr>
      </w:pPr>
    </w:p>
    <w:tbl>
      <w:tblPr>
        <w:tblStyle w:val="42"/>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8583"/>
      </w:tblGrid>
      <w:tr w14:paraId="7D2E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00" w:type="dxa"/>
            <w:vAlign w:val="center"/>
          </w:tcPr>
          <w:p w14:paraId="16667BC0">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序号</w:t>
            </w:r>
          </w:p>
        </w:tc>
        <w:tc>
          <w:tcPr>
            <w:tcW w:w="8583" w:type="dxa"/>
            <w:vAlign w:val="center"/>
          </w:tcPr>
          <w:p w14:paraId="335D74C3">
            <w:pPr>
              <w:spacing w:before="100" w:beforeAutospacing="1" w:after="100" w:afterAutospacing="1"/>
              <w:ind w:firstLine="42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r>
      <w:tr w14:paraId="454C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00" w:type="dxa"/>
            <w:vAlign w:val="center"/>
          </w:tcPr>
          <w:p w14:paraId="5A97E8C5">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1</w:t>
            </w:r>
          </w:p>
        </w:tc>
        <w:tc>
          <w:tcPr>
            <w:tcW w:w="8583" w:type="dxa"/>
            <w:vAlign w:val="center"/>
          </w:tcPr>
          <w:p w14:paraId="5C214705">
            <w:pPr>
              <w:adjustRightInd w:val="0"/>
              <w:snapToGrid w:val="0"/>
              <w:rPr>
                <w:rFonts w:ascii="宋体" w:hAnsi="宋体" w:cs="宋体"/>
                <w:bCs/>
                <w:color w:val="auto"/>
                <w:szCs w:val="21"/>
                <w:highlight w:val="none"/>
                <w:lang w:val="zh-CN"/>
              </w:rPr>
            </w:pPr>
            <w:r>
              <w:rPr>
                <w:rFonts w:hint="eastAsia" w:ascii="宋体" w:hAnsi="宋体"/>
                <w:color w:val="auto"/>
                <w:szCs w:val="21"/>
                <w:highlight w:val="none"/>
              </w:rPr>
              <w:t>供应商应按采购人提供的项目需求进行合理报价，符合相关法律法规及竞争性谈判文件的规定。</w:t>
            </w:r>
          </w:p>
        </w:tc>
      </w:tr>
      <w:tr w14:paraId="2FE1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0" w:type="dxa"/>
            <w:vAlign w:val="center"/>
          </w:tcPr>
          <w:p w14:paraId="2DB1FAAB">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2</w:t>
            </w:r>
          </w:p>
        </w:tc>
        <w:tc>
          <w:tcPr>
            <w:tcW w:w="8583" w:type="dxa"/>
            <w:vAlign w:val="center"/>
          </w:tcPr>
          <w:p w14:paraId="59FB7807">
            <w:pPr>
              <w:adjustRightInd w:val="0"/>
              <w:snapToGrid w:val="0"/>
              <w:rPr>
                <w:rFonts w:ascii="宋体" w:hAnsi="宋体" w:cs="宋体"/>
                <w:bCs/>
                <w:color w:val="auto"/>
                <w:szCs w:val="21"/>
                <w:highlight w:val="none"/>
                <w:lang w:val="zh-CN"/>
              </w:rPr>
            </w:pPr>
            <w:r>
              <w:rPr>
                <w:rFonts w:hint="eastAsia" w:cs="宋体" w:asciiTheme="minorEastAsia" w:hAnsiTheme="minorEastAsia" w:eastAsiaTheme="minorEastAsia"/>
                <w:bCs/>
                <w:color w:val="auto"/>
                <w:szCs w:val="21"/>
                <w:highlight w:val="none"/>
              </w:rPr>
              <w:t>合同履行期限（供货期限）</w:t>
            </w:r>
            <w:r>
              <w:rPr>
                <w:rFonts w:hint="eastAsia" w:ascii="宋体" w:hAnsi="宋体" w:cs="宋体"/>
                <w:bCs/>
                <w:color w:val="auto"/>
                <w:szCs w:val="21"/>
                <w:highlight w:val="none"/>
                <w:lang w:val="zh-CN"/>
              </w:rPr>
              <w:t>符合竞争性谈判文件的要求</w:t>
            </w:r>
          </w:p>
        </w:tc>
      </w:tr>
      <w:tr w14:paraId="3295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00" w:type="dxa"/>
            <w:vAlign w:val="center"/>
          </w:tcPr>
          <w:p w14:paraId="3833E651">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3</w:t>
            </w:r>
          </w:p>
        </w:tc>
        <w:tc>
          <w:tcPr>
            <w:tcW w:w="8583" w:type="dxa"/>
            <w:vAlign w:val="center"/>
          </w:tcPr>
          <w:p w14:paraId="3A9409B6">
            <w:pPr>
              <w:adjustRightInd w:val="0"/>
              <w:snapToGrid w:val="0"/>
              <w:rPr>
                <w:rFonts w:ascii="宋体" w:hAnsi="宋体" w:cs="宋体"/>
                <w:b/>
                <w:bCs/>
                <w:color w:val="auto"/>
                <w:szCs w:val="21"/>
                <w:highlight w:val="none"/>
              </w:rPr>
            </w:pPr>
            <w:r>
              <w:rPr>
                <w:rFonts w:hint="eastAsia" w:ascii="宋体" w:hAnsi="宋体"/>
                <w:color w:val="auto"/>
                <w:szCs w:val="21"/>
                <w:highlight w:val="none"/>
              </w:rPr>
              <w:t>供应商所编制的实施方案满足竞争性谈判文件中的项目需求</w:t>
            </w:r>
          </w:p>
        </w:tc>
      </w:tr>
      <w:tr w14:paraId="4FDB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0" w:type="dxa"/>
            <w:vAlign w:val="center"/>
          </w:tcPr>
          <w:p w14:paraId="670F6CE9">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4</w:t>
            </w:r>
          </w:p>
        </w:tc>
        <w:tc>
          <w:tcPr>
            <w:tcW w:w="8583" w:type="dxa"/>
            <w:vAlign w:val="center"/>
          </w:tcPr>
          <w:p w14:paraId="694D18D7">
            <w:pPr>
              <w:adjustRightInd w:val="0"/>
              <w:snapToGrid w:val="0"/>
              <w:rPr>
                <w:rFonts w:ascii="宋体" w:hAnsi="宋体" w:cs="宋体"/>
                <w:bCs/>
                <w:color w:val="auto"/>
                <w:szCs w:val="21"/>
                <w:highlight w:val="none"/>
                <w:lang w:val="zh-CN"/>
              </w:rPr>
            </w:pPr>
            <w:r>
              <w:rPr>
                <w:rFonts w:hint="eastAsia" w:ascii="宋体" w:hAnsi="宋体" w:cs="宋体"/>
                <w:bCs/>
                <w:color w:val="auto"/>
                <w:szCs w:val="21"/>
                <w:highlight w:val="none"/>
                <w:lang w:val="zh-CN"/>
              </w:rPr>
              <w:t>报价均不允许超过采购预算</w:t>
            </w:r>
          </w:p>
        </w:tc>
      </w:tr>
      <w:tr w14:paraId="5196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000" w:type="dxa"/>
            <w:vAlign w:val="center"/>
          </w:tcPr>
          <w:p w14:paraId="153F1282">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5</w:t>
            </w:r>
          </w:p>
        </w:tc>
        <w:tc>
          <w:tcPr>
            <w:tcW w:w="8583" w:type="dxa"/>
            <w:tcBorders/>
            <w:vAlign w:val="center"/>
          </w:tcPr>
          <w:p w14:paraId="5BD8B542">
            <w:pPr>
              <w:adjustRightInd w:val="0"/>
              <w:snapToGrid w:val="0"/>
              <w:rPr>
                <w:rFonts w:ascii="宋体" w:hAnsi="宋体" w:cs="宋体"/>
                <w:bCs/>
                <w:color w:val="auto"/>
                <w:szCs w:val="21"/>
                <w:highlight w:val="none"/>
              </w:rPr>
            </w:pPr>
            <w:r>
              <w:rPr>
                <w:rFonts w:hint="eastAsia" w:ascii="宋体" w:hAnsi="宋体" w:cs="宋体"/>
                <w:bCs/>
                <w:color w:val="auto"/>
                <w:szCs w:val="21"/>
                <w:highlight w:val="none"/>
                <w:lang w:val="zh-CN"/>
              </w:rPr>
              <w:t>按竞争性谈判文件要求提交谈判保证金，</w:t>
            </w:r>
            <w:r>
              <w:rPr>
                <w:rFonts w:hint="eastAsia" w:ascii="宋体" w:hAnsi="宋体" w:cs="宋体"/>
                <w:color w:val="auto"/>
                <w:szCs w:val="21"/>
                <w:highlight w:val="none"/>
              </w:rPr>
              <w:t>响应文件内附谈判保证金缴纳凭证及基本账户开户许可证复印件并加盖</w:t>
            </w:r>
            <w:r>
              <w:rPr>
                <w:rFonts w:hint="eastAsia" w:ascii="宋体" w:hAnsi="宋体" w:cs="宋体-18030"/>
                <w:color w:val="auto"/>
                <w:szCs w:val="21"/>
                <w:highlight w:val="none"/>
              </w:rPr>
              <w:t>供应商</w:t>
            </w:r>
            <w:r>
              <w:rPr>
                <w:rFonts w:hint="eastAsia" w:ascii="宋体" w:hAnsi="宋体" w:cs="宋体"/>
                <w:color w:val="auto"/>
                <w:szCs w:val="21"/>
                <w:highlight w:val="none"/>
              </w:rPr>
              <w:t>公章，</w:t>
            </w:r>
            <w:r>
              <w:rPr>
                <w:rFonts w:hint="eastAsia" w:ascii="宋体" w:hAnsi="宋体" w:cs="Arial Unicode MS"/>
                <w:bCs/>
                <w:color w:val="auto"/>
                <w:szCs w:val="21"/>
                <w:highlight w:val="none"/>
              </w:rPr>
              <w:t>以支票、汇票、本票、保函递交的，</w:t>
            </w:r>
            <w:r>
              <w:rPr>
                <w:rFonts w:hint="eastAsia" w:ascii="宋体" w:hAnsi="宋体" w:cs="宋体"/>
                <w:color w:val="auto"/>
                <w:szCs w:val="21"/>
                <w:highlight w:val="none"/>
              </w:rPr>
              <w:t>将谈判保证金相关缴纳凭证原件应当于</w:t>
            </w:r>
            <w:r>
              <w:rPr>
                <w:rFonts w:hint="eastAsia" w:ascii="宋体" w:hAnsi="宋体" w:cs="宋体"/>
                <w:color w:val="auto"/>
                <w:szCs w:val="21"/>
                <w:highlight w:val="none"/>
                <w:lang w:eastAsia="zh-CN"/>
              </w:rPr>
              <w:t>递交响应文件截止时间</w:t>
            </w:r>
            <w:r>
              <w:rPr>
                <w:rFonts w:hint="eastAsia" w:ascii="宋体" w:hAnsi="宋体" w:cs="宋体"/>
                <w:color w:val="auto"/>
                <w:szCs w:val="21"/>
                <w:highlight w:val="none"/>
              </w:rPr>
              <w:t>前将原件递交至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w:t>
            </w:r>
            <w:r>
              <w:rPr>
                <w:rFonts w:hint="eastAsia" w:ascii="宋体" w:hAnsi="宋体" w:cs="宋体"/>
                <w:b/>
                <w:color w:val="auto"/>
                <w:szCs w:val="21"/>
                <w:highlight w:val="none"/>
              </w:rPr>
              <w:t>注：基本账户开户许可取消后新开立基本账户的供应商，可以按照中国人民银行的相关文件规定提交银行打印的《基本存款账户信息》。</w:t>
            </w:r>
          </w:p>
        </w:tc>
      </w:tr>
      <w:tr w14:paraId="11C0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0" w:type="dxa"/>
            <w:vAlign w:val="center"/>
          </w:tcPr>
          <w:p w14:paraId="1DC80648">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6</w:t>
            </w:r>
          </w:p>
        </w:tc>
        <w:tc>
          <w:tcPr>
            <w:tcW w:w="8583" w:type="dxa"/>
            <w:vAlign w:val="center"/>
          </w:tcPr>
          <w:p w14:paraId="7C173ABB">
            <w:pPr>
              <w:adjustRightInd w:val="0"/>
              <w:snapToGrid w:val="0"/>
              <w:rPr>
                <w:rFonts w:ascii="宋体" w:hAnsi="宋体" w:cs="宋体"/>
                <w:bCs/>
                <w:color w:val="auto"/>
                <w:szCs w:val="21"/>
                <w:highlight w:val="none"/>
                <w:lang w:val="zh-CN"/>
              </w:rPr>
            </w:pPr>
            <w:r>
              <w:rPr>
                <w:rFonts w:hint="eastAsia" w:ascii="宋体" w:hAnsi="宋体" w:cs="宋体"/>
                <w:bCs/>
                <w:color w:val="auto"/>
                <w:szCs w:val="21"/>
                <w:highlight w:val="none"/>
                <w:lang w:val="zh-CN"/>
              </w:rPr>
              <w:t>响应文件的编制符合竞争性谈判文件的要求</w:t>
            </w:r>
          </w:p>
        </w:tc>
      </w:tr>
      <w:tr w14:paraId="4E37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0" w:type="dxa"/>
            <w:vAlign w:val="center"/>
          </w:tcPr>
          <w:p w14:paraId="25C7864D">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7</w:t>
            </w:r>
          </w:p>
        </w:tc>
        <w:tc>
          <w:tcPr>
            <w:tcW w:w="8583" w:type="dxa"/>
            <w:vAlign w:val="center"/>
          </w:tcPr>
          <w:p w14:paraId="0CA14FFE">
            <w:pPr>
              <w:adjustRightInd w:val="0"/>
              <w:snapToGrid w:val="0"/>
              <w:rPr>
                <w:rFonts w:ascii="宋体" w:hAnsi="宋体" w:cs="宋体"/>
                <w:bCs/>
                <w:color w:val="auto"/>
                <w:szCs w:val="21"/>
                <w:highlight w:val="none"/>
                <w:lang w:val="zh-CN"/>
              </w:rPr>
            </w:pPr>
            <w:r>
              <w:rPr>
                <w:rFonts w:hint="eastAsia" w:ascii="宋体" w:hAnsi="宋体" w:cs="宋体"/>
                <w:bCs/>
                <w:color w:val="auto"/>
                <w:szCs w:val="21"/>
                <w:highlight w:val="none"/>
                <w:lang w:val="zh-CN"/>
              </w:rPr>
              <w:t>报价有效期应符合竞争性谈判文件的要求</w:t>
            </w:r>
          </w:p>
        </w:tc>
      </w:tr>
      <w:tr w14:paraId="250A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0" w:type="dxa"/>
            <w:vAlign w:val="center"/>
          </w:tcPr>
          <w:p w14:paraId="2FA133AA">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8</w:t>
            </w:r>
          </w:p>
        </w:tc>
        <w:tc>
          <w:tcPr>
            <w:tcW w:w="8583" w:type="dxa"/>
            <w:vAlign w:val="center"/>
          </w:tcPr>
          <w:p w14:paraId="6D76110E">
            <w:pPr>
              <w:adjustRightInd w:val="0"/>
              <w:snapToGrid w:val="0"/>
              <w:rPr>
                <w:rFonts w:ascii="宋体" w:hAnsi="宋体" w:cs="宋体"/>
                <w:bCs/>
                <w:color w:val="auto"/>
                <w:szCs w:val="21"/>
                <w:highlight w:val="none"/>
                <w:lang w:val="zh-CN"/>
              </w:rPr>
            </w:pPr>
            <w:r>
              <w:rPr>
                <w:rFonts w:hint="eastAsia" w:ascii="宋体" w:hAnsi="宋体" w:cs="宋体"/>
                <w:bCs/>
                <w:color w:val="auto"/>
                <w:szCs w:val="21"/>
                <w:highlight w:val="none"/>
                <w:lang w:val="zh-CN"/>
              </w:rPr>
              <w:t>质量标准应符合竞争性谈判文件的要求</w:t>
            </w:r>
          </w:p>
        </w:tc>
      </w:tr>
      <w:tr w14:paraId="3569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0" w:type="dxa"/>
            <w:vAlign w:val="center"/>
          </w:tcPr>
          <w:p w14:paraId="0EABF1E4">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9</w:t>
            </w:r>
          </w:p>
        </w:tc>
        <w:tc>
          <w:tcPr>
            <w:tcW w:w="8583" w:type="dxa"/>
            <w:shd w:val="clear" w:color="auto" w:fill="auto"/>
            <w:vAlign w:val="center"/>
          </w:tcPr>
          <w:p w14:paraId="30A1DD9B">
            <w:pPr>
              <w:adjustRightInd w:val="0"/>
              <w:snapToGrid w:val="0"/>
              <w:rPr>
                <w:rFonts w:ascii="宋体" w:hAnsi="宋体" w:eastAsia="宋体" w:cs="宋体"/>
                <w:bCs/>
                <w:color w:val="auto"/>
                <w:kern w:val="2"/>
                <w:sz w:val="21"/>
                <w:szCs w:val="21"/>
                <w:highlight w:val="none"/>
                <w:lang w:val="zh-CN" w:eastAsia="zh-CN" w:bidi="ar-SA"/>
              </w:rPr>
            </w:pPr>
            <w:r>
              <w:rPr>
                <w:rFonts w:hint="eastAsia" w:ascii="宋体" w:hAnsi="宋体" w:cs="宋体"/>
                <w:bCs/>
                <w:color w:val="auto"/>
                <w:szCs w:val="21"/>
                <w:highlight w:val="none"/>
                <w:lang w:val="zh-CN"/>
              </w:rPr>
              <w:t>合同条款应符合竞争性谈判文件的要求</w:t>
            </w:r>
          </w:p>
        </w:tc>
      </w:tr>
      <w:tr w14:paraId="06A6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0" w:type="dxa"/>
            <w:vAlign w:val="center"/>
          </w:tcPr>
          <w:p w14:paraId="2895C6C3">
            <w:pPr>
              <w:spacing w:before="100" w:beforeAutospacing="1" w:after="100" w:afterAutospacing="1"/>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10</w:t>
            </w:r>
          </w:p>
        </w:tc>
        <w:tc>
          <w:tcPr>
            <w:tcW w:w="8583" w:type="dxa"/>
            <w:shd w:val="clear" w:color="auto" w:fill="auto"/>
            <w:vAlign w:val="center"/>
          </w:tcPr>
          <w:p w14:paraId="3654A7D2">
            <w:pPr>
              <w:adjustRightInd w:val="0"/>
              <w:snapToGrid w:val="0"/>
              <w:rPr>
                <w:rFonts w:ascii="宋体" w:hAnsi="宋体" w:eastAsia="宋体" w:cs="宋体"/>
                <w:bCs/>
                <w:color w:val="auto"/>
                <w:kern w:val="2"/>
                <w:sz w:val="21"/>
                <w:szCs w:val="21"/>
                <w:highlight w:val="none"/>
                <w:lang w:val="zh-CN" w:eastAsia="zh-CN" w:bidi="ar-SA"/>
              </w:rPr>
            </w:pPr>
            <w:r>
              <w:rPr>
                <w:rFonts w:hint="eastAsia" w:ascii="宋体" w:hAnsi="宋体" w:cs="宋体"/>
                <w:bCs/>
                <w:color w:val="auto"/>
                <w:szCs w:val="21"/>
                <w:highlight w:val="none"/>
                <w:lang w:val="zh-CN"/>
              </w:rPr>
              <w:t>满足竞争性谈判文件的其他实质性要求</w:t>
            </w:r>
          </w:p>
        </w:tc>
      </w:tr>
      <w:tr w14:paraId="4189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83" w:type="dxa"/>
            <w:gridSpan w:val="2"/>
            <w:vAlign w:val="center"/>
          </w:tcPr>
          <w:p w14:paraId="7388EF38">
            <w:pPr>
              <w:pStyle w:val="17"/>
              <w:widowControl w:val="0"/>
              <w:overflowPunct/>
              <w:autoSpaceDE/>
              <w:autoSpaceDN/>
              <w:adjustRightInd/>
              <w:spacing w:line="240" w:lineRule="auto"/>
              <w:ind w:firstLine="420"/>
              <w:jc w:val="center"/>
              <w:textAlignment w:val="auto"/>
              <w:rPr>
                <w:rFonts w:hAnsi="宋体" w:cs="宋体"/>
                <w:bCs/>
                <w:color w:val="auto"/>
                <w:spacing w:val="0"/>
                <w:kern w:val="2"/>
                <w:sz w:val="21"/>
                <w:szCs w:val="21"/>
                <w:highlight w:val="none"/>
                <w:lang w:val="zh-CN"/>
              </w:rPr>
            </w:pPr>
            <w:r>
              <w:rPr>
                <w:rFonts w:hint="eastAsia" w:hAnsi="宋体" w:cs="宋体"/>
                <w:bCs/>
                <w:color w:val="auto"/>
                <w:spacing w:val="0"/>
                <w:kern w:val="2"/>
                <w:sz w:val="21"/>
                <w:szCs w:val="21"/>
                <w:highlight w:val="none"/>
                <w:lang w:val="zh-CN"/>
              </w:rPr>
              <w:t>评审结果（合格/不合格）</w:t>
            </w:r>
          </w:p>
        </w:tc>
      </w:tr>
    </w:tbl>
    <w:p w14:paraId="719DF08E">
      <w:pPr>
        <w:spacing w:before="120" w:beforeLines="50" w:line="300" w:lineRule="auto"/>
        <w:ind w:firstLine="420"/>
        <w:rPr>
          <w:rFonts w:ascii="宋体" w:hAnsi="宋体" w:cs="宋体"/>
          <w:bCs/>
          <w:color w:val="auto"/>
          <w:szCs w:val="21"/>
          <w:highlight w:val="none"/>
          <w:lang w:val="zh-CN"/>
        </w:rPr>
      </w:pPr>
      <w:r>
        <w:rPr>
          <w:rFonts w:hint="eastAsia" w:ascii="宋体" w:hAnsi="宋体" w:cs="宋体"/>
          <w:bCs/>
          <w:color w:val="auto"/>
          <w:szCs w:val="21"/>
          <w:highlight w:val="none"/>
          <w:lang w:val="zh-CN"/>
        </w:rPr>
        <w:t>备注:1、有一项不合格的，不再进入下步评审。</w:t>
      </w:r>
    </w:p>
    <w:p w14:paraId="3B2EBFB9">
      <w:pPr>
        <w:spacing w:line="300" w:lineRule="auto"/>
        <w:ind w:firstLine="961" w:firstLineChars="458"/>
        <w:rPr>
          <w:rFonts w:ascii="宋体" w:hAnsi="宋体" w:cs="宋体"/>
          <w:bCs/>
          <w:color w:val="auto"/>
          <w:szCs w:val="21"/>
          <w:highlight w:val="none"/>
          <w:lang w:val="zh-CN"/>
        </w:rPr>
      </w:pPr>
      <w:r>
        <w:rPr>
          <w:rFonts w:hint="eastAsia" w:ascii="宋体" w:hAnsi="宋体" w:cs="宋体"/>
          <w:bCs/>
          <w:color w:val="auto"/>
          <w:szCs w:val="21"/>
          <w:highlight w:val="none"/>
          <w:lang w:val="zh-CN"/>
        </w:rPr>
        <w:t>2、满足评审条件的结论打“√”，不满足评审条件的结论打“×”；</w:t>
      </w:r>
    </w:p>
    <w:p w14:paraId="47AB5881">
      <w:pPr>
        <w:autoSpaceDE w:val="0"/>
        <w:autoSpaceDN w:val="0"/>
        <w:adjustRightInd w:val="0"/>
        <w:spacing w:line="300" w:lineRule="auto"/>
        <w:ind w:firstLine="945" w:firstLineChars="450"/>
        <w:rPr>
          <w:rFonts w:ascii="宋体" w:hAnsi="宋体" w:cs="宋体"/>
          <w:bCs/>
          <w:color w:val="auto"/>
          <w:szCs w:val="21"/>
          <w:highlight w:val="none"/>
          <w:lang w:val="zh-CN"/>
        </w:rPr>
      </w:pPr>
      <w:r>
        <w:rPr>
          <w:rFonts w:hint="eastAsia" w:ascii="宋体" w:hAnsi="宋体" w:cs="宋体"/>
          <w:bCs/>
          <w:color w:val="auto"/>
          <w:szCs w:val="21"/>
          <w:highlight w:val="none"/>
          <w:lang w:val="zh-CN"/>
        </w:rPr>
        <w:t>3、本表由全体谈判小组成员在共同商议的基础上给出结论，谈判小组成员意见不一致时，按照少数服从多数的原则确定。</w:t>
      </w:r>
    </w:p>
    <w:p w14:paraId="5661CE2B">
      <w:pPr>
        <w:autoSpaceDE w:val="0"/>
        <w:autoSpaceDN w:val="0"/>
        <w:adjustRightInd w:val="0"/>
        <w:spacing w:line="360" w:lineRule="auto"/>
        <w:ind w:firstLine="440"/>
        <w:jc w:val="center"/>
        <w:rPr>
          <w:rFonts w:ascii="宋体" w:hAnsi="宋体" w:cs="宋体"/>
          <w:bCs/>
          <w:color w:val="auto"/>
          <w:sz w:val="22"/>
          <w:highlight w:val="none"/>
          <w:lang w:val="zh-CN"/>
        </w:rPr>
      </w:pPr>
    </w:p>
    <w:p w14:paraId="35D2956B">
      <w:pPr>
        <w:tabs>
          <w:tab w:val="left" w:pos="300"/>
        </w:tabs>
        <w:spacing w:line="360" w:lineRule="auto"/>
        <w:ind w:firstLine="482"/>
        <w:jc w:val="center"/>
        <w:outlineLvl w:val="3"/>
        <w:rPr>
          <w:rFonts w:ascii="宋体" w:hAnsi="宋体" w:cs="宋体"/>
          <w:b/>
          <w:color w:val="auto"/>
          <w:sz w:val="24"/>
          <w:highlight w:val="none"/>
        </w:rPr>
      </w:pPr>
    </w:p>
    <w:p w14:paraId="53594200">
      <w:pPr>
        <w:tabs>
          <w:tab w:val="left" w:pos="300"/>
        </w:tabs>
        <w:spacing w:line="360" w:lineRule="auto"/>
        <w:ind w:firstLine="482"/>
        <w:jc w:val="center"/>
        <w:outlineLvl w:val="3"/>
        <w:rPr>
          <w:rFonts w:ascii="宋体" w:hAnsi="宋体" w:cs="宋体"/>
          <w:b/>
          <w:color w:val="auto"/>
          <w:sz w:val="24"/>
          <w:highlight w:val="none"/>
        </w:rPr>
      </w:pPr>
    </w:p>
    <w:p w14:paraId="32FE8D12">
      <w:pPr>
        <w:tabs>
          <w:tab w:val="left" w:pos="300"/>
        </w:tabs>
        <w:spacing w:line="360" w:lineRule="auto"/>
        <w:ind w:firstLine="482"/>
        <w:jc w:val="center"/>
        <w:outlineLvl w:val="3"/>
        <w:rPr>
          <w:rFonts w:ascii="宋体" w:hAnsi="宋体" w:cs="宋体"/>
          <w:b/>
          <w:color w:val="auto"/>
          <w:sz w:val="24"/>
          <w:highlight w:val="none"/>
        </w:rPr>
      </w:pPr>
    </w:p>
    <w:p w14:paraId="228A6AEA">
      <w:pPr>
        <w:tabs>
          <w:tab w:val="left" w:pos="300"/>
        </w:tabs>
        <w:spacing w:line="360" w:lineRule="auto"/>
        <w:ind w:firstLine="482"/>
        <w:jc w:val="center"/>
        <w:outlineLvl w:val="3"/>
        <w:rPr>
          <w:rFonts w:ascii="宋体" w:hAnsi="宋体" w:cs="宋体"/>
          <w:b/>
          <w:color w:val="auto"/>
          <w:sz w:val="24"/>
          <w:highlight w:val="none"/>
        </w:rPr>
      </w:pPr>
    </w:p>
    <w:p w14:paraId="352779A8">
      <w:pPr>
        <w:tabs>
          <w:tab w:val="left" w:pos="300"/>
        </w:tabs>
        <w:spacing w:line="360" w:lineRule="auto"/>
        <w:ind w:firstLine="482"/>
        <w:jc w:val="center"/>
        <w:outlineLvl w:val="3"/>
        <w:rPr>
          <w:rFonts w:ascii="宋体" w:hAnsi="宋体" w:cs="宋体"/>
          <w:b/>
          <w:color w:val="auto"/>
          <w:sz w:val="24"/>
          <w:highlight w:val="none"/>
        </w:rPr>
      </w:pPr>
    </w:p>
    <w:p w14:paraId="09318975">
      <w:pPr>
        <w:tabs>
          <w:tab w:val="left" w:pos="300"/>
        </w:tabs>
        <w:spacing w:line="360" w:lineRule="auto"/>
        <w:ind w:firstLine="482"/>
        <w:jc w:val="center"/>
        <w:outlineLvl w:val="3"/>
        <w:rPr>
          <w:rFonts w:ascii="宋体" w:hAnsi="宋体" w:cs="宋体"/>
          <w:b/>
          <w:color w:val="auto"/>
          <w:sz w:val="24"/>
          <w:highlight w:val="none"/>
        </w:rPr>
      </w:pPr>
    </w:p>
    <w:p w14:paraId="74E65927">
      <w:pPr>
        <w:tabs>
          <w:tab w:val="left" w:pos="300"/>
        </w:tabs>
        <w:spacing w:line="360" w:lineRule="auto"/>
        <w:ind w:firstLine="482"/>
        <w:jc w:val="center"/>
        <w:outlineLvl w:val="3"/>
        <w:rPr>
          <w:rFonts w:ascii="宋体" w:hAnsi="宋体" w:cs="宋体"/>
          <w:b/>
          <w:color w:val="auto"/>
          <w:sz w:val="24"/>
          <w:highlight w:val="none"/>
        </w:rPr>
      </w:pPr>
    </w:p>
    <w:p w14:paraId="598C86B9">
      <w:pPr>
        <w:tabs>
          <w:tab w:val="left" w:pos="300"/>
        </w:tabs>
        <w:spacing w:line="360" w:lineRule="auto"/>
        <w:ind w:firstLine="482"/>
        <w:jc w:val="center"/>
        <w:outlineLvl w:val="3"/>
        <w:rPr>
          <w:rFonts w:ascii="宋体" w:hAnsi="宋体" w:cs="宋体"/>
          <w:b/>
          <w:color w:val="auto"/>
          <w:sz w:val="24"/>
          <w:highlight w:val="none"/>
        </w:rPr>
      </w:pPr>
    </w:p>
    <w:p w14:paraId="68278153">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政府采购政策</w:t>
      </w:r>
    </w:p>
    <w:p w14:paraId="56D78D4B">
      <w:pPr>
        <w:jc w:val="center"/>
        <w:rPr>
          <w:rFonts w:hint="eastAsia" w:ascii="宋体" w:hAnsi="宋体" w:eastAsia="宋体" w:cs="宋体"/>
          <w:b/>
          <w:bCs/>
          <w:color w:val="auto"/>
          <w:sz w:val="30"/>
          <w:szCs w:val="30"/>
          <w:highlight w:val="none"/>
          <w:lang w:eastAsia="zh-CN"/>
        </w:rPr>
      </w:pPr>
    </w:p>
    <w:p w14:paraId="4BF5448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对于产品属于政府采购节能产品实施品目清单范围内的，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使用获得合格认证证书的产品，对该项目产品价格给予3％的价格扣除。对于产品属于政府采购环境标志产品实施品目清单范围内的，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使用获得合格认证证书的产品，对该项目产品价格给予 3％的价格扣除。注：产品同时属于政府采购节能产品、环境标志产品实施品目清单范围内且获得合格认证证书的，将上述规定的价格扣除比例叠加后计算价格扣除。（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文件中提供国家确定的认证机构出具的、处于有效期之内的节能产品、环境标志产品认证证书及中国政府采购网（www.ccgp.gov.cn）节能产品、环境标志产品查询截图打印件）</w:t>
      </w:r>
    </w:p>
    <w:p w14:paraId="6435BAB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根据《政府采购促进中小企业发展管理办法》（财库〔2020〕46号）规定，本项目专门面向中小企业采购，不接受非中小企业参与本项目。</w:t>
      </w:r>
    </w:p>
    <w:p w14:paraId="3C99ED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②</w:t>
      </w:r>
      <w:r>
        <w:rPr>
          <w:rFonts w:hint="eastAsia" w:ascii="宋体" w:hAnsi="宋体" w:eastAsia="宋体" w:cs="宋体"/>
          <w:color w:val="auto"/>
          <w:szCs w:val="21"/>
          <w:highlight w:val="none"/>
        </w:rPr>
        <w:t>根据《关于政府采购支持监狱企业发展有关问题的通知》规定，在政府采购活动中，监狱企业视同小型、微型企业，享受预留份额、评审中价格扣除等政府采购促进中小企业发展的政府采购政策。</w:t>
      </w:r>
    </w:p>
    <w:p w14:paraId="0A8FBD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③</w:t>
      </w:r>
      <w:r>
        <w:rPr>
          <w:rFonts w:hint="eastAsia" w:ascii="宋体" w:hAnsi="宋体" w:eastAsia="宋体" w:cs="宋体"/>
          <w:color w:val="auto"/>
          <w:szCs w:val="21"/>
          <w:highlight w:val="none"/>
        </w:rPr>
        <w:t>根据《关于促进残疾人就业政府采购政策的通知》规定，在政府采购活动中，残疾人福利性单位视同小型、微型企业，享受预留份额、评审中价格扣除等促进中小企业发展的政府采购政策。</w:t>
      </w:r>
    </w:p>
    <w:p w14:paraId="1B4FB8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注：①中小企业参加政府采购活动（依据《中小企业划型标准规定》中</w:t>
      </w:r>
      <w:r>
        <w:rPr>
          <w:rFonts w:hint="eastAsia" w:ascii="宋体" w:hAnsi="宋体" w:eastAsia="宋体" w:cs="宋体"/>
          <w:color w:val="auto"/>
          <w:szCs w:val="21"/>
          <w:highlight w:val="none"/>
          <w:u w:val="single"/>
          <w:lang w:val="en-US" w:eastAsia="zh-CN"/>
        </w:rPr>
        <w:t>工业、软件和信息技术服务业</w:t>
      </w:r>
      <w:r>
        <w:rPr>
          <w:rFonts w:hint="eastAsia" w:ascii="宋体" w:hAnsi="宋体" w:eastAsia="宋体" w:cs="宋体"/>
          <w:color w:val="auto"/>
          <w:szCs w:val="21"/>
          <w:highlight w:val="none"/>
        </w:rPr>
        <w:t xml:space="preserve">，应当出具《政府采购促进中小企业发展管理办法》规定的《中小企业声明函》，否则不得享受相关中小企业扶持政策。       </w:t>
      </w:r>
    </w:p>
    <w:p w14:paraId="03CCF6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②监狱企业参加政府采购活动时，应当提供由省级以上监狱管理局、戒毒管理局（含新疆生产建设兵团）出具的属于监狱企业的证明文件。</w:t>
      </w:r>
    </w:p>
    <w:p w14:paraId="7B34B9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③残疾人福利性单位在参加政府采购活动时，应当按规定提供《残疾人福利性单位声明函》，并对声明的真实性负责。</w:t>
      </w:r>
    </w:p>
    <w:p w14:paraId="01326A30">
      <w:pPr>
        <w:pStyle w:val="2"/>
        <w:spacing w:line="240" w:lineRule="auto"/>
        <w:rPr>
          <w:rFonts w:hint="eastAsia" w:ascii="宋体" w:hAnsi="宋体" w:eastAsia="宋体" w:cs="宋体"/>
          <w:color w:val="auto"/>
          <w:highlight w:val="none"/>
        </w:rPr>
      </w:pPr>
      <w:r>
        <w:rPr>
          <w:rFonts w:hint="eastAsia" w:ascii="宋体" w:hAnsi="宋体" w:eastAsia="宋体" w:cs="宋体"/>
          <w:b/>
          <w:color w:val="auto"/>
          <w:sz w:val="28"/>
          <w:szCs w:val="28"/>
          <w:highlight w:val="none"/>
        </w:rPr>
        <w:br w:type="page"/>
      </w:r>
    </w:p>
    <w:p w14:paraId="498716CE">
      <w:pPr>
        <w:pStyle w:val="38"/>
        <w:spacing w:before="452" w:after="150" w:line="0" w:lineRule="atLeast"/>
        <w:jc w:val="both"/>
        <w:rPr>
          <w:rStyle w:val="45"/>
          <w:rFonts w:hint="eastAsia" w:ascii="宋体" w:hAnsi="宋体" w:eastAsia="宋体" w:cs="宋体"/>
          <w:color w:val="auto"/>
          <w:sz w:val="21"/>
          <w:szCs w:val="21"/>
          <w:highlight w:val="none"/>
          <w:shd w:val="clear" w:color="auto" w:fill="FFFFFF"/>
        </w:rPr>
      </w:pPr>
      <w:r>
        <w:rPr>
          <w:rStyle w:val="45"/>
          <w:rFonts w:hint="eastAsia" w:ascii="宋体" w:hAnsi="宋体" w:eastAsia="宋体" w:cs="宋体"/>
          <w:color w:val="auto"/>
          <w:sz w:val="21"/>
          <w:szCs w:val="21"/>
          <w:highlight w:val="none"/>
          <w:shd w:val="clear" w:color="auto" w:fill="FFFFFF"/>
        </w:rPr>
        <w:t>附件1</w:t>
      </w:r>
    </w:p>
    <w:p w14:paraId="7FC2F60F">
      <w:pPr>
        <w:pStyle w:val="38"/>
        <w:spacing w:before="452" w:after="150" w:line="0" w:lineRule="atLeast"/>
        <w:jc w:val="center"/>
        <w:rPr>
          <w:rFonts w:hint="eastAsia" w:ascii="宋体" w:hAnsi="宋体" w:eastAsia="宋体" w:cs="宋体"/>
          <w:color w:val="auto"/>
          <w:sz w:val="21"/>
          <w:szCs w:val="21"/>
          <w:highlight w:val="none"/>
        </w:rPr>
      </w:pPr>
      <w:r>
        <w:rPr>
          <w:rStyle w:val="45"/>
          <w:rFonts w:hint="eastAsia" w:ascii="宋体" w:hAnsi="宋体" w:eastAsia="宋体" w:cs="宋体"/>
          <w:color w:val="auto"/>
          <w:sz w:val="21"/>
          <w:szCs w:val="21"/>
          <w:highlight w:val="none"/>
          <w:shd w:val="clear" w:color="auto" w:fill="FFFFFF"/>
        </w:rPr>
        <w:t>中小企业划型标准规定</w:t>
      </w:r>
    </w:p>
    <w:p w14:paraId="115C301D">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一、根据《中华人民共和国中小企业促进法》和《国务院关于进一步促进中小企业发展的若干意见》(国发〔2009〕36号)，制定本规定。</w:t>
      </w:r>
    </w:p>
    <w:p w14:paraId="743E3148">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二、中小企业划分为中型、小型、微型三种类型，具体标准根据企业从业人员、营业收入、资产总额等指标，结合行业特点制定。</w:t>
      </w:r>
    </w:p>
    <w:p w14:paraId="26334A8D">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49C535">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四、各行业划型标准为：</w:t>
      </w:r>
    </w:p>
    <w:p w14:paraId="44234E13">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6865063A">
      <w:pPr>
        <w:spacing w:line="360" w:lineRule="auto"/>
        <w:jc w:val="left"/>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　　</w:t>
      </w:r>
      <w:r>
        <w:rPr>
          <w:rFonts w:hint="eastAsia" w:ascii="宋体" w:hAnsi="宋体" w:eastAsia="宋体" w:cs="宋体"/>
          <w:b w:val="0"/>
          <w:bCs w:val="0"/>
          <w:color w:val="auto"/>
          <w:sz w:val="21"/>
          <w:szCs w:val="21"/>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4D5E71">
      <w:pPr>
        <w:spacing w:line="360" w:lineRule="auto"/>
        <w:jc w:val="left"/>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　　</w:t>
      </w:r>
      <w:r>
        <w:rPr>
          <w:rFonts w:hint="eastAsia" w:ascii="宋体" w:hAnsi="宋体" w:eastAsia="宋体" w:cs="宋体"/>
          <w:b w:val="0"/>
          <w:bCs w:val="0"/>
          <w:color w:val="auto"/>
          <w:sz w:val="21"/>
          <w:szCs w:val="21"/>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3AF8C8">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DCA95D">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EC0112">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A5EF1B4">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9BC5ED">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7D4ACD">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11AA50">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D6FC4A">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7D48B2">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0BD296">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36A646">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D01240">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1146F1">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68CC5FAE">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五、企业类型的划分以统计部门的统计数据为依据。</w:t>
      </w:r>
    </w:p>
    <w:p w14:paraId="6C498CAF">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4E0A3EB5">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2FF2DF0B">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八、本规定由工业和信息化部、国家统计局会同有关部门根据《国民经济行业分类》修订情况和企业发展变化情况适时修订。</w:t>
      </w:r>
    </w:p>
    <w:p w14:paraId="23BB1939">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九、本规定由工业和信息化部、国家统计局会同有关部门负责解释。</w:t>
      </w:r>
    </w:p>
    <w:p w14:paraId="561C3394">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十、本规定自发布之日起执行，原国家经贸委、原国家计委、财政部和国家统计局2003年颁布的《中小企业标准暂行规定》同时废止。</w:t>
      </w:r>
    </w:p>
    <w:p w14:paraId="408B093B">
      <w:pPr>
        <w:spacing w:line="360" w:lineRule="auto"/>
        <w:jc w:val="left"/>
        <w:rPr>
          <w:rFonts w:hint="eastAsia" w:ascii="宋体" w:hAnsi="宋体" w:eastAsia="宋体" w:cs="宋体"/>
          <w:b/>
          <w:color w:val="auto"/>
          <w:sz w:val="21"/>
          <w:szCs w:val="21"/>
          <w:highlight w:val="none"/>
        </w:rPr>
      </w:pPr>
      <w:r>
        <w:rPr>
          <w:rFonts w:hint="eastAsia" w:hAnsi="宋体" w:cs="宋体"/>
          <w:color w:val="auto"/>
          <w:sz w:val="24"/>
          <w:szCs w:val="24"/>
          <w:highlight w:val="none"/>
          <w:shd w:val="clear" w:color="auto" w:fill="FFFFFF"/>
        </w:rPr>
        <w:br w:type="page"/>
      </w:r>
      <w:r>
        <w:rPr>
          <w:rStyle w:val="45"/>
          <w:rFonts w:hint="eastAsia" w:ascii="宋体" w:hAnsi="宋体" w:eastAsia="宋体" w:cs="宋体"/>
          <w:color w:val="auto"/>
          <w:sz w:val="21"/>
          <w:szCs w:val="21"/>
          <w:highlight w:val="none"/>
          <w:shd w:val="clear" w:color="auto" w:fill="FFFFFF"/>
        </w:rPr>
        <w:t>附件2</w:t>
      </w:r>
    </w:p>
    <w:p w14:paraId="7FBFDBEA">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关于印发《政府采购促进中小企业发展管理办法》的通知</w:t>
      </w:r>
    </w:p>
    <w:p w14:paraId="2034EE41">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财库〔2020〕46号</w:t>
      </w:r>
    </w:p>
    <w:p w14:paraId="28D46173">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14:paraId="50B4D397">
      <w:pPr>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852FEA9">
      <w:pPr>
        <w:spacing w:line="360" w:lineRule="auto"/>
        <w:ind w:firstLine="225" w:firstLineChars="100"/>
        <w:jc w:val="center"/>
        <w:rPr>
          <w:rStyle w:val="45"/>
          <w:rFonts w:cs="宋体"/>
          <w:b/>
          <w:bCs w:val="0"/>
          <w:color w:val="auto"/>
          <w:spacing w:val="7"/>
          <w:sz w:val="21"/>
          <w:szCs w:val="21"/>
          <w:highlight w:val="none"/>
          <w:shd w:val="clear" w:color="auto" w:fill="FFFFFF"/>
        </w:rPr>
      </w:pPr>
      <w:r>
        <w:rPr>
          <w:rStyle w:val="45"/>
          <w:rFonts w:hint="eastAsia" w:cs="宋体"/>
          <w:b/>
          <w:bCs w:val="0"/>
          <w:color w:val="auto"/>
          <w:spacing w:val="7"/>
          <w:sz w:val="21"/>
          <w:szCs w:val="21"/>
          <w:highlight w:val="none"/>
          <w:shd w:val="clear" w:color="auto" w:fill="FFFFFF"/>
        </w:rPr>
        <w:t>政府采购促进中小企业发展管理办法</w:t>
      </w:r>
    </w:p>
    <w:p w14:paraId="238767D7">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第一条　</w:t>
      </w:r>
      <w:r>
        <w:rPr>
          <w:rFonts w:hint="eastAsia" w:cs="宋体"/>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14:paraId="1765FA71">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第二条　</w:t>
      </w:r>
      <w:r>
        <w:rPr>
          <w:rFonts w:hint="eastAsia" w:cs="宋体"/>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687AB47">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符合中小企业划分标准的个体工商户，在政府采购活动中视同中小企业。</w:t>
      </w:r>
    </w:p>
    <w:p w14:paraId="1CEF110F">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第三条　</w:t>
      </w:r>
      <w:r>
        <w:rPr>
          <w:rFonts w:hint="eastAsia" w:cs="宋体"/>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2C739E15">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第四条　</w:t>
      </w:r>
      <w:r>
        <w:rPr>
          <w:rFonts w:hint="eastAsia" w:cs="宋体"/>
          <w:color w:val="auto"/>
          <w:spacing w:val="7"/>
          <w:sz w:val="21"/>
          <w:szCs w:val="21"/>
          <w:highlight w:val="none"/>
        </w:rPr>
        <w:t>在政府采购活动中，供应商提供的货物、工程或者服务符合下列情形的，享受本办法规定的中小企业扶持政策：</w:t>
      </w:r>
    </w:p>
    <w:p w14:paraId="4DBB0740">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（一）在货物采购项目中，货物由中小企业制造，即货物由中小企业生产且使用该中小企业商号或者注册商标；</w:t>
      </w:r>
    </w:p>
    <w:p w14:paraId="563E0AB7">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（二）在工程采购项目中，工程由中小企业承建，即工程施工单位为中小企业；</w:t>
      </w:r>
    </w:p>
    <w:p w14:paraId="7A7B0111">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（三）在服务采购项目中，服务由中小企业承接，即提供服务的人员为中小企业依照《中华人民共和国劳动合同法》订立劳动合同的从业人员。</w:t>
      </w:r>
    </w:p>
    <w:p w14:paraId="52BEC4E2">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在货物采购项目中，供应商提供的货物既有中小企业制造货物，也有大型企业制造货物的，不享受本办法规定的中小企业扶持政策。</w:t>
      </w:r>
    </w:p>
    <w:p w14:paraId="066EAA99">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70BF93EB">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第五条　</w:t>
      </w:r>
      <w:r>
        <w:rPr>
          <w:rFonts w:hint="eastAsia" w:cs="宋体"/>
          <w:color w:val="auto"/>
          <w:spacing w:val="7"/>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3F6C660">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第六条</w:t>
      </w:r>
      <w:r>
        <w:rPr>
          <w:rFonts w:hint="eastAsia" w:cs="宋体"/>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6CAC861">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符合下列情形之一的，可不专门面向中小企业预留采购份额：</w:t>
      </w:r>
    </w:p>
    <w:p w14:paraId="5953B6FE">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（一）法律法规和国家有关政策明确规定优先或者应当面向事业单位、社会组织等非企业主体采购的；</w:t>
      </w:r>
    </w:p>
    <w:p w14:paraId="7E98D9D8">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（二）因确需使用不可替代的专利、专有技术，基础设施限制，或者提供特定公共服务等原因，只能从中小企业之外的供应商处采购的；</w:t>
      </w:r>
    </w:p>
    <w:p w14:paraId="505FA68D">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（三）按照本办法规定预留采购份额无法确保充分供应、充分竞争，或者存在可能影响政府采购目标实现的情形；</w:t>
      </w:r>
    </w:p>
    <w:p w14:paraId="3F96BDE2">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（四）框架协议采购项目；</w:t>
      </w:r>
    </w:p>
    <w:p w14:paraId="53458D51">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（五）省级以上人民政府财政部门规定的其他情形。</w:t>
      </w:r>
    </w:p>
    <w:p w14:paraId="3C814110">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除上述情形外，其他均为适宜由中小企业提供的情形。</w:t>
      </w:r>
    </w:p>
    <w:p w14:paraId="35F3CD77">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第七条　</w:t>
      </w:r>
      <w:r>
        <w:rPr>
          <w:rFonts w:hint="eastAsia" w:cs="宋体"/>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09B3479E">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第八条</w:t>
      </w:r>
      <w:r>
        <w:rPr>
          <w:rFonts w:hint="eastAsia" w:cs="宋体"/>
          <w:color w:val="auto"/>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63BEB93">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（一）将采购项目整体或者设置采购包专门面向中小企业采购；</w:t>
      </w:r>
    </w:p>
    <w:p w14:paraId="2B428EE8">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（二）要求供应商以联合体形式参加采购活动，且联合体中中小企业承担的部分达到一定比例；</w:t>
      </w:r>
    </w:p>
    <w:p w14:paraId="4BD0B332">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（三）要求获得采购合同的供应商将采购项目中的一定比例分包给一家或者多家中小企业。</w:t>
      </w:r>
    </w:p>
    <w:p w14:paraId="2B80F6F1">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组成联合体或者接受分包合同的中小企业与联合体内其他企业、分包企业之间不得存在直接控股、管理关系。</w:t>
      </w:r>
    </w:p>
    <w:p w14:paraId="2A3AE89F">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第九条　</w:t>
      </w:r>
      <w:r>
        <w:rPr>
          <w:rFonts w:hint="eastAsia" w:cs="宋体"/>
          <w:color w:val="auto"/>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8964C0">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50DC45B">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017B87D">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第十条　</w:t>
      </w:r>
      <w:r>
        <w:rPr>
          <w:rFonts w:hint="eastAsia" w:cs="宋体"/>
          <w:color w:val="auto"/>
          <w:spacing w:val="7"/>
          <w:sz w:val="21"/>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2CD8107">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第十一条　</w:t>
      </w:r>
      <w:r>
        <w:rPr>
          <w:rFonts w:hint="eastAsia" w:cs="宋体"/>
          <w:color w:val="auto"/>
          <w:spacing w:val="7"/>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14:paraId="3C37B828">
      <w:pPr>
        <w:pStyle w:val="38"/>
        <w:adjustRightInd w:val="0"/>
        <w:snapToGrid w:val="0"/>
        <w:spacing w:before="0" w:beforeAutospacing="0" w:after="0" w:afterAutospacing="0" w:line="340" w:lineRule="exact"/>
        <w:ind w:firstLine="450" w:firstLineChars="200"/>
        <w:jc w:val="both"/>
        <w:rPr>
          <w:rFonts w:cs="宋体"/>
          <w:color w:val="auto"/>
          <w:spacing w:val="7"/>
          <w:sz w:val="21"/>
          <w:szCs w:val="21"/>
          <w:highlight w:val="none"/>
        </w:rPr>
      </w:pPr>
      <w:r>
        <w:rPr>
          <w:rStyle w:val="45"/>
          <w:rFonts w:hint="eastAsia" w:cs="宋体"/>
          <w:color w:val="auto"/>
          <w:spacing w:val="7"/>
          <w:sz w:val="21"/>
          <w:szCs w:val="21"/>
          <w:highlight w:val="none"/>
        </w:rPr>
        <w:t>第十二条　</w:t>
      </w:r>
      <w:r>
        <w:rPr>
          <w:rFonts w:hint="eastAsia" w:cs="宋体"/>
          <w:color w:val="auto"/>
          <w:spacing w:val="7"/>
          <w:sz w:val="21"/>
          <w:szCs w:val="21"/>
          <w:highlight w:val="none"/>
        </w:rPr>
        <w:t>采购项目涉及中小企业采购的，采购文件应当明确以下内容：</w:t>
      </w:r>
    </w:p>
    <w:p w14:paraId="7652A98A">
      <w:pPr>
        <w:pStyle w:val="38"/>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（一）预留份额的采购项目或者采购包，明确该项目或相关采购包专门面向中小企业采购，以及相关标的及预算金额；</w:t>
      </w:r>
    </w:p>
    <w:p w14:paraId="610A1653">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（二）要求以联合体形式参加或者合同分包的，明确联合协议或者分包意向协议中中小企业合同金额应当达到的比例，并作为供应商资格条件；</w:t>
      </w:r>
    </w:p>
    <w:p w14:paraId="3EB22B79">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（三）非预留份额的采购项目或者采购包，明确有关价格扣除比例或者价格分加分比例；</w:t>
      </w:r>
    </w:p>
    <w:p w14:paraId="526059D1">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（四）规定依据本办法规定享受扶持政策获得政府采购合同的，小微企业不得将合同分包给大中型企业，中型企业不得将合同分包给大型企业；</w:t>
      </w:r>
    </w:p>
    <w:p w14:paraId="530E7573">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（五）采购人认为具备相关条件的，明确对中小企业在资金支付期限、预付款比例等方面的优惠措施；</w:t>
      </w:r>
    </w:p>
    <w:p w14:paraId="3CFB4FDE">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（六）明确采购标的对应的中小企业划分标准所属行业；</w:t>
      </w:r>
    </w:p>
    <w:p w14:paraId="4A0480A2">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（七）法律法规和省级以上人民政府财政部门规定的其他事项。</w:t>
      </w:r>
    </w:p>
    <w:p w14:paraId="776DD69A">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第十三条　</w:t>
      </w:r>
      <w:r>
        <w:rPr>
          <w:rFonts w:hint="eastAsia" w:cs="宋体"/>
          <w:color w:val="auto"/>
          <w:spacing w:val="7"/>
          <w:sz w:val="21"/>
          <w:szCs w:val="21"/>
          <w:highlight w:val="none"/>
        </w:rPr>
        <w:t>中标、成交供应商享受本办法规定的中小企业扶持政策的，采购人、采购代理机构应当随中标、成交结果公开中标、成交供应商的《中小企业声明函》。</w:t>
      </w:r>
    </w:p>
    <w:p w14:paraId="3F9062B5">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适用招标投标法的政府采购工程建设项目，应当在公示中标候选人时公开中标候选人的《中小企业声明函》。</w:t>
      </w:r>
    </w:p>
    <w:p w14:paraId="76FC372F">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第十四条</w:t>
      </w:r>
      <w:r>
        <w:rPr>
          <w:rFonts w:hint="eastAsia" w:cs="宋体"/>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22C8504">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第十五条　</w:t>
      </w:r>
      <w:r>
        <w:rPr>
          <w:rFonts w:hint="eastAsia" w:cs="宋体"/>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52118AA1">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第十六条　</w:t>
      </w:r>
      <w:r>
        <w:rPr>
          <w:rFonts w:hint="eastAsia" w:cs="宋体"/>
          <w:color w:val="auto"/>
          <w:spacing w:val="7"/>
          <w:sz w:val="21"/>
          <w:szCs w:val="21"/>
          <w:highlight w:val="none"/>
        </w:rPr>
        <w:t>政府采购监督检查、投诉处理及政府采购行政处罚中对中小企业的认定，由货物制造商或者工程、服务供应商注册登记所在地的县级以上人民政府中小企业主管部门负责。</w:t>
      </w:r>
    </w:p>
    <w:p w14:paraId="03897F7A">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中小企业主管部门应当在收到财政部门或者有关招标投标行政监督部门关于协助开展中小企业认定函后10个工作日内做出书面答复。</w:t>
      </w:r>
    </w:p>
    <w:p w14:paraId="41E032BC">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第十七条　</w:t>
      </w:r>
      <w:r>
        <w:rPr>
          <w:rFonts w:hint="eastAsia" w:cs="宋体"/>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467648DA">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第十八条　</w:t>
      </w:r>
      <w:r>
        <w:rPr>
          <w:rFonts w:hint="eastAsia" w:cs="宋体"/>
          <w:color w:val="auto"/>
          <w:spacing w:val="7"/>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F4B127A">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第十九条</w:t>
      </w:r>
      <w:r>
        <w:rPr>
          <w:rFonts w:hint="eastAsia" w:cs="宋体"/>
          <w:color w:val="auto"/>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F08A14D">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第二十条</w:t>
      </w:r>
      <w:r>
        <w:rPr>
          <w:rFonts w:hint="eastAsia" w:cs="宋体"/>
          <w:color w:val="auto"/>
          <w:spacing w:val="7"/>
          <w:sz w:val="21"/>
          <w:szCs w:val="21"/>
          <w:highlight w:val="none"/>
        </w:rPr>
        <w:t>　供应商按照本办法规定提供声明函内容不实的，属于提供虚假材料谋取中标、成交，依照《中华人民共和国政府采购法》等国家有关规定追究相应责任。</w:t>
      </w:r>
    </w:p>
    <w:p w14:paraId="1DE44475">
      <w:pPr>
        <w:pStyle w:val="38"/>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适用招标投标法的政府采购工程建设项目</w:t>
      </w:r>
      <w:r>
        <w:rPr>
          <w:rFonts w:hint="eastAsia" w:cs="宋体"/>
          <w:color w:val="auto"/>
          <w:spacing w:val="7"/>
          <w:sz w:val="21"/>
          <w:szCs w:val="21"/>
          <w:highlight w:val="none"/>
        </w:rPr>
        <w:t>，</w:t>
      </w:r>
      <w:r>
        <w:rPr>
          <w:rFonts w:hint="eastAsia" w:cs="宋体"/>
          <w:color w:val="auto"/>
          <w:spacing w:val="7"/>
          <w:sz w:val="21"/>
          <w:szCs w:val="21"/>
          <w:highlight w:val="none"/>
          <w:lang w:eastAsia="zh-CN"/>
        </w:rPr>
        <w:t>投标人</w:t>
      </w:r>
      <w:r>
        <w:rPr>
          <w:rFonts w:hint="eastAsia" w:cs="宋体"/>
          <w:color w:val="auto"/>
          <w:spacing w:val="7"/>
          <w:sz w:val="21"/>
          <w:szCs w:val="21"/>
          <w:highlight w:val="none"/>
        </w:rPr>
        <w:t>按照本办法规定提供声</w:t>
      </w:r>
      <w:r>
        <w:rPr>
          <w:rFonts w:hint="eastAsia" w:cs="宋体"/>
          <w:color w:val="auto"/>
          <w:spacing w:val="7"/>
          <w:sz w:val="21"/>
          <w:szCs w:val="21"/>
          <w:highlight w:val="none"/>
        </w:rPr>
        <w:t>明函内容不实的，属于弄虚作假骗取中标，依照《中华人民共和国招标投标法》等国家有关规定追究相应责任。</w:t>
      </w:r>
    </w:p>
    <w:p w14:paraId="55654B32">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第二十一条　</w:t>
      </w:r>
      <w:r>
        <w:rPr>
          <w:rFonts w:hint="eastAsia" w:cs="宋体"/>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64D6698">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第二十二条</w:t>
      </w:r>
      <w:r>
        <w:rPr>
          <w:rFonts w:hint="eastAsia" w:cs="宋体"/>
          <w:color w:val="auto"/>
          <w:spacing w:val="7"/>
          <w:sz w:val="21"/>
          <w:szCs w:val="21"/>
          <w:highlight w:val="none"/>
        </w:rPr>
        <w:t>　对外援助项目、国家相关资格或者资质管理制度另有规定的项目，不适用本办法。</w:t>
      </w:r>
    </w:p>
    <w:p w14:paraId="63A4012A">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第二十三条　</w:t>
      </w:r>
      <w:r>
        <w:rPr>
          <w:rFonts w:hint="eastAsia" w:cs="宋体"/>
          <w:color w:val="auto"/>
          <w:spacing w:val="7"/>
          <w:sz w:val="21"/>
          <w:szCs w:val="21"/>
          <w:highlight w:val="none"/>
        </w:rPr>
        <w:t>关于视同中小企业的其他主体的政府采购扶持政策，由财政部会同有关部门另行规定。</w:t>
      </w:r>
    </w:p>
    <w:p w14:paraId="5A3A5CF3">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第二十四条</w:t>
      </w:r>
      <w:r>
        <w:rPr>
          <w:rFonts w:hint="eastAsia" w:cs="宋体"/>
          <w:color w:val="auto"/>
          <w:spacing w:val="7"/>
          <w:sz w:val="21"/>
          <w:szCs w:val="21"/>
          <w:highlight w:val="none"/>
        </w:rPr>
        <w:t>　省级财政部门可以会同中小企业主管部门根据本办法的规定制定具体实施办法。</w:t>
      </w:r>
    </w:p>
    <w:p w14:paraId="4BDD93D8">
      <w:pPr>
        <w:pStyle w:val="38"/>
        <w:adjustRightInd w:val="0"/>
        <w:snapToGrid w:val="0"/>
        <w:spacing w:before="0" w:beforeAutospacing="0" w:after="0" w:afterAutospacing="0" w:line="340" w:lineRule="exact"/>
        <w:ind w:firstLine="450" w:firstLineChars="200"/>
        <w:jc w:val="both"/>
        <w:rPr>
          <w:rFonts w:cs="宋体"/>
          <w:color w:val="auto"/>
          <w:sz w:val="21"/>
          <w:szCs w:val="21"/>
          <w:highlight w:val="none"/>
        </w:rPr>
      </w:pPr>
      <w:r>
        <w:rPr>
          <w:rStyle w:val="45"/>
          <w:rFonts w:hint="eastAsia" w:cs="宋体"/>
          <w:color w:val="auto"/>
          <w:spacing w:val="7"/>
          <w:sz w:val="21"/>
          <w:szCs w:val="21"/>
          <w:highlight w:val="none"/>
        </w:rPr>
        <w:t>第二十五条</w:t>
      </w:r>
      <w:r>
        <w:rPr>
          <w:rFonts w:hint="eastAsia" w:cs="宋体"/>
          <w:color w:val="auto"/>
          <w:spacing w:val="7"/>
          <w:sz w:val="21"/>
          <w:szCs w:val="21"/>
          <w:highlight w:val="none"/>
        </w:rPr>
        <w:t>　本办法自2021年1月1日起施行。《财政部工业和信息化部关于印发〈政府采购促进中小企业发展暂行办法〉的通知》（财库﹝2011﹞181号）同时废止。</w:t>
      </w:r>
    </w:p>
    <w:p w14:paraId="15990529">
      <w:pPr>
        <w:spacing w:line="360" w:lineRule="auto"/>
        <w:jc w:val="left"/>
        <w:rPr>
          <w:rFonts w:hint="eastAsia" w:ascii="宋体" w:hAnsi="宋体" w:eastAsia="宋体" w:cs="宋体"/>
          <w:color w:val="auto"/>
          <w:sz w:val="21"/>
          <w:szCs w:val="21"/>
          <w:highlight w:val="none"/>
          <w:shd w:val="clear" w:color="auto" w:fill="FFFFFF"/>
        </w:rPr>
      </w:pPr>
      <w:r>
        <w:rPr>
          <w:rFonts w:hint="eastAsia" w:hAnsi="宋体" w:cs="宋体"/>
          <w:color w:val="auto"/>
          <w:sz w:val="24"/>
          <w:szCs w:val="24"/>
          <w:highlight w:val="none"/>
          <w:shd w:val="clear" w:color="auto" w:fill="FFFFFF"/>
        </w:rPr>
        <w:br w:type="page"/>
      </w:r>
      <w:r>
        <w:rPr>
          <w:rStyle w:val="45"/>
          <w:rFonts w:hint="eastAsia" w:ascii="宋体" w:hAnsi="宋体" w:eastAsia="宋体" w:cs="宋体"/>
          <w:color w:val="auto"/>
          <w:sz w:val="21"/>
          <w:szCs w:val="21"/>
          <w:highlight w:val="none"/>
          <w:shd w:val="clear" w:color="auto" w:fill="FFFFFF"/>
        </w:rPr>
        <w:t>附件3</w:t>
      </w:r>
    </w:p>
    <w:p w14:paraId="25D8CA85">
      <w:pPr>
        <w:pStyle w:val="2"/>
        <w:keepNext w:val="0"/>
        <w:spacing w:line="450" w:lineRule="atLeast"/>
        <w:rPr>
          <w:rFonts w:hint="eastAsia" w:ascii="宋体" w:hAnsi="宋体" w:eastAsia="宋体" w:cs="宋体"/>
          <w:bCs/>
          <w:color w:val="auto"/>
          <w:sz w:val="21"/>
          <w:szCs w:val="21"/>
          <w:highlight w:val="none"/>
          <w:shd w:val="clear" w:color="auto" w:fill="FFFFFF"/>
        </w:rPr>
      </w:pPr>
      <w:bookmarkStart w:id="269" w:name="_Toc1016"/>
      <w:bookmarkStart w:id="270" w:name="_Toc3095"/>
      <w:r>
        <w:rPr>
          <w:rFonts w:hint="eastAsia" w:ascii="宋体" w:hAnsi="宋体" w:eastAsia="宋体" w:cs="宋体"/>
          <w:bCs/>
          <w:color w:val="auto"/>
          <w:sz w:val="21"/>
          <w:szCs w:val="21"/>
          <w:highlight w:val="none"/>
          <w:shd w:val="clear" w:color="auto" w:fill="FFFFFF"/>
        </w:rPr>
        <w:t>关于进一步加大政府采购支持中小企业力度的通知</w:t>
      </w:r>
      <w:bookmarkEnd w:id="269"/>
      <w:bookmarkEnd w:id="270"/>
    </w:p>
    <w:p w14:paraId="56805097">
      <w:pPr>
        <w:pStyle w:val="2"/>
        <w:keepNext w:val="0"/>
        <w:spacing w:line="450" w:lineRule="atLeast"/>
        <w:rPr>
          <w:rFonts w:hint="eastAsia" w:ascii="宋体" w:hAnsi="宋体" w:eastAsia="宋体" w:cs="宋体"/>
          <w:bCs/>
          <w:color w:val="auto"/>
          <w:sz w:val="21"/>
          <w:szCs w:val="21"/>
          <w:highlight w:val="none"/>
          <w:shd w:val="clear" w:color="auto" w:fill="FFFFFF"/>
        </w:rPr>
      </w:pPr>
      <w:bookmarkStart w:id="271" w:name="_Toc25612"/>
      <w:bookmarkStart w:id="272" w:name="_Toc3370"/>
      <w:r>
        <w:rPr>
          <w:rFonts w:hint="eastAsia" w:ascii="宋体" w:hAnsi="宋体" w:eastAsia="宋体" w:cs="宋体"/>
          <w:bCs/>
          <w:color w:val="auto"/>
          <w:sz w:val="21"/>
          <w:szCs w:val="21"/>
          <w:highlight w:val="none"/>
          <w:shd w:val="clear" w:color="auto" w:fill="FFFFFF"/>
        </w:rPr>
        <w:t>财库〔2022〕19号</w:t>
      </w:r>
      <w:bookmarkEnd w:id="271"/>
      <w:bookmarkEnd w:id="272"/>
    </w:p>
    <w:p w14:paraId="6B9AA71F">
      <w:pPr>
        <w:spacing w:line="360" w:lineRule="auto"/>
        <w:ind w:firstLine="210" w:firstLineChars="100"/>
        <w:jc w:val="left"/>
        <w:rPr>
          <w:rFonts w:hint="eastAsia" w:ascii="宋体" w:hAnsi="宋体" w:eastAsia="宋体" w:cs="宋体"/>
          <w:color w:val="auto"/>
          <w:sz w:val="21"/>
          <w:szCs w:val="21"/>
          <w:highlight w:val="none"/>
          <w:shd w:val="clear" w:color="auto" w:fill="FFFFFF"/>
        </w:rPr>
      </w:pPr>
    </w:p>
    <w:p w14:paraId="765577BE">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各中央预算单位，各省、自治区、直辖市、计划单列市财政厅（局），新疆生产建设兵团财政局：</w:t>
      </w:r>
    </w:p>
    <w:p w14:paraId="4E038983">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32514CE">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F433424">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15A861B">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81591FE">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四、认真做好组织实施。各地区、各部门应当加强组织领导，明确工作责任，细化执行要求，强化监督检查，确保国务院部署落实到位，对通知执行中出现的问题要及时向财政部报告。</w:t>
      </w:r>
    </w:p>
    <w:p w14:paraId="54B64620">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本通知自2022年7月1日起执行。</w:t>
      </w:r>
    </w:p>
    <w:p w14:paraId="7527A83B">
      <w:pPr>
        <w:spacing w:line="360" w:lineRule="auto"/>
        <w:ind w:firstLine="210" w:firstLineChars="1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w:t>
      </w:r>
    </w:p>
    <w:p w14:paraId="7C29FBA6">
      <w:pPr>
        <w:spacing w:line="360" w:lineRule="auto"/>
        <w:ind w:firstLine="210" w:firstLineChars="100"/>
        <w:jc w:val="righ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财  政  部</w:t>
      </w:r>
    </w:p>
    <w:p w14:paraId="45C995CC">
      <w:pPr>
        <w:spacing w:line="360" w:lineRule="auto"/>
        <w:ind w:firstLine="210" w:firstLineChars="100"/>
        <w:jc w:val="right"/>
        <w:rPr>
          <w:rFonts w:hint="eastAsia" w:ascii="宋体" w:hAnsi="宋体"/>
          <w:b w:val="0"/>
          <w:color w:val="auto"/>
          <w:sz w:val="32"/>
          <w:szCs w:val="32"/>
          <w:highlight w:val="none"/>
          <w:lang w:val="zh-CN"/>
        </w:rPr>
      </w:pPr>
      <w:r>
        <w:rPr>
          <w:rFonts w:hint="eastAsia" w:ascii="宋体" w:hAnsi="宋体" w:eastAsia="宋体" w:cs="宋体"/>
          <w:color w:val="auto"/>
          <w:sz w:val="21"/>
          <w:szCs w:val="21"/>
          <w:highlight w:val="none"/>
          <w:shd w:val="clear" w:color="auto" w:fill="FFFFFF"/>
        </w:rPr>
        <w:t>2022年5月30日</w:t>
      </w:r>
    </w:p>
    <w:p w14:paraId="38995BEB">
      <w:pPr>
        <w:rPr>
          <w:rFonts w:hint="eastAsia" w:ascii="宋体" w:hAnsi="宋体"/>
          <w:b/>
          <w:color w:val="auto"/>
          <w:sz w:val="32"/>
          <w:szCs w:val="32"/>
          <w:highlight w:val="none"/>
          <w:lang w:val="zh-CN"/>
        </w:rPr>
      </w:pPr>
    </w:p>
    <w:p w14:paraId="0EDEAC86">
      <w:pPr>
        <w:rPr>
          <w:rFonts w:hint="eastAsia" w:ascii="宋体" w:hAnsi="宋体" w:eastAsia="宋体" w:cs="宋体"/>
          <w:b/>
          <w:color w:val="auto"/>
          <w:sz w:val="28"/>
          <w:szCs w:val="28"/>
          <w:highlight w:val="none"/>
        </w:rPr>
      </w:pPr>
    </w:p>
    <w:sectPr>
      <w:pgSz w:w="11907" w:h="16840"/>
      <w:pgMar w:top="1247" w:right="1418" w:bottom="851" w:left="1418" w:header="680" w:footer="737"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B78EE">
    <w:pPr>
      <w:pStyle w:val="27"/>
      <w:framePr w:wrap="around" w:vAnchor="text" w:hAnchor="margin" w:xAlign="center" w:y="1"/>
      <w:rPr>
        <w:rStyle w:val="46"/>
      </w:rPr>
    </w:pPr>
    <w:r>
      <w:fldChar w:fldCharType="begin"/>
    </w:r>
    <w:r>
      <w:rPr>
        <w:rStyle w:val="46"/>
      </w:rPr>
      <w:instrText xml:space="preserve">PAGE  </w:instrText>
    </w:r>
    <w:r>
      <w:fldChar w:fldCharType="separate"/>
    </w:r>
    <w:r>
      <w:rPr>
        <w:rStyle w:val="46"/>
      </w:rPr>
      <w:t>1</w:t>
    </w:r>
    <w:r>
      <w:fldChar w:fldCharType="end"/>
    </w:r>
  </w:p>
  <w:p w14:paraId="245FBCB4">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AC88">
    <w:pPr>
      <w:pStyle w:val="27"/>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0F23B91">
                <w:pPr>
                  <w:pStyle w:val="27"/>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FE6BF">
    <w:pPr>
      <w:pStyle w:val="27"/>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1FFDCF2">
                <w:pPr>
                  <w:pStyle w:val="27"/>
                  <w:rPr>
                    <w:rStyle w:val="46"/>
                  </w:rPr>
                </w:pPr>
                <w:r>
                  <w:fldChar w:fldCharType="begin"/>
                </w:r>
                <w:r>
                  <w:rPr>
                    <w:rStyle w:val="46"/>
                  </w:rPr>
                  <w:instrText xml:space="preserve">PAGE  </w:instrText>
                </w:r>
                <w:r>
                  <w:fldChar w:fldCharType="separate"/>
                </w:r>
                <w:r>
                  <w:rPr>
                    <w:rStyle w:val="46"/>
                  </w:rPr>
                  <w:t>66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C637">
    <w:pPr>
      <w:pStyle w:val="27"/>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A85341E">
                <w:pPr>
                  <w:pStyle w:val="2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7D697">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144AA">
    <w:pPr>
      <w:pStyle w:val="28"/>
      <w:framePr w:wrap="around" w:vAnchor="text" w:hAnchor="margin" w:xAlign="right" w:y="1"/>
      <w:rPr>
        <w:rStyle w:val="46"/>
      </w:rPr>
    </w:pPr>
    <w:r>
      <w:fldChar w:fldCharType="begin"/>
    </w:r>
    <w:r>
      <w:rPr>
        <w:rStyle w:val="46"/>
      </w:rPr>
      <w:instrText xml:space="preserve">PAGE  </w:instrText>
    </w:r>
    <w:r>
      <w:fldChar w:fldCharType="end"/>
    </w:r>
  </w:p>
  <w:p w14:paraId="1CF16DF9">
    <w:pPr>
      <w:pStyle w:val="2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863D">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3460F"/>
    <w:multiLevelType w:val="singleLevel"/>
    <w:tmpl w:val="AF93460F"/>
    <w:lvl w:ilvl="0" w:tentative="0">
      <w:start w:val="2"/>
      <w:numFmt w:val="decimal"/>
      <w:suff w:val="nothing"/>
      <w:lvlText w:val="%1、"/>
      <w:lvlJc w:val="left"/>
      <w:pPr>
        <w:ind w:left="420" w:leftChars="0" w:firstLine="0" w:firstLineChars="0"/>
      </w:pPr>
    </w:lvl>
  </w:abstractNum>
  <w:abstractNum w:abstractNumId="1">
    <w:nsid w:val="C832A5BD"/>
    <w:multiLevelType w:val="singleLevel"/>
    <w:tmpl w:val="C832A5BD"/>
    <w:lvl w:ilvl="0" w:tentative="0">
      <w:start w:val="1"/>
      <w:numFmt w:val="decimal"/>
      <w:suff w:val="nothing"/>
      <w:lvlText w:val="%1."/>
      <w:lvlJc w:val="left"/>
    </w:lvl>
  </w:abstractNum>
  <w:abstractNum w:abstractNumId="2">
    <w:nsid w:val="CF7F97C1"/>
    <w:multiLevelType w:val="multilevel"/>
    <w:tmpl w:val="CF7F97C1"/>
    <w:lvl w:ilvl="0" w:tentative="0">
      <w:start w:val="1"/>
      <w:numFmt w:val="decimal"/>
      <w:suff w:val="space"/>
      <w:lvlText w:val="（%1）"/>
      <w:lvlJc w:val="left"/>
      <w:pPr>
        <w:ind w:left="846" w:hanging="420"/>
      </w:pPr>
      <w:rPr>
        <w:rFonts w:hint="eastAsia"/>
      </w:rPr>
    </w:lvl>
    <w:lvl w:ilvl="1" w:tentative="0">
      <w:start w:val="1"/>
      <w:numFmt w:val="lowerLetter"/>
      <w:lvlText w:val="%2)"/>
      <w:lvlJc w:val="left"/>
      <w:pPr>
        <w:tabs>
          <w:tab w:val="left" w:pos="273"/>
        </w:tabs>
        <w:ind w:left="273" w:hanging="420"/>
      </w:pPr>
    </w:lvl>
    <w:lvl w:ilvl="2" w:tentative="0">
      <w:start w:val="1"/>
      <w:numFmt w:val="lowerRoman"/>
      <w:lvlText w:val="%3."/>
      <w:lvlJc w:val="right"/>
      <w:pPr>
        <w:tabs>
          <w:tab w:val="left" w:pos="693"/>
        </w:tabs>
        <w:ind w:left="693" w:hanging="420"/>
      </w:pPr>
    </w:lvl>
    <w:lvl w:ilvl="3" w:tentative="0">
      <w:start w:val="1"/>
      <w:numFmt w:val="decimal"/>
      <w:lvlText w:val="%4."/>
      <w:lvlJc w:val="left"/>
      <w:pPr>
        <w:tabs>
          <w:tab w:val="left" w:pos="1113"/>
        </w:tabs>
        <w:ind w:left="1113" w:hanging="420"/>
      </w:pPr>
    </w:lvl>
    <w:lvl w:ilvl="4" w:tentative="0">
      <w:start w:val="1"/>
      <w:numFmt w:val="lowerLetter"/>
      <w:lvlText w:val="%5)"/>
      <w:lvlJc w:val="left"/>
      <w:pPr>
        <w:tabs>
          <w:tab w:val="left" w:pos="1533"/>
        </w:tabs>
        <w:ind w:left="1533" w:hanging="420"/>
      </w:pPr>
    </w:lvl>
    <w:lvl w:ilvl="5" w:tentative="0">
      <w:start w:val="1"/>
      <w:numFmt w:val="lowerRoman"/>
      <w:lvlText w:val="%6."/>
      <w:lvlJc w:val="right"/>
      <w:pPr>
        <w:tabs>
          <w:tab w:val="left" w:pos="1953"/>
        </w:tabs>
        <w:ind w:left="1953" w:hanging="420"/>
      </w:pPr>
    </w:lvl>
    <w:lvl w:ilvl="6" w:tentative="0">
      <w:start w:val="1"/>
      <w:numFmt w:val="decimal"/>
      <w:lvlText w:val="%7."/>
      <w:lvlJc w:val="left"/>
      <w:pPr>
        <w:tabs>
          <w:tab w:val="left" w:pos="2373"/>
        </w:tabs>
        <w:ind w:left="2373" w:hanging="420"/>
      </w:pPr>
    </w:lvl>
    <w:lvl w:ilvl="7" w:tentative="0">
      <w:start w:val="1"/>
      <w:numFmt w:val="lowerLetter"/>
      <w:lvlText w:val="%8)"/>
      <w:lvlJc w:val="left"/>
      <w:pPr>
        <w:tabs>
          <w:tab w:val="left" w:pos="2793"/>
        </w:tabs>
        <w:ind w:left="2793" w:hanging="420"/>
      </w:pPr>
    </w:lvl>
    <w:lvl w:ilvl="8" w:tentative="0">
      <w:start w:val="1"/>
      <w:numFmt w:val="lowerRoman"/>
      <w:lvlText w:val="%9."/>
      <w:lvlJc w:val="right"/>
      <w:pPr>
        <w:tabs>
          <w:tab w:val="left" w:pos="3213"/>
        </w:tabs>
        <w:ind w:left="3213" w:hanging="420"/>
      </w:pPr>
    </w:lvl>
  </w:abstractNum>
  <w:abstractNum w:abstractNumId="3">
    <w:nsid w:val="FD6EAD33"/>
    <w:multiLevelType w:val="singleLevel"/>
    <w:tmpl w:val="FD6EAD33"/>
    <w:lvl w:ilvl="0" w:tentative="0">
      <w:start w:val="3"/>
      <w:numFmt w:val="chineseCounting"/>
      <w:suff w:val="space"/>
      <w:lvlText w:val="第%1部分"/>
      <w:lvlJc w:val="left"/>
      <w:rPr>
        <w:rFonts w:hint="eastAsia"/>
      </w:rPr>
    </w:lvl>
  </w:abstractNum>
  <w:abstractNum w:abstractNumId="4">
    <w:nsid w:val="1FF5B038"/>
    <w:multiLevelType w:val="singleLevel"/>
    <w:tmpl w:val="1FF5B038"/>
    <w:lvl w:ilvl="0" w:tentative="0">
      <w:start w:val="1"/>
      <w:numFmt w:val="decimal"/>
      <w:lvlText w:val="%1."/>
      <w:lvlJc w:val="left"/>
      <w:pPr>
        <w:tabs>
          <w:tab w:val="left" w:pos="312"/>
        </w:tabs>
      </w:pPr>
    </w:lvl>
  </w:abstractNum>
  <w:abstractNum w:abstractNumId="5">
    <w:nsid w:val="21065FE5"/>
    <w:multiLevelType w:val="singleLevel"/>
    <w:tmpl w:val="21065FE5"/>
    <w:lvl w:ilvl="0" w:tentative="0">
      <w:start w:val="14"/>
      <w:numFmt w:val="decimal"/>
      <w:lvlText w:val="%1."/>
      <w:lvlJc w:val="left"/>
      <w:pPr>
        <w:tabs>
          <w:tab w:val="left" w:pos="312"/>
        </w:tabs>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1OTZlZjAwNDUwY2VjZDI1ODZjNTNlYjlhYmI2YmIifQ=="/>
  </w:docVars>
  <w:rsids>
    <w:rsidRoot w:val="00416D51"/>
    <w:rsid w:val="00000219"/>
    <w:rsid w:val="00000CF8"/>
    <w:rsid w:val="00004A37"/>
    <w:rsid w:val="000050FC"/>
    <w:rsid w:val="00005D13"/>
    <w:rsid w:val="00006025"/>
    <w:rsid w:val="00006BBD"/>
    <w:rsid w:val="00007256"/>
    <w:rsid w:val="00007422"/>
    <w:rsid w:val="000077C7"/>
    <w:rsid w:val="00012497"/>
    <w:rsid w:val="00014119"/>
    <w:rsid w:val="000148F9"/>
    <w:rsid w:val="0001573B"/>
    <w:rsid w:val="00015E36"/>
    <w:rsid w:val="00016384"/>
    <w:rsid w:val="00017009"/>
    <w:rsid w:val="000174DD"/>
    <w:rsid w:val="000179C0"/>
    <w:rsid w:val="00017FD6"/>
    <w:rsid w:val="000204AE"/>
    <w:rsid w:val="00020E5B"/>
    <w:rsid w:val="00021A89"/>
    <w:rsid w:val="00022CBF"/>
    <w:rsid w:val="00022FBF"/>
    <w:rsid w:val="00023410"/>
    <w:rsid w:val="00024AE4"/>
    <w:rsid w:val="000256BC"/>
    <w:rsid w:val="00025871"/>
    <w:rsid w:val="00025C47"/>
    <w:rsid w:val="000260AB"/>
    <w:rsid w:val="00026846"/>
    <w:rsid w:val="00026D0B"/>
    <w:rsid w:val="0002758A"/>
    <w:rsid w:val="0002795C"/>
    <w:rsid w:val="00027BD2"/>
    <w:rsid w:val="000305F3"/>
    <w:rsid w:val="00030752"/>
    <w:rsid w:val="00031A59"/>
    <w:rsid w:val="00031C4C"/>
    <w:rsid w:val="000328AC"/>
    <w:rsid w:val="00032A61"/>
    <w:rsid w:val="00032E4D"/>
    <w:rsid w:val="0003372A"/>
    <w:rsid w:val="000348E9"/>
    <w:rsid w:val="000354ED"/>
    <w:rsid w:val="00035A73"/>
    <w:rsid w:val="00036282"/>
    <w:rsid w:val="00036307"/>
    <w:rsid w:val="00036398"/>
    <w:rsid w:val="00036B35"/>
    <w:rsid w:val="00036FC0"/>
    <w:rsid w:val="00037AB1"/>
    <w:rsid w:val="00037F0A"/>
    <w:rsid w:val="00037FD9"/>
    <w:rsid w:val="00040FDA"/>
    <w:rsid w:val="000415C9"/>
    <w:rsid w:val="00041F8D"/>
    <w:rsid w:val="00042010"/>
    <w:rsid w:val="0004264A"/>
    <w:rsid w:val="00042B13"/>
    <w:rsid w:val="000432E7"/>
    <w:rsid w:val="00043766"/>
    <w:rsid w:val="0004414E"/>
    <w:rsid w:val="00044602"/>
    <w:rsid w:val="000458EA"/>
    <w:rsid w:val="00045BE3"/>
    <w:rsid w:val="00046156"/>
    <w:rsid w:val="0004726B"/>
    <w:rsid w:val="00050D6E"/>
    <w:rsid w:val="00051833"/>
    <w:rsid w:val="00051CB5"/>
    <w:rsid w:val="000523F4"/>
    <w:rsid w:val="00053919"/>
    <w:rsid w:val="00053D90"/>
    <w:rsid w:val="0005402F"/>
    <w:rsid w:val="0005457B"/>
    <w:rsid w:val="00055AFE"/>
    <w:rsid w:val="00055EA0"/>
    <w:rsid w:val="00056408"/>
    <w:rsid w:val="0005677B"/>
    <w:rsid w:val="00057268"/>
    <w:rsid w:val="00057E17"/>
    <w:rsid w:val="00061091"/>
    <w:rsid w:val="000610B6"/>
    <w:rsid w:val="00061BA6"/>
    <w:rsid w:val="00062408"/>
    <w:rsid w:val="00063148"/>
    <w:rsid w:val="00064ADF"/>
    <w:rsid w:val="00066ADB"/>
    <w:rsid w:val="00067286"/>
    <w:rsid w:val="000677A6"/>
    <w:rsid w:val="00067F7B"/>
    <w:rsid w:val="00070008"/>
    <w:rsid w:val="0007044C"/>
    <w:rsid w:val="00070AC2"/>
    <w:rsid w:val="000714CE"/>
    <w:rsid w:val="0007157B"/>
    <w:rsid w:val="00071B41"/>
    <w:rsid w:val="000724E7"/>
    <w:rsid w:val="00073675"/>
    <w:rsid w:val="000737AF"/>
    <w:rsid w:val="00073BF2"/>
    <w:rsid w:val="00073EE6"/>
    <w:rsid w:val="00074736"/>
    <w:rsid w:val="00075877"/>
    <w:rsid w:val="00077120"/>
    <w:rsid w:val="000778D4"/>
    <w:rsid w:val="0008049C"/>
    <w:rsid w:val="00080F7C"/>
    <w:rsid w:val="000810D1"/>
    <w:rsid w:val="00081558"/>
    <w:rsid w:val="000816AF"/>
    <w:rsid w:val="00081C39"/>
    <w:rsid w:val="00081D0D"/>
    <w:rsid w:val="00081D8D"/>
    <w:rsid w:val="00082440"/>
    <w:rsid w:val="0008330B"/>
    <w:rsid w:val="00083DDC"/>
    <w:rsid w:val="00084756"/>
    <w:rsid w:val="000849E3"/>
    <w:rsid w:val="00084E30"/>
    <w:rsid w:val="00085023"/>
    <w:rsid w:val="00085AAB"/>
    <w:rsid w:val="00087320"/>
    <w:rsid w:val="000876A5"/>
    <w:rsid w:val="000878AE"/>
    <w:rsid w:val="00090155"/>
    <w:rsid w:val="00091162"/>
    <w:rsid w:val="0009318B"/>
    <w:rsid w:val="000934E4"/>
    <w:rsid w:val="00093A27"/>
    <w:rsid w:val="000949A6"/>
    <w:rsid w:val="000955B3"/>
    <w:rsid w:val="000956D4"/>
    <w:rsid w:val="00095A86"/>
    <w:rsid w:val="00095F19"/>
    <w:rsid w:val="000960C4"/>
    <w:rsid w:val="000964F7"/>
    <w:rsid w:val="00097BE5"/>
    <w:rsid w:val="000A020F"/>
    <w:rsid w:val="000A06AE"/>
    <w:rsid w:val="000A0F2C"/>
    <w:rsid w:val="000A113D"/>
    <w:rsid w:val="000A1958"/>
    <w:rsid w:val="000A1ACF"/>
    <w:rsid w:val="000A375C"/>
    <w:rsid w:val="000A3E7D"/>
    <w:rsid w:val="000A4568"/>
    <w:rsid w:val="000A47B3"/>
    <w:rsid w:val="000A58A1"/>
    <w:rsid w:val="000A5F2B"/>
    <w:rsid w:val="000A628B"/>
    <w:rsid w:val="000A6E05"/>
    <w:rsid w:val="000A71FF"/>
    <w:rsid w:val="000B0237"/>
    <w:rsid w:val="000B06F5"/>
    <w:rsid w:val="000B1A41"/>
    <w:rsid w:val="000B2A4D"/>
    <w:rsid w:val="000B37C2"/>
    <w:rsid w:val="000B3BC1"/>
    <w:rsid w:val="000B410D"/>
    <w:rsid w:val="000B4A9C"/>
    <w:rsid w:val="000B4B78"/>
    <w:rsid w:val="000B4F48"/>
    <w:rsid w:val="000B5A03"/>
    <w:rsid w:val="000B613C"/>
    <w:rsid w:val="000B6301"/>
    <w:rsid w:val="000B7BE9"/>
    <w:rsid w:val="000C0555"/>
    <w:rsid w:val="000C09FD"/>
    <w:rsid w:val="000C1E78"/>
    <w:rsid w:val="000C2782"/>
    <w:rsid w:val="000C4A51"/>
    <w:rsid w:val="000C4B20"/>
    <w:rsid w:val="000C540B"/>
    <w:rsid w:val="000C54EC"/>
    <w:rsid w:val="000C5583"/>
    <w:rsid w:val="000C6920"/>
    <w:rsid w:val="000C6DE9"/>
    <w:rsid w:val="000C7441"/>
    <w:rsid w:val="000D0CAA"/>
    <w:rsid w:val="000D1FEE"/>
    <w:rsid w:val="000D2015"/>
    <w:rsid w:val="000D204B"/>
    <w:rsid w:val="000D277C"/>
    <w:rsid w:val="000D27BC"/>
    <w:rsid w:val="000D2987"/>
    <w:rsid w:val="000D2D46"/>
    <w:rsid w:val="000D3322"/>
    <w:rsid w:val="000D35D1"/>
    <w:rsid w:val="000D3A5A"/>
    <w:rsid w:val="000D3C2B"/>
    <w:rsid w:val="000D3DCA"/>
    <w:rsid w:val="000D4300"/>
    <w:rsid w:val="000D4FFB"/>
    <w:rsid w:val="000D60A3"/>
    <w:rsid w:val="000D61BC"/>
    <w:rsid w:val="000D6660"/>
    <w:rsid w:val="000D7006"/>
    <w:rsid w:val="000E0013"/>
    <w:rsid w:val="000E01B9"/>
    <w:rsid w:val="000E0723"/>
    <w:rsid w:val="000E2A03"/>
    <w:rsid w:val="000E2D63"/>
    <w:rsid w:val="000E393C"/>
    <w:rsid w:val="000E41DD"/>
    <w:rsid w:val="000E481D"/>
    <w:rsid w:val="000E4E0A"/>
    <w:rsid w:val="000E4EF0"/>
    <w:rsid w:val="000E52CC"/>
    <w:rsid w:val="000E531F"/>
    <w:rsid w:val="000E5885"/>
    <w:rsid w:val="000E5CBB"/>
    <w:rsid w:val="000E691E"/>
    <w:rsid w:val="000E73D5"/>
    <w:rsid w:val="000F0AFB"/>
    <w:rsid w:val="000F1320"/>
    <w:rsid w:val="000F1A16"/>
    <w:rsid w:val="000F1B89"/>
    <w:rsid w:val="000F203C"/>
    <w:rsid w:val="000F238D"/>
    <w:rsid w:val="000F346E"/>
    <w:rsid w:val="000F4C30"/>
    <w:rsid w:val="000F4C74"/>
    <w:rsid w:val="000F6054"/>
    <w:rsid w:val="000F7216"/>
    <w:rsid w:val="000F7897"/>
    <w:rsid w:val="000F79CC"/>
    <w:rsid w:val="001002FE"/>
    <w:rsid w:val="00100C58"/>
    <w:rsid w:val="0010204E"/>
    <w:rsid w:val="00102344"/>
    <w:rsid w:val="00102743"/>
    <w:rsid w:val="00102964"/>
    <w:rsid w:val="001033B0"/>
    <w:rsid w:val="00103959"/>
    <w:rsid w:val="00103A40"/>
    <w:rsid w:val="00103DCD"/>
    <w:rsid w:val="001043FE"/>
    <w:rsid w:val="00105381"/>
    <w:rsid w:val="00105ABC"/>
    <w:rsid w:val="00105B83"/>
    <w:rsid w:val="00105F3B"/>
    <w:rsid w:val="0010603E"/>
    <w:rsid w:val="00106E23"/>
    <w:rsid w:val="00107FF2"/>
    <w:rsid w:val="00110AE4"/>
    <w:rsid w:val="001113BD"/>
    <w:rsid w:val="0011273C"/>
    <w:rsid w:val="001133F6"/>
    <w:rsid w:val="001134BF"/>
    <w:rsid w:val="00113E19"/>
    <w:rsid w:val="00114227"/>
    <w:rsid w:val="00114886"/>
    <w:rsid w:val="00115822"/>
    <w:rsid w:val="001164B5"/>
    <w:rsid w:val="001170D2"/>
    <w:rsid w:val="0011715D"/>
    <w:rsid w:val="001175AF"/>
    <w:rsid w:val="00121DB5"/>
    <w:rsid w:val="0012229B"/>
    <w:rsid w:val="00123E5D"/>
    <w:rsid w:val="00123E9F"/>
    <w:rsid w:val="00123ECA"/>
    <w:rsid w:val="00124855"/>
    <w:rsid w:val="00124889"/>
    <w:rsid w:val="00124B57"/>
    <w:rsid w:val="00124F0E"/>
    <w:rsid w:val="00124F8A"/>
    <w:rsid w:val="0012518A"/>
    <w:rsid w:val="00125AE0"/>
    <w:rsid w:val="00125EB6"/>
    <w:rsid w:val="0012628E"/>
    <w:rsid w:val="0012678C"/>
    <w:rsid w:val="00126977"/>
    <w:rsid w:val="00130CA4"/>
    <w:rsid w:val="00131274"/>
    <w:rsid w:val="0013199B"/>
    <w:rsid w:val="00131A51"/>
    <w:rsid w:val="00132705"/>
    <w:rsid w:val="0013271C"/>
    <w:rsid w:val="00132A02"/>
    <w:rsid w:val="00132AD5"/>
    <w:rsid w:val="0013320B"/>
    <w:rsid w:val="001332D1"/>
    <w:rsid w:val="001333EF"/>
    <w:rsid w:val="00133CD0"/>
    <w:rsid w:val="00134338"/>
    <w:rsid w:val="00136F22"/>
    <w:rsid w:val="00137BE3"/>
    <w:rsid w:val="001402FD"/>
    <w:rsid w:val="00140689"/>
    <w:rsid w:val="0014199F"/>
    <w:rsid w:val="00142527"/>
    <w:rsid w:val="001425CF"/>
    <w:rsid w:val="0014281F"/>
    <w:rsid w:val="001435C3"/>
    <w:rsid w:val="00143A22"/>
    <w:rsid w:val="00143E58"/>
    <w:rsid w:val="00144169"/>
    <w:rsid w:val="00144283"/>
    <w:rsid w:val="001446FB"/>
    <w:rsid w:val="0014491E"/>
    <w:rsid w:val="00144A09"/>
    <w:rsid w:val="00144FFF"/>
    <w:rsid w:val="00145704"/>
    <w:rsid w:val="00145E90"/>
    <w:rsid w:val="00145F23"/>
    <w:rsid w:val="0014656E"/>
    <w:rsid w:val="00146597"/>
    <w:rsid w:val="0014674D"/>
    <w:rsid w:val="00147672"/>
    <w:rsid w:val="00147E72"/>
    <w:rsid w:val="001514A5"/>
    <w:rsid w:val="0015322E"/>
    <w:rsid w:val="00153D3A"/>
    <w:rsid w:val="00157539"/>
    <w:rsid w:val="00157AF1"/>
    <w:rsid w:val="00157F76"/>
    <w:rsid w:val="00160165"/>
    <w:rsid w:val="00160C9B"/>
    <w:rsid w:val="00160D5C"/>
    <w:rsid w:val="00161521"/>
    <w:rsid w:val="00162625"/>
    <w:rsid w:val="00162814"/>
    <w:rsid w:val="00163355"/>
    <w:rsid w:val="0016379E"/>
    <w:rsid w:val="00163AC2"/>
    <w:rsid w:val="00164329"/>
    <w:rsid w:val="00164647"/>
    <w:rsid w:val="00164DB1"/>
    <w:rsid w:val="00165199"/>
    <w:rsid w:val="00165C6F"/>
    <w:rsid w:val="00165FD1"/>
    <w:rsid w:val="00166137"/>
    <w:rsid w:val="001662D5"/>
    <w:rsid w:val="001667AC"/>
    <w:rsid w:val="00167C7E"/>
    <w:rsid w:val="00167D04"/>
    <w:rsid w:val="00170499"/>
    <w:rsid w:val="00172390"/>
    <w:rsid w:val="00172520"/>
    <w:rsid w:val="001737B2"/>
    <w:rsid w:val="00173D0A"/>
    <w:rsid w:val="001743A1"/>
    <w:rsid w:val="001746CE"/>
    <w:rsid w:val="00174959"/>
    <w:rsid w:val="00174D9A"/>
    <w:rsid w:val="00175E2A"/>
    <w:rsid w:val="00175F5E"/>
    <w:rsid w:val="00176953"/>
    <w:rsid w:val="00176D5F"/>
    <w:rsid w:val="001807F0"/>
    <w:rsid w:val="0018097E"/>
    <w:rsid w:val="00180C45"/>
    <w:rsid w:val="00181B5F"/>
    <w:rsid w:val="001828F5"/>
    <w:rsid w:val="00183302"/>
    <w:rsid w:val="00183679"/>
    <w:rsid w:val="00183D06"/>
    <w:rsid w:val="00183FA1"/>
    <w:rsid w:val="00184183"/>
    <w:rsid w:val="0018481D"/>
    <w:rsid w:val="001849AF"/>
    <w:rsid w:val="00185B4E"/>
    <w:rsid w:val="00186060"/>
    <w:rsid w:val="00186578"/>
    <w:rsid w:val="0018696B"/>
    <w:rsid w:val="00186BBF"/>
    <w:rsid w:val="001875D5"/>
    <w:rsid w:val="00187E2C"/>
    <w:rsid w:val="00187F07"/>
    <w:rsid w:val="00190291"/>
    <w:rsid w:val="001903A8"/>
    <w:rsid w:val="001903E1"/>
    <w:rsid w:val="001905F5"/>
    <w:rsid w:val="00191F2E"/>
    <w:rsid w:val="00191F9F"/>
    <w:rsid w:val="0019275D"/>
    <w:rsid w:val="00192766"/>
    <w:rsid w:val="00193AF3"/>
    <w:rsid w:val="00193BED"/>
    <w:rsid w:val="00193E83"/>
    <w:rsid w:val="00193FF5"/>
    <w:rsid w:val="00194A05"/>
    <w:rsid w:val="00194B84"/>
    <w:rsid w:val="00195449"/>
    <w:rsid w:val="00195FCD"/>
    <w:rsid w:val="001965D0"/>
    <w:rsid w:val="00196956"/>
    <w:rsid w:val="001971C4"/>
    <w:rsid w:val="0019755B"/>
    <w:rsid w:val="001976FB"/>
    <w:rsid w:val="001A059C"/>
    <w:rsid w:val="001A07EB"/>
    <w:rsid w:val="001A09FC"/>
    <w:rsid w:val="001A15A2"/>
    <w:rsid w:val="001A24E8"/>
    <w:rsid w:val="001A278D"/>
    <w:rsid w:val="001A33E2"/>
    <w:rsid w:val="001A5E33"/>
    <w:rsid w:val="001A6606"/>
    <w:rsid w:val="001A6D1E"/>
    <w:rsid w:val="001A7A08"/>
    <w:rsid w:val="001B03A2"/>
    <w:rsid w:val="001B0987"/>
    <w:rsid w:val="001B1495"/>
    <w:rsid w:val="001B1996"/>
    <w:rsid w:val="001B1E7D"/>
    <w:rsid w:val="001B24F8"/>
    <w:rsid w:val="001B3327"/>
    <w:rsid w:val="001B3B07"/>
    <w:rsid w:val="001B4144"/>
    <w:rsid w:val="001B530C"/>
    <w:rsid w:val="001B5995"/>
    <w:rsid w:val="001B5DEC"/>
    <w:rsid w:val="001B6129"/>
    <w:rsid w:val="001B62F3"/>
    <w:rsid w:val="001B6371"/>
    <w:rsid w:val="001B63CB"/>
    <w:rsid w:val="001B67FB"/>
    <w:rsid w:val="001B7514"/>
    <w:rsid w:val="001B7A80"/>
    <w:rsid w:val="001B7E8D"/>
    <w:rsid w:val="001C0059"/>
    <w:rsid w:val="001C02E2"/>
    <w:rsid w:val="001C0813"/>
    <w:rsid w:val="001C12DC"/>
    <w:rsid w:val="001C3F31"/>
    <w:rsid w:val="001C4169"/>
    <w:rsid w:val="001C5544"/>
    <w:rsid w:val="001C5E2C"/>
    <w:rsid w:val="001C68D5"/>
    <w:rsid w:val="001C7D8C"/>
    <w:rsid w:val="001D0669"/>
    <w:rsid w:val="001D08F1"/>
    <w:rsid w:val="001D1440"/>
    <w:rsid w:val="001D1E75"/>
    <w:rsid w:val="001D2B14"/>
    <w:rsid w:val="001D3D2B"/>
    <w:rsid w:val="001D435F"/>
    <w:rsid w:val="001D473F"/>
    <w:rsid w:val="001D480D"/>
    <w:rsid w:val="001D55C9"/>
    <w:rsid w:val="001D5ECF"/>
    <w:rsid w:val="001D5F4A"/>
    <w:rsid w:val="001D6A0C"/>
    <w:rsid w:val="001D6AC9"/>
    <w:rsid w:val="001D7930"/>
    <w:rsid w:val="001D7B16"/>
    <w:rsid w:val="001D7C6E"/>
    <w:rsid w:val="001E0452"/>
    <w:rsid w:val="001E0A38"/>
    <w:rsid w:val="001E106F"/>
    <w:rsid w:val="001E10AF"/>
    <w:rsid w:val="001E5688"/>
    <w:rsid w:val="001E5E1B"/>
    <w:rsid w:val="001E728C"/>
    <w:rsid w:val="001F34E3"/>
    <w:rsid w:val="001F3550"/>
    <w:rsid w:val="001F49D8"/>
    <w:rsid w:val="001F4E6D"/>
    <w:rsid w:val="001F6C9A"/>
    <w:rsid w:val="00200135"/>
    <w:rsid w:val="00202C23"/>
    <w:rsid w:val="00202ED9"/>
    <w:rsid w:val="002036CB"/>
    <w:rsid w:val="00203D33"/>
    <w:rsid w:val="00204215"/>
    <w:rsid w:val="00205A0F"/>
    <w:rsid w:val="002061CF"/>
    <w:rsid w:val="0020796A"/>
    <w:rsid w:val="00210E33"/>
    <w:rsid w:val="00211407"/>
    <w:rsid w:val="002114CF"/>
    <w:rsid w:val="00211AED"/>
    <w:rsid w:val="002122D1"/>
    <w:rsid w:val="00213000"/>
    <w:rsid w:val="00213880"/>
    <w:rsid w:val="0021413A"/>
    <w:rsid w:val="002159D3"/>
    <w:rsid w:val="0021664B"/>
    <w:rsid w:val="00216CBD"/>
    <w:rsid w:val="00216D37"/>
    <w:rsid w:val="00216E31"/>
    <w:rsid w:val="002175F1"/>
    <w:rsid w:val="002200F0"/>
    <w:rsid w:val="0022038B"/>
    <w:rsid w:val="002206EE"/>
    <w:rsid w:val="00221170"/>
    <w:rsid w:val="0022167C"/>
    <w:rsid w:val="0022188D"/>
    <w:rsid w:val="00222246"/>
    <w:rsid w:val="002234F3"/>
    <w:rsid w:val="00223CB1"/>
    <w:rsid w:val="00224179"/>
    <w:rsid w:val="0022486D"/>
    <w:rsid w:val="002249C8"/>
    <w:rsid w:val="00224E9A"/>
    <w:rsid w:val="002252C0"/>
    <w:rsid w:val="00226190"/>
    <w:rsid w:val="002261E1"/>
    <w:rsid w:val="002265A1"/>
    <w:rsid w:val="00226F20"/>
    <w:rsid w:val="00230645"/>
    <w:rsid w:val="002312C2"/>
    <w:rsid w:val="00231F0F"/>
    <w:rsid w:val="00232B21"/>
    <w:rsid w:val="00233544"/>
    <w:rsid w:val="00233AF8"/>
    <w:rsid w:val="002340AD"/>
    <w:rsid w:val="0023411F"/>
    <w:rsid w:val="00234A5B"/>
    <w:rsid w:val="00234F6B"/>
    <w:rsid w:val="00235157"/>
    <w:rsid w:val="0023589D"/>
    <w:rsid w:val="002363A0"/>
    <w:rsid w:val="002365C1"/>
    <w:rsid w:val="00236A99"/>
    <w:rsid w:val="00237ADA"/>
    <w:rsid w:val="002411DC"/>
    <w:rsid w:val="002420D4"/>
    <w:rsid w:val="002439F3"/>
    <w:rsid w:val="00244321"/>
    <w:rsid w:val="0024450A"/>
    <w:rsid w:val="00245367"/>
    <w:rsid w:val="0024593C"/>
    <w:rsid w:val="002459E5"/>
    <w:rsid w:val="00245BA4"/>
    <w:rsid w:val="0024619D"/>
    <w:rsid w:val="00246E3C"/>
    <w:rsid w:val="00246F83"/>
    <w:rsid w:val="002478D3"/>
    <w:rsid w:val="00247915"/>
    <w:rsid w:val="00247AC3"/>
    <w:rsid w:val="002504FD"/>
    <w:rsid w:val="00251174"/>
    <w:rsid w:val="002512EE"/>
    <w:rsid w:val="00253537"/>
    <w:rsid w:val="00254568"/>
    <w:rsid w:val="00254C95"/>
    <w:rsid w:val="0025585E"/>
    <w:rsid w:val="00255956"/>
    <w:rsid w:val="00255FFA"/>
    <w:rsid w:val="002561CB"/>
    <w:rsid w:val="00256B02"/>
    <w:rsid w:val="0026079B"/>
    <w:rsid w:val="00260917"/>
    <w:rsid w:val="00260A10"/>
    <w:rsid w:val="00261E30"/>
    <w:rsid w:val="00261F79"/>
    <w:rsid w:val="00262598"/>
    <w:rsid w:val="00262B73"/>
    <w:rsid w:val="0026357C"/>
    <w:rsid w:val="002635F9"/>
    <w:rsid w:val="00266080"/>
    <w:rsid w:val="002663B7"/>
    <w:rsid w:val="002669FE"/>
    <w:rsid w:val="002672BA"/>
    <w:rsid w:val="00267588"/>
    <w:rsid w:val="00267A7E"/>
    <w:rsid w:val="00267AF9"/>
    <w:rsid w:val="00267E55"/>
    <w:rsid w:val="00270372"/>
    <w:rsid w:val="00270610"/>
    <w:rsid w:val="00270C27"/>
    <w:rsid w:val="00271298"/>
    <w:rsid w:val="002717A4"/>
    <w:rsid w:val="00273BF3"/>
    <w:rsid w:val="00273DB9"/>
    <w:rsid w:val="00274E9D"/>
    <w:rsid w:val="00275B18"/>
    <w:rsid w:val="00276216"/>
    <w:rsid w:val="0027771E"/>
    <w:rsid w:val="0028056C"/>
    <w:rsid w:val="00282922"/>
    <w:rsid w:val="00283CCC"/>
    <w:rsid w:val="00284150"/>
    <w:rsid w:val="00284BE9"/>
    <w:rsid w:val="00285DCA"/>
    <w:rsid w:val="00286062"/>
    <w:rsid w:val="002872D0"/>
    <w:rsid w:val="0028734E"/>
    <w:rsid w:val="0028770F"/>
    <w:rsid w:val="00291348"/>
    <w:rsid w:val="00291B69"/>
    <w:rsid w:val="00293722"/>
    <w:rsid w:val="00294AC0"/>
    <w:rsid w:val="00295D9C"/>
    <w:rsid w:val="002969D0"/>
    <w:rsid w:val="002978E0"/>
    <w:rsid w:val="002A02F4"/>
    <w:rsid w:val="002A0F8E"/>
    <w:rsid w:val="002A14AB"/>
    <w:rsid w:val="002A2CEA"/>
    <w:rsid w:val="002A2E09"/>
    <w:rsid w:val="002A2E9B"/>
    <w:rsid w:val="002A3369"/>
    <w:rsid w:val="002A3F31"/>
    <w:rsid w:val="002A5BA9"/>
    <w:rsid w:val="002A6BBF"/>
    <w:rsid w:val="002A7235"/>
    <w:rsid w:val="002A7CDA"/>
    <w:rsid w:val="002B0987"/>
    <w:rsid w:val="002B15EA"/>
    <w:rsid w:val="002B1E9C"/>
    <w:rsid w:val="002B1F4B"/>
    <w:rsid w:val="002B23C8"/>
    <w:rsid w:val="002B285D"/>
    <w:rsid w:val="002B2EBD"/>
    <w:rsid w:val="002B338B"/>
    <w:rsid w:val="002B4BCF"/>
    <w:rsid w:val="002B4BF0"/>
    <w:rsid w:val="002B4FC0"/>
    <w:rsid w:val="002B5E1D"/>
    <w:rsid w:val="002B68FB"/>
    <w:rsid w:val="002B6EF6"/>
    <w:rsid w:val="002B7110"/>
    <w:rsid w:val="002B760D"/>
    <w:rsid w:val="002C066A"/>
    <w:rsid w:val="002C0B38"/>
    <w:rsid w:val="002C1103"/>
    <w:rsid w:val="002C11B9"/>
    <w:rsid w:val="002C36B4"/>
    <w:rsid w:val="002C3E49"/>
    <w:rsid w:val="002C4A4E"/>
    <w:rsid w:val="002C51D1"/>
    <w:rsid w:val="002C5C43"/>
    <w:rsid w:val="002C6366"/>
    <w:rsid w:val="002C63B8"/>
    <w:rsid w:val="002C6536"/>
    <w:rsid w:val="002C7D54"/>
    <w:rsid w:val="002D22CC"/>
    <w:rsid w:val="002D2463"/>
    <w:rsid w:val="002D2FF2"/>
    <w:rsid w:val="002D339C"/>
    <w:rsid w:val="002D41F3"/>
    <w:rsid w:val="002D45EB"/>
    <w:rsid w:val="002D498A"/>
    <w:rsid w:val="002D4A95"/>
    <w:rsid w:val="002D4C3C"/>
    <w:rsid w:val="002D4FA4"/>
    <w:rsid w:val="002D52EC"/>
    <w:rsid w:val="002D556D"/>
    <w:rsid w:val="002D5756"/>
    <w:rsid w:val="002D5B50"/>
    <w:rsid w:val="002D5F12"/>
    <w:rsid w:val="002D6AF4"/>
    <w:rsid w:val="002D6EA7"/>
    <w:rsid w:val="002D71B9"/>
    <w:rsid w:val="002D72AD"/>
    <w:rsid w:val="002D79CA"/>
    <w:rsid w:val="002E0384"/>
    <w:rsid w:val="002E0762"/>
    <w:rsid w:val="002E12BA"/>
    <w:rsid w:val="002E1C08"/>
    <w:rsid w:val="002E1F21"/>
    <w:rsid w:val="002E21C6"/>
    <w:rsid w:val="002E2DC5"/>
    <w:rsid w:val="002E3640"/>
    <w:rsid w:val="002E3790"/>
    <w:rsid w:val="002E39D4"/>
    <w:rsid w:val="002E4FC7"/>
    <w:rsid w:val="002E5270"/>
    <w:rsid w:val="002E605A"/>
    <w:rsid w:val="002E66EB"/>
    <w:rsid w:val="002E6F74"/>
    <w:rsid w:val="002E7D7B"/>
    <w:rsid w:val="002E7FE1"/>
    <w:rsid w:val="002F06FE"/>
    <w:rsid w:val="002F20B1"/>
    <w:rsid w:val="002F2515"/>
    <w:rsid w:val="002F31A4"/>
    <w:rsid w:val="002F34E5"/>
    <w:rsid w:val="002F3C32"/>
    <w:rsid w:val="002F4893"/>
    <w:rsid w:val="002F4A43"/>
    <w:rsid w:val="002F4E14"/>
    <w:rsid w:val="002F5BE1"/>
    <w:rsid w:val="002F7586"/>
    <w:rsid w:val="002F7A6E"/>
    <w:rsid w:val="002F7ED4"/>
    <w:rsid w:val="0030096A"/>
    <w:rsid w:val="003018D2"/>
    <w:rsid w:val="00301F63"/>
    <w:rsid w:val="0030296F"/>
    <w:rsid w:val="00302A4D"/>
    <w:rsid w:val="00302EBD"/>
    <w:rsid w:val="00303597"/>
    <w:rsid w:val="00304641"/>
    <w:rsid w:val="00304D6A"/>
    <w:rsid w:val="003052A8"/>
    <w:rsid w:val="003057A2"/>
    <w:rsid w:val="003067EF"/>
    <w:rsid w:val="003070ED"/>
    <w:rsid w:val="00307350"/>
    <w:rsid w:val="00307588"/>
    <w:rsid w:val="00307E61"/>
    <w:rsid w:val="0031053B"/>
    <w:rsid w:val="00310B4E"/>
    <w:rsid w:val="00310D32"/>
    <w:rsid w:val="0031106E"/>
    <w:rsid w:val="0031248B"/>
    <w:rsid w:val="00312976"/>
    <w:rsid w:val="00313ED9"/>
    <w:rsid w:val="0031402B"/>
    <w:rsid w:val="0031407E"/>
    <w:rsid w:val="0031427D"/>
    <w:rsid w:val="00314385"/>
    <w:rsid w:val="0031458C"/>
    <w:rsid w:val="0031464A"/>
    <w:rsid w:val="003147A3"/>
    <w:rsid w:val="00314E9B"/>
    <w:rsid w:val="00315147"/>
    <w:rsid w:val="003152D1"/>
    <w:rsid w:val="003152F7"/>
    <w:rsid w:val="00315311"/>
    <w:rsid w:val="00315771"/>
    <w:rsid w:val="00315788"/>
    <w:rsid w:val="00316F52"/>
    <w:rsid w:val="003171CA"/>
    <w:rsid w:val="00320071"/>
    <w:rsid w:val="00320F62"/>
    <w:rsid w:val="003224F3"/>
    <w:rsid w:val="003226F0"/>
    <w:rsid w:val="003233F8"/>
    <w:rsid w:val="003238E9"/>
    <w:rsid w:val="00324F2F"/>
    <w:rsid w:val="003255A2"/>
    <w:rsid w:val="00325662"/>
    <w:rsid w:val="003259A5"/>
    <w:rsid w:val="003262FD"/>
    <w:rsid w:val="00330413"/>
    <w:rsid w:val="00330468"/>
    <w:rsid w:val="00330655"/>
    <w:rsid w:val="00330AA6"/>
    <w:rsid w:val="00330B1B"/>
    <w:rsid w:val="003310A5"/>
    <w:rsid w:val="003312F3"/>
    <w:rsid w:val="003317DF"/>
    <w:rsid w:val="00332D0E"/>
    <w:rsid w:val="00332E45"/>
    <w:rsid w:val="00332FEE"/>
    <w:rsid w:val="003332D6"/>
    <w:rsid w:val="00333319"/>
    <w:rsid w:val="0033359E"/>
    <w:rsid w:val="003336FF"/>
    <w:rsid w:val="00335874"/>
    <w:rsid w:val="00335AB2"/>
    <w:rsid w:val="00335C93"/>
    <w:rsid w:val="003366F0"/>
    <w:rsid w:val="0033674B"/>
    <w:rsid w:val="0033674D"/>
    <w:rsid w:val="00336984"/>
    <w:rsid w:val="003371D3"/>
    <w:rsid w:val="0033759B"/>
    <w:rsid w:val="00337E34"/>
    <w:rsid w:val="00337F54"/>
    <w:rsid w:val="003413C4"/>
    <w:rsid w:val="00342D49"/>
    <w:rsid w:val="003438AE"/>
    <w:rsid w:val="0034432D"/>
    <w:rsid w:val="00344340"/>
    <w:rsid w:val="00344626"/>
    <w:rsid w:val="0034482C"/>
    <w:rsid w:val="00344BCF"/>
    <w:rsid w:val="00344E25"/>
    <w:rsid w:val="00346989"/>
    <w:rsid w:val="00347BE7"/>
    <w:rsid w:val="003502C6"/>
    <w:rsid w:val="00351918"/>
    <w:rsid w:val="003524D4"/>
    <w:rsid w:val="003527CF"/>
    <w:rsid w:val="00352D53"/>
    <w:rsid w:val="00352FED"/>
    <w:rsid w:val="00354772"/>
    <w:rsid w:val="00354A9B"/>
    <w:rsid w:val="003554AC"/>
    <w:rsid w:val="003556CB"/>
    <w:rsid w:val="00355EA9"/>
    <w:rsid w:val="00356A80"/>
    <w:rsid w:val="00356C40"/>
    <w:rsid w:val="0035798A"/>
    <w:rsid w:val="003605AC"/>
    <w:rsid w:val="00361295"/>
    <w:rsid w:val="003624CA"/>
    <w:rsid w:val="003636FE"/>
    <w:rsid w:val="00364AA7"/>
    <w:rsid w:val="0036608B"/>
    <w:rsid w:val="00366A80"/>
    <w:rsid w:val="0036733D"/>
    <w:rsid w:val="00367493"/>
    <w:rsid w:val="003675AF"/>
    <w:rsid w:val="00370C7E"/>
    <w:rsid w:val="003714E2"/>
    <w:rsid w:val="003718CD"/>
    <w:rsid w:val="00372F36"/>
    <w:rsid w:val="0037357D"/>
    <w:rsid w:val="003736FA"/>
    <w:rsid w:val="00374A9E"/>
    <w:rsid w:val="0037617D"/>
    <w:rsid w:val="0037649A"/>
    <w:rsid w:val="0037687F"/>
    <w:rsid w:val="00376E89"/>
    <w:rsid w:val="003775DE"/>
    <w:rsid w:val="003778A5"/>
    <w:rsid w:val="00377D53"/>
    <w:rsid w:val="00380D26"/>
    <w:rsid w:val="00380FA7"/>
    <w:rsid w:val="003819D5"/>
    <w:rsid w:val="003821C4"/>
    <w:rsid w:val="00382229"/>
    <w:rsid w:val="0038294E"/>
    <w:rsid w:val="00382C37"/>
    <w:rsid w:val="00382EDB"/>
    <w:rsid w:val="00384858"/>
    <w:rsid w:val="00384ACA"/>
    <w:rsid w:val="00385601"/>
    <w:rsid w:val="00385B38"/>
    <w:rsid w:val="00385BE5"/>
    <w:rsid w:val="00385BFA"/>
    <w:rsid w:val="00385C57"/>
    <w:rsid w:val="0038672A"/>
    <w:rsid w:val="003868DC"/>
    <w:rsid w:val="00394879"/>
    <w:rsid w:val="0039488B"/>
    <w:rsid w:val="00394A3C"/>
    <w:rsid w:val="003A00A3"/>
    <w:rsid w:val="003A06A7"/>
    <w:rsid w:val="003A19D9"/>
    <w:rsid w:val="003A1B0C"/>
    <w:rsid w:val="003A1BC2"/>
    <w:rsid w:val="003A1BFC"/>
    <w:rsid w:val="003A216E"/>
    <w:rsid w:val="003A438E"/>
    <w:rsid w:val="003A4B7D"/>
    <w:rsid w:val="003A53F1"/>
    <w:rsid w:val="003A5B61"/>
    <w:rsid w:val="003A699E"/>
    <w:rsid w:val="003A7967"/>
    <w:rsid w:val="003A79F6"/>
    <w:rsid w:val="003A7DC2"/>
    <w:rsid w:val="003B000A"/>
    <w:rsid w:val="003B05D8"/>
    <w:rsid w:val="003B0E74"/>
    <w:rsid w:val="003B2610"/>
    <w:rsid w:val="003B2AEB"/>
    <w:rsid w:val="003B3453"/>
    <w:rsid w:val="003B37AF"/>
    <w:rsid w:val="003B53E4"/>
    <w:rsid w:val="003B6E92"/>
    <w:rsid w:val="003C002B"/>
    <w:rsid w:val="003C135E"/>
    <w:rsid w:val="003C1605"/>
    <w:rsid w:val="003C1A3B"/>
    <w:rsid w:val="003C259D"/>
    <w:rsid w:val="003C3796"/>
    <w:rsid w:val="003C3AC0"/>
    <w:rsid w:val="003C4061"/>
    <w:rsid w:val="003C45CE"/>
    <w:rsid w:val="003C5223"/>
    <w:rsid w:val="003C5610"/>
    <w:rsid w:val="003C676B"/>
    <w:rsid w:val="003C67EE"/>
    <w:rsid w:val="003C68F5"/>
    <w:rsid w:val="003C728E"/>
    <w:rsid w:val="003C772D"/>
    <w:rsid w:val="003D053A"/>
    <w:rsid w:val="003D11FE"/>
    <w:rsid w:val="003D1D05"/>
    <w:rsid w:val="003D2093"/>
    <w:rsid w:val="003D2F82"/>
    <w:rsid w:val="003D37BE"/>
    <w:rsid w:val="003D4386"/>
    <w:rsid w:val="003D44D7"/>
    <w:rsid w:val="003D479D"/>
    <w:rsid w:val="003D4961"/>
    <w:rsid w:val="003D5072"/>
    <w:rsid w:val="003D56CC"/>
    <w:rsid w:val="003D6344"/>
    <w:rsid w:val="003D68CB"/>
    <w:rsid w:val="003D6A29"/>
    <w:rsid w:val="003E0427"/>
    <w:rsid w:val="003E1425"/>
    <w:rsid w:val="003E25D8"/>
    <w:rsid w:val="003E2620"/>
    <w:rsid w:val="003E26C7"/>
    <w:rsid w:val="003E323A"/>
    <w:rsid w:val="003E3580"/>
    <w:rsid w:val="003E4166"/>
    <w:rsid w:val="003E4660"/>
    <w:rsid w:val="003E51EE"/>
    <w:rsid w:val="003E5243"/>
    <w:rsid w:val="003E6242"/>
    <w:rsid w:val="003F0B54"/>
    <w:rsid w:val="003F2168"/>
    <w:rsid w:val="003F26A6"/>
    <w:rsid w:val="003F43EA"/>
    <w:rsid w:val="003F44B6"/>
    <w:rsid w:val="003F4965"/>
    <w:rsid w:val="003F4A17"/>
    <w:rsid w:val="003F519F"/>
    <w:rsid w:val="003F653B"/>
    <w:rsid w:val="003F70BF"/>
    <w:rsid w:val="004004B2"/>
    <w:rsid w:val="00400561"/>
    <w:rsid w:val="0040069B"/>
    <w:rsid w:val="004008BF"/>
    <w:rsid w:val="00400A07"/>
    <w:rsid w:val="00403881"/>
    <w:rsid w:val="00403A75"/>
    <w:rsid w:val="00404BB5"/>
    <w:rsid w:val="0040523C"/>
    <w:rsid w:val="00405318"/>
    <w:rsid w:val="00405BCA"/>
    <w:rsid w:val="00405F4F"/>
    <w:rsid w:val="00406175"/>
    <w:rsid w:val="00410127"/>
    <w:rsid w:val="00410BA5"/>
    <w:rsid w:val="00411694"/>
    <w:rsid w:val="00411B10"/>
    <w:rsid w:val="00412868"/>
    <w:rsid w:val="004146AF"/>
    <w:rsid w:val="00414D47"/>
    <w:rsid w:val="00414EDA"/>
    <w:rsid w:val="004157A7"/>
    <w:rsid w:val="00416D51"/>
    <w:rsid w:val="004174FE"/>
    <w:rsid w:val="00420136"/>
    <w:rsid w:val="004202FD"/>
    <w:rsid w:val="0042038A"/>
    <w:rsid w:val="004221E4"/>
    <w:rsid w:val="004223AC"/>
    <w:rsid w:val="00422767"/>
    <w:rsid w:val="00422EFB"/>
    <w:rsid w:val="00422F98"/>
    <w:rsid w:val="004230D0"/>
    <w:rsid w:val="00423850"/>
    <w:rsid w:val="00425396"/>
    <w:rsid w:val="0042573F"/>
    <w:rsid w:val="00425789"/>
    <w:rsid w:val="004267F1"/>
    <w:rsid w:val="00426CA4"/>
    <w:rsid w:val="004272DB"/>
    <w:rsid w:val="00430B2B"/>
    <w:rsid w:val="00430CCB"/>
    <w:rsid w:val="0043159C"/>
    <w:rsid w:val="00431E97"/>
    <w:rsid w:val="00432126"/>
    <w:rsid w:val="00432AD8"/>
    <w:rsid w:val="004330E3"/>
    <w:rsid w:val="004346C1"/>
    <w:rsid w:val="00434BEC"/>
    <w:rsid w:val="00435800"/>
    <w:rsid w:val="00435FAE"/>
    <w:rsid w:val="00435FD9"/>
    <w:rsid w:val="004366AE"/>
    <w:rsid w:val="00436E8E"/>
    <w:rsid w:val="004370DC"/>
    <w:rsid w:val="00437EA8"/>
    <w:rsid w:val="00437EEE"/>
    <w:rsid w:val="00440879"/>
    <w:rsid w:val="00440CEA"/>
    <w:rsid w:val="00441D7E"/>
    <w:rsid w:val="00442122"/>
    <w:rsid w:val="004424DE"/>
    <w:rsid w:val="00442A09"/>
    <w:rsid w:val="00444565"/>
    <w:rsid w:val="0044471C"/>
    <w:rsid w:val="004459BC"/>
    <w:rsid w:val="00445F13"/>
    <w:rsid w:val="00446085"/>
    <w:rsid w:val="00446102"/>
    <w:rsid w:val="00446805"/>
    <w:rsid w:val="00446ED3"/>
    <w:rsid w:val="00447498"/>
    <w:rsid w:val="004518BB"/>
    <w:rsid w:val="00451C5B"/>
    <w:rsid w:val="00451FFF"/>
    <w:rsid w:val="00452649"/>
    <w:rsid w:val="00452B3B"/>
    <w:rsid w:val="00452DB2"/>
    <w:rsid w:val="004540F5"/>
    <w:rsid w:val="0045441F"/>
    <w:rsid w:val="004549F2"/>
    <w:rsid w:val="004550A1"/>
    <w:rsid w:val="004550F7"/>
    <w:rsid w:val="004568AB"/>
    <w:rsid w:val="00456AA4"/>
    <w:rsid w:val="00456DE3"/>
    <w:rsid w:val="00457890"/>
    <w:rsid w:val="00457AAF"/>
    <w:rsid w:val="00460736"/>
    <w:rsid w:val="0046083A"/>
    <w:rsid w:val="00461369"/>
    <w:rsid w:val="00461E91"/>
    <w:rsid w:val="00462481"/>
    <w:rsid w:val="00462B97"/>
    <w:rsid w:val="004631E3"/>
    <w:rsid w:val="00463790"/>
    <w:rsid w:val="00463C88"/>
    <w:rsid w:val="0046448A"/>
    <w:rsid w:val="00464FDB"/>
    <w:rsid w:val="00465404"/>
    <w:rsid w:val="00465FC0"/>
    <w:rsid w:val="004672CF"/>
    <w:rsid w:val="004675B4"/>
    <w:rsid w:val="00467E66"/>
    <w:rsid w:val="00470A65"/>
    <w:rsid w:val="00470CCB"/>
    <w:rsid w:val="00471055"/>
    <w:rsid w:val="00471111"/>
    <w:rsid w:val="0047121B"/>
    <w:rsid w:val="00472714"/>
    <w:rsid w:val="004728C5"/>
    <w:rsid w:val="00472DEB"/>
    <w:rsid w:val="00473918"/>
    <w:rsid w:val="00474142"/>
    <w:rsid w:val="00474359"/>
    <w:rsid w:val="0047489D"/>
    <w:rsid w:val="004748E0"/>
    <w:rsid w:val="0047535F"/>
    <w:rsid w:val="004756D1"/>
    <w:rsid w:val="00476504"/>
    <w:rsid w:val="0047712E"/>
    <w:rsid w:val="00477299"/>
    <w:rsid w:val="0047737A"/>
    <w:rsid w:val="004806AD"/>
    <w:rsid w:val="0048091A"/>
    <w:rsid w:val="00480ACE"/>
    <w:rsid w:val="00481037"/>
    <w:rsid w:val="004820D3"/>
    <w:rsid w:val="00482104"/>
    <w:rsid w:val="00482539"/>
    <w:rsid w:val="00482A27"/>
    <w:rsid w:val="00482A2E"/>
    <w:rsid w:val="00483049"/>
    <w:rsid w:val="004836E4"/>
    <w:rsid w:val="00484E16"/>
    <w:rsid w:val="00487FB6"/>
    <w:rsid w:val="00490726"/>
    <w:rsid w:val="004908D5"/>
    <w:rsid w:val="00490E40"/>
    <w:rsid w:val="00490F38"/>
    <w:rsid w:val="00491350"/>
    <w:rsid w:val="00491F75"/>
    <w:rsid w:val="004924B1"/>
    <w:rsid w:val="00492510"/>
    <w:rsid w:val="0049258F"/>
    <w:rsid w:val="0049274A"/>
    <w:rsid w:val="004929C7"/>
    <w:rsid w:val="00492E1B"/>
    <w:rsid w:val="004930F2"/>
    <w:rsid w:val="00493B0F"/>
    <w:rsid w:val="00496780"/>
    <w:rsid w:val="0049732C"/>
    <w:rsid w:val="004A0926"/>
    <w:rsid w:val="004A0FCD"/>
    <w:rsid w:val="004A1100"/>
    <w:rsid w:val="004A1B2A"/>
    <w:rsid w:val="004A2E86"/>
    <w:rsid w:val="004A339A"/>
    <w:rsid w:val="004A3661"/>
    <w:rsid w:val="004A38CE"/>
    <w:rsid w:val="004A43E6"/>
    <w:rsid w:val="004A47BC"/>
    <w:rsid w:val="004A49AB"/>
    <w:rsid w:val="004A4A31"/>
    <w:rsid w:val="004A4D04"/>
    <w:rsid w:val="004A4F7D"/>
    <w:rsid w:val="004A555B"/>
    <w:rsid w:val="004A5E25"/>
    <w:rsid w:val="004A7246"/>
    <w:rsid w:val="004A765D"/>
    <w:rsid w:val="004A7C29"/>
    <w:rsid w:val="004B0243"/>
    <w:rsid w:val="004B091F"/>
    <w:rsid w:val="004B12F7"/>
    <w:rsid w:val="004B1690"/>
    <w:rsid w:val="004B1DD1"/>
    <w:rsid w:val="004B241C"/>
    <w:rsid w:val="004B260B"/>
    <w:rsid w:val="004B2D4E"/>
    <w:rsid w:val="004B34F7"/>
    <w:rsid w:val="004B362B"/>
    <w:rsid w:val="004B3B92"/>
    <w:rsid w:val="004B4161"/>
    <w:rsid w:val="004B49F6"/>
    <w:rsid w:val="004B54FD"/>
    <w:rsid w:val="004B62C5"/>
    <w:rsid w:val="004B632F"/>
    <w:rsid w:val="004B638F"/>
    <w:rsid w:val="004B6685"/>
    <w:rsid w:val="004B75A1"/>
    <w:rsid w:val="004B7BE0"/>
    <w:rsid w:val="004B7C46"/>
    <w:rsid w:val="004B7FAF"/>
    <w:rsid w:val="004C036B"/>
    <w:rsid w:val="004C0490"/>
    <w:rsid w:val="004C21AF"/>
    <w:rsid w:val="004C2202"/>
    <w:rsid w:val="004C3A4B"/>
    <w:rsid w:val="004C3FFB"/>
    <w:rsid w:val="004C415F"/>
    <w:rsid w:val="004C4514"/>
    <w:rsid w:val="004C4A27"/>
    <w:rsid w:val="004C4F29"/>
    <w:rsid w:val="004C5051"/>
    <w:rsid w:val="004C5115"/>
    <w:rsid w:val="004C5268"/>
    <w:rsid w:val="004C5F10"/>
    <w:rsid w:val="004C65EA"/>
    <w:rsid w:val="004C6B98"/>
    <w:rsid w:val="004C7153"/>
    <w:rsid w:val="004C7212"/>
    <w:rsid w:val="004C72E9"/>
    <w:rsid w:val="004C7445"/>
    <w:rsid w:val="004D01DA"/>
    <w:rsid w:val="004D02FC"/>
    <w:rsid w:val="004D169C"/>
    <w:rsid w:val="004D2772"/>
    <w:rsid w:val="004D2844"/>
    <w:rsid w:val="004D303F"/>
    <w:rsid w:val="004D3224"/>
    <w:rsid w:val="004D41F4"/>
    <w:rsid w:val="004D435F"/>
    <w:rsid w:val="004D4C37"/>
    <w:rsid w:val="004D5A55"/>
    <w:rsid w:val="004D5D8A"/>
    <w:rsid w:val="004D7620"/>
    <w:rsid w:val="004D7BE8"/>
    <w:rsid w:val="004D7D8F"/>
    <w:rsid w:val="004E0025"/>
    <w:rsid w:val="004E0CF5"/>
    <w:rsid w:val="004E30E8"/>
    <w:rsid w:val="004E4332"/>
    <w:rsid w:val="004E4A80"/>
    <w:rsid w:val="004E6685"/>
    <w:rsid w:val="004E6ACC"/>
    <w:rsid w:val="004F01AA"/>
    <w:rsid w:val="004F04A5"/>
    <w:rsid w:val="004F0925"/>
    <w:rsid w:val="004F0E1B"/>
    <w:rsid w:val="004F1237"/>
    <w:rsid w:val="004F2A7F"/>
    <w:rsid w:val="004F2C89"/>
    <w:rsid w:val="004F31CC"/>
    <w:rsid w:val="004F35B8"/>
    <w:rsid w:val="004F3C98"/>
    <w:rsid w:val="004F3D4B"/>
    <w:rsid w:val="004F4597"/>
    <w:rsid w:val="004F667B"/>
    <w:rsid w:val="004F7488"/>
    <w:rsid w:val="004F77A6"/>
    <w:rsid w:val="00501B65"/>
    <w:rsid w:val="00502061"/>
    <w:rsid w:val="00502B44"/>
    <w:rsid w:val="0050340E"/>
    <w:rsid w:val="00504FB1"/>
    <w:rsid w:val="005052DF"/>
    <w:rsid w:val="0050652C"/>
    <w:rsid w:val="005066F7"/>
    <w:rsid w:val="005066FB"/>
    <w:rsid w:val="005074A6"/>
    <w:rsid w:val="00507DEA"/>
    <w:rsid w:val="00507EAB"/>
    <w:rsid w:val="00510893"/>
    <w:rsid w:val="00510D9F"/>
    <w:rsid w:val="00511DE7"/>
    <w:rsid w:val="00511F3B"/>
    <w:rsid w:val="0051319B"/>
    <w:rsid w:val="00513997"/>
    <w:rsid w:val="00513BDE"/>
    <w:rsid w:val="00514442"/>
    <w:rsid w:val="005153AD"/>
    <w:rsid w:val="005155C9"/>
    <w:rsid w:val="00515762"/>
    <w:rsid w:val="005157AC"/>
    <w:rsid w:val="005157B0"/>
    <w:rsid w:val="00515806"/>
    <w:rsid w:val="005162F3"/>
    <w:rsid w:val="00520396"/>
    <w:rsid w:val="005204D2"/>
    <w:rsid w:val="00520577"/>
    <w:rsid w:val="00520EA7"/>
    <w:rsid w:val="005218A1"/>
    <w:rsid w:val="0052216E"/>
    <w:rsid w:val="005224FE"/>
    <w:rsid w:val="00523277"/>
    <w:rsid w:val="005239C4"/>
    <w:rsid w:val="00523AC3"/>
    <w:rsid w:val="00523B1C"/>
    <w:rsid w:val="005250C3"/>
    <w:rsid w:val="005255C4"/>
    <w:rsid w:val="00526DF1"/>
    <w:rsid w:val="00527B54"/>
    <w:rsid w:val="00527B9A"/>
    <w:rsid w:val="00531405"/>
    <w:rsid w:val="005317BC"/>
    <w:rsid w:val="005327ED"/>
    <w:rsid w:val="005328BC"/>
    <w:rsid w:val="005328F5"/>
    <w:rsid w:val="00533D2D"/>
    <w:rsid w:val="00534155"/>
    <w:rsid w:val="00534221"/>
    <w:rsid w:val="005343D2"/>
    <w:rsid w:val="0053580D"/>
    <w:rsid w:val="0053624B"/>
    <w:rsid w:val="0053658B"/>
    <w:rsid w:val="00537414"/>
    <w:rsid w:val="00537689"/>
    <w:rsid w:val="00540407"/>
    <w:rsid w:val="00540DA0"/>
    <w:rsid w:val="00541210"/>
    <w:rsid w:val="005417CA"/>
    <w:rsid w:val="005423BC"/>
    <w:rsid w:val="005429EB"/>
    <w:rsid w:val="00542AF6"/>
    <w:rsid w:val="005437DE"/>
    <w:rsid w:val="005438E0"/>
    <w:rsid w:val="0054392D"/>
    <w:rsid w:val="00543CB0"/>
    <w:rsid w:val="00543F4D"/>
    <w:rsid w:val="005448DF"/>
    <w:rsid w:val="00544F4B"/>
    <w:rsid w:val="00545295"/>
    <w:rsid w:val="00546F63"/>
    <w:rsid w:val="0055094D"/>
    <w:rsid w:val="005513EB"/>
    <w:rsid w:val="0055193F"/>
    <w:rsid w:val="00552D00"/>
    <w:rsid w:val="005537A9"/>
    <w:rsid w:val="005573FE"/>
    <w:rsid w:val="0055761D"/>
    <w:rsid w:val="005600DC"/>
    <w:rsid w:val="00561279"/>
    <w:rsid w:val="005613BC"/>
    <w:rsid w:val="00561572"/>
    <w:rsid w:val="005620AE"/>
    <w:rsid w:val="0056598A"/>
    <w:rsid w:val="0056642B"/>
    <w:rsid w:val="00567930"/>
    <w:rsid w:val="00567B8D"/>
    <w:rsid w:val="00567C92"/>
    <w:rsid w:val="00570211"/>
    <w:rsid w:val="00570A6E"/>
    <w:rsid w:val="00570D2A"/>
    <w:rsid w:val="00570DF0"/>
    <w:rsid w:val="00570E47"/>
    <w:rsid w:val="00570FD6"/>
    <w:rsid w:val="005724CF"/>
    <w:rsid w:val="00572F48"/>
    <w:rsid w:val="00573420"/>
    <w:rsid w:val="0057468F"/>
    <w:rsid w:val="00575274"/>
    <w:rsid w:val="00575E55"/>
    <w:rsid w:val="00576845"/>
    <w:rsid w:val="00576B7F"/>
    <w:rsid w:val="005775C6"/>
    <w:rsid w:val="00580C22"/>
    <w:rsid w:val="00581322"/>
    <w:rsid w:val="00582156"/>
    <w:rsid w:val="00583AEC"/>
    <w:rsid w:val="00583EB8"/>
    <w:rsid w:val="00584293"/>
    <w:rsid w:val="00584574"/>
    <w:rsid w:val="005845EC"/>
    <w:rsid w:val="005856CD"/>
    <w:rsid w:val="00585A90"/>
    <w:rsid w:val="00585E10"/>
    <w:rsid w:val="00586251"/>
    <w:rsid w:val="00586C0D"/>
    <w:rsid w:val="00586DC4"/>
    <w:rsid w:val="00587475"/>
    <w:rsid w:val="0058747F"/>
    <w:rsid w:val="00587875"/>
    <w:rsid w:val="00590747"/>
    <w:rsid w:val="00590DFE"/>
    <w:rsid w:val="005921FD"/>
    <w:rsid w:val="005933E2"/>
    <w:rsid w:val="005936E1"/>
    <w:rsid w:val="005937D0"/>
    <w:rsid w:val="00594045"/>
    <w:rsid w:val="00595091"/>
    <w:rsid w:val="00595D0A"/>
    <w:rsid w:val="00595E33"/>
    <w:rsid w:val="005964C1"/>
    <w:rsid w:val="00596E8A"/>
    <w:rsid w:val="00597135"/>
    <w:rsid w:val="00597588"/>
    <w:rsid w:val="005A0007"/>
    <w:rsid w:val="005A0924"/>
    <w:rsid w:val="005A0F39"/>
    <w:rsid w:val="005A0F7B"/>
    <w:rsid w:val="005A1005"/>
    <w:rsid w:val="005A11D1"/>
    <w:rsid w:val="005A1D20"/>
    <w:rsid w:val="005A20DB"/>
    <w:rsid w:val="005A3358"/>
    <w:rsid w:val="005A385F"/>
    <w:rsid w:val="005A3A1E"/>
    <w:rsid w:val="005A3B49"/>
    <w:rsid w:val="005A4639"/>
    <w:rsid w:val="005A501B"/>
    <w:rsid w:val="005A5391"/>
    <w:rsid w:val="005A58C0"/>
    <w:rsid w:val="005A5D59"/>
    <w:rsid w:val="005A67B7"/>
    <w:rsid w:val="005A699D"/>
    <w:rsid w:val="005A6D80"/>
    <w:rsid w:val="005A79EB"/>
    <w:rsid w:val="005B0557"/>
    <w:rsid w:val="005B05E2"/>
    <w:rsid w:val="005B1F53"/>
    <w:rsid w:val="005B2366"/>
    <w:rsid w:val="005B246C"/>
    <w:rsid w:val="005B2853"/>
    <w:rsid w:val="005B2EDF"/>
    <w:rsid w:val="005B3EE1"/>
    <w:rsid w:val="005B4521"/>
    <w:rsid w:val="005B6A94"/>
    <w:rsid w:val="005B6C3A"/>
    <w:rsid w:val="005B711A"/>
    <w:rsid w:val="005B764A"/>
    <w:rsid w:val="005B7721"/>
    <w:rsid w:val="005B7AEC"/>
    <w:rsid w:val="005C05D5"/>
    <w:rsid w:val="005C0E6D"/>
    <w:rsid w:val="005C1214"/>
    <w:rsid w:val="005C19D6"/>
    <w:rsid w:val="005C1B5C"/>
    <w:rsid w:val="005C36FC"/>
    <w:rsid w:val="005C446F"/>
    <w:rsid w:val="005C531F"/>
    <w:rsid w:val="005C5439"/>
    <w:rsid w:val="005C5B7C"/>
    <w:rsid w:val="005C627A"/>
    <w:rsid w:val="005C713F"/>
    <w:rsid w:val="005C71F0"/>
    <w:rsid w:val="005D0DAF"/>
    <w:rsid w:val="005D1A85"/>
    <w:rsid w:val="005D1D87"/>
    <w:rsid w:val="005D1E9E"/>
    <w:rsid w:val="005D1FAC"/>
    <w:rsid w:val="005D1FB7"/>
    <w:rsid w:val="005D2617"/>
    <w:rsid w:val="005D35CA"/>
    <w:rsid w:val="005D54C4"/>
    <w:rsid w:val="005D587A"/>
    <w:rsid w:val="005D78EC"/>
    <w:rsid w:val="005E00E2"/>
    <w:rsid w:val="005E0362"/>
    <w:rsid w:val="005E1891"/>
    <w:rsid w:val="005E24A1"/>
    <w:rsid w:val="005E69D6"/>
    <w:rsid w:val="005E6B50"/>
    <w:rsid w:val="005F0B18"/>
    <w:rsid w:val="005F0EC3"/>
    <w:rsid w:val="005F1DBF"/>
    <w:rsid w:val="005F300C"/>
    <w:rsid w:val="005F3055"/>
    <w:rsid w:val="005F3374"/>
    <w:rsid w:val="005F4341"/>
    <w:rsid w:val="005F496C"/>
    <w:rsid w:val="005F4E1B"/>
    <w:rsid w:val="005F4ECD"/>
    <w:rsid w:val="005F5664"/>
    <w:rsid w:val="005F5D8C"/>
    <w:rsid w:val="005F662A"/>
    <w:rsid w:val="005F697F"/>
    <w:rsid w:val="005F7824"/>
    <w:rsid w:val="005F7F8D"/>
    <w:rsid w:val="006000A3"/>
    <w:rsid w:val="006005A2"/>
    <w:rsid w:val="0060084F"/>
    <w:rsid w:val="00600879"/>
    <w:rsid w:val="00601914"/>
    <w:rsid w:val="00601F03"/>
    <w:rsid w:val="006020D5"/>
    <w:rsid w:val="00602D35"/>
    <w:rsid w:val="00603F29"/>
    <w:rsid w:val="00604E2D"/>
    <w:rsid w:val="00604EA2"/>
    <w:rsid w:val="00605971"/>
    <w:rsid w:val="00605CB6"/>
    <w:rsid w:val="00605EAD"/>
    <w:rsid w:val="00606BBD"/>
    <w:rsid w:val="00607402"/>
    <w:rsid w:val="00607753"/>
    <w:rsid w:val="0061037A"/>
    <w:rsid w:val="006106A5"/>
    <w:rsid w:val="00610D27"/>
    <w:rsid w:val="00611689"/>
    <w:rsid w:val="00612506"/>
    <w:rsid w:val="00612C12"/>
    <w:rsid w:val="00612E9C"/>
    <w:rsid w:val="00613126"/>
    <w:rsid w:val="00613DF5"/>
    <w:rsid w:val="006142BD"/>
    <w:rsid w:val="00615B77"/>
    <w:rsid w:val="00615F06"/>
    <w:rsid w:val="00616CBB"/>
    <w:rsid w:val="006177FF"/>
    <w:rsid w:val="00617F51"/>
    <w:rsid w:val="006203B6"/>
    <w:rsid w:val="00620540"/>
    <w:rsid w:val="006207C4"/>
    <w:rsid w:val="006209D5"/>
    <w:rsid w:val="00621DB3"/>
    <w:rsid w:val="00622283"/>
    <w:rsid w:val="00622977"/>
    <w:rsid w:val="006238CB"/>
    <w:rsid w:val="00623CE1"/>
    <w:rsid w:val="006240C2"/>
    <w:rsid w:val="00624737"/>
    <w:rsid w:val="006247F3"/>
    <w:rsid w:val="00624C9B"/>
    <w:rsid w:val="00625F94"/>
    <w:rsid w:val="00626035"/>
    <w:rsid w:val="00626643"/>
    <w:rsid w:val="006270F7"/>
    <w:rsid w:val="00627734"/>
    <w:rsid w:val="00627E29"/>
    <w:rsid w:val="0063106C"/>
    <w:rsid w:val="00631599"/>
    <w:rsid w:val="00631B88"/>
    <w:rsid w:val="006329DE"/>
    <w:rsid w:val="0063452A"/>
    <w:rsid w:val="00636F1C"/>
    <w:rsid w:val="006376D3"/>
    <w:rsid w:val="00640795"/>
    <w:rsid w:val="006415F5"/>
    <w:rsid w:val="006416B3"/>
    <w:rsid w:val="00641B16"/>
    <w:rsid w:val="00641D38"/>
    <w:rsid w:val="00641E24"/>
    <w:rsid w:val="00642CD9"/>
    <w:rsid w:val="0064339B"/>
    <w:rsid w:val="00643CE7"/>
    <w:rsid w:val="00644CAD"/>
    <w:rsid w:val="00645076"/>
    <w:rsid w:val="006454CD"/>
    <w:rsid w:val="00645CBB"/>
    <w:rsid w:val="00646A51"/>
    <w:rsid w:val="006474F2"/>
    <w:rsid w:val="006504B5"/>
    <w:rsid w:val="006530AA"/>
    <w:rsid w:val="006530B3"/>
    <w:rsid w:val="00653822"/>
    <w:rsid w:val="0065420C"/>
    <w:rsid w:val="00655466"/>
    <w:rsid w:val="00655BA8"/>
    <w:rsid w:val="00656034"/>
    <w:rsid w:val="006564FE"/>
    <w:rsid w:val="00656DAA"/>
    <w:rsid w:val="0065751B"/>
    <w:rsid w:val="0065754A"/>
    <w:rsid w:val="00657753"/>
    <w:rsid w:val="006608B6"/>
    <w:rsid w:val="0066114D"/>
    <w:rsid w:val="00661F70"/>
    <w:rsid w:val="00662905"/>
    <w:rsid w:val="00664867"/>
    <w:rsid w:val="00664C6D"/>
    <w:rsid w:val="006652A8"/>
    <w:rsid w:val="006666EC"/>
    <w:rsid w:val="006667B4"/>
    <w:rsid w:val="0066702C"/>
    <w:rsid w:val="00667531"/>
    <w:rsid w:val="00667C15"/>
    <w:rsid w:val="006702D1"/>
    <w:rsid w:val="0067076B"/>
    <w:rsid w:val="00671597"/>
    <w:rsid w:val="0067196C"/>
    <w:rsid w:val="00671BF0"/>
    <w:rsid w:val="00671D16"/>
    <w:rsid w:val="00671FA2"/>
    <w:rsid w:val="00672D59"/>
    <w:rsid w:val="00674A7A"/>
    <w:rsid w:val="0067654C"/>
    <w:rsid w:val="0067669A"/>
    <w:rsid w:val="006779B1"/>
    <w:rsid w:val="006809EB"/>
    <w:rsid w:val="006819C3"/>
    <w:rsid w:val="00681FDF"/>
    <w:rsid w:val="00682B25"/>
    <w:rsid w:val="00682BC2"/>
    <w:rsid w:val="00683328"/>
    <w:rsid w:val="00683EDC"/>
    <w:rsid w:val="0068445C"/>
    <w:rsid w:val="0068542B"/>
    <w:rsid w:val="0068577E"/>
    <w:rsid w:val="00685EF9"/>
    <w:rsid w:val="00686063"/>
    <w:rsid w:val="006860F6"/>
    <w:rsid w:val="00686515"/>
    <w:rsid w:val="00686C21"/>
    <w:rsid w:val="00686CE7"/>
    <w:rsid w:val="006871F7"/>
    <w:rsid w:val="00687473"/>
    <w:rsid w:val="0069003E"/>
    <w:rsid w:val="0069045C"/>
    <w:rsid w:val="00691B37"/>
    <w:rsid w:val="00691C05"/>
    <w:rsid w:val="00694CAF"/>
    <w:rsid w:val="00696E8D"/>
    <w:rsid w:val="0069744B"/>
    <w:rsid w:val="006974DB"/>
    <w:rsid w:val="00697760"/>
    <w:rsid w:val="00697E21"/>
    <w:rsid w:val="00697F08"/>
    <w:rsid w:val="00697FC1"/>
    <w:rsid w:val="006A0446"/>
    <w:rsid w:val="006A04FF"/>
    <w:rsid w:val="006A157F"/>
    <w:rsid w:val="006A1677"/>
    <w:rsid w:val="006A1EAD"/>
    <w:rsid w:val="006A21E5"/>
    <w:rsid w:val="006A2530"/>
    <w:rsid w:val="006A26CD"/>
    <w:rsid w:val="006A3B32"/>
    <w:rsid w:val="006A4CB7"/>
    <w:rsid w:val="006A505E"/>
    <w:rsid w:val="006A5163"/>
    <w:rsid w:val="006A5B76"/>
    <w:rsid w:val="006A6092"/>
    <w:rsid w:val="006A64A6"/>
    <w:rsid w:val="006A76AD"/>
    <w:rsid w:val="006B1076"/>
    <w:rsid w:val="006B1A18"/>
    <w:rsid w:val="006B1CEE"/>
    <w:rsid w:val="006B218D"/>
    <w:rsid w:val="006B2D07"/>
    <w:rsid w:val="006B380A"/>
    <w:rsid w:val="006B38DB"/>
    <w:rsid w:val="006B41CF"/>
    <w:rsid w:val="006B488D"/>
    <w:rsid w:val="006B4C54"/>
    <w:rsid w:val="006B4F24"/>
    <w:rsid w:val="006B5640"/>
    <w:rsid w:val="006B5B4F"/>
    <w:rsid w:val="006B6B01"/>
    <w:rsid w:val="006B75CE"/>
    <w:rsid w:val="006C047A"/>
    <w:rsid w:val="006C299F"/>
    <w:rsid w:val="006C2FE8"/>
    <w:rsid w:val="006C379F"/>
    <w:rsid w:val="006C4A8C"/>
    <w:rsid w:val="006C4BAE"/>
    <w:rsid w:val="006C4D2A"/>
    <w:rsid w:val="006C56D3"/>
    <w:rsid w:val="006C5CF6"/>
    <w:rsid w:val="006C5F47"/>
    <w:rsid w:val="006D0EF0"/>
    <w:rsid w:val="006D0FD4"/>
    <w:rsid w:val="006D2417"/>
    <w:rsid w:val="006D2449"/>
    <w:rsid w:val="006D2DCA"/>
    <w:rsid w:val="006D3903"/>
    <w:rsid w:val="006D4C5B"/>
    <w:rsid w:val="006D4F24"/>
    <w:rsid w:val="006D5D44"/>
    <w:rsid w:val="006D633E"/>
    <w:rsid w:val="006D687E"/>
    <w:rsid w:val="006D732D"/>
    <w:rsid w:val="006D7C90"/>
    <w:rsid w:val="006D7F7F"/>
    <w:rsid w:val="006E00C3"/>
    <w:rsid w:val="006E076F"/>
    <w:rsid w:val="006E1283"/>
    <w:rsid w:val="006E199A"/>
    <w:rsid w:val="006E33C6"/>
    <w:rsid w:val="006E3801"/>
    <w:rsid w:val="006E42C0"/>
    <w:rsid w:val="006E4B0C"/>
    <w:rsid w:val="006E4C3E"/>
    <w:rsid w:val="006E4C6B"/>
    <w:rsid w:val="006E53DE"/>
    <w:rsid w:val="006E5406"/>
    <w:rsid w:val="006E546F"/>
    <w:rsid w:val="006E5818"/>
    <w:rsid w:val="006E5F68"/>
    <w:rsid w:val="006E61B9"/>
    <w:rsid w:val="006E6871"/>
    <w:rsid w:val="006E7658"/>
    <w:rsid w:val="006E7A9A"/>
    <w:rsid w:val="006E7EEF"/>
    <w:rsid w:val="006F0C5B"/>
    <w:rsid w:val="006F1489"/>
    <w:rsid w:val="006F1493"/>
    <w:rsid w:val="006F21C5"/>
    <w:rsid w:val="006F2BFA"/>
    <w:rsid w:val="006F3D59"/>
    <w:rsid w:val="006F3DE4"/>
    <w:rsid w:val="006F3F10"/>
    <w:rsid w:val="006F432A"/>
    <w:rsid w:val="006F49FD"/>
    <w:rsid w:val="006F4E06"/>
    <w:rsid w:val="006F5236"/>
    <w:rsid w:val="006F576D"/>
    <w:rsid w:val="006F6225"/>
    <w:rsid w:val="006F635C"/>
    <w:rsid w:val="006F66C3"/>
    <w:rsid w:val="006F6D62"/>
    <w:rsid w:val="006F6E95"/>
    <w:rsid w:val="00700315"/>
    <w:rsid w:val="007003A5"/>
    <w:rsid w:val="007010BC"/>
    <w:rsid w:val="00701755"/>
    <w:rsid w:val="00701BD2"/>
    <w:rsid w:val="00701C6A"/>
    <w:rsid w:val="00702D1C"/>
    <w:rsid w:val="00703784"/>
    <w:rsid w:val="007039DD"/>
    <w:rsid w:val="00704153"/>
    <w:rsid w:val="007047CB"/>
    <w:rsid w:val="00704A77"/>
    <w:rsid w:val="007055D2"/>
    <w:rsid w:val="007070A0"/>
    <w:rsid w:val="0070745E"/>
    <w:rsid w:val="007077D5"/>
    <w:rsid w:val="00710449"/>
    <w:rsid w:val="00710B45"/>
    <w:rsid w:val="00710FCD"/>
    <w:rsid w:val="007112A3"/>
    <w:rsid w:val="007118BC"/>
    <w:rsid w:val="00711A0A"/>
    <w:rsid w:val="00711C4D"/>
    <w:rsid w:val="0071217F"/>
    <w:rsid w:val="00714575"/>
    <w:rsid w:val="007145D5"/>
    <w:rsid w:val="0071510C"/>
    <w:rsid w:val="00716069"/>
    <w:rsid w:val="00717278"/>
    <w:rsid w:val="007175D9"/>
    <w:rsid w:val="00717927"/>
    <w:rsid w:val="00717DC4"/>
    <w:rsid w:val="007203E4"/>
    <w:rsid w:val="0072049D"/>
    <w:rsid w:val="007204DA"/>
    <w:rsid w:val="007205F7"/>
    <w:rsid w:val="007216EE"/>
    <w:rsid w:val="00722258"/>
    <w:rsid w:val="007231A5"/>
    <w:rsid w:val="0072377E"/>
    <w:rsid w:val="00723BC8"/>
    <w:rsid w:val="00723EBA"/>
    <w:rsid w:val="00724895"/>
    <w:rsid w:val="00724939"/>
    <w:rsid w:val="00726109"/>
    <w:rsid w:val="0072710A"/>
    <w:rsid w:val="007272EB"/>
    <w:rsid w:val="00727B78"/>
    <w:rsid w:val="00727DED"/>
    <w:rsid w:val="00730641"/>
    <w:rsid w:val="00730782"/>
    <w:rsid w:val="00733285"/>
    <w:rsid w:val="00733639"/>
    <w:rsid w:val="00733D3B"/>
    <w:rsid w:val="00734114"/>
    <w:rsid w:val="00734172"/>
    <w:rsid w:val="00734A08"/>
    <w:rsid w:val="00734FCF"/>
    <w:rsid w:val="00735D2F"/>
    <w:rsid w:val="00736D8E"/>
    <w:rsid w:val="007370BA"/>
    <w:rsid w:val="00737B94"/>
    <w:rsid w:val="007405AC"/>
    <w:rsid w:val="00740679"/>
    <w:rsid w:val="007406FF"/>
    <w:rsid w:val="00740D53"/>
    <w:rsid w:val="00740F70"/>
    <w:rsid w:val="00741182"/>
    <w:rsid w:val="00741598"/>
    <w:rsid w:val="0074249F"/>
    <w:rsid w:val="007427EB"/>
    <w:rsid w:val="00742FB8"/>
    <w:rsid w:val="0074504D"/>
    <w:rsid w:val="007454FC"/>
    <w:rsid w:val="00745675"/>
    <w:rsid w:val="00745964"/>
    <w:rsid w:val="00745ECB"/>
    <w:rsid w:val="0074713E"/>
    <w:rsid w:val="007479C1"/>
    <w:rsid w:val="00747E0B"/>
    <w:rsid w:val="00747FBD"/>
    <w:rsid w:val="00750E16"/>
    <w:rsid w:val="00750F32"/>
    <w:rsid w:val="00750FD2"/>
    <w:rsid w:val="00751117"/>
    <w:rsid w:val="00751182"/>
    <w:rsid w:val="00752153"/>
    <w:rsid w:val="0075369A"/>
    <w:rsid w:val="00753D3C"/>
    <w:rsid w:val="007543A1"/>
    <w:rsid w:val="007544D7"/>
    <w:rsid w:val="00754D51"/>
    <w:rsid w:val="0075527B"/>
    <w:rsid w:val="00757550"/>
    <w:rsid w:val="007601E8"/>
    <w:rsid w:val="00761566"/>
    <w:rsid w:val="00761D28"/>
    <w:rsid w:val="007625D5"/>
    <w:rsid w:val="00763219"/>
    <w:rsid w:val="00763A8F"/>
    <w:rsid w:val="007651DC"/>
    <w:rsid w:val="00765B07"/>
    <w:rsid w:val="00765B8C"/>
    <w:rsid w:val="00765C56"/>
    <w:rsid w:val="0076677A"/>
    <w:rsid w:val="00766957"/>
    <w:rsid w:val="00767DA2"/>
    <w:rsid w:val="00770101"/>
    <w:rsid w:val="00770A73"/>
    <w:rsid w:val="007717C3"/>
    <w:rsid w:val="00771D04"/>
    <w:rsid w:val="00772637"/>
    <w:rsid w:val="00772AB2"/>
    <w:rsid w:val="007749D1"/>
    <w:rsid w:val="00775A58"/>
    <w:rsid w:val="00775A5C"/>
    <w:rsid w:val="007762DD"/>
    <w:rsid w:val="00776813"/>
    <w:rsid w:val="00776849"/>
    <w:rsid w:val="00776BB3"/>
    <w:rsid w:val="00777A4C"/>
    <w:rsid w:val="007809FB"/>
    <w:rsid w:val="00781D0F"/>
    <w:rsid w:val="007826A5"/>
    <w:rsid w:val="0078355D"/>
    <w:rsid w:val="00783EE3"/>
    <w:rsid w:val="007856B9"/>
    <w:rsid w:val="00785B44"/>
    <w:rsid w:val="00785FA8"/>
    <w:rsid w:val="007866F9"/>
    <w:rsid w:val="00786A6B"/>
    <w:rsid w:val="00786D61"/>
    <w:rsid w:val="00787781"/>
    <w:rsid w:val="00790088"/>
    <w:rsid w:val="00790297"/>
    <w:rsid w:val="00791258"/>
    <w:rsid w:val="00793B30"/>
    <w:rsid w:val="007946EB"/>
    <w:rsid w:val="00794FCF"/>
    <w:rsid w:val="0079534B"/>
    <w:rsid w:val="007955B2"/>
    <w:rsid w:val="007973CC"/>
    <w:rsid w:val="007A09BF"/>
    <w:rsid w:val="007A145A"/>
    <w:rsid w:val="007A1B35"/>
    <w:rsid w:val="007A2300"/>
    <w:rsid w:val="007A28F6"/>
    <w:rsid w:val="007A395E"/>
    <w:rsid w:val="007A4223"/>
    <w:rsid w:val="007A4CFE"/>
    <w:rsid w:val="007A534C"/>
    <w:rsid w:val="007A5B78"/>
    <w:rsid w:val="007A631C"/>
    <w:rsid w:val="007B010B"/>
    <w:rsid w:val="007B0817"/>
    <w:rsid w:val="007B0D93"/>
    <w:rsid w:val="007B0F53"/>
    <w:rsid w:val="007B1208"/>
    <w:rsid w:val="007B18F9"/>
    <w:rsid w:val="007B1BDC"/>
    <w:rsid w:val="007B1D32"/>
    <w:rsid w:val="007B25A0"/>
    <w:rsid w:val="007B37E8"/>
    <w:rsid w:val="007B485B"/>
    <w:rsid w:val="007B4916"/>
    <w:rsid w:val="007B4A48"/>
    <w:rsid w:val="007B5650"/>
    <w:rsid w:val="007B575D"/>
    <w:rsid w:val="007B61DF"/>
    <w:rsid w:val="007B6208"/>
    <w:rsid w:val="007B68EC"/>
    <w:rsid w:val="007B7CF7"/>
    <w:rsid w:val="007C002E"/>
    <w:rsid w:val="007C042A"/>
    <w:rsid w:val="007C0B65"/>
    <w:rsid w:val="007C23E8"/>
    <w:rsid w:val="007C2A51"/>
    <w:rsid w:val="007C2F3D"/>
    <w:rsid w:val="007C60AF"/>
    <w:rsid w:val="007C690F"/>
    <w:rsid w:val="007C6AB1"/>
    <w:rsid w:val="007C6C44"/>
    <w:rsid w:val="007C7086"/>
    <w:rsid w:val="007C721A"/>
    <w:rsid w:val="007C7494"/>
    <w:rsid w:val="007C7741"/>
    <w:rsid w:val="007C7908"/>
    <w:rsid w:val="007C7A06"/>
    <w:rsid w:val="007D03AC"/>
    <w:rsid w:val="007D1446"/>
    <w:rsid w:val="007D3E98"/>
    <w:rsid w:val="007D4D81"/>
    <w:rsid w:val="007D55E1"/>
    <w:rsid w:val="007D68B2"/>
    <w:rsid w:val="007D6F5E"/>
    <w:rsid w:val="007D7255"/>
    <w:rsid w:val="007D7A45"/>
    <w:rsid w:val="007E1758"/>
    <w:rsid w:val="007E1CFA"/>
    <w:rsid w:val="007E207C"/>
    <w:rsid w:val="007E224E"/>
    <w:rsid w:val="007E3273"/>
    <w:rsid w:val="007E4EDD"/>
    <w:rsid w:val="007E4F58"/>
    <w:rsid w:val="007E5085"/>
    <w:rsid w:val="007E5D3F"/>
    <w:rsid w:val="007E6939"/>
    <w:rsid w:val="007E7649"/>
    <w:rsid w:val="007E7D78"/>
    <w:rsid w:val="007F028F"/>
    <w:rsid w:val="007F0484"/>
    <w:rsid w:val="007F0B9F"/>
    <w:rsid w:val="007F1D4B"/>
    <w:rsid w:val="007F1E08"/>
    <w:rsid w:val="007F20A0"/>
    <w:rsid w:val="007F20AE"/>
    <w:rsid w:val="007F214F"/>
    <w:rsid w:val="007F2C31"/>
    <w:rsid w:val="007F3AF3"/>
    <w:rsid w:val="007F3FF9"/>
    <w:rsid w:val="007F4154"/>
    <w:rsid w:val="007F444C"/>
    <w:rsid w:val="007F5518"/>
    <w:rsid w:val="007F5544"/>
    <w:rsid w:val="007F6582"/>
    <w:rsid w:val="007F6ACF"/>
    <w:rsid w:val="007F7472"/>
    <w:rsid w:val="0080036A"/>
    <w:rsid w:val="00800ABE"/>
    <w:rsid w:val="008019CD"/>
    <w:rsid w:val="00801A4A"/>
    <w:rsid w:val="00801D8C"/>
    <w:rsid w:val="00804968"/>
    <w:rsid w:val="008049F3"/>
    <w:rsid w:val="00806A5F"/>
    <w:rsid w:val="00807130"/>
    <w:rsid w:val="00807356"/>
    <w:rsid w:val="00807CD7"/>
    <w:rsid w:val="00807F10"/>
    <w:rsid w:val="00807FDB"/>
    <w:rsid w:val="008100CE"/>
    <w:rsid w:val="00810261"/>
    <w:rsid w:val="00810753"/>
    <w:rsid w:val="0081119A"/>
    <w:rsid w:val="00811330"/>
    <w:rsid w:val="0081137E"/>
    <w:rsid w:val="00811B76"/>
    <w:rsid w:val="008125CC"/>
    <w:rsid w:val="00812A74"/>
    <w:rsid w:val="00812D21"/>
    <w:rsid w:val="008132DE"/>
    <w:rsid w:val="008139FC"/>
    <w:rsid w:val="008214FF"/>
    <w:rsid w:val="00821EFF"/>
    <w:rsid w:val="00822A6B"/>
    <w:rsid w:val="00823188"/>
    <w:rsid w:val="00824194"/>
    <w:rsid w:val="00824284"/>
    <w:rsid w:val="0082482B"/>
    <w:rsid w:val="00825373"/>
    <w:rsid w:val="00825380"/>
    <w:rsid w:val="008258E9"/>
    <w:rsid w:val="00826805"/>
    <w:rsid w:val="00827424"/>
    <w:rsid w:val="0082759E"/>
    <w:rsid w:val="00830366"/>
    <w:rsid w:val="00830A37"/>
    <w:rsid w:val="00831DFA"/>
    <w:rsid w:val="008325D5"/>
    <w:rsid w:val="008339A6"/>
    <w:rsid w:val="00834B6F"/>
    <w:rsid w:val="00835676"/>
    <w:rsid w:val="00835B09"/>
    <w:rsid w:val="00836628"/>
    <w:rsid w:val="0083673B"/>
    <w:rsid w:val="00837B5C"/>
    <w:rsid w:val="00840766"/>
    <w:rsid w:val="00840BD1"/>
    <w:rsid w:val="00842D95"/>
    <w:rsid w:val="00843FC3"/>
    <w:rsid w:val="00844AA2"/>
    <w:rsid w:val="00845B75"/>
    <w:rsid w:val="008476FC"/>
    <w:rsid w:val="00850179"/>
    <w:rsid w:val="00850DE7"/>
    <w:rsid w:val="00850FEF"/>
    <w:rsid w:val="00851BB7"/>
    <w:rsid w:val="00852CA3"/>
    <w:rsid w:val="00853476"/>
    <w:rsid w:val="00853766"/>
    <w:rsid w:val="00854E1B"/>
    <w:rsid w:val="00854EC0"/>
    <w:rsid w:val="00855116"/>
    <w:rsid w:val="00855ABB"/>
    <w:rsid w:val="0085722E"/>
    <w:rsid w:val="00860933"/>
    <w:rsid w:val="00861510"/>
    <w:rsid w:val="00861D16"/>
    <w:rsid w:val="00861DB4"/>
    <w:rsid w:val="008637CF"/>
    <w:rsid w:val="00863C39"/>
    <w:rsid w:val="00865F12"/>
    <w:rsid w:val="00866327"/>
    <w:rsid w:val="0086668E"/>
    <w:rsid w:val="00867519"/>
    <w:rsid w:val="008675F0"/>
    <w:rsid w:val="00867A35"/>
    <w:rsid w:val="008714F6"/>
    <w:rsid w:val="0087270C"/>
    <w:rsid w:val="00872B01"/>
    <w:rsid w:val="00872CC3"/>
    <w:rsid w:val="00873A61"/>
    <w:rsid w:val="00873A82"/>
    <w:rsid w:val="00873BAD"/>
    <w:rsid w:val="00874061"/>
    <w:rsid w:val="00874170"/>
    <w:rsid w:val="008741A8"/>
    <w:rsid w:val="00875A68"/>
    <w:rsid w:val="00875FB8"/>
    <w:rsid w:val="008761FA"/>
    <w:rsid w:val="00876502"/>
    <w:rsid w:val="008769B9"/>
    <w:rsid w:val="00876B42"/>
    <w:rsid w:val="00877B6F"/>
    <w:rsid w:val="00880598"/>
    <w:rsid w:val="00880978"/>
    <w:rsid w:val="008812E7"/>
    <w:rsid w:val="0088214A"/>
    <w:rsid w:val="008828D0"/>
    <w:rsid w:val="008829C0"/>
    <w:rsid w:val="00882BA3"/>
    <w:rsid w:val="00884ED9"/>
    <w:rsid w:val="0088507A"/>
    <w:rsid w:val="00886369"/>
    <w:rsid w:val="00886812"/>
    <w:rsid w:val="00891536"/>
    <w:rsid w:val="008928FF"/>
    <w:rsid w:val="00892A95"/>
    <w:rsid w:val="0089345F"/>
    <w:rsid w:val="00893BF5"/>
    <w:rsid w:val="0089470B"/>
    <w:rsid w:val="00894C59"/>
    <w:rsid w:val="00894D25"/>
    <w:rsid w:val="008956E0"/>
    <w:rsid w:val="00895B47"/>
    <w:rsid w:val="008968D8"/>
    <w:rsid w:val="0089744D"/>
    <w:rsid w:val="008A0D01"/>
    <w:rsid w:val="008A1462"/>
    <w:rsid w:val="008A1584"/>
    <w:rsid w:val="008A160C"/>
    <w:rsid w:val="008A16DF"/>
    <w:rsid w:val="008A1D1E"/>
    <w:rsid w:val="008A25CD"/>
    <w:rsid w:val="008A2CF7"/>
    <w:rsid w:val="008A33D8"/>
    <w:rsid w:val="008A3482"/>
    <w:rsid w:val="008A395E"/>
    <w:rsid w:val="008A3ABA"/>
    <w:rsid w:val="008A41F5"/>
    <w:rsid w:val="008A54D9"/>
    <w:rsid w:val="008A6160"/>
    <w:rsid w:val="008A6470"/>
    <w:rsid w:val="008B021C"/>
    <w:rsid w:val="008B138B"/>
    <w:rsid w:val="008B14C6"/>
    <w:rsid w:val="008B1C31"/>
    <w:rsid w:val="008B255A"/>
    <w:rsid w:val="008B6385"/>
    <w:rsid w:val="008B787F"/>
    <w:rsid w:val="008B7CB1"/>
    <w:rsid w:val="008B7F51"/>
    <w:rsid w:val="008C01A5"/>
    <w:rsid w:val="008C01AA"/>
    <w:rsid w:val="008C08A4"/>
    <w:rsid w:val="008C1605"/>
    <w:rsid w:val="008C1B6F"/>
    <w:rsid w:val="008C25FC"/>
    <w:rsid w:val="008C2EBB"/>
    <w:rsid w:val="008C3638"/>
    <w:rsid w:val="008C44A1"/>
    <w:rsid w:val="008C467C"/>
    <w:rsid w:val="008C4F30"/>
    <w:rsid w:val="008C508C"/>
    <w:rsid w:val="008C5628"/>
    <w:rsid w:val="008C6423"/>
    <w:rsid w:val="008C6A8F"/>
    <w:rsid w:val="008C6D46"/>
    <w:rsid w:val="008C7184"/>
    <w:rsid w:val="008C76BF"/>
    <w:rsid w:val="008D0D7A"/>
    <w:rsid w:val="008D0F8A"/>
    <w:rsid w:val="008D137B"/>
    <w:rsid w:val="008D2088"/>
    <w:rsid w:val="008D21CD"/>
    <w:rsid w:val="008D2DAF"/>
    <w:rsid w:val="008D3733"/>
    <w:rsid w:val="008D395B"/>
    <w:rsid w:val="008D3ECE"/>
    <w:rsid w:val="008D4C90"/>
    <w:rsid w:val="008D5F1F"/>
    <w:rsid w:val="008D62C9"/>
    <w:rsid w:val="008D6F28"/>
    <w:rsid w:val="008D77B4"/>
    <w:rsid w:val="008D7AA3"/>
    <w:rsid w:val="008E03AB"/>
    <w:rsid w:val="008E14BF"/>
    <w:rsid w:val="008E16D8"/>
    <w:rsid w:val="008E1833"/>
    <w:rsid w:val="008E1AAB"/>
    <w:rsid w:val="008E21BA"/>
    <w:rsid w:val="008E2D92"/>
    <w:rsid w:val="008E3A0A"/>
    <w:rsid w:val="008E3A9A"/>
    <w:rsid w:val="008E3CF3"/>
    <w:rsid w:val="008E48BB"/>
    <w:rsid w:val="008E48C0"/>
    <w:rsid w:val="008E5690"/>
    <w:rsid w:val="008E631C"/>
    <w:rsid w:val="008E6889"/>
    <w:rsid w:val="008E6E29"/>
    <w:rsid w:val="008F0165"/>
    <w:rsid w:val="008F1169"/>
    <w:rsid w:val="008F119A"/>
    <w:rsid w:val="008F2AE0"/>
    <w:rsid w:val="008F308B"/>
    <w:rsid w:val="008F385A"/>
    <w:rsid w:val="008F5130"/>
    <w:rsid w:val="008F5CBC"/>
    <w:rsid w:val="008F5F92"/>
    <w:rsid w:val="008F68C2"/>
    <w:rsid w:val="008F7B62"/>
    <w:rsid w:val="00900BC1"/>
    <w:rsid w:val="00900EBE"/>
    <w:rsid w:val="009025EF"/>
    <w:rsid w:val="009029C2"/>
    <w:rsid w:val="00902ACD"/>
    <w:rsid w:val="009037AD"/>
    <w:rsid w:val="00904746"/>
    <w:rsid w:val="00905341"/>
    <w:rsid w:val="00906371"/>
    <w:rsid w:val="00907C84"/>
    <w:rsid w:val="00910C8C"/>
    <w:rsid w:val="00910EA7"/>
    <w:rsid w:val="00911671"/>
    <w:rsid w:val="00911C7E"/>
    <w:rsid w:val="00914DB6"/>
    <w:rsid w:val="00914DF4"/>
    <w:rsid w:val="00915BB6"/>
    <w:rsid w:val="00917F0A"/>
    <w:rsid w:val="009215F2"/>
    <w:rsid w:val="00922DD6"/>
    <w:rsid w:val="00923971"/>
    <w:rsid w:val="00924057"/>
    <w:rsid w:val="009253C0"/>
    <w:rsid w:val="00926CD4"/>
    <w:rsid w:val="00927116"/>
    <w:rsid w:val="00927551"/>
    <w:rsid w:val="009279BE"/>
    <w:rsid w:val="00930254"/>
    <w:rsid w:val="009307CD"/>
    <w:rsid w:val="00930E55"/>
    <w:rsid w:val="00931F92"/>
    <w:rsid w:val="00932EEF"/>
    <w:rsid w:val="009339AC"/>
    <w:rsid w:val="00933FC8"/>
    <w:rsid w:val="00934B87"/>
    <w:rsid w:val="009352C0"/>
    <w:rsid w:val="009358CD"/>
    <w:rsid w:val="00937223"/>
    <w:rsid w:val="00940137"/>
    <w:rsid w:val="00940AE7"/>
    <w:rsid w:val="00941EBC"/>
    <w:rsid w:val="009423A5"/>
    <w:rsid w:val="009426EC"/>
    <w:rsid w:val="00943392"/>
    <w:rsid w:val="0094355C"/>
    <w:rsid w:val="00943BBC"/>
    <w:rsid w:val="00945B60"/>
    <w:rsid w:val="00945B86"/>
    <w:rsid w:val="00946077"/>
    <w:rsid w:val="0094693B"/>
    <w:rsid w:val="00946AD1"/>
    <w:rsid w:val="009473F1"/>
    <w:rsid w:val="00947586"/>
    <w:rsid w:val="00947B4F"/>
    <w:rsid w:val="009506B8"/>
    <w:rsid w:val="00950CCE"/>
    <w:rsid w:val="00950F72"/>
    <w:rsid w:val="00952227"/>
    <w:rsid w:val="0095262D"/>
    <w:rsid w:val="00953016"/>
    <w:rsid w:val="0095345B"/>
    <w:rsid w:val="0095422E"/>
    <w:rsid w:val="00956076"/>
    <w:rsid w:val="009566D1"/>
    <w:rsid w:val="00956CCA"/>
    <w:rsid w:val="00957EFC"/>
    <w:rsid w:val="009601ED"/>
    <w:rsid w:val="00960211"/>
    <w:rsid w:val="009605EF"/>
    <w:rsid w:val="0096143B"/>
    <w:rsid w:val="009614EA"/>
    <w:rsid w:val="00961643"/>
    <w:rsid w:val="00962C41"/>
    <w:rsid w:val="009631BF"/>
    <w:rsid w:val="009634E3"/>
    <w:rsid w:val="00963A5F"/>
    <w:rsid w:val="00964051"/>
    <w:rsid w:val="00964584"/>
    <w:rsid w:val="00964897"/>
    <w:rsid w:val="00965294"/>
    <w:rsid w:val="009673D8"/>
    <w:rsid w:val="00967589"/>
    <w:rsid w:val="00970AC1"/>
    <w:rsid w:val="00970FFA"/>
    <w:rsid w:val="00971E06"/>
    <w:rsid w:val="00972F94"/>
    <w:rsid w:val="00973477"/>
    <w:rsid w:val="009737BE"/>
    <w:rsid w:val="00973A39"/>
    <w:rsid w:val="009749AB"/>
    <w:rsid w:val="009752B4"/>
    <w:rsid w:val="00977DF4"/>
    <w:rsid w:val="009802EF"/>
    <w:rsid w:val="00980413"/>
    <w:rsid w:val="00981875"/>
    <w:rsid w:val="00982355"/>
    <w:rsid w:val="00982D16"/>
    <w:rsid w:val="00982DAC"/>
    <w:rsid w:val="0098330F"/>
    <w:rsid w:val="00983631"/>
    <w:rsid w:val="009843C5"/>
    <w:rsid w:val="00984BFC"/>
    <w:rsid w:val="00984E9E"/>
    <w:rsid w:val="0098651B"/>
    <w:rsid w:val="00986604"/>
    <w:rsid w:val="00986AE9"/>
    <w:rsid w:val="00986CAD"/>
    <w:rsid w:val="0098711C"/>
    <w:rsid w:val="009874DF"/>
    <w:rsid w:val="00987C2B"/>
    <w:rsid w:val="009911FC"/>
    <w:rsid w:val="00991CE6"/>
    <w:rsid w:val="00991EEF"/>
    <w:rsid w:val="009921E8"/>
    <w:rsid w:val="009927F4"/>
    <w:rsid w:val="00992DD9"/>
    <w:rsid w:val="00994242"/>
    <w:rsid w:val="009949BD"/>
    <w:rsid w:val="009955EF"/>
    <w:rsid w:val="009956D3"/>
    <w:rsid w:val="009957DD"/>
    <w:rsid w:val="00995CB5"/>
    <w:rsid w:val="00995F8A"/>
    <w:rsid w:val="009969D5"/>
    <w:rsid w:val="00997944"/>
    <w:rsid w:val="00997DAF"/>
    <w:rsid w:val="009A0535"/>
    <w:rsid w:val="009A0A1F"/>
    <w:rsid w:val="009A1BF8"/>
    <w:rsid w:val="009A232F"/>
    <w:rsid w:val="009A257B"/>
    <w:rsid w:val="009A35D5"/>
    <w:rsid w:val="009A3EB6"/>
    <w:rsid w:val="009A5141"/>
    <w:rsid w:val="009A5A66"/>
    <w:rsid w:val="009A5B1D"/>
    <w:rsid w:val="009A5BD0"/>
    <w:rsid w:val="009A5E77"/>
    <w:rsid w:val="009A66AA"/>
    <w:rsid w:val="009A677E"/>
    <w:rsid w:val="009A6852"/>
    <w:rsid w:val="009A7AA8"/>
    <w:rsid w:val="009A7F8F"/>
    <w:rsid w:val="009B0192"/>
    <w:rsid w:val="009B27D1"/>
    <w:rsid w:val="009B383B"/>
    <w:rsid w:val="009B39E3"/>
    <w:rsid w:val="009B49C4"/>
    <w:rsid w:val="009B4A35"/>
    <w:rsid w:val="009B4B9E"/>
    <w:rsid w:val="009B52B6"/>
    <w:rsid w:val="009B5987"/>
    <w:rsid w:val="009B6150"/>
    <w:rsid w:val="009B6AEC"/>
    <w:rsid w:val="009B713E"/>
    <w:rsid w:val="009B76EA"/>
    <w:rsid w:val="009B7744"/>
    <w:rsid w:val="009B786D"/>
    <w:rsid w:val="009B78FD"/>
    <w:rsid w:val="009B7B65"/>
    <w:rsid w:val="009B7F79"/>
    <w:rsid w:val="009C03B6"/>
    <w:rsid w:val="009C057F"/>
    <w:rsid w:val="009C0820"/>
    <w:rsid w:val="009C0889"/>
    <w:rsid w:val="009C0993"/>
    <w:rsid w:val="009C1042"/>
    <w:rsid w:val="009C1415"/>
    <w:rsid w:val="009C3D5C"/>
    <w:rsid w:val="009C3E44"/>
    <w:rsid w:val="009C3F39"/>
    <w:rsid w:val="009C4922"/>
    <w:rsid w:val="009C5950"/>
    <w:rsid w:val="009C6FF1"/>
    <w:rsid w:val="009C6FF4"/>
    <w:rsid w:val="009C7A39"/>
    <w:rsid w:val="009C7BE1"/>
    <w:rsid w:val="009C7C20"/>
    <w:rsid w:val="009D0C1B"/>
    <w:rsid w:val="009D0C77"/>
    <w:rsid w:val="009D0E1E"/>
    <w:rsid w:val="009D24E4"/>
    <w:rsid w:val="009D2AD7"/>
    <w:rsid w:val="009D3251"/>
    <w:rsid w:val="009D4415"/>
    <w:rsid w:val="009D45C8"/>
    <w:rsid w:val="009D4604"/>
    <w:rsid w:val="009D5069"/>
    <w:rsid w:val="009D5BF7"/>
    <w:rsid w:val="009D7247"/>
    <w:rsid w:val="009D7B08"/>
    <w:rsid w:val="009D7EF2"/>
    <w:rsid w:val="009E01F4"/>
    <w:rsid w:val="009E1452"/>
    <w:rsid w:val="009E19A7"/>
    <w:rsid w:val="009E1C4F"/>
    <w:rsid w:val="009E2624"/>
    <w:rsid w:val="009E26F6"/>
    <w:rsid w:val="009E3397"/>
    <w:rsid w:val="009E3B90"/>
    <w:rsid w:val="009E4913"/>
    <w:rsid w:val="009E601F"/>
    <w:rsid w:val="009E6126"/>
    <w:rsid w:val="009E73AD"/>
    <w:rsid w:val="009E7443"/>
    <w:rsid w:val="009E783F"/>
    <w:rsid w:val="009E7F1E"/>
    <w:rsid w:val="009F10E5"/>
    <w:rsid w:val="009F11E6"/>
    <w:rsid w:val="009F2A02"/>
    <w:rsid w:val="009F2B2E"/>
    <w:rsid w:val="009F3B2A"/>
    <w:rsid w:val="009F3C1B"/>
    <w:rsid w:val="009F3C58"/>
    <w:rsid w:val="009F47FD"/>
    <w:rsid w:val="009F562E"/>
    <w:rsid w:val="009F6C30"/>
    <w:rsid w:val="00A0195D"/>
    <w:rsid w:val="00A01CEF"/>
    <w:rsid w:val="00A01DB5"/>
    <w:rsid w:val="00A0341A"/>
    <w:rsid w:val="00A03FD8"/>
    <w:rsid w:val="00A0544C"/>
    <w:rsid w:val="00A055C4"/>
    <w:rsid w:val="00A06EF7"/>
    <w:rsid w:val="00A07087"/>
    <w:rsid w:val="00A079C5"/>
    <w:rsid w:val="00A10664"/>
    <w:rsid w:val="00A10904"/>
    <w:rsid w:val="00A11154"/>
    <w:rsid w:val="00A11E29"/>
    <w:rsid w:val="00A120C5"/>
    <w:rsid w:val="00A1226D"/>
    <w:rsid w:val="00A1236B"/>
    <w:rsid w:val="00A128B4"/>
    <w:rsid w:val="00A12DB6"/>
    <w:rsid w:val="00A14ED6"/>
    <w:rsid w:val="00A152D0"/>
    <w:rsid w:val="00A15DFA"/>
    <w:rsid w:val="00A16150"/>
    <w:rsid w:val="00A16AE8"/>
    <w:rsid w:val="00A20881"/>
    <w:rsid w:val="00A20DCC"/>
    <w:rsid w:val="00A2151A"/>
    <w:rsid w:val="00A21A96"/>
    <w:rsid w:val="00A21E25"/>
    <w:rsid w:val="00A2233D"/>
    <w:rsid w:val="00A22709"/>
    <w:rsid w:val="00A2285F"/>
    <w:rsid w:val="00A25158"/>
    <w:rsid w:val="00A26501"/>
    <w:rsid w:val="00A26532"/>
    <w:rsid w:val="00A27A1B"/>
    <w:rsid w:val="00A27E67"/>
    <w:rsid w:val="00A301B9"/>
    <w:rsid w:val="00A3026B"/>
    <w:rsid w:val="00A314C3"/>
    <w:rsid w:val="00A31567"/>
    <w:rsid w:val="00A3174C"/>
    <w:rsid w:val="00A31C67"/>
    <w:rsid w:val="00A31D6D"/>
    <w:rsid w:val="00A33A8D"/>
    <w:rsid w:val="00A353CC"/>
    <w:rsid w:val="00A353E8"/>
    <w:rsid w:val="00A35DAF"/>
    <w:rsid w:val="00A36C84"/>
    <w:rsid w:val="00A37084"/>
    <w:rsid w:val="00A377FB"/>
    <w:rsid w:val="00A403C9"/>
    <w:rsid w:val="00A403F3"/>
    <w:rsid w:val="00A405C5"/>
    <w:rsid w:val="00A409C9"/>
    <w:rsid w:val="00A40E57"/>
    <w:rsid w:val="00A4291B"/>
    <w:rsid w:val="00A4317D"/>
    <w:rsid w:val="00A43507"/>
    <w:rsid w:val="00A43F3C"/>
    <w:rsid w:val="00A440AE"/>
    <w:rsid w:val="00A441DF"/>
    <w:rsid w:val="00A45559"/>
    <w:rsid w:val="00A45A33"/>
    <w:rsid w:val="00A4625E"/>
    <w:rsid w:val="00A466D5"/>
    <w:rsid w:val="00A46C86"/>
    <w:rsid w:val="00A478D3"/>
    <w:rsid w:val="00A505E0"/>
    <w:rsid w:val="00A52CA8"/>
    <w:rsid w:val="00A5385B"/>
    <w:rsid w:val="00A539A9"/>
    <w:rsid w:val="00A558AC"/>
    <w:rsid w:val="00A602B7"/>
    <w:rsid w:val="00A607C4"/>
    <w:rsid w:val="00A62460"/>
    <w:rsid w:val="00A624CF"/>
    <w:rsid w:val="00A62ED9"/>
    <w:rsid w:val="00A6387A"/>
    <w:rsid w:val="00A639DA"/>
    <w:rsid w:val="00A63B72"/>
    <w:rsid w:val="00A64231"/>
    <w:rsid w:val="00A646DA"/>
    <w:rsid w:val="00A64D82"/>
    <w:rsid w:val="00A6504B"/>
    <w:rsid w:val="00A66117"/>
    <w:rsid w:val="00A6649E"/>
    <w:rsid w:val="00A66D80"/>
    <w:rsid w:val="00A673C2"/>
    <w:rsid w:val="00A679C1"/>
    <w:rsid w:val="00A70758"/>
    <w:rsid w:val="00A70CA3"/>
    <w:rsid w:val="00A710FB"/>
    <w:rsid w:val="00A71330"/>
    <w:rsid w:val="00A71C6E"/>
    <w:rsid w:val="00A72D92"/>
    <w:rsid w:val="00A73132"/>
    <w:rsid w:val="00A73358"/>
    <w:rsid w:val="00A73DEB"/>
    <w:rsid w:val="00A74878"/>
    <w:rsid w:val="00A74E53"/>
    <w:rsid w:val="00A7689E"/>
    <w:rsid w:val="00A7747F"/>
    <w:rsid w:val="00A803D5"/>
    <w:rsid w:val="00A818F8"/>
    <w:rsid w:val="00A82C61"/>
    <w:rsid w:val="00A8314B"/>
    <w:rsid w:val="00A83D60"/>
    <w:rsid w:val="00A840F9"/>
    <w:rsid w:val="00A84884"/>
    <w:rsid w:val="00A84CD0"/>
    <w:rsid w:val="00A84FE7"/>
    <w:rsid w:val="00A8681A"/>
    <w:rsid w:val="00A86F3B"/>
    <w:rsid w:val="00A87143"/>
    <w:rsid w:val="00A8756B"/>
    <w:rsid w:val="00A87C6D"/>
    <w:rsid w:val="00A90173"/>
    <w:rsid w:val="00A90392"/>
    <w:rsid w:val="00A919F6"/>
    <w:rsid w:val="00A928BF"/>
    <w:rsid w:val="00A93218"/>
    <w:rsid w:val="00A94668"/>
    <w:rsid w:val="00A94F75"/>
    <w:rsid w:val="00A9593F"/>
    <w:rsid w:val="00A959E6"/>
    <w:rsid w:val="00A96BF0"/>
    <w:rsid w:val="00A97BD2"/>
    <w:rsid w:val="00AA01F5"/>
    <w:rsid w:val="00AA1AAF"/>
    <w:rsid w:val="00AA1B03"/>
    <w:rsid w:val="00AA3FC5"/>
    <w:rsid w:val="00AA43D6"/>
    <w:rsid w:val="00AA44B5"/>
    <w:rsid w:val="00AA6AB4"/>
    <w:rsid w:val="00AA7100"/>
    <w:rsid w:val="00AA78EC"/>
    <w:rsid w:val="00AB109E"/>
    <w:rsid w:val="00AB1693"/>
    <w:rsid w:val="00AB1918"/>
    <w:rsid w:val="00AB1F04"/>
    <w:rsid w:val="00AB39B7"/>
    <w:rsid w:val="00AB3AC1"/>
    <w:rsid w:val="00AB4943"/>
    <w:rsid w:val="00AB4C14"/>
    <w:rsid w:val="00AB4CED"/>
    <w:rsid w:val="00AB7121"/>
    <w:rsid w:val="00AB76BE"/>
    <w:rsid w:val="00AB7C3B"/>
    <w:rsid w:val="00AB7C7D"/>
    <w:rsid w:val="00AC0286"/>
    <w:rsid w:val="00AC0BA3"/>
    <w:rsid w:val="00AC1D78"/>
    <w:rsid w:val="00AC28D3"/>
    <w:rsid w:val="00AC293B"/>
    <w:rsid w:val="00AC4BD1"/>
    <w:rsid w:val="00AC69B0"/>
    <w:rsid w:val="00AC6C40"/>
    <w:rsid w:val="00AD063F"/>
    <w:rsid w:val="00AD155A"/>
    <w:rsid w:val="00AD174E"/>
    <w:rsid w:val="00AD190D"/>
    <w:rsid w:val="00AD1F2B"/>
    <w:rsid w:val="00AD2B46"/>
    <w:rsid w:val="00AD376D"/>
    <w:rsid w:val="00AD397D"/>
    <w:rsid w:val="00AD3D20"/>
    <w:rsid w:val="00AD414E"/>
    <w:rsid w:val="00AD43E3"/>
    <w:rsid w:val="00AD528C"/>
    <w:rsid w:val="00AD5468"/>
    <w:rsid w:val="00AD57AB"/>
    <w:rsid w:val="00AD5AB4"/>
    <w:rsid w:val="00AD65A2"/>
    <w:rsid w:val="00AD6A81"/>
    <w:rsid w:val="00AD6ACE"/>
    <w:rsid w:val="00AD6EAD"/>
    <w:rsid w:val="00AD7915"/>
    <w:rsid w:val="00AD7CDB"/>
    <w:rsid w:val="00AE0256"/>
    <w:rsid w:val="00AE0695"/>
    <w:rsid w:val="00AE08B4"/>
    <w:rsid w:val="00AE0C30"/>
    <w:rsid w:val="00AE1A34"/>
    <w:rsid w:val="00AE1C02"/>
    <w:rsid w:val="00AE1F38"/>
    <w:rsid w:val="00AE3014"/>
    <w:rsid w:val="00AE31C7"/>
    <w:rsid w:val="00AE32C4"/>
    <w:rsid w:val="00AE33CF"/>
    <w:rsid w:val="00AE3EC8"/>
    <w:rsid w:val="00AE5076"/>
    <w:rsid w:val="00AE5E56"/>
    <w:rsid w:val="00AE6325"/>
    <w:rsid w:val="00AE642E"/>
    <w:rsid w:val="00AE6947"/>
    <w:rsid w:val="00AF09D6"/>
    <w:rsid w:val="00AF243C"/>
    <w:rsid w:val="00AF349A"/>
    <w:rsid w:val="00AF45B7"/>
    <w:rsid w:val="00AF484C"/>
    <w:rsid w:val="00AF5DE2"/>
    <w:rsid w:val="00AF62C3"/>
    <w:rsid w:val="00AF7E0E"/>
    <w:rsid w:val="00B001B6"/>
    <w:rsid w:val="00B00715"/>
    <w:rsid w:val="00B00A06"/>
    <w:rsid w:val="00B0144C"/>
    <w:rsid w:val="00B019A6"/>
    <w:rsid w:val="00B026D1"/>
    <w:rsid w:val="00B02B10"/>
    <w:rsid w:val="00B03512"/>
    <w:rsid w:val="00B0431E"/>
    <w:rsid w:val="00B04482"/>
    <w:rsid w:val="00B04584"/>
    <w:rsid w:val="00B05870"/>
    <w:rsid w:val="00B05CFC"/>
    <w:rsid w:val="00B06F8F"/>
    <w:rsid w:val="00B07DC5"/>
    <w:rsid w:val="00B121C4"/>
    <w:rsid w:val="00B12EE7"/>
    <w:rsid w:val="00B1426B"/>
    <w:rsid w:val="00B150D0"/>
    <w:rsid w:val="00B16021"/>
    <w:rsid w:val="00B2097D"/>
    <w:rsid w:val="00B20D80"/>
    <w:rsid w:val="00B216E2"/>
    <w:rsid w:val="00B21DF1"/>
    <w:rsid w:val="00B2309B"/>
    <w:rsid w:val="00B2338A"/>
    <w:rsid w:val="00B235EE"/>
    <w:rsid w:val="00B2374C"/>
    <w:rsid w:val="00B23E20"/>
    <w:rsid w:val="00B245BD"/>
    <w:rsid w:val="00B24BF6"/>
    <w:rsid w:val="00B251EB"/>
    <w:rsid w:val="00B259A2"/>
    <w:rsid w:val="00B25A1A"/>
    <w:rsid w:val="00B262A6"/>
    <w:rsid w:val="00B264C5"/>
    <w:rsid w:val="00B269CA"/>
    <w:rsid w:val="00B26DD0"/>
    <w:rsid w:val="00B27B14"/>
    <w:rsid w:val="00B30C93"/>
    <w:rsid w:val="00B31696"/>
    <w:rsid w:val="00B32BF1"/>
    <w:rsid w:val="00B336C6"/>
    <w:rsid w:val="00B33D35"/>
    <w:rsid w:val="00B34236"/>
    <w:rsid w:val="00B348C5"/>
    <w:rsid w:val="00B34971"/>
    <w:rsid w:val="00B356A4"/>
    <w:rsid w:val="00B3583A"/>
    <w:rsid w:val="00B360B7"/>
    <w:rsid w:val="00B363A0"/>
    <w:rsid w:val="00B36622"/>
    <w:rsid w:val="00B36D31"/>
    <w:rsid w:val="00B37A49"/>
    <w:rsid w:val="00B37F63"/>
    <w:rsid w:val="00B414DD"/>
    <w:rsid w:val="00B41A42"/>
    <w:rsid w:val="00B43788"/>
    <w:rsid w:val="00B43A8A"/>
    <w:rsid w:val="00B4556D"/>
    <w:rsid w:val="00B472F4"/>
    <w:rsid w:val="00B47A85"/>
    <w:rsid w:val="00B50930"/>
    <w:rsid w:val="00B51CC4"/>
    <w:rsid w:val="00B51D63"/>
    <w:rsid w:val="00B52C96"/>
    <w:rsid w:val="00B5744A"/>
    <w:rsid w:val="00B57D40"/>
    <w:rsid w:val="00B57E73"/>
    <w:rsid w:val="00B57ED5"/>
    <w:rsid w:val="00B6094D"/>
    <w:rsid w:val="00B609AB"/>
    <w:rsid w:val="00B609E2"/>
    <w:rsid w:val="00B60FE4"/>
    <w:rsid w:val="00B6128D"/>
    <w:rsid w:val="00B614A3"/>
    <w:rsid w:val="00B619B4"/>
    <w:rsid w:val="00B6240A"/>
    <w:rsid w:val="00B626D9"/>
    <w:rsid w:val="00B63872"/>
    <w:rsid w:val="00B65537"/>
    <w:rsid w:val="00B656DA"/>
    <w:rsid w:val="00B671FC"/>
    <w:rsid w:val="00B677DF"/>
    <w:rsid w:val="00B67B93"/>
    <w:rsid w:val="00B70B2B"/>
    <w:rsid w:val="00B70EC7"/>
    <w:rsid w:val="00B7138F"/>
    <w:rsid w:val="00B71622"/>
    <w:rsid w:val="00B71817"/>
    <w:rsid w:val="00B7190C"/>
    <w:rsid w:val="00B7287E"/>
    <w:rsid w:val="00B732BB"/>
    <w:rsid w:val="00B733D6"/>
    <w:rsid w:val="00B73D8C"/>
    <w:rsid w:val="00B74B47"/>
    <w:rsid w:val="00B74C1A"/>
    <w:rsid w:val="00B750FC"/>
    <w:rsid w:val="00B75612"/>
    <w:rsid w:val="00B758D9"/>
    <w:rsid w:val="00B75D63"/>
    <w:rsid w:val="00B76030"/>
    <w:rsid w:val="00B76527"/>
    <w:rsid w:val="00B7681A"/>
    <w:rsid w:val="00B801CD"/>
    <w:rsid w:val="00B80D7F"/>
    <w:rsid w:val="00B80E99"/>
    <w:rsid w:val="00B8179F"/>
    <w:rsid w:val="00B83ABE"/>
    <w:rsid w:val="00B83CF5"/>
    <w:rsid w:val="00B848B9"/>
    <w:rsid w:val="00B85850"/>
    <w:rsid w:val="00B8616A"/>
    <w:rsid w:val="00B864E2"/>
    <w:rsid w:val="00B87237"/>
    <w:rsid w:val="00B87353"/>
    <w:rsid w:val="00B87846"/>
    <w:rsid w:val="00B90059"/>
    <w:rsid w:val="00B90E56"/>
    <w:rsid w:val="00B92022"/>
    <w:rsid w:val="00B92216"/>
    <w:rsid w:val="00B92678"/>
    <w:rsid w:val="00B92EF8"/>
    <w:rsid w:val="00B96B12"/>
    <w:rsid w:val="00BA0DC0"/>
    <w:rsid w:val="00BA17B2"/>
    <w:rsid w:val="00BA2953"/>
    <w:rsid w:val="00BA2D3A"/>
    <w:rsid w:val="00BA35A6"/>
    <w:rsid w:val="00BA44E8"/>
    <w:rsid w:val="00BA6100"/>
    <w:rsid w:val="00BA6669"/>
    <w:rsid w:val="00BA6753"/>
    <w:rsid w:val="00BA67F7"/>
    <w:rsid w:val="00BA6E99"/>
    <w:rsid w:val="00BB0416"/>
    <w:rsid w:val="00BB05FF"/>
    <w:rsid w:val="00BB0740"/>
    <w:rsid w:val="00BB0CF2"/>
    <w:rsid w:val="00BB15B3"/>
    <w:rsid w:val="00BB168E"/>
    <w:rsid w:val="00BB308E"/>
    <w:rsid w:val="00BB3382"/>
    <w:rsid w:val="00BB3DD7"/>
    <w:rsid w:val="00BB4CC3"/>
    <w:rsid w:val="00BB5996"/>
    <w:rsid w:val="00BB5D72"/>
    <w:rsid w:val="00BB6303"/>
    <w:rsid w:val="00BB6BC9"/>
    <w:rsid w:val="00BB70B9"/>
    <w:rsid w:val="00BB7601"/>
    <w:rsid w:val="00BB76CB"/>
    <w:rsid w:val="00BB7C0F"/>
    <w:rsid w:val="00BC104B"/>
    <w:rsid w:val="00BC133F"/>
    <w:rsid w:val="00BC151B"/>
    <w:rsid w:val="00BC1FB2"/>
    <w:rsid w:val="00BC2221"/>
    <w:rsid w:val="00BC23F6"/>
    <w:rsid w:val="00BC2497"/>
    <w:rsid w:val="00BC2575"/>
    <w:rsid w:val="00BC2B09"/>
    <w:rsid w:val="00BC2C61"/>
    <w:rsid w:val="00BC3FC8"/>
    <w:rsid w:val="00BC4122"/>
    <w:rsid w:val="00BC4263"/>
    <w:rsid w:val="00BC4FCA"/>
    <w:rsid w:val="00BC5BF0"/>
    <w:rsid w:val="00BC63FD"/>
    <w:rsid w:val="00BC6A12"/>
    <w:rsid w:val="00BD02F4"/>
    <w:rsid w:val="00BD0D1D"/>
    <w:rsid w:val="00BD1947"/>
    <w:rsid w:val="00BD1B4A"/>
    <w:rsid w:val="00BD1D7C"/>
    <w:rsid w:val="00BD26C7"/>
    <w:rsid w:val="00BD31E4"/>
    <w:rsid w:val="00BD345D"/>
    <w:rsid w:val="00BD4A91"/>
    <w:rsid w:val="00BD669E"/>
    <w:rsid w:val="00BD6FA0"/>
    <w:rsid w:val="00BD71E1"/>
    <w:rsid w:val="00BE002F"/>
    <w:rsid w:val="00BE0C60"/>
    <w:rsid w:val="00BE0FCD"/>
    <w:rsid w:val="00BE1036"/>
    <w:rsid w:val="00BE14BD"/>
    <w:rsid w:val="00BE15F0"/>
    <w:rsid w:val="00BE1706"/>
    <w:rsid w:val="00BE2235"/>
    <w:rsid w:val="00BE424B"/>
    <w:rsid w:val="00BE5181"/>
    <w:rsid w:val="00BE5BAC"/>
    <w:rsid w:val="00BE640D"/>
    <w:rsid w:val="00BE64F2"/>
    <w:rsid w:val="00BE67FE"/>
    <w:rsid w:val="00BE6BE1"/>
    <w:rsid w:val="00BE6D37"/>
    <w:rsid w:val="00BE74F3"/>
    <w:rsid w:val="00BE75F2"/>
    <w:rsid w:val="00BE7C27"/>
    <w:rsid w:val="00BE7C34"/>
    <w:rsid w:val="00BE7EC1"/>
    <w:rsid w:val="00BF0503"/>
    <w:rsid w:val="00BF0EFC"/>
    <w:rsid w:val="00BF1D7B"/>
    <w:rsid w:val="00BF1E6E"/>
    <w:rsid w:val="00BF1E9B"/>
    <w:rsid w:val="00BF327D"/>
    <w:rsid w:val="00BF38C3"/>
    <w:rsid w:val="00BF3EE0"/>
    <w:rsid w:val="00BF4BE9"/>
    <w:rsid w:val="00BF4C47"/>
    <w:rsid w:val="00BF5695"/>
    <w:rsid w:val="00BF58BB"/>
    <w:rsid w:val="00BF5C07"/>
    <w:rsid w:val="00BF7C39"/>
    <w:rsid w:val="00BF7D51"/>
    <w:rsid w:val="00BF7DC3"/>
    <w:rsid w:val="00C00131"/>
    <w:rsid w:val="00C00CA7"/>
    <w:rsid w:val="00C01173"/>
    <w:rsid w:val="00C015F7"/>
    <w:rsid w:val="00C0257C"/>
    <w:rsid w:val="00C02BAD"/>
    <w:rsid w:val="00C0341B"/>
    <w:rsid w:val="00C03427"/>
    <w:rsid w:val="00C03500"/>
    <w:rsid w:val="00C04C1E"/>
    <w:rsid w:val="00C053E3"/>
    <w:rsid w:val="00C056B5"/>
    <w:rsid w:val="00C071FF"/>
    <w:rsid w:val="00C07998"/>
    <w:rsid w:val="00C10F4D"/>
    <w:rsid w:val="00C11530"/>
    <w:rsid w:val="00C11902"/>
    <w:rsid w:val="00C11BCC"/>
    <w:rsid w:val="00C12108"/>
    <w:rsid w:val="00C13F95"/>
    <w:rsid w:val="00C1455E"/>
    <w:rsid w:val="00C1460C"/>
    <w:rsid w:val="00C148D9"/>
    <w:rsid w:val="00C14C97"/>
    <w:rsid w:val="00C15D0A"/>
    <w:rsid w:val="00C16E9F"/>
    <w:rsid w:val="00C17115"/>
    <w:rsid w:val="00C172DF"/>
    <w:rsid w:val="00C20487"/>
    <w:rsid w:val="00C20A3E"/>
    <w:rsid w:val="00C218F9"/>
    <w:rsid w:val="00C21B87"/>
    <w:rsid w:val="00C2205C"/>
    <w:rsid w:val="00C230E1"/>
    <w:rsid w:val="00C247A9"/>
    <w:rsid w:val="00C247BD"/>
    <w:rsid w:val="00C26EC8"/>
    <w:rsid w:val="00C270EC"/>
    <w:rsid w:val="00C274B9"/>
    <w:rsid w:val="00C30373"/>
    <w:rsid w:val="00C3130C"/>
    <w:rsid w:val="00C314A2"/>
    <w:rsid w:val="00C33260"/>
    <w:rsid w:val="00C333F6"/>
    <w:rsid w:val="00C341D5"/>
    <w:rsid w:val="00C3464F"/>
    <w:rsid w:val="00C34C09"/>
    <w:rsid w:val="00C34F0D"/>
    <w:rsid w:val="00C36727"/>
    <w:rsid w:val="00C36EDD"/>
    <w:rsid w:val="00C36EE3"/>
    <w:rsid w:val="00C4094C"/>
    <w:rsid w:val="00C410BC"/>
    <w:rsid w:val="00C42B8A"/>
    <w:rsid w:val="00C42C6B"/>
    <w:rsid w:val="00C43828"/>
    <w:rsid w:val="00C44E1A"/>
    <w:rsid w:val="00C45449"/>
    <w:rsid w:val="00C456CE"/>
    <w:rsid w:val="00C45C10"/>
    <w:rsid w:val="00C466E6"/>
    <w:rsid w:val="00C46C1C"/>
    <w:rsid w:val="00C46C9D"/>
    <w:rsid w:val="00C4753A"/>
    <w:rsid w:val="00C50531"/>
    <w:rsid w:val="00C50BDB"/>
    <w:rsid w:val="00C5160E"/>
    <w:rsid w:val="00C52E95"/>
    <w:rsid w:val="00C534DB"/>
    <w:rsid w:val="00C54D53"/>
    <w:rsid w:val="00C56066"/>
    <w:rsid w:val="00C56BF5"/>
    <w:rsid w:val="00C5756A"/>
    <w:rsid w:val="00C6147A"/>
    <w:rsid w:val="00C615FA"/>
    <w:rsid w:val="00C61BDC"/>
    <w:rsid w:val="00C62E09"/>
    <w:rsid w:val="00C6358E"/>
    <w:rsid w:val="00C649EF"/>
    <w:rsid w:val="00C665F4"/>
    <w:rsid w:val="00C66794"/>
    <w:rsid w:val="00C673A7"/>
    <w:rsid w:val="00C6787C"/>
    <w:rsid w:val="00C67C77"/>
    <w:rsid w:val="00C72AC9"/>
    <w:rsid w:val="00C735D1"/>
    <w:rsid w:val="00C73748"/>
    <w:rsid w:val="00C7379F"/>
    <w:rsid w:val="00C7390D"/>
    <w:rsid w:val="00C7429D"/>
    <w:rsid w:val="00C74547"/>
    <w:rsid w:val="00C74927"/>
    <w:rsid w:val="00C74ACB"/>
    <w:rsid w:val="00C74AF3"/>
    <w:rsid w:val="00C75931"/>
    <w:rsid w:val="00C75FB5"/>
    <w:rsid w:val="00C8062B"/>
    <w:rsid w:val="00C80A2E"/>
    <w:rsid w:val="00C81269"/>
    <w:rsid w:val="00C813C6"/>
    <w:rsid w:val="00C81426"/>
    <w:rsid w:val="00C8195A"/>
    <w:rsid w:val="00C8302A"/>
    <w:rsid w:val="00C83351"/>
    <w:rsid w:val="00C8437D"/>
    <w:rsid w:val="00C84C03"/>
    <w:rsid w:val="00C855BB"/>
    <w:rsid w:val="00C872D7"/>
    <w:rsid w:val="00C903E7"/>
    <w:rsid w:val="00C905C3"/>
    <w:rsid w:val="00C90BAE"/>
    <w:rsid w:val="00C911B5"/>
    <w:rsid w:val="00C91CEA"/>
    <w:rsid w:val="00C9208D"/>
    <w:rsid w:val="00C92C74"/>
    <w:rsid w:val="00C92D5E"/>
    <w:rsid w:val="00C93F44"/>
    <w:rsid w:val="00C94005"/>
    <w:rsid w:val="00C94A96"/>
    <w:rsid w:val="00C94F80"/>
    <w:rsid w:val="00C95384"/>
    <w:rsid w:val="00C95BD4"/>
    <w:rsid w:val="00C95ED1"/>
    <w:rsid w:val="00C971CB"/>
    <w:rsid w:val="00C9720C"/>
    <w:rsid w:val="00C977AB"/>
    <w:rsid w:val="00C97B6D"/>
    <w:rsid w:val="00CA1149"/>
    <w:rsid w:val="00CA1E03"/>
    <w:rsid w:val="00CA1FA9"/>
    <w:rsid w:val="00CA26BB"/>
    <w:rsid w:val="00CA2E3C"/>
    <w:rsid w:val="00CA2EED"/>
    <w:rsid w:val="00CA33B3"/>
    <w:rsid w:val="00CA3E66"/>
    <w:rsid w:val="00CA4459"/>
    <w:rsid w:val="00CA51FE"/>
    <w:rsid w:val="00CA572A"/>
    <w:rsid w:val="00CA66EB"/>
    <w:rsid w:val="00CA6876"/>
    <w:rsid w:val="00CA699C"/>
    <w:rsid w:val="00CA6BE3"/>
    <w:rsid w:val="00CA71D1"/>
    <w:rsid w:val="00CA7EB8"/>
    <w:rsid w:val="00CB040B"/>
    <w:rsid w:val="00CB1A5D"/>
    <w:rsid w:val="00CB1F58"/>
    <w:rsid w:val="00CB3380"/>
    <w:rsid w:val="00CB41BB"/>
    <w:rsid w:val="00CB4762"/>
    <w:rsid w:val="00CB4EE1"/>
    <w:rsid w:val="00CB50A9"/>
    <w:rsid w:val="00CB52DF"/>
    <w:rsid w:val="00CB5763"/>
    <w:rsid w:val="00CB578F"/>
    <w:rsid w:val="00CB5884"/>
    <w:rsid w:val="00CB687C"/>
    <w:rsid w:val="00CB6BDE"/>
    <w:rsid w:val="00CC05DE"/>
    <w:rsid w:val="00CC0A53"/>
    <w:rsid w:val="00CC0C43"/>
    <w:rsid w:val="00CC14A1"/>
    <w:rsid w:val="00CC1B80"/>
    <w:rsid w:val="00CC1E16"/>
    <w:rsid w:val="00CC2149"/>
    <w:rsid w:val="00CC2C64"/>
    <w:rsid w:val="00CC3805"/>
    <w:rsid w:val="00CC392E"/>
    <w:rsid w:val="00CC57A3"/>
    <w:rsid w:val="00CC588A"/>
    <w:rsid w:val="00CC671C"/>
    <w:rsid w:val="00CC6B6C"/>
    <w:rsid w:val="00CC6ECF"/>
    <w:rsid w:val="00CD05B6"/>
    <w:rsid w:val="00CD0A02"/>
    <w:rsid w:val="00CD19A0"/>
    <w:rsid w:val="00CD2922"/>
    <w:rsid w:val="00CD2935"/>
    <w:rsid w:val="00CD31D1"/>
    <w:rsid w:val="00CD354A"/>
    <w:rsid w:val="00CD3A8A"/>
    <w:rsid w:val="00CD44EC"/>
    <w:rsid w:val="00CD44F8"/>
    <w:rsid w:val="00CD48A3"/>
    <w:rsid w:val="00CD5DE1"/>
    <w:rsid w:val="00CD5F75"/>
    <w:rsid w:val="00CD600F"/>
    <w:rsid w:val="00CD6514"/>
    <w:rsid w:val="00CD6ACF"/>
    <w:rsid w:val="00CD74CE"/>
    <w:rsid w:val="00CD7837"/>
    <w:rsid w:val="00CE03D5"/>
    <w:rsid w:val="00CE03FF"/>
    <w:rsid w:val="00CE0A87"/>
    <w:rsid w:val="00CE0EC9"/>
    <w:rsid w:val="00CE0F9C"/>
    <w:rsid w:val="00CE15D0"/>
    <w:rsid w:val="00CE16AE"/>
    <w:rsid w:val="00CE18FC"/>
    <w:rsid w:val="00CE203B"/>
    <w:rsid w:val="00CE2069"/>
    <w:rsid w:val="00CE2314"/>
    <w:rsid w:val="00CE2DEB"/>
    <w:rsid w:val="00CE2EB6"/>
    <w:rsid w:val="00CE3024"/>
    <w:rsid w:val="00CE3463"/>
    <w:rsid w:val="00CE463D"/>
    <w:rsid w:val="00CE4C21"/>
    <w:rsid w:val="00CE4FE5"/>
    <w:rsid w:val="00CE5081"/>
    <w:rsid w:val="00CE5860"/>
    <w:rsid w:val="00CE5C96"/>
    <w:rsid w:val="00CE6014"/>
    <w:rsid w:val="00CE666F"/>
    <w:rsid w:val="00CE6C0D"/>
    <w:rsid w:val="00CE7164"/>
    <w:rsid w:val="00CE73AD"/>
    <w:rsid w:val="00CE7536"/>
    <w:rsid w:val="00CF008F"/>
    <w:rsid w:val="00CF0DDC"/>
    <w:rsid w:val="00CF20CE"/>
    <w:rsid w:val="00CF247E"/>
    <w:rsid w:val="00CF326C"/>
    <w:rsid w:val="00CF3505"/>
    <w:rsid w:val="00CF3780"/>
    <w:rsid w:val="00CF37CE"/>
    <w:rsid w:val="00CF3811"/>
    <w:rsid w:val="00CF3A76"/>
    <w:rsid w:val="00CF4296"/>
    <w:rsid w:val="00CF42D3"/>
    <w:rsid w:val="00CF4F39"/>
    <w:rsid w:val="00CF54D9"/>
    <w:rsid w:val="00CF5599"/>
    <w:rsid w:val="00CF678F"/>
    <w:rsid w:val="00CF77D7"/>
    <w:rsid w:val="00CF77F3"/>
    <w:rsid w:val="00D001EB"/>
    <w:rsid w:val="00D00247"/>
    <w:rsid w:val="00D00AF2"/>
    <w:rsid w:val="00D00B24"/>
    <w:rsid w:val="00D00BAE"/>
    <w:rsid w:val="00D02082"/>
    <w:rsid w:val="00D021E6"/>
    <w:rsid w:val="00D022AF"/>
    <w:rsid w:val="00D02672"/>
    <w:rsid w:val="00D028FD"/>
    <w:rsid w:val="00D02C8F"/>
    <w:rsid w:val="00D030CA"/>
    <w:rsid w:val="00D033A2"/>
    <w:rsid w:val="00D0358F"/>
    <w:rsid w:val="00D0482D"/>
    <w:rsid w:val="00D048ED"/>
    <w:rsid w:val="00D04A1D"/>
    <w:rsid w:val="00D04A6A"/>
    <w:rsid w:val="00D04E9C"/>
    <w:rsid w:val="00D04F0E"/>
    <w:rsid w:val="00D05880"/>
    <w:rsid w:val="00D05A95"/>
    <w:rsid w:val="00D05BE0"/>
    <w:rsid w:val="00D0629E"/>
    <w:rsid w:val="00D06309"/>
    <w:rsid w:val="00D07274"/>
    <w:rsid w:val="00D07340"/>
    <w:rsid w:val="00D07565"/>
    <w:rsid w:val="00D07AB8"/>
    <w:rsid w:val="00D07D50"/>
    <w:rsid w:val="00D10292"/>
    <w:rsid w:val="00D10DF5"/>
    <w:rsid w:val="00D1117B"/>
    <w:rsid w:val="00D12020"/>
    <w:rsid w:val="00D12576"/>
    <w:rsid w:val="00D129E2"/>
    <w:rsid w:val="00D134B9"/>
    <w:rsid w:val="00D1492D"/>
    <w:rsid w:val="00D149AB"/>
    <w:rsid w:val="00D14B9F"/>
    <w:rsid w:val="00D14F9A"/>
    <w:rsid w:val="00D1639B"/>
    <w:rsid w:val="00D163D7"/>
    <w:rsid w:val="00D169D2"/>
    <w:rsid w:val="00D17006"/>
    <w:rsid w:val="00D1791C"/>
    <w:rsid w:val="00D17E54"/>
    <w:rsid w:val="00D20225"/>
    <w:rsid w:val="00D21068"/>
    <w:rsid w:val="00D214DE"/>
    <w:rsid w:val="00D21544"/>
    <w:rsid w:val="00D21654"/>
    <w:rsid w:val="00D218BE"/>
    <w:rsid w:val="00D22781"/>
    <w:rsid w:val="00D231AA"/>
    <w:rsid w:val="00D24810"/>
    <w:rsid w:val="00D24E7A"/>
    <w:rsid w:val="00D2508E"/>
    <w:rsid w:val="00D259ED"/>
    <w:rsid w:val="00D25A09"/>
    <w:rsid w:val="00D25E1B"/>
    <w:rsid w:val="00D27A5F"/>
    <w:rsid w:val="00D303ED"/>
    <w:rsid w:val="00D3075B"/>
    <w:rsid w:val="00D315E0"/>
    <w:rsid w:val="00D32CDD"/>
    <w:rsid w:val="00D32E15"/>
    <w:rsid w:val="00D33C63"/>
    <w:rsid w:val="00D33D63"/>
    <w:rsid w:val="00D34531"/>
    <w:rsid w:val="00D357BE"/>
    <w:rsid w:val="00D36C55"/>
    <w:rsid w:val="00D37101"/>
    <w:rsid w:val="00D37D9C"/>
    <w:rsid w:val="00D40FB4"/>
    <w:rsid w:val="00D4107D"/>
    <w:rsid w:val="00D422BE"/>
    <w:rsid w:val="00D425B3"/>
    <w:rsid w:val="00D43049"/>
    <w:rsid w:val="00D43067"/>
    <w:rsid w:val="00D4327D"/>
    <w:rsid w:val="00D43351"/>
    <w:rsid w:val="00D43915"/>
    <w:rsid w:val="00D43C17"/>
    <w:rsid w:val="00D44170"/>
    <w:rsid w:val="00D44B94"/>
    <w:rsid w:val="00D45052"/>
    <w:rsid w:val="00D454A7"/>
    <w:rsid w:val="00D460F6"/>
    <w:rsid w:val="00D4620B"/>
    <w:rsid w:val="00D46CF5"/>
    <w:rsid w:val="00D46E3C"/>
    <w:rsid w:val="00D502B9"/>
    <w:rsid w:val="00D50DB5"/>
    <w:rsid w:val="00D516F8"/>
    <w:rsid w:val="00D51E53"/>
    <w:rsid w:val="00D522E7"/>
    <w:rsid w:val="00D5248F"/>
    <w:rsid w:val="00D53404"/>
    <w:rsid w:val="00D535EA"/>
    <w:rsid w:val="00D537A9"/>
    <w:rsid w:val="00D54419"/>
    <w:rsid w:val="00D5515A"/>
    <w:rsid w:val="00D5579A"/>
    <w:rsid w:val="00D55A4D"/>
    <w:rsid w:val="00D60D2B"/>
    <w:rsid w:val="00D61229"/>
    <w:rsid w:val="00D61417"/>
    <w:rsid w:val="00D63439"/>
    <w:rsid w:val="00D63E7D"/>
    <w:rsid w:val="00D64A34"/>
    <w:rsid w:val="00D64EEB"/>
    <w:rsid w:val="00D65B8A"/>
    <w:rsid w:val="00D65DC7"/>
    <w:rsid w:val="00D65F47"/>
    <w:rsid w:val="00D6628F"/>
    <w:rsid w:val="00D66353"/>
    <w:rsid w:val="00D6643C"/>
    <w:rsid w:val="00D666CB"/>
    <w:rsid w:val="00D66D48"/>
    <w:rsid w:val="00D6754C"/>
    <w:rsid w:val="00D7010B"/>
    <w:rsid w:val="00D70D40"/>
    <w:rsid w:val="00D71540"/>
    <w:rsid w:val="00D71954"/>
    <w:rsid w:val="00D71B0D"/>
    <w:rsid w:val="00D71FB2"/>
    <w:rsid w:val="00D7278F"/>
    <w:rsid w:val="00D72EE9"/>
    <w:rsid w:val="00D72FEC"/>
    <w:rsid w:val="00D736E0"/>
    <w:rsid w:val="00D757DB"/>
    <w:rsid w:val="00D764A4"/>
    <w:rsid w:val="00D76B7F"/>
    <w:rsid w:val="00D76E5F"/>
    <w:rsid w:val="00D77846"/>
    <w:rsid w:val="00D77A67"/>
    <w:rsid w:val="00D77E23"/>
    <w:rsid w:val="00D81E17"/>
    <w:rsid w:val="00D82006"/>
    <w:rsid w:val="00D8208D"/>
    <w:rsid w:val="00D8230F"/>
    <w:rsid w:val="00D83CA5"/>
    <w:rsid w:val="00D83F80"/>
    <w:rsid w:val="00D85569"/>
    <w:rsid w:val="00D855CE"/>
    <w:rsid w:val="00D856E4"/>
    <w:rsid w:val="00D85BB9"/>
    <w:rsid w:val="00D85ECD"/>
    <w:rsid w:val="00D875B1"/>
    <w:rsid w:val="00D90100"/>
    <w:rsid w:val="00D90221"/>
    <w:rsid w:val="00D906EC"/>
    <w:rsid w:val="00D908A6"/>
    <w:rsid w:val="00D91E38"/>
    <w:rsid w:val="00D9221C"/>
    <w:rsid w:val="00D92829"/>
    <w:rsid w:val="00D93274"/>
    <w:rsid w:val="00D939BE"/>
    <w:rsid w:val="00D94779"/>
    <w:rsid w:val="00D94D75"/>
    <w:rsid w:val="00D95BF7"/>
    <w:rsid w:val="00D96B68"/>
    <w:rsid w:val="00D96BD7"/>
    <w:rsid w:val="00D97F43"/>
    <w:rsid w:val="00DA092D"/>
    <w:rsid w:val="00DA1776"/>
    <w:rsid w:val="00DA196D"/>
    <w:rsid w:val="00DA1C6A"/>
    <w:rsid w:val="00DA3259"/>
    <w:rsid w:val="00DA4027"/>
    <w:rsid w:val="00DA5264"/>
    <w:rsid w:val="00DA5501"/>
    <w:rsid w:val="00DA55A2"/>
    <w:rsid w:val="00DA63BE"/>
    <w:rsid w:val="00DA72D6"/>
    <w:rsid w:val="00DB273A"/>
    <w:rsid w:val="00DB29C5"/>
    <w:rsid w:val="00DB2E07"/>
    <w:rsid w:val="00DB2EB1"/>
    <w:rsid w:val="00DB419F"/>
    <w:rsid w:val="00DB548D"/>
    <w:rsid w:val="00DB56E4"/>
    <w:rsid w:val="00DB7AEB"/>
    <w:rsid w:val="00DB7B71"/>
    <w:rsid w:val="00DC1793"/>
    <w:rsid w:val="00DC235F"/>
    <w:rsid w:val="00DC34F3"/>
    <w:rsid w:val="00DC36DC"/>
    <w:rsid w:val="00DC3DB5"/>
    <w:rsid w:val="00DC483C"/>
    <w:rsid w:val="00DC5B99"/>
    <w:rsid w:val="00DC6B98"/>
    <w:rsid w:val="00DC74A4"/>
    <w:rsid w:val="00DC74AD"/>
    <w:rsid w:val="00DC751D"/>
    <w:rsid w:val="00DD0251"/>
    <w:rsid w:val="00DD0507"/>
    <w:rsid w:val="00DD0B35"/>
    <w:rsid w:val="00DD219C"/>
    <w:rsid w:val="00DD29A5"/>
    <w:rsid w:val="00DD2B43"/>
    <w:rsid w:val="00DD3C5A"/>
    <w:rsid w:val="00DD4186"/>
    <w:rsid w:val="00DD4349"/>
    <w:rsid w:val="00DD536E"/>
    <w:rsid w:val="00DD53BF"/>
    <w:rsid w:val="00DD7400"/>
    <w:rsid w:val="00DD752E"/>
    <w:rsid w:val="00DD75CB"/>
    <w:rsid w:val="00DE09DD"/>
    <w:rsid w:val="00DE1C99"/>
    <w:rsid w:val="00DE1EA7"/>
    <w:rsid w:val="00DE1ED6"/>
    <w:rsid w:val="00DE2156"/>
    <w:rsid w:val="00DE225F"/>
    <w:rsid w:val="00DE30F9"/>
    <w:rsid w:val="00DE3383"/>
    <w:rsid w:val="00DE366D"/>
    <w:rsid w:val="00DE4672"/>
    <w:rsid w:val="00DE5465"/>
    <w:rsid w:val="00DE75B7"/>
    <w:rsid w:val="00DF098F"/>
    <w:rsid w:val="00DF10F3"/>
    <w:rsid w:val="00DF1586"/>
    <w:rsid w:val="00DF1737"/>
    <w:rsid w:val="00DF3497"/>
    <w:rsid w:val="00DF3592"/>
    <w:rsid w:val="00DF3796"/>
    <w:rsid w:val="00DF381F"/>
    <w:rsid w:val="00DF41F0"/>
    <w:rsid w:val="00DF4BD3"/>
    <w:rsid w:val="00DF53C5"/>
    <w:rsid w:val="00DF5940"/>
    <w:rsid w:val="00DF6A1B"/>
    <w:rsid w:val="00DF7437"/>
    <w:rsid w:val="00DF7B30"/>
    <w:rsid w:val="00E009C5"/>
    <w:rsid w:val="00E00D9C"/>
    <w:rsid w:val="00E00FFA"/>
    <w:rsid w:val="00E013E1"/>
    <w:rsid w:val="00E02962"/>
    <w:rsid w:val="00E04B9A"/>
    <w:rsid w:val="00E04BF8"/>
    <w:rsid w:val="00E04C54"/>
    <w:rsid w:val="00E05349"/>
    <w:rsid w:val="00E05494"/>
    <w:rsid w:val="00E05642"/>
    <w:rsid w:val="00E06056"/>
    <w:rsid w:val="00E0640E"/>
    <w:rsid w:val="00E06B17"/>
    <w:rsid w:val="00E079CB"/>
    <w:rsid w:val="00E07B91"/>
    <w:rsid w:val="00E10AAD"/>
    <w:rsid w:val="00E10ECC"/>
    <w:rsid w:val="00E113C7"/>
    <w:rsid w:val="00E11A3D"/>
    <w:rsid w:val="00E11C1D"/>
    <w:rsid w:val="00E12791"/>
    <w:rsid w:val="00E138B5"/>
    <w:rsid w:val="00E14AFC"/>
    <w:rsid w:val="00E14BB3"/>
    <w:rsid w:val="00E152C9"/>
    <w:rsid w:val="00E16588"/>
    <w:rsid w:val="00E16BE4"/>
    <w:rsid w:val="00E17378"/>
    <w:rsid w:val="00E17559"/>
    <w:rsid w:val="00E176B7"/>
    <w:rsid w:val="00E177F5"/>
    <w:rsid w:val="00E17C21"/>
    <w:rsid w:val="00E20524"/>
    <w:rsid w:val="00E206FB"/>
    <w:rsid w:val="00E21017"/>
    <w:rsid w:val="00E2150F"/>
    <w:rsid w:val="00E218BC"/>
    <w:rsid w:val="00E22852"/>
    <w:rsid w:val="00E230A2"/>
    <w:rsid w:val="00E23F30"/>
    <w:rsid w:val="00E24800"/>
    <w:rsid w:val="00E27D2A"/>
    <w:rsid w:val="00E3077A"/>
    <w:rsid w:val="00E310C2"/>
    <w:rsid w:val="00E31ADA"/>
    <w:rsid w:val="00E3274A"/>
    <w:rsid w:val="00E33811"/>
    <w:rsid w:val="00E3386C"/>
    <w:rsid w:val="00E36EFB"/>
    <w:rsid w:val="00E36FDF"/>
    <w:rsid w:val="00E37342"/>
    <w:rsid w:val="00E422CB"/>
    <w:rsid w:val="00E42E6D"/>
    <w:rsid w:val="00E436C0"/>
    <w:rsid w:val="00E43708"/>
    <w:rsid w:val="00E44631"/>
    <w:rsid w:val="00E44ABA"/>
    <w:rsid w:val="00E44B81"/>
    <w:rsid w:val="00E464A2"/>
    <w:rsid w:val="00E46836"/>
    <w:rsid w:val="00E4690B"/>
    <w:rsid w:val="00E46B46"/>
    <w:rsid w:val="00E46E9B"/>
    <w:rsid w:val="00E4709D"/>
    <w:rsid w:val="00E50728"/>
    <w:rsid w:val="00E508F0"/>
    <w:rsid w:val="00E51089"/>
    <w:rsid w:val="00E51D9C"/>
    <w:rsid w:val="00E5488E"/>
    <w:rsid w:val="00E54D67"/>
    <w:rsid w:val="00E55390"/>
    <w:rsid w:val="00E5708C"/>
    <w:rsid w:val="00E61222"/>
    <w:rsid w:val="00E61739"/>
    <w:rsid w:val="00E6262A"/>
    <w:rsid w:val="00E63610"/>
    <w:rsid w:val="00E63B5A"/>
    <w:rsid w:val="00E63F02"/>
    <w:rsid w:val="00E63F23"/>
    <w:rsid w:val="00E653D3"/>
    <w:rsid w:val="00E65497"/>
    <w:rsid w:val="00E65C98"/>
    <w:rsid w:val="00E6611E"/>
    <w:rsid w:val="00E666F2"/>
    <w:rsid w:val="00E66C42"/>
    <w:rsid w:val="00E66C53"/>
    <w:rsid w:val="00E67653"/>
    <w:rsid w:val="00E678E9"/>
    <w:rsid w:val="00E703F3"/>
    <w:rsid w:val="00E7077F"/>
    <w:rsid w:val="00E70A98"/>
    <w:rsid w:val="00E70EAE"/>
    <w:rsid w:val="00E71462"/>
    <w:rsid w:val="00E7153B"/>
    <w:rsid w:val="00E72B10"/>
    <w:rsid w:val="00E731B8"/>
    <w:rsid w:val="00E739A5"/>
    <w:rsid w:val="00E73A67"/>
    <w:rsid w:val="00E73B78"/>
    <w:rsid w:val="00E75217"/>
    <w:rsid w:val="00E753FE"/>
    <w:rsid w:val="00E7615D"/>
    <w:rsid w:val="00E76E21"/>
    <w:rsid w:val="00E77F03"/>
    <w:rsid w:val="00E80A67"/>
    <w:rsid w:val="00E810F0"/>
    <w:rsid w:val="00E81567"/>
    <w:rsid w:val="00E815DF"/>
    <w:rsid w:val="00E821C3"/>
    <w:rsid w:val="00E8408F"/>
    <w:rsid w:val="00E84370"/>
    <w:rsid w:val="00E8444B"/>
    <w:rsid w:val="00E85281"/>
    <w:rsid w:val="00E85A48"/>
    <w:rsid w:val="00E85DA5"/>
    <w:rsid w:val="00E869D4"/>
    <w:rsid w:val="00E87711"/>
    <w:rsid w:val="00E900C5"/>
    <w:rsid w:val="00E90D0B"/>
    <w:rsid w:val="00E91471"/>
    <w:rsid w:val="00E92353"/>
    <w:rsid w:val="00E925E1"/>
    <w:rsid w:val="00E92A99"/>
    <w:rsid w:val="00E932E8"/>
    <w:rsid w:val="00E9333B"/>
    <w:rsid w:val="00E93399"/>
    <w:rsid w:val="00E93A45"/>
    <w:rsid w:val="00E93F8D"/>
    <w:rsid w:val="00E9414B"/>
    <w:rsid w:val="00E959E1"/>
    <w:rsid w:val="00E95B3B"/>
    <w:rsid w:val="00E966F6"/>
    <w:rsid w:val="00E97439"/>
    <w:rsid w:val="00E9746F"/>
    <w:rsid w:val="00E9791A"/>
    <w:rsid w:val="00EA260C"/>
    <w:rsid w:val="00EA367A"/>
    <w:rsid w:val="00EA4B2F"/>
    <w:rsid w:val="00EA55FB"/>
    <w:rsid w:val="00EA5A1C"/>
    <w:rsid w:val="00EA68CA"/>
    <w:rsid w:val="00EA6A0D"/>
    <w:rsid w:val="00EA6E27"/>
    <w:rsid w:val="00EA6F80"/>
    <w:rsid w:val="00EA7D64"/>
    <w:rsid w:val="00EB062E"/>
    <w:rsid w:val="00EB094F"/>
    <w:rsid w:val="00EB0DA3"/>
    <w:rsid w:val="00EB1E54"/>
    <w:rsid w:val="00EB220C"/>
    <w:rsid w:val="00EB2A4B"/>
    <w:rsid w:val="00EB2BB3"/>
    <w:rsid w:val="00EB4087"/>
    <w:rsid w:val="00EB45CA"/>
    <w:rsid w:val="00EB5352"/>
    <w:rsid w:val="00EB61B3"/>
    <w:rsid w:val="00EB61BD"/>
    <w:rsid w:val="00EB63EB"/>
    <w:rsid w:val="00EB6C2C"/>
    <w:rsid w:val="00EB70F1"/>
    <w:rsid w:val="00EB7208"/>
    <w:rsid w:val="00EB78F2"/>
    <w:rsid w:val="00EC184E"/>
    <w:rsid w:val="00EC1E63"/>
    <w:rsid w:val="00EC3A83"/>
    <w:rsid w:val="00EC48EE"/>
    <w:rsid w:val="00EC4B02"/>
    <w:rsid w:val="00EC4E5B"/>
    <w:rsid w:val="00EC5A2C"/>
    <w:rsid w:val="00EC6750"/>
    <w:rsid w:val="00EC6819"/>
    <w:rsid w:val="00EC6BCF"/>
    <w:rsid w:val="00EC70E9"/>
    <w:rsid w:val="00EC72D5"/>
    <w:rsid w:val="00EC788D"/>
    <w:rsid w:val="00EC7A2F"/>
    <w:rsid w:val="00EC7B64"/>
    <w:rsid w:val="00EC7E0E"/>
    <w:rsid w:val="00ED30B9"/>
    <w:rsid w:val="00ED30D5"/>
    <w:rsid w:val="00ED3346"/>
    <w:rsid w:val="00ED3457"/>
    <w:rsid w:val="00ED3537"/>
    <w:rsid w:val="00ED40CF"/>
    <w:rsid w:val="00ED5ADF"/>
    <w:rsid w:val="00ED6A11"/>
    <w:rsid w:val="00ED7288"/>
    <w:rsid w:val="00ED7EF0"/>
    <w:rsid w:val="00EE0FCA"/>
    <w:rsid w:val="00EE13EF"/>
    <w:rsid w:val="00EE1C0E"/>
    <w:rsid w:val="00EE247D"/>
    <w:rsid w:val="00EE2B7B"/>
    <w:rsid w:val="00EE30B9"/>
    <w:rsid w:val="00EE33E6"/>
    <w:rsid w:val="00EE35E2"/>
    <w:rsid w:val="00EE48D9"/>
    <w:rsid w:val="00EE4B97"/>
    <w:rsid w:val="00EE5368"/>
    <w:rsid w:val="00EE53C3"/>
    <w:rsid w:val="00EE5485"/>
    <w:rsid w:val="00EE626B"/>
    <w:rsid w:val="00EE63AA"/>
    <w:rsid w:val="00EE6716"/>
    <w:rsid w:val="00EE7B71"/>
    <w:rsid w:val="00EE7C91"/>
    <w:rsid w:val="00EF096D"/>
    <w:rsid w:val="00EF0E37"/>
    <w:rsid w:val="00EF2405"/>
    <w:rsid w:val="00EF2E27"/>
    <w:rsid w:val="00EF6F36"/>
    <w:rsid w:val="00EF7D07"/>
    <w:rsid w:val="00EF7F22"/>
    <w:rsid w:val="00F001C6"/>
    <w:rsid w:val="00F00361"/>
    <w:rsid w:val="00F003D4"/>
    <w:rsid w:val="00F00624"/>
    <w:rsid w:val="00F00919"/>
    <w:rsid w:val="00F00A56"/>
    <w:rsid w:val="00F00B2F"/>
    <w:rsid w:val="00F01EC3"/>
    <w:rsid w:val="00F024A7"/>
    <w:rsid w:val="00F03061"/>
    <w:rsid w:val="00F03458"/>
    <w:rsid w:val="00F04125"/>
    <w:rsid w:val="00F048C1"/>
    <w:rsid w:val="00F0495F"/>
    <w:rsid w:val="00F05192"/>
    <w:rsid w:val="00F05A04"/>
    <w:rsid w:val="00F069DC"/>
    <w:rsid w:val="00F06E8B"/>
    <w:rsid w:val="00F074F1"/>
    <w:rsid w:val="00F1058A"/>
    <w:rsid w:val="00F10882"/>
    <w:rsid w:val="00F10CAD"/>
    <w:rsid w:val="00F11353"/>
    <w:rsid w:val="00F116D8"/>
    <w:rsid w:val="00F12093"/>
    <w:rsid w:val="00F1278C"/>
    <w:rsid w:val="00F129CD"/>
    <w:rsid w:val="00F133A0"/>
    <w:rsid w:val="00F13A87"/>
    <w:rsid w:val="00F13C41"/>
    <w:rsid w:val="00F1444F"/>
    <w:rsid w:val="00F145A6"/>
    <w:rsid w:val="00F151FE"/>
    <w:rsid w:val="00F1530E"/>
    <w:rsid w:val="00F167EA"/>
    <w:rsid w:val="00F16B5E"/>
    <w:rsid w:val="00F17759"/>
    <w:rsid w:val="00F201B3"/>
    <w:rsid w:val="00F203E1"/>
    <w:rsid w:val="00F20AD6"/>
    <w:rsid w:val="00F217A8"/>
    <w:rsid w:val="00F22086"/>
    <w:rsid w:val="00F227AF"/>
    <w:rsid w:val="00F236D3"/>
    <w:rsid w:val="00F23794"/>
    <w:rsid w:val="00F23C00"/>
    <w:rsid w:val="00F23CBB"/>
    <w:rsid w:val="00F24C5C"/>
    <w:rsid w:val="00F25794"/>
    <w:rsid w:val="00F2670C"/>
    <w:rsid w:val="00F27209"/>
    <w:rsid w:val="00F27570"/>
    <w:rsid w:val="00F30B79"/>
    <w:rsid w:val="00F30F8C"/>
    <w:rsid w:val="00F3135A"/>
    <w:rsid w:val="00F323C3"/>
    <w:rsid w:val="00F323E4"/>
    <w:rsid w:val="00F32CCD"/>
    <w:rsid w:val="00F330D6"/>
    <w:rsid w:val="00F33829"/>
    <w:rsid w:val="00F348F2"/>
    <w:rsid w:val="00F350FF"/>
    <w:rsid w:val="00F36184"/>
    <w:rsid w:val="00F36606"/>
    <w:rsid w:val="00F36BAC"/>
    <w:rsid w:val="00F36FE5"/>
    <w:rsid w:val="00F37439"/>
    <w:rsid w:val="00F375B4"/>
    <w:rsid w:val="00F37948"/>
    <w:rsid w:val="00F402F9"/>
    <w:rsid w:val="00F4065C"/>
    <w:rsid w:val="00F40E53"/>
    <w:rsid w:val="00F41626"/>
    <w:rsid w:val="00F41E19"/>
    <w:rsid w:val="00F41F2C"/>
    <w:rsid w:val="00F4335A"/>
    <w:rsid w:val="00F43F24"/>
    <w:rsid w:val="00F4407A"/>
    <w:rsid w:val="00F4413B"/>
    <w:rsid w:val="00F451B7"/>
    <w:rsid w:val="00F4567E"/>
    <w:rsid w:val="00F4638D"/>
    <w:rsid w:val="00F466A8"/>
    <w:rsid w:val="00F46BC8"/>
    <w:rsid w:val="00F47302"/>
    <w:rsid w:val="00F475AE"/>
    <w:rsid w:val="00F475E3"/>
    <w:rsid w:val="00F47B37"/>
    <w:rsid w:val="00F47D04"/>
    <w:rsid w:val="00F5009D"/>
    <w:rsid w:val="00F5028B"/>
    <w:rsid w:val="00F50D17"/>
    <w:rsid w:val="00F50F03"/>
    <w:rsid w:val="00F53505"/>
    <w:rsid w:val="00F539FE"/>
    <w:rsid w:val="00F53C13"/>
    <w:rsid w:val="00F53D37"/>
    <w:rsid w:val="00F5479C"/>
    <w:rsid w:val="00F5490B"/>
    <w:rsid w:val="00F54967"/>
    <w:rsid w:val="00F55ACD"/>
    <w:rsid w:val="00F55E73"/>
    <w:rsid w:val="00F566C8"/>
    <w:rsid w:val="00F571EB"/>
    <w:rsid w:val="00F601E0"/>
    <w:rsid w:val="00F604C1"/>
    <w:rsid w:val="00F60D08"/>
    <w:rsid w:val="00F610D7"/>
    <w:rsid w:val="00F61E70"/>
    <w:rsid w:val="00F62730"/>
    <w:rsid w:val="00F62958"/>
    <w:rsid w:val="00F629B8"/>
    <w:rsid w:val="00F6468C"/>
    <w:rsid w:val="00F65564"/>
    <w:rsid w:val="00F65F3E"/>
    <w:rsid w:val="00F6678D"/>
    <w:rsid w:val="00F66A3E"/>
    <w:rsid w:val="00F67458"/>
    <w:rsid w:val="00F67897"/>
    <w:rsid w:val="00F705AB"/>
    <w:rsid w:val="00F7068A"/>
    <w:rsid w:val="00F72176"/>
    <w:rsid w:val="00F722D5"/>
    <w:rsid w:val="00F73FAD"/>
    <w:rsid w:val="00F747DF"/>
    <w:rsid w:val="00F74EB2"/>
    <w:rsid w:val="00F7534B"/>
    <w:rsid w:val="00F753D5"/>
    <w:rsid w:val="00F75750"/>
    <w:rsid w:val="00F7576B"/>
    <w:rsid w:val="00F763EB"/>
    <w:rsid w:val="00F768D6"/>
    <w:rsid w:val="00F77182"/>
    <w:rsid w:val="00F774D0"/>
    <w:rsid w:val="00F80C55"/>
    <w:rsid w:val="00F80D4C"/>
    <w:rsid w:val="00F81350"/>
    <w:rsid w:val="00F81CEF"/>
    <w:rsid w:val="00F81E43"/>
    <w:rsid w:val="00F82B45"/>
    <w:rsid w:val="00F82B93"/>
    <w:rsid w:val="00F8359F"/>
    <w:rsid w:val="00F835CE"/>
    <w:rsid w:val="00F8380F"/>
    <w:rsid w:val="00F839F5"/>
    <w:rsid w:val="00F842E8"/>
    <w:rsid w:val="00F84C5F"/>
    <w:rsid w:val="00F852CA"/>
    <w:rsid w:val="00F856A5"/>
    <w:rsid w:val="00F85B3B"/>
    <w:rsid w:val="00F85DAF"/>
    <w:rsid w:val="00F85F29"/>
    <w:rsid w:val="00F864E5"/>
    <w:rsid w:val="00F87769"/>
    <w:rsid w:val="00F904D7"/>
    <w:rsid w:val="00F90C7F"/>
    <w:rsid w:val="00F92045"/>
    <w:rsid w:val="00F9257C"/>
    <w:rsid w:val="00F9320B"/>
    <w:rsid w:val="00F948C9"/>
    <w:rsid w:val="00F959E4"/>
    <w:rsid w:val="00F95F75"/>
    <w:rsid w:val="00F961FD"/>
    <w:rsid w:val="00F96A46"/>
    <w:rsid w:val="00F97099"/>
    <w:rsid w:val="00F97128"/>
    <w:rsid w:val="00FA0117"/>
    <w:rsid w:val="00FA0F64"/>
    <w:rsid w:val="00FA14D5"/>
    <w:rsid w:val="00FA190E"/>
    <w:rsid w:val="00FA2100"/>
    <w:rsid w:val="00FA2445"/>
    <w:rsid w:val="00FA41A5"/>
    <w:rsid w:val="00FA4D15"/>
    <w:rsid w:val="00FA4DA5"/>
    <w:rsid w:val="00FA5622"/>
    <w:rsid w:val="00FA59C7"/>
    <w:rsid w:val="00FA5EAF"/>
    <w:rsid w:val="00FA66F3"/>
    <w:rsid w:val="00FA684E"/>
    <w:rsid w:val="00FA7968"/>
    <w:rsid w:val="00FB0157"/>
    <w:rsid w:val="00FB0A8A"/>
    <w:rsid w:val="00FB1176"/>
    <w:rsid w:val="00FB1B51"/>
    <w:rsid w:val="00FB1BE0"/>
    <w:rsid w:val="00FB2024"/>
    <w:rsid w:val="00FB38D8"/>
    <w:rsid w:val="00FB3C66"/>
    <w:rsid w:val="00FB4D3A"/>
    <w:rsid w:val="00FB4DC1"/>
    <w:rsid w:val="00FB4E91"/>
    <w:rsid w:val="00FB6A33"/>
    <w:rsid w:val="00FB7335"/>
    <w:rsid w:val="00FC038A"/>
    <w:rsid w:val="00FC14AF"/>
    <w:rsid w:val="00FC1AC9"/>
    <w:rsid w:val="00FC1F57"/>
    <w:rsid w:val="00FC23AA"/>
    <w:rsid w:val="00FC30AE"/>
    <w:rsid w:val="00FC30F0"/>
    <w:rsid w:val="00FC5541"/>
    <w:rsid w:val="00FC60B0"/>
    <w:rsid w:val="00FC68A8"/>
    <w:rsid w:val="00FC6D7E"/>
    <w:rsid w:val="00FC7463"/>
    <w:rsid w:val="00FD00A3"/>
    <w:rsid w:val="00FD04FF"/>
    <w:rsid w:val="00FD0842"/>
    <w:rsid w:val="00FD0B02"/>
    <w:rsid w:val="00FD0E27"/>
    <w:rsid w:val="00FD126A"/>
    <w:rsid w:val="00FD239E"/>
    <w:rsid w:val="00FD28DC"/>
    <w:rsid w:val="00FD29E4"/>
    <w:rsid w:val="00FD3A34"/>
    <w:rsid w:val="00FD3C7F"/>
    <w:rsid w:val="00FD3EED"/>
    <w:rsid w:val="00FD795A"/>
    <w:rsid w:val="00FD7A07"/>
    <w:rsid w:val="00FD7BFA"/>
    <w:rsid w:val="00FE0D0E"/>
    <w:rsid w:val="00FE0D41"/>
    <w:rsid w:val="00FE0EC9"/>
    <w:rsid w:val="00FE14D4"/>
    <w:rsid w:val="00FE26A1"/>
    <w:rsid w:val="00FE2E96"/>
    <w:rsid w:val="00FE37B1"/>
    <w:rsid w:val="00FE4131"/>
    <w:rsid w:val="00FE44CF"/>
    <w:rsid w:val="00FE4DF2"/>
    <w:rsid w:val="00FE4E5B"/>
    <w:rsid w:val="00FE54B8"/>
    <w:rsid w:val="00FE6000"/>
    <w:rsid w:val="00FE6C6C"/>
    <w:rsid w:val="00FE7A10"/>
    <w:rsid w:val="00FF08B0"/>
    <w:rsid w:val="00FF09F5"/>
    <w:rsid w:val="00FF1F79"/>
    <w:rsid w:val="00FF357E"/>
    <w:rsid w:val="00FF51B3"/>
    <w:rsid w:val="00FF5BFD"/>
    <w:rsid w:val="00FF5E28"/>
    <w:rsid w:val="00FF61DA"/>
    <w:rsid w:val="00FF66EC"/>
    <w:rsid w:val="00FF6761"/>
    <w:rsid w:val="00FF6CC3"/>
    <w:rsid w:val="00FF6D82"/>
    <w:rsid w:val="011622EB"/>
    <w:rsid w:val="01177351"/>
    <w:rsid w:val="016102FC"/>
    <w:rsid w:val="01671BDD"/>
    <w:rsid w:val="01A3073B"/>
    <w:rsid w:val="01A87EDE"/>
    <w:rsid w:val="01C40DDD"/>
    <w:rsid w:val="01C55106"/>
    <w:rsid w:val="01C71988"/>
    <w:rsid w:val="022C24DE"/>
    <w:rsid w:val="022C686B"/>
    <w:rsid w:val="02315553"/>
    <w:rsid w:val="023B511E"/>
    <w:rsid w:val="027435A8"/>
    <w:rsid w:val="02A140C2"/>
    <w:rsid w:val="02A2084E"/>
    <w:rsid w:val="02A837C0"/>
    <w:rsid w:val="02AC4631"/>
    <w:rsid w:val="02CC3A1C"/>
    <w:rsid w:val="02D45AC0"/>
    <w:rsid w:val="02E524DF"/>
    <w:rsid w:val="03277B57"/>
    <w:rsid w:val="033E4DA4"/>
    <w:rsid w:val="034E0B68"/>
    <w:rsid w:val="036A1510"/>
    <w:rsid w:val="037203C5"/>
    <w:rsid w:val="0374413D"/>
    <w:rsid w:val="03884779"/>
    <w:rsid w:val="03934A1C"/>
    <w:rsid w:val="03A96C92"/>
    <w:rsid w:val="03D12745"/>
    <w:rsid w:val="041D7E34"/>
    <w:rsid w:val="0450222D"/>
    <w:rsid w:val="045F6B9B"/>
    <w:rsid w:val="04F07081"/>
    <w:rsid w:val="04F75551"/>
    <w:rsid w:val="050359C3"/>
    <w:rsid w:val="05061424"/>
    <w:rsid w:val="05467D5B"/>
    <w:rsid w:val="055E7195"/>
    <w:rsid w:val="055F5B92"/>
    <w:rsid w:val="057345E5"/>
    <w:rsid w:val="057A17B3"/>
    <w:rsid w:val="058A057E"/>
    <w:rsid w:val="058D440A"/>
    <w:rsid w:val="0599193D"/>
    <w:rsid w:val="05AD5543"/>
    <w:rsid w:val="06106CE3"/>
    <w:rsid w:val="064D79F0"/>
    <w:rsid w:val="06515B95"/>
    <w:rsid w:val="067B321E"/>
    <w:rsid w:val="06846D67"/>
    <w:rsid w:val="069A7404"/>
    <w:rsid w:val="069B5B92"/>
    <w:rsid w:val="069D1BFD"/>
    <w:rsid w:val="06B064FE"/>
    <w:rsid w:val="06BC3F0A"/>
    <w:rsid w:val="06C21663"/>
    <w:rsid w:val="06D70732"/>
    <w:rsid w:val="070752C8"/>
    <w:rsid w:val="070B6D54"/>
    <w:rsid w:val="070D07DE"/>
    <w:rsid w:val="07100D0C"/>
    <w:rsid w:val="07222102"/>
    <w:rsid w:val="072B545A"/>
    <w:rsid w:val="07520802"/>
    <w:rsid w:val="075D6580"/>
    <w:rsid w:val="07676D33"/>
    <w:rsid w:val="07692A3F"/>
    <w:rsid w:val="07707311"/>
    <w:rsid w:val="07710543"/>
    <w:rsid w:val="078226BE"/>
    <w:rsid w:val="07917179"/>
    <w:rsid w:val="07AB0349"/>
    <w:rsid w:val="07BC7B64"/>
    <w:rsid w:val="07CD0CE2"/>
    <w:rsid w:val="08793FA4"/>
    <w:rsid w:val="08987927"/>
    <w:rsid w:val="089B672C"/>
    <w:rsid w:val="08D9234E"/>
    <w:rsid w:val="091B4D5F"/>
    <w:rsid w:val="095045EF"/>
    <w:rsid w:val="095345E4"/>
    <w:rsid w:val="09684744"/>
    <w:rsid w:val="09A65377"/>
    <w:rsid w:val="09B16EAB"/>
    <w:rsid w:val="09EA783E"/>
    <w:rsid w:val="09EB02F3"/>
    <w:rsid w:val="09F43DED"/>
    <w:rsid w:val="0A237D1E"/>
    <w:rsid w:val="0A4C3C16"/>
    <w:rsid w:val="0A5B29EB"/>
    <w:rsid w:val="0A6F565E"/>
    <w:rsid w:val="0AB711DB"/>
    <w:rsid w:val="0AC260D6"/>
    <w:rsid w:val="0B2444DD"/>
    <w:rsid w:val="0B2C70D2"/>
    <w:rsid w:val="0B3C50E6"/>
    <w:rsid w:val="0B664CB3"/>
    <w:rsid w:val="0B945030"/>
    <w:rsid w:val="0B9C6927"/>
    <w:rsid w:val="0BA62DF0"/>
    <w:rsid w:val="0BA96A98"/>
    <w:rsid w:val="0BBA0B5B"/>
    <w:rsid w:val="0BE60FE7"/>
    <w:rsid w:val="0BEB019C"/>
    <w:rsid w:val="0BFC5617"/>
    <w:rsid w:val="0C0945D7"/>
    <w:rsid w:val="0C240810"/>
    <w:rsid w:val="0C2515DB"/>
    <w:rsid w:val="0C3D16EC"/>
    <w:rsid w:val="0C422D1F"/>
    <w:rsid w:val="0C4D322C"/>
    <w:rsid w:val="0C5F2495"/>
    <w:rsid w:val="0C62191E"/>
    <w:rsid w:val="0C6C00A7"/>
    <w:rsid w:val="0C6E3A26"/>
    <w:rsid w:val="0C70493E"/>
    <w:rsid w:val="0C73682A"/>
    <w:rsid w:val="0C8B0207"/>
    <w:rsid w:val="0C95538D"/>
    <w:rsid w:val="0CBA0DDB"/>
    <w:rsid w:val="0CBD1840"/>
    <w:rsid w:val="0CC05F5F"/>
    <w:rsid w:val="0CCA74C4"/>
    <w:rsid w:val="0CD444B9"/>
    <w:rsid w:val="0CEE0DCB"/>
    <w:rsid w:val="0CFB142B"/>
    <w:rsid w:val="0D0753D1"/>
    <w:rsid w:val="0D102DA2"/>
    <w:rsid w:val="0D196F05"/>
    <w:rsid w:val="0D2B6C84"/>
    <w:rsid w:val="0D434F46"/>
    <w:rsid w:val="0D4D00F4"/>
    <w:rsid w:val="0D510495"/>
    <w:rsid w:val="0D6C65BC"/>
    <w:rsid w:val="0D727480"/>
    <w:rsid w:val="0D8238FA"/>
    <w:rsid w:val="0DA04143"/>
    <w:rsid w:val="0DE33E91"/>
    <w:rsid w:val="0DEB5944"/>
    <w:rsid w:val="0DF742CC"/>
    <w:rsid w:val="0E016F15"/>
    <w:rsid w:val="0E122E9A"/>
    <w:rsid w:val="0E1446F8"/>
    <w:rsid w:val="0E8E2C22"/>
    <w:rsid w:val="0EB126E9"/>
    <w:rsid w:val="0EB63B7C"/>
    <w:rsid w:val="0EC05E37"/>
    <w:rsid w:val="0EDA0351"/>
    <w:rsid w:val="0EF9558F"/>
    <w:rsid w:val="0F02074E"/>
    <w:rsid w:val="0F1067BD"/>
    <w:rsid w:val="0F495725"/>
    <w:rsid w:val="0F602809"/>
    <w:rsid w:val="0F6645DB"/>
    <w:rsid w:val="0F876D0B"/>
    <w:rsid w:val="0FA638D0"/>
    <w:rsid w:val="0FB56209"/>
    <w:rsid w:val="0FB93586"/>
    <w:rsid w:val="0FC87C1B"/>
    <w:rsid w:val="0FDC5029"/>
    <w:rsid w:val="0FF3320D"/>
    <w:rsid w:val="10077662"/>
    <w:rsid w:val="10335C69"/>
    <w:rsid w:val="10A162E1"/>
    <w:rsid w:val="10DF3B7C"/>
    <w:rsid w:val="10E22999"/>
    <w:rsid w:val="10E87F18"/>
    <w:rsid w:val="10EF20C2"/>
    <w:rsid w:val="10F23CEC"/>
    <w:rsid w:val="10FA4318"/>
    <w:rsid w:val="10FD139F"/>
    <w:rsid w:val="1107781D"/>
    <w:rsid w:val="110F5425"/>
    <w:rsid w:val="11113713"/>
    <w:rsid w:val="11131439"/>
    <w:rsid w:val="11167F1A"/>
    <w:rsid w:val="11250AD7"/>
    <w:rsid w:val="115A7068"/>
    <w:rsid w:val="115B7349"/>
    <w:rsid w:val="115D14CD"/>
    <w:rsid w:val="116D18AE"/>
    <w:rsid w:val="116D6743"/>
    <w:rsid w:val="11911E2E"/>
    <w:rsid w:val="11A93C63"/>
    <w:rsid w:val="11AC70FD"/>
    <w:rsid w:val="11B60D83"/>
    <w:rsid w:val="11BD13A5"/>
    <w:rsid w:val="11EE5A02"/>
    <w:rsid w:val="120668A8"/>
    <w:rsid w:val="123A4517"/>
    <w:rsid w:val="124B3381"/>
    <w:rsid w:val="125C0900"/>
    <w:rsid w:val="128B34F8"/>
    <w:rsid w:val="128D0132"/>
    <w:rsid w:val="12A96EF4"/>
    <w:rsid w:val="12ED5DDB"/>
    <w:rsid w:val="13117BFA"/>
    <w:rsid w:val="13580A0A"/>
    <w:rsid w:val="13617BEA"/>
    <w:rsid w:val="13715546"/>
    <w:rsid w:val="13A03014"/>
    <w:rsid w:val="13A30AE8"/>
    <w:rsid w:val="13C0517C"/>
    <w:rsid w:val="13CB5FFB"/>
    <w:rsid w:val="13D02D54"/>
    <w:rsid w:val="1432607A"/>
    <w:rsid w:val="144D7C01"/>
    <w:rsid w:val="1468092E"/>
    <w:rsid w:val="14776620"/>
    <w:rsid w:val="14840F9E"/>
    <w:rsid w:val="148E0DD7"/>
    <w:rsid w:val="14902DA1"/>
    <w:rsid w:val="149E5A9B"/>
    <w:rsid w:val="14A514A2"/>
    <w:rsid w:val="14AA29F1"/>
    <w:rsid w:val="14BA5E47"/>
    <w:rsid w:val="14BB6070"/>
    <w:rsid w:val="14BF29AF"/>
    <w:rsid w:val="14C50C9C"/>
    <w:rsid w:val="14E528C6"/>
    <w:rsid w:val="14F37505"/>
    <w:rsid w:val="14F93F9F"/>
    <w:rsid w:val="150A1EFF"/>
    <w:rsid w:val="15221EFA"/>
    <w:rsid w:val="153876C0"/>
    <w:rsid w:val="15431C66"/>
    <w:rsid w:val="154F5774"/>
    <w:rsid w:val="15504CC9"/>
    <w:rsid w:val="15692796"/>
    <w:rsid w:val="156D0566"/>
    <w:rsid w:val="15AF6E40"/>
    <w:rsid w:val="15DC25F0"/>
    <w:rsid w:val="15E16E62"/>
    <w:rsid w:val="15F5754E"/>
    <w:rsid w:val="15FB2566"/>
    <w:rsid w:val="160557EF"/>
    <w:rsid w:val="160A26DF"/>
    <w:rsid w:val="16165E0F"/>
    <w:rsid w:val="16327C2B"/>
    <w:rsid w:val="16612B24"/>
    <w:rsid w:val="166E028C"/>
    <w:rsid w:val="16753255"/>
    <w:rsid w:val="16825D65"/>
    <w:rsid w:val="16946B78"/>
    <w:rsid w:val="169B4B77"/>
    <w:rsid w:val="16A138BF"/>
    <w:rsid w:val="16A9014A"/>
    <w:rsid w:val="16AF66B2"/>
    <w:rsid w:val="17125CEF"/>
    <w:rsid w:val="17476D75"/>
    <w:rsid w:val="17494CAD"/>
    <w:rsid w:val="175C7F63"/>
    <w:rsid w:val="17757B2F"/>
    <w:rsid w:val="177E5132"/>
    <w:rsid w:val="17A821AF"/>
    <w:rsid w:val="17C449E0"/>
    <w:rsid w:val="17CA0378"/>
    <w:rsid w:val="17FF5486"/>
    <w:rsid w:val="18076356"/>
    <w:rsid w:val="184147CA"/>
    <w:rsid w:val="189F2B8E"/>
    <w:rsid w:val="18AA6B24"/>
    <w:rsid w:val="18F14F32"/>
    <w:rsid w:val="19020A57"/>
    <w:rsid w:val="19257F5C"/>
    <w:rsid w:val="19490D56"/>
    <w:rsid w:val="197A67A1"/>
    <w:rsid w:val="198101D4"/>
    <w:rsid w:val="19864ACE"/>
    <w:rsid w:val="19D63004"/>
    <w:rsid w:val="19DC3FCF"/>
    <w:rsid w:val="19F65454"/>
    <w:rsid w:val="19F81246"/>
    <w:rsid w:val="1A1209B6"/>
    <w:rsid w:val="1A1E1D7C"/>
    <w:rsid w:val="1A247972"/>
    <w:rsid w:val="1A285D35"/>
    <w:rsid w:val="1A2D552F"/>
    <w:rsid w:val="1A400DC5"/>
    <w:rsid w:val="1A560B71"/>
    <w:rsid w:val="1A5A605D"/>
    <w:rsid w:val="1A84630A"/>
    <w:rsid w:val="1A8D490C"/>
    <w:rsid w:val="1AAA32F5"/>
    <w:rsid w:val="1AAA3FE1"/>
    <w:rsid w:val="1AB43118"/>
    <w:rsid w:val="1AC3583C"/>
    <w:rsid w:val="1B1E2EB4"/>
    <w:rsid w:val="1B330DB8"/>
    <w:rsid w:val="1B440441"/>
    <w:rsid w:val="1B486933"/>
    <w:rsid w:val="1B5D283A"/>
    <w:rsid w:val="1B6210A3"/>
    <w:rsid w:val="1B671FB6"/>
    <w:rsid w:val="1B766036"/>
    <w:rsid w:val="1BA3785E"/>
    <w:rsid w:val="1BD73063"/>
    <w:rsid w:val="1BEE0DB5"/>
    <w:rsid w:val="1BF910E5"/>
    <w:rsid w:val="1C205624"/>
    <w:rsid w:val="1C2838BF"/>
    <w:rsid w:val="1C314BFC"/>
    <w:rsid w:val="1C316407"/>
    <w:rsid w:val="1C3C3248"/>
    <w:rsid w:val="1C4A6C44"/>
    <w:rsid w:val="1C5341C9"/>
    <w:rsid w:val="1C9F1DD3"/>
    <w:rsid w:val="1CB165B2"/>
    <w:rsid w:val="1CB9192C"/>
    <w:rsid w:val="1CB947A0"/>
    <w:rsid w:val="1CBF6632"/>
    <w:rsid w:val="1CE73720"/>
    <w:rsid w:val="1D1E6B10"/>
    <w:rsid w:val="1D27172A"/>
    <w:rsid w:val="1D301F18"/>
    <w:rsid w:val="1D3B2AFC"/>
    <w:rsid w:val="1D983F97"/>
    <w:rsid w:val="1D9C7942"/>
    <w:rsid w:val="1D9F5E03"/>
    <w:rsid w:val="1DB05387"/>
    <w:rsid w:val="1DB63878"/>
    <w:rsid w:val="1DB64DAF"/>
    <w:rsid w:val="1DE74177"/>
    <w:rsid w:val="1E010654"/>
    <w:rsid w:val="1E262080"/>
    <w:rsid w:val="1E2F1C14"/>
    <w:rsid w:val="1E3701AF"/>
    <w:rsid w:val="1E563EEC"/>
    <w:rsid w:val="1EAE6E5D"/>
    <w:rsid w:val="1EBB1886"/>
    <w:rsid w:val="1EF03AD0"/>
    <w:rsid w:val="1EF515E4"/>
    <w:rsid w:val="1EFA1543"/>
    <w:rsid w:val="1F1F4218"/>
    <w:rsid w:val="1F291E28"/>
    <w:rsid w:val="1F4B5F8A"/>
    <w:rsid w:val="1F526949"/>
    <w:rsid w:val="1F552C1D"/>
    <w:rsid w:val="1F780B89"/>
    <w:rsid w:val="1FCA5C4A"/>
    <w:rsid w:val="201741D4"/>
    <w:rsid w:val="201E1BAA"/>
    <w:rsid w:val="20462441"/>
    <w:rsid w:val="20617845"/>
    <w:rsid w:val="206F41B2"/>
    <w:rsid w:val="20915784"/>
    <w:rsid w:val="20947775"/>
    <w:rsid w:val="20A512F7"/>
    <w:rsid w:val="20A83ABE"/>
    <w:rsid w:val="20B11066"/>
    <w:rsid w:val="20CE4B11"/>
    <w:rsid w:val="20DB0448"/>
    <w:rsid w:val="210668C5"/>
    <w:rsid w:val="210C2EEF"/>
    <w:rsid w:val="213C7AB7"/>
    <w:rsid w:val="21453A58"/>
    <w:rsid w:val="214E5B76"/>
    <w:rsid w:val="21524A1D"/>
    <w:rsid w:val="2157635A"/>
    <w:rsid w:val="21632FE9"/>
    <w:rsid w:val="218D1496"/>
    <w:rsid w:val="21971EC2"/>
    <w:rsid w:val="21981D2B"/>
    <w:rsid w:val="219A525F"/>
    <w:rsid w:val="219F7BAE"/>
    <w:rsid w:val="21A004DF"/>
    <w:rsid w:val="21A8172A"/>
    <w:rsid w:val="21BE1ED3"/>
    <w:rsid w:val="21CC5D42"/>
    <w:rsid w:val="21FE495D"/>
    <w:rsid w:val="222E5E01"/>
    <w:rsid w:val="22617B75"/>
    <w:rsid w:val="226C5644"/>
    <w:rsid w:val="226D14F1"/>
    <w:rsid w:val="22927C2B"/>
    <w:rsid w:val="22AD0826"/>
    <w:rsid w:val="22B42350"/>
    <w:rsid w:val="22BC5704"/>
    <w:rsid w:val="22C93CB4"/>
    <w:rsid w:val="22F866E1"/>
    <w:rsid w:val="231F5A1C"/>
    <w:rsid w:val="23692D78"/>
    <w:rsid w:val="236B2A0F"/>
    <w:rsid w:val="23843AD1"/>
    <w:rsid w:val="23851D30"/>
    <w:rsid w:val="23AF6BB7"/>
    <w:rsid w:val="23BF6563"/>
    <w:rsid w:val="23CA7E50"/>
    <w:rsid w:val="23D04D32"/>
    <w:rsid w:val="23DE596A"/>
    <w:rsid w:val="23E13AD6"/>
    <w:rsid w:val="23EB440C"/>
    <w:rsid w:val="23FF0150"/>
    <w:rsid w:val="24035371"/>
    <w:rsid w:val="241106F9"/>
    <w:rsid w:val="24184DA3"/>
    <w:rsid w:val="2419690F"/>
    <w:rsid w:val="242344FF"/>
    <w:rsid w:val="242660C4"/>
    <w:rsid w:val="24310C6B"/>
    <w:rsid w:val="24343749"/>
    <w:rsid w:val="24382A41"/>
    <w:rsid w:val="247F392A"/>
    <w:rsid w:val="24944277"/>
    <w:rsid w:val="24A00DDE"/>
    <w:rsid w:val="24B315F8"/>
    <w:rsid w:val="24B35368"/>
    <w:rsid w:val="24B7739F"/>
    <w:rsid w:val="24BE1264"/>
    <w:rsid w:val="24C13FA0"/>
    <w:rsid w:val="24EF271A"/>
    <w:rsid w:val="250176A2"/>
    <w:rsid w:val="250971C4"/>
    <w:rsid w:val="254C5142"/>
    <w:rsid w:val="25943B6B"/>
    <w:rsid w:val="25A35B2B"/>
    <w:rsid w:val="25B5762F"/>
    <w:rsid w:val="25D54AB7"/>
    <w:rsid w:val="25E15FF3"/>
    <w:rsid w:val="25E569C1"/>
    <w:rsid w:val="25EC570C"/>
    <w:rsid w:val="25FE53D8"/>
    <w:rsid w:val="26257DBE"/>
    <w:rsid w:val="262B1EE2"/>
    <w:rsid w:val="262B2929"/>
    <w:rsid w:val="26310385"/>
    <w:rsid w:val="265D335F"/>
    <w:rsid w:val="268877A1"/>
    <w:rsid w:val="2689793A"/>
    <w:rsid w:val="26907AB8"/>
    <w:rsid w:val="26B26BA7"/>
    <w:rsid w:val="26BD5C77"/>
    <w:rsid w:val="26BF5F5C"/>
    <w:rsid w:val="26C25C1A"/>
    <w:rsid w:val="26C41250"/>
    <w:rsid w:val="26D01A2F"/>
    <w:rsid w:val="26E34ACF"/>
    <w:rsid w:val="26F650BF"/>
    <w:rsid w:val="270006C8"/>
    <w:rsid w:val="27045675"/>
    <w:rsid w:val="27126535"/>
    <w:rsid w:val="2727416A"/>
    <w:rsid w:val="273E578B"/>
    <w:rsid w:val="275639D6"/>
    <w:rsid w:val="27584BF0"/>
    <w:rsid w:val="277B73E8"/>
    <w:rsid w:val="27ED2B7D"/>
    <w:rsid w:val="2806264F"/>
    <w:rsid w:val="28091375"/>
    <w:rsid w:val="28100A83"/>
    <w:rsid w:val="28562C5B"/>
    <w:rsid w:val="287A36F4"/>
    <w:rsid w:val="287D545E"/>
    <w:rsid w:val="288C6480"/>
    <w:rsid w:val="28BA6748"/>
    <w:rsid w:val="28BE433A"/>
    <w:rsid w:val="28D0670B"/>
    <w:rsid w:val="28EF40E2"/>
    <w:rsid w:val="28F17223"/>
    <w:rsid w:val="28F252F0"/>
    <w:rsid w:val="28F401AF"/>
    <w:rsid w:val="2900512A"/>
    <w:rsid w:val="290851A4"/>
    <w:rsid w:val="29554965"/>
    <w:rsid w:val="29591CD4"/>
    <w:rsid w:val="2985798A"/>
    <w:rsid w:val="299F1664"/>
    <w:rsid w:val="29B34495"/>
    <w:rsid w:val="29B92A9E"/>
    <w:rsid w:val="29DE55A0"/>
    <w:rsid w:val="29F01EC0"/>
    <w:rsid w:val="29F1192E"/>
    <w:rsid w:val="2A0D230E"/>
    <w:rsid w:val="2A0F6914"/>
    <w:rsid w:val="2A2403CA"/>
    <w:rsid w:val="2A765FF3"/>
    <w:rsid w:val="2A7A727A"/>
    <w:rsid w:val="2A7C7BF7"/>
    <w:rsid w:val="2AA47C17"/>
    <w:rsid w:val="2AB253C7"/>
    <w:rsid w:val="2B123FDF"/>
    <w:rsid w:val="2B422DB5"/>
    <w:rsid w:val="2B5A624D"/>
    <w:rsid w:val="2B724466"/>
    <w:rsid w:val="2B8366C8"/>
    <w:rsid w:val="2B9B40AD"/>
    <w:rsid w:val="2BA716DD"/>
    <w:rsid w:val="2BA74800"/>
    <w:rsid w:val="2BA967CA"/>
    <w:rsid w:val="2C106849"/>
    <w:rsid w:val="2C1D0F91"/>
    <w:rsid w:val="2C556D71"/>
    <w:rsid w:val="2C6A198B"/>
    <w:rsid w:val="2C7F4E3D"/>
    <w:rsid w:val="2CBA3DEB"/>
    <w:rsid w:val="2CBC077F"/>
    <w:rsid w:val="2CC06287"/>
    <w:rsid w:val="2CC43190"/>
    <w:rsid w:val="2CC80FA8"/>
    <w:rsid w:val="2CCA2B4C"/>
    <w:rsid w:val="2CCF21E5"/>
    <w:rsid w:val="2CD427A4"/>
    <w:rsid w:val="2CDA6711"/>
    <w:rsid w:val="2CDC2BCF"/>
    <w:rsid w:val="2CFF424D"/>
    <w:rsid w:val="2D2105E2"/>
    <w:rsid w:val="2D431E38"/>
    <w:rsid w:val="2D496844"/>
    <w:rsid w:val="2D5B7A03"/>
    <w:rsid w:val="2D630BFB"/>
    <w:rsid w:val="2D88013F"/>
    <w:rsid w:val="2DA57465"/>
    <w:rsid w:val="2DAA1EF3"/>
    <w:rsid w:val="2DAB7757"/>
    <w:rsid w:val="2DB16D9B"/>
    <w:rsid w:val="2DC5690A"/>
    <w:rsid w:val="2DCA3B5A"/>
    <w:rsid w:val="2DE369EA"/>
    <w:rsid w:val="2DEE4968"/>
    <w:rsid w:val="2E033B70"/>
    <w:rsid w:val="2E291E44"/>
    <w:rsid w:val="2E696F6F"/>
    <w:rsid w:val="2E8F0D99"/>
    <w:rsid w:val="2E95487D"/>
    <w:rsid w:val="2EB61D15"/>
    <w:rsid w:val="2EC767D6"/>
    <w:rsid w:val="2ECA0FA0"/>
    <w:rsid w:val="2ED0406E"/>
    <w:rsid w:val="2ED4713D"/>
    <w:rsid w:val="2EE22774"/>
    <w:rsid w:val="2EE67D43"/>
    <w:rsid w:val="2F0B3435"/>
    <w:rsid w:val="2F151E1E"/>
    <w:rsid w:val="2F1932CB"/>
    <w:rsid w:val="2F1A353B"/>
    <w:rsid w:val="2F49272D"/>
    <w:rsid w:val="2F531223"/>
    <w:rsid w:val="2F5934F4"/>
    <w:rsid w:val="2F86109C"/>
    <w:rsid w:val="2F8957DF"/>
    <w:rsid w:val="2F986913"/>
    <w:rsid w:val="2FCF4BE0"/>
    <w:rsid w:val="300D096E"/>
    <w:rsid w:val="300D2C9D"/>
    <w:rsid w:val="301B5160"/>
    <w:rsid w:val="3032296E"/>
    <w:rsid w:val="303F600B"/>
    <w:rsid w:val="304807A8"/>
    <w:rsid w:val="304C533C"/>
    <w:rsid w:val="30557F70"/>
    <w:rsid w:val="305E261E"/>
    <w:rsid w:val="3074778C"/>
    <w:rsid w:val="307D049D"/>
    <w:rsid w:val="309A2C23"/>
    <w:rsid w:val="30C82FD3"/>
    <w:rsid w:val="30DF2566"/>
    <w:rsid w:val="30E958BB"/>
    <w:rsid w:val="310C488E"/>
    <w:rsid w:val="311D71AB"/>
    <w:rsid w:val="312037EB"/>
    <w:rsid w:val="314174A5"/>
    <w:rsid w:val="31570166"/>
    <w:rsid w:val="318E7012"/>
    <w:rsid w:val="319475D5"/>
    <w:rsid w:val="31B645F1"/>
    <w:rsid w:val="31B6631B"/>
    <w:rsid w:val="31C167DA"/>
    <w:rsid w:val="31C24974"/>
    <w:rsid w:val="31FB26E3"/>
    <w:rsid w:val="321224E2"/>
    <w:rsid w:val="32123574"/>
    <w:rsid w:val="32135386"/>
    <w:rsid w:val="321D4C3A"/>
    <w:rsid w:val="322979B4"/>
    <w:rsid w:val="322B367F"/>
    <w:rsid w:val="323837A3"/>
    <w:rsid w:val="325B7D81"/>
    <w:rsid w:val="32805DAB"/>
    <w:rsid w:val="329E4165"/>
    <w:rsid w:val="32AD2696"/>
    <w:rsid w:val="32BB4AF7"/>
    <w:rsid w:val="32C52AE6"/>
    <w:rsid w:val="32DD1EFF"/>
    <w:rsid w:val="32F522F5"/>
    <w:rsid w:val="33190B49"/>
    <w:rsid w:val="3324631F"/>
    <w:rsid w:val="332A54B9"/>
    <w:rsid w:val="337E1438"/>
    <w:rsid w:val="339334C6"/>
    <w:rsid w:val="3396770F"/>
    <w:rsid w:val="339733AC"/>
    <w:rsid w:val="339D39F5"/>
    <w:rsid w:val="339D7A59"/>
    <w:rsid w:val="33A1247D"/>
    <w:rsid w:val="33A457D8"/>
    <w:rsid w:val="33B12870"/>
    <w:rsid w:val="33B201E6"/>
    <w:rsid w:val="33B273BE"/>
    <w:rsid w:val="33B421B0"/>
    <w:rsid w:val="33BD31B5"/>
    <w:rsid w:val="34031DE2"/>
    <w:rsid w:val="345A08AC"/>
    <w:rsid w:val="34645984"/>
    <w:rsid w:val="34811DC5"/>
    <w:rsid w:val="349B6ECC"/>
    <w:rsid w:val="34A43FD3"/>
    <w:rsid w:val="34A8586B"/>
    <w:rsid w:val="34B94C82"/>
    <w:rsid w:val="34C53AE4"/>
    <w:rsid w:val="34CC6681"/>
    <w:rsid w:val="34F45916"/>
    <w:rsid w:val="350E3B42"/>
    <w:rsid w:val="35520E30"/>
    <w:rsid w:val="35683252"/>
    <w:rsid w:val="357A39EE"/>
    <w:rsid w:val="35884A37"/>
    <w:rsid w:val="35BF4E3C"/>
    <w:rsid w:val="35C97A69"/>
    <w:rsid w:val="35D46978"/>
    <w:rsid w:val="35DF6EC9"/>
    <w:rsid w:val="36092563"/>
    <w:rsid w:val="36150BE4"/>
    <w:rsid w:val="36254E0D"/>
    <w:rsid w:val="36276456"/>
    <w:rsid w:val="36435A6D"/>
    <w:rsid w:val="36AC3806"/>
    <w:rsid w:val="36C10E01"/>
    <w:rsid w:val="36CB62E7"/>
    <w:rsid w:val="36CD5936"/>
    <w:rsid w:val="36D377F9"/>
    <w:rsid w:val="36F17277"/>
    <w:rsid w:val="37003BEE"/>
    <w:rsid w:val="370A121B"/>
    <w:rsid w:val="370D0121"/>
    <w:rsid w:val="3727184E"/>
    <w:rsid w:val="37734463"/>
    <w:rsid w:val="37734CD2"/>
    <w:rsid w:val="377A54BF"/>
    <w:rsid w:val="37862734"/>
    <w:rsid w:val="379876F3"/>
    <w:rsid w:val="37B02E25"/>
    <w:rsid w:val="37B41CB5"/>
    <w:rsid w:val="37CF0795"/>
    <w:rsid w:val="37D806C0"/>
    <w:rsid w:val="37F01E0E"/>
    <w:rsid w:val="380A2C1D"/>
    <w:rsid w:val="38170F5F"/>
    <w:rsid w:val="38487868"/>
    <w:rsid w:val="38566409"/>
    <w:rsid w:val="386077BA"/>
    <w:rsid w:val="386C12AB"/>
    <w:rsid w:val="38796BC2"/>
    <w:rsid w:val="38B0292B"/>
    <w:rsid w:val="38B365AD"/>
    <w:rsid w:val="38BC2CC1"/>
    <w:rsid w:val="38BC71D3"/>
    <w:rsid w:val="38DF22B8"/>
    <w:rsid w:val="38E9532C"/>
    <w:rsid w:val="39180B31"/>
    <w:rsid w:val="39186BBF"/>
    <w:rsid w:val="393D0EBF"/>
    <w:rsid w:val="393F5357"/>
    <w:rsid w:val="395426E3"/>
    <w:rsid w:val="395D6E46"/>
    <w:rsid w:val="39615FCD"/>
    <w:rsid w:val="39616687"/>
    <w:rsid w:val="396E2D0F"/>
    <w:rsid w:val="39893E68"/>
    <w:rsid w:val="399129D3"/>
    <w:rsid w:val="399528B3"/>
    <w:rsid w:val="39D871A6"/>
    <w:rsid w:val="39E11A3D"/>
    <w:rsid w:val="39E80B55"/>
    <w:rsid w:val="39EE4A9D"/>
    <w:rsid w:val="39EF4861"/>
    <w:rsid w:val="3A011948"/>
    <w:rsid w:val="3A12423B"/>
    <w:rsid w:val="3A1E688D"/>
    <w:rsid w:val="3A706338"/>
    <w:rsid w:val="3A7B0BD7"/>
    <w:rsid w:val="3A7F32C4"/>
    <w:rsid w:val="3AC9498B"/>
    <w:rsid w:val="3ADE296A"/>
    <w:rsid w:val="3AFF5143"/>
    <w:rsid w:val="3B076AEE"/>
    <w:rsid w:val="3B261915"/>
    <w:rsid w:val="3B322D2B"/>
    <w:rsid w:val="3B3C613D"/>
    <w:rsid w:val="3B554279"/>
    <w:rsid w:val="3B844933"/>
    <w:rsid w:val="3B855DC3"/>
    <w:rsid w:val="3B9C00B5"/>
    <w:rsid w:val="3BBC05A1"/>
    <w:rsid w:val="3BCC545C"/>
    <w:rsid w:val="3BDD601C"/>
    <w:rsid w:val="3BDF069B"/>
    <w:rsid w:val="3BEE2FBC"/>
    <w:rsid w:val="3BF07AFD"/>
    <w:rsid w:val="3C006258"/>
    <w:rsid w:val="3C1856F5"/>
    <w:rsid w:val="3C245D06"/>
    <w:rsid w:val="3C4271FA"/>
    <w:rsid w:val="3C4C18D2"/>
    <w:rsid w:val="3C516615"/>
    <w:rsid w:val="3C5A3780"/>
    <w:rsid w:val="3C7C5835"/>
    <w:rsid w:val="3C8506A5"/>
    <w:rsid w:val="3C927BD6"/>
    <w:rsid w:val="3CBE3ADA"/>
    <w:rsid w:val="3CC345C5"/>
    <w:rsid w:val="3CCF3BB7"/>
    <w:rsid w:val="3D066BAA"/>
    <w:rsid w:val="3D0E59F4"/>
    <w:rsid w:val="3D3765DD"/>
    <w:rsid w:val="3D3A48F3"/>
    <w:rsid w:val="3D415087"/>
    <w:rsid w:val="3D7F1F0E"/>
    <w:rsid w:val="3D934BE4"/>
    <w:rsid w:val="3DF0542D"/>
    <w:rsid w:val="3DF8230D"/>
    <w:rsid w:val="3DFB1891"/>
    <w:rsid w:val="3E0850F4"/>
    <w:rsid w:val="3E182715"/>
    <w:rsid w:val="3E241DF6"/>
    <w:rsid w:val="3E263626"/>
    <w:rsid w:val="3E284410"/>
    <w:rsid w:val="3E285C74"/>
    <w:rsid w:val="3E795988"/>
    <w:rsid w:val="3E854E75"/>
    <w:rsid w:val="3EA16C5A"/>
    <w:rsid w:val="3EAC3E93"/>
    <w:rsid w:val="3EB87FE6"/>
    <w:rsid w:val="3EBE17C1"/>
    <w:rsid w:val="3EC7461E"/>
    <w:rsid w:val="3EE00785"/>
    <w:rsid w:val="3EE35D19"/>
    <w:rsid w:val="3EF522F8"/>
    <w:rsid w:val="3F2578DC"/>
    <w:rsid w:val="3F856E73"/>
    <w:rsid w:val="3FCA4B09"/>
    <w:rsid w:val="3FE931E1"/>
    <w:rsid w:val="4021297B"/>
    <w:rsid w:val="402A2C93"/>
    <w:rsid w:val="40300461"/>
    <w:rsid w:val="4041033B"/>
    <w:rsid w:val="40513814"/>
    <w:rsid w:val="405342E4"/>
    <w:rsid w:val="405A1F6E"/>
    <w:rsid w:val="405F16F6"/>
    <w:rsid w:val="40633831"/>
    <w:rsid w:val="40864ED4"/>
    <w:rsid w:val="40D86388"/>
    <w:rsid w:val="41532C6E"/>
    <w:rsid w:val="41866A28"/>
    <w:rsid w:val="41892FC7"/>
    <w:rsid w:val="41897F6E"/>
    <w:rsid w:val="41A4269A"/>
    <w:rsid w:val="41A83C37"/>
    <w:rsid w:val="41EE3560"/>
    <w:rsid w:val="41FF6CEC"/>
    <w:rsid w:val="42083F39"/>
    <w:rsid w:val="420875D6"/>
    <w:rsid w:val="42107FFD"/>
    <w:rsid w:val="42203C12"/>
    <w:rsid w:val="42455C66"/>
    <w:rsid w:val="42507548"/>
    <w:rsid w:val="42672AE3"/>
    <w:rsid w:val="4283618C"/>
    <w:rsid w:val="42B44F17"/>
    <w:rsid w:val="42B4605D"/>
    <w:rsid w:val="42BB7663"/>
    <w:rsid w:val="42D942A6"/>
    <w:rsid w:val="42E45EE2"/>
    <w:rsid w:val="42EB20C7"/>
    <w:rsid w:val="42F73576"/>
    <w:rsid w:val="43000502"/>
    <w:rsid w:val="430314DE"/>
    <w:rsid w:val="43115291"/>
    <w:rsid w:val="43344D43"/>
    <w:rsid w:val="43543B6A"/>
    <w:rsid w:val="437F1A0C"/>
    <w:rsid w:val="4399229E"/>
    <w:rsid w:val="439E7811"/>
    <w:rsid w:val="43A15B81"/>
    <w:rsid w:val="43A4077F"/>
    <w:rsid w:val="43D72E8F"/>
    <w:rsid w:val="43E25025"/>
    <w:rsid w:val="440664B2"/>
    <w:rsid w:val="441468EF"/>
    <w:rsid w:val="441E019C"/>
    <w:rsid w:val="44293F21"/>
    <w:rsid w:val="443411BF"/>
    <w:rsid w:val="444A02EF"/>
    <w:rsid w:val="444A334D"/>
    <w:rsid w:val="44646665"/>
    <w:rsid w:val="447C65C0"/>
    <w:rsid w:val="449963E1"/>
    <w:rsid w:val="44CB2E9E"/>
    <w:rsid w:val="44E667A6"/>
    <w:rsid w:val="4506719C"/>
    <w:rsid w:val="4517491E"/>
    <w:rsid w:val="45381537"/>
    <w:rsid w:val="4545710C"/>
    <w:rsid w:val="454A4722"/>
    <w:rsid w:val="455B1BC2"/>
    <w:rsid w:val="45681611"/>
    <w:rsid w:val="4587224D"/>
    <w:rsid w:val="458A02EA"/>
    <w:rsid w:val="45BB391C"/>
    <w:rsid w:val="45CF2E79"/>
    <w:rsid w:val="45D95B69"/>
    <w:rsid w:val="46252138"/>
    <w:rsid w:val="463846F4"/>
    <w:rsid w:val="46396B71"/>
    <w:rsid w:val="46480540"/>
    <w:rsid w:val="467A4105"/>
    <w:rsid w:val="46950325"/>
    <w:rsid w:val="46956245"/>
    <w:rsid w:val="4699655F"/>
    <w:rsid w:val="46A2233C"/>
    <w:rsid w:val="46B02822"/>
    <w:rsid w:val="46C7248B"/>
    <w:rsid w:val="46CC408A"/>
    <w:rsid w:val="46D24AEE"/>
    <w:rsid w:val="46EE42E0"/>
    <w:rsid w:val="470470FA"/>
    <w:rsid w:val="47150D60"/>
    <w:rsid w:val="471F573B"/>
    <w:rsid w:val="47264D1B"/>
    <w:rsid w:val="472A7223"/>
    <w:rsid w:val="476D775A"/>
    <w:rsid w:val="47901B7F"/>
    <w:rsid w:val="47B45F1D"/>
    <w:rsid w:val="47B96BB6"/>
    <w:rsid w:val="47D049EE"/>
    <w:rsid w:val="47E23BD3"/>
    <w:rsid w:val="47EB01EC"/>
    <w:rsid w:val="47EC72F1"/>
    <w:rsid w:val="48124F66"/>
    <w:rsid w:val="483008AC"/>
    <w:rsid w:val="48384D06"/>
    <w:rsid w:val="484A42D8"/>
    <w:rsid w:val="48586034"/>
    <w:rsid w:val="485E04E5"/>
    <w:rsid w:val="4875346A"/>
    <w:rsid w:val="4877476B"/>
    <w:rsid w:val="48905237"/>
    <w:rsid w:val="48911E11"/>
    <w:rsid w:val="4893450B"/>
    <w:rsid w:val="48B94AEC"/>
    <w:rsid w:val="48FF3A76"/>
    <w:rsid w:val="49156DF5"/>
    <w:rsid w:val="491C1788"/>
    <w:rsid w:val="49386F08"/>
    <w:rsid w:val="49441F59"/>
    <w:rsid w:val="49553696"/>
    <w:rsid w:val="497A7665"/>
    <w:rsid w:val="497B1033"/>
    <w:rsid w:val="498811FA"/>
    <w:rsid w:val="49891591"/>
    <w:rsid w:val="4993449E"/>
    <w:rsid w:val="49AD6025"/>
    <w:rsid w:val="49B669D0"/>
    <w:rsid w:val="49D23E8B"/>
    <w:rsid w:val="49E54A1A"/>
    <w:rsid w:val="49E92124"/>
    <w:rsid w:val="49F61A9B"/>
    <w:rsid w:val="4A03739F"/>
    <w:rsid w:val="4A182157"/>
    <w:rsid w:val="4A235542"/>
    <w:rsid w:val="4A312CC3"/>
    <w:rsid w:val="4A3463D1"/>
    <w:rsid w:val="4A4872B5"/>
    <w:rsid w:val="4A657908"/>
    <w:rsid w:val="4A7E749E"/>
    <w:rsid w:val="4A860162"/>
    <w:rsid w:val="4A9233B9"/>
    <w:rsid w:val="4A972307"/>
    <w:rsid w:val="4A9D70A2"/>
    <w:rsid w:val="4AA3675C"/>
    <w:rsid w:val="4AA67BE3"/>
    <w:rsid w:val="4ACA7065"/>
    <w:rsid w:val="4AFC334A"/>
    <w:rsid w:val="4B077B65"/>
    <w:rsid w:val="4B1D4687"/>
    <w:rsid w:val="4B43686F"/>
    <w:rsid w:val="4B5942BF"/>
    <w:rsid w:val="4B5F6BF1"/>
    <w:rsid w:val="4B8E19DC"/>
    <w:rsid w:val="4B9A06C2"/>
    <w:rsid w:val="4B9C7F5C"/>
    <w:rsid w:val="4BA90010"/>
    <w:rsid w:val="4BF10BD5"/>
    <w:rsid w:val="4C00528F"/>
    <w:rsid w:val="4C1D7B26"/>
    <w:rsid w:val="4C8C0EAF"/>
    <w:rsid w:val="4CAC181F"/>
    <w:rsid w:val="4CB21A7F"/>
    <w:rsid w:val="4CC25CC6"/>
    <w:rsid w:val="4CFD651E"/>
    <w:rsid w:val="4D0C2058"/>
    <w:rsid w:val="4D2134CE"/>
    <w:rsid w:val="4D234E99"/>
    <w:rsid w:val="4D2770F7"/>
    <w:rsid w:val="4D3D3C30"/>
    <w:rsid w:val="4DB67921"/>
    <w:rsid w:val="4DC369FA"/>
    <w:rsid w:val="4DF65033"/>
    <w:rsid w:val="4E0131DE"/>
    <w:rsid w:val="4E220A18"/>
    <w:rsid w:val="4E9E2F20"/>
    <w:rsid w:val="4ECE55E1"/>
    <w:rsid w:val="4ED35788"/>
    <w:rsid w:val="4EFA3831"/>
    <w:rsid w:val="4F10089E"/>
    <w:rsid w:val="4F3B3AC0"/>
    <w:rsid w:val="4F42646A"/>
    <w:rsid w:val="4F5C2410"/>
    <w:rsid w:val="4F827804"/>
    <w:rsid w:val="4FC637C1"/>
    <w:rsid w:val="4FF31349"/>
    <w:rsid w:val="4FF72C83"/>
    <w:rsid w:val="4FFB1F5D"/>
    <w:rsid w:val="50031B78"/>
    <w:rsid w:val="502163D0"/>
    <w:rsid w:val="502B569F"/>
    <w:rsid w:val="504B75A0"/>
    <w:rsid w:val="506A1F6C"/>
    <w:rsid w:val="50734C1F"/>
    <w:rsid w:val="50785AA8"/>
    <w:rsid w:val="50BA5EB9"/>
    <w:rsid w:val="50BD6410"/>
    <w:rsid w:val="50CC1C98"/>
    <w:rsid w:val="50D576D6"/>
    <w:rsid w:val="50DE63C8"/>
    <w:rsid w:val="51426BF5"/>
    <w:rsid w:val="51473C5A"/>
    <w:rsid w:val="517B0590"/>
    <w:rsid w:val="51CA79D9"/>
    <w:rsid w:val="5234744B"/>
    <w:rsid w:val="5236080A"/>
    <w:rsid w:val="524349D3"/>
    <w:rsid w:val="5256161C"/>
    <w:rsid w:val="528118BB"/>
    <w:rsid w:val="52860D64"/>
    <w:rsid w:val="52903459"/>
    <w:rsid w:val="52927709"/>
    <w:rsid w:val="52A05F36"/>
    <w:rsid w:val="52A40F94"/>
    <w:rsid w:val="52C33C5A"/>
    <w:rsid w:val="52CA02F1"/>
    <w:rsid w:val="52D94E5A"/>
    <w:rsid w:val="52DF45BC"/>
    <w:rsid w:val="52F4488B"/>
    <w:rsid w:val="532B50E0"/>
    <w:rsid w:val="53365BF1"/>
    <w:rsid w:val="53507E5A"/>
    <w:rsid w:val="5355750A"/>
    <w:rsid w:val="5385036A"/>
    <w:rsid w:val="53D967D4"/>
    <w:rsid w:val="53F83B51"/>
    <w:rsid w:val="54034BB3"/>
    <w:rsid w:val="541A3860"/>
    <w:rsid w:val="542D05BF"/>
    <w:rsid w:val="543C792C"/>
    <w:rsid w:val="5442103C"/>
    <w:rsid w:val="54524E08"/>
    <w:rsid w:val="546704F0"/>
    <w:rsid w:val="5484281F"/>
    <w:rsid w:val="548F0225"/>
    <w:rsid w:val="54A61249"/>
    <w:rsid w:val="54A66EE6"/>
    <w:rsid w:val="54EF43AE"/>
    <w:rsid w:val="550632DB"/>
    <w:rsid w:val="552C0034"/>
    <w:rsid w:val="552D54C7"/>
    <w:rsid w:val="553D256E"/>
    <w:rsid w:val="555C0C14"/>
    <w:rsid w:val="55794BB0"/>
    <w:rsid w:val="557C6C56"/>
    <w:rsid w:val="55C1350C"/>
    <w:rsid w:val="55DE355A"/>
    <w:rsid w:val="55EE2EA8"/>
    <w:rsid w:val="55FB7373"/>
    <w:rsid w:val="56363036"/>
    <w:rsid w:val="56442302"/>
    <w:rsid w:val="565269BC"/>
    <w:rsid w:val="566E7EBE"/>
    <w:rsid w:val="567D13ED"/>
    <w:rsid w:val="56AD2D63"/>
    <w:rsid w:val="56BF4844"/>
    <w:rsid w:val="56F17801"/>
    <w:rsid w:val="56F5663F"/>
    <w:rsid w:val="56FC4C0F"/>
    <w:rsid w:val="570737A2"/>
    <w:rsid w:val="57484EB1"/>
    <w:rsid w:val="57533E4E"/>
    <w:rsid w:val="575D6537"/>
    <w:rsid w:val="57A56958"/>
    <w:rsid w:val="57C2639A"/>
    <w:rsid w:val="57D65322"/>
    <w:rsid w:val="57DD08FB"/>
    <w:rsid w:val="58370CF3"/>
    <w:rsid w:val="5852367D"/>
    <w:rsid w:val="587753D7"/>
    <w:rsid w:val="5895585D"/>
    <w:rsid w:val="589705C2"/>
    <w:rsid w:val="58A106A5"/>
    <w:rsid w:val="58A92390"/>
    <w:rsid w:val="58C30944"/>
    <w:rsid w:val="58C40FCE"/>
    <w:rsid w:val="58D070D7"/>
    <w:rsid w:val="58D15604"/>
    <w:rsid w:val="58E25887"/>
    <w:rsid w:val="58F17B6B"/>
    <w:rsid w:val="58F419FA"/>
    <w:rsid w:val="58F57B76"/>
    <w:rsid w:val="590245F2"/>
    <w:rsid w:val="59031779"/>
    <w:rsid w:val="5903310E"/>
    <w:rsid w:val="591043AD"/>
    <w:rsid w:val="591744C4"/>
    <w:rsid w:val="59201B85"/>
    <w:rsid w:val="59396B30"/>
    <w:rsid w:val="5948548D"/>
    <w:rsid w:val="59586C60"/>
    <w:rsid w:val="595B4050"/>
    <w:rsid w:val="59634873"/>
    <w:rsid w:val="59761A20"/>
    <w:rsid w:val="597623FA"/>
    <w:rsid w:val="597738EF"/>
    <w:rsid w:val="597E09E9"/>
    <w:rsid w:val="598B3F74"/>
    <w:rsid w:val="59A52DBE"/>
    <w:rsid w:val="59AF346F"/>
    <w:rsid w:val="59B80FE3"/>
    <w:rsid w:val="59CC2230"/>
    <w:rsid w:val="5A0527CA"/>
    <w:rsid w:val="5A0B55B6"/>
    <w:rsid w:val="5A403EEE"/>
    <w:rsid w:val="5A492C25"/>
    <w:rsid w:val="5A520C8B"/>
    <w:rsid w:val="5A7900AF"/>
    <w:rsid w:val="5A7B6283"/>
    <w:rsid w:val="5A7C31F9"/>
    <w:rsid w:val="5A821E11"/>
    <w:rsid w:val="5A83606E"/>
    <w:rsid w:val="5A8C11BA"/>
    <w:rsid w:val="5A9D4E9D"/>
    <w:rsid w:val="5AA52FD0"/>
    <w:rsid w:val="5ABF6D03"/>
    <w:rsid w:val="5AD419E5"/>
    <w:rsid w:val="5AD53FB5"/>
    <w:rsid w:val="5AF30036"/>
    <w:rsid w:val="5AF53362"/>
    <w:rsid w:val="5AF847D8"/>
    <w:rsid w:val="5B071FB9"/>
    <w:rsid w:val="5B396DF4"/>
    <w:rsid w:val="5B721E85"/>
    <w:rsid w:val="5B7C3456"/>
    <w:rsid w:val="5B84436C"/>
    <w:rsid w:val="5B8E3F65"/>
    <w:rsid w:val="5BB15F4B"/>
    <w:rsid w:val="5BC318A6"/>
    <w:rsid w:val="5BDB3ECE"/>
    <w:rsid w:val="5BE54D4D"/>
    <w:rsid w:val="5BF301BD"/>
    <w:rsid w:val="5BF3628A"/>
    <w:rsid w:val="5BF56F8D"/>
    <w:rsid w:val="5BFB43A4"/>
    <w:rsid w:val="5C0C22DA"/>
    <w:rsid w:val="5C1F1D98"/>
    <w:rsid w:val="5C367357"/>
    <w:rsid w:val="5C503F0F"/>
    <w:rsid w:val="5C5E4EB2"/>
    <w:rsid w:val="5C603943"/>
    <w:rsid w:val="5C652D1E"/>
    <w:rsid w:val="5C6B04F9"/>
    <w:rsid w:val="5CB3706D"/>
    <w:rsid w:val="5CB564CD"/>
    <w:rsid w:val="5CCC527E"/>
    <w:rsid w:val="5CE46DB3"/>
    <w:rsid w:val="5CF14F1B"/>
    <w:rsid w:val="5CF6084E"/>
    <w:rsid w:val="5CF83A26"/>
    <w:rsid w:val="5D0E5BDE"/>
    <w:rsid w:val="5D156E0E"/>
    <w:rsid w:val="5D1A6C78"/>
    <w:rsid w:val="5D39708B"/>
    <w:rsid w:val="5D6106C3"/>
    <w:rsid w:val="5D6A2609"/>
    <w:rsid w:val="5D7962F1"/>
    <w:rsid w:val="5D9B6FE8"/>
    <w:rsid w:val="5DA93E11"/>
    <w:rsid w:val="5DAA00E2"/>
    <w:rsid w:val="5DB60ACD"/>
    <w:rsid w:val="5DEA0D98"/>
    <w:rsid w:val="5DEA7518"/>
    <w:rsid w:val="5DF43C36"/>
    <w:rsid w:val="5DF640A9"/>
    <w:rsid w:val="5E297A40"/>
    <w:rsid w:val="5E474816"/>
    <w:rsid w:val="5E4A1D02"/>
    <w:rsid w:val="5E5C7DA7"/>
    <w:rsid w:val="5E7E4FB8"/>
    <w:rsid w:val="5E8855A7"/>
    <w:rsid w:val="5E9148D7"/>
    <w:rsid w:val="5E927236"/>
    <w:rsid w:val="5E937509"/>
    <w:rsid w:val="5EB733A8"/>
    <w:rsid w:val="5EC24ED2"/>
    <w:rsid w:val="5ED20597"/>
    <w:rsid w:val="5F084279"/>
    <w:rsid w:val="5F347D2A"/>
    <w:rsid w:val="5F4B385A"/>
    <w:rsid w:val="5F582E6F"/>
    <w:rsid w:val="5F6F0076"/>
    <w:rsid w:val="5F9024C2"/>
    <w:rsid w:val="5FD963B0"/>
    <w:rsid w:val="5FF4555F"/>
    <w:rsid w:val="6027616C"/>
    <w:rsid w:val="60395667"/>
    <w:rsid w:val="60541E02"/>
    <w:rsid w:val="60554D72"/>
    <w:rsid w:val="60793CB6"/>
    <w:rsid w:val="60A07760"/>
    <w:rsid w:val="60D55390"/>
    <w:rsid w:val="60D809DC"/>
    <w:rsid w:val="60DE7563"/>
    <w:rsid w:val="60DF157A"/>
    <w:rsid w:val="61167890"/>
    <w:rsid w:val="61293C2F"/>
    <w:rsid w:val="612B3202"/>
    <w:rsid w:val="6141132E"/>
    <w:rsid w:val="61455F70"/>
    <w:rsid w:val="61535C7D"/>
    <w:rsid w:val="61705C08"/>
    <w:rsid w:val="617B0C49"/>
    <w:rsid w:val="617D3332"/>
    <w:rsid w:val="6187369A"/>
    <w:rsid w:val="61895A6B"/>
    <w:rsid w:val="61AB3359"/>
    <w:rsid w:val="61AB7860"/>
    <w:rsid w:val="61CA7A58"/>
    <w:rsid w:val="61FC06FB"/>
    <w:rsid w:val="620C401D"/>
    <w:rsid w:val="620F042E"/>
    <w:rsid w:val="622F0AD0"/>
    <w:rsid w:val="622F3416"/>
    <w:rsid w:val="62486A1A"/>
    <w:rsid w:val="625F212F"/>
    <w:rsid w:val="62652744"/>
    <w:rsid w:val="626D784A"/>
    <w:rsid w:val="627110E9"/>
    <w:rsid w:val="628C052A"/>
    <w:rsid w:val="62A45D4E"/>
    <w:rsid w:val="62D414A7"/>
    <w:rsid w:val="62D7083E"/>
    <w:rsid w:val="62F82CF3"/>
    <w:rsid w:val="62FF1540"/>
    <w:rsid w:val="6304251F"/>
    <w:rsid w:val="63281E8B"/>
    <w:rsid w:val="632E0F41"/>
    <w:rsid w:val="634F67DE"/>
    <w:rsid w:val="635818EB"/>
    <w:rsid w:val="637569B7"/>
    <w:rsid w:val="63860BC4"/>
    <w:rsid w:val="63C665A2"/>
    <w:rsid w:val="63EF5962"/>
    <w:rsid w:val="63F41FD1"/>
    <w:rsid w:val="63FD1A00"/>
    <w:rsid w:val="64047329"/>
    <w:rsid w:val="647823B8"/>
    <w:rsid w:val="64850E7B"/>
    <w:rsid w:val="64923598"/>
    <w:rsid w:val="64955006"/>
    <w:rsid w:val="64C85986"/>
    <w:rsid w:val="64D20C1E"/>
    <w:rsid w:val="64E96125"/>
    <w:rsid w:val="64F04C2B"/>
    <w:rsid w:val="654132E1"/>
    <w:rsid w:val="65A25083"/>
    <w:rsid w:val="65C3765F"/>
    <w:rsid w:val="65C7682D"/>
    <w:rsid w:val="65CB5315"/>
    <w:rsid w:val="65D5675A"/>
    <w:rsid w:val="65EE2B53"/>
    <w:rsid w:val="65F4209D"/>
    <w:rsid w:val="660014C1"/>
    <w:rsid w:val="660B4B17"/>
    <w:rsid w:val="664408C2"/>
    <w:rsid w:val="664538EE"/>
    <w:rsid w:val="666132AE"/>
    <w:rsid w:val="666F3B91"/>
    <w:rsid w:val="667F41DC"/>
    <w:rsid w:val="66C67959"/>
    <w:rsid w:val="66D35104"/>
    <w:rsid w:val="66ED0F5A"/>
    <w:rsid w:val="66EF6A80"/>
    <w:rsid w:val="671B6831"/>
    <w:rsid w:val="67550FD9"/>
    <w:rsid w:val="6756183E"/>
    <w:rsid w:val="6778499C"/>
    <w:rsid w:val="677D5022"/>
    <w:rsid w:val="678C1283"/>
    <w:rsid w:val="67A27F96"/>
    <w:rsid w:val="6817628E"/>
    <w:rsid w:val="682A79CE"/>
    <w:rsid w:val="68782CB6"/>
    <w:rsid w:val="68A613C0"/>
    <w:rsid w:val="69222C28"/>
    <w:rsid w:val="69411A4A"/>
    <w:rsid w:val="695141F3"/>
    <w:rsid w:val="695E3F8F"/>
    <w:rsid w:val="69AD3FC4"/>
    <w:rsid w:val="69DB6E53"/>
    <w:rsid w:val="69EA4EB7"/>
    <w:rsid w:val="6A0A6109"/>
    <w:rsid w:val="6A15413D"/>
    <w:rsid w:val="6A19077B"/>
    <w:rsid w:val="6A294982"/>
    <w:rsid w:val="6A2E5B11"/>
    <w:rsid w:val="6A300001"/>
    <w:rsid w:val="6A3556F0"/>
    <w:rsid w:val="6A4A3FA7"/>
    <w:rsid w:val="6A50572A"/>
    <w:rsid w:val="6A7064EC"/>
    <w:rsid w:val="6A7E442D"/>
    <w:rsid w:val="6A895F6D"/>
    <w:rsid w:val="6AB475C8"/>
    <w:rsid w:val="6ABD2226"/>
    <w:rsid w:val="6AC65D4A"/>
    <w:rsid w:val="6ADB1998"/>
    <w:rsid w:val="6AE47CCD"/>
    <w:rsid w:val="6AEF0C4F"/>
    <w:rsid w:val="6B0F26B0"/>
    <w:rsid w:val="6B4849B1"/>
    <w:rsid w:val="6B507B7B"/>
    <w:rsid w:val="6B637A3C"/>
    <w:rsid w:val="6B6C5F9E"/>
    <w:rsid w:val="6B8B23F5"/>
    <w:rsid w:val="6BA87C03"/>
    <w:rsid w:val="6BAA7356"/>
    <w:rsid w:val="6BBF207A"/>
    <w:rsid w:val="6BD6569A"/>
    <w:rsid w:val="6BFC254F"/>
    <w:rsid w:val="6BFD5080"/>
    <w:rsid w:val="6C1451E1"/>
    <w:rsid w:val="6C530C66"/>
    <w:rsid w:val="6C5E4B9E"/>
    <w:rsid w:val="6CC83193"/>
    <w:rsid w:val="6CEC361C"/>
    <w:rsid w:val="6D3F5940"/>
    <w:rsid w:val="6D4E1734"/>
    <w:rsid w:val="6D725CA3"/>
    <w:rsid w:val="6D7952F5"/>
    <w:rsid w:val="6D7972D7"/>
    <w:rsid w:val="6D93324D"/>
    <w:rsid w:val="6D9F7C70"/>
    <w:rsid w:val="6DBC51E2"/>
    <w:rsid w:val="6DF81F8A"/>
    <w:rsid w:val="6E0E3752"/>
    <w:rsid w:val="6E1207E0"/>
    <w:rsid w:val="6E145D64"/>
    <w:rsid w:val="6E2468A7"/>
    <w:rsid w:val="6E58315D"/>
    <w:rsid w:val="6E8333EB"/>
    <w:rsid w:val="6E8E3E1E"/>
    <w:rsid w:val="6EDA6F7E"/>
    <w:rsid w:val="6EF2667A"/>
    <w:rsid w:val="6EFE73F2"/>
    <w:rsid w:val="6F0C311C"/>
    <w:rsid w:val="6F186900"/>
    <w:rsid w:val="6F1C7A8B"/>
    <w:rsid w:val="6F402E88"/>
    <w:rsid w:val="6F5F5746"/>
    <w:rsid w:val="6F815BB6"/>
    <w:rsid w:val="6F9252F3"/>
    <w:rsid w:val="6FCB25BD"/>
    <w:rsid w:val="6FD46EC6"/>
    <w:rsid w:val="6FD646DE"/>
    <w:rsid w:val="6FE05A1B"/>
    <w:rsid w:val="6FE41519"/>
    <w:rsid w:val="6FE850F7"/>
    <w:rsid w:val="6FF45F82"/>
    <w:rsid w:val="6FF9096F"/>
    <w:rsid w:val="701D6A70"/>
    <w:rsid w:val="702E23C7"/>
    <w:rsid w:val="702F4391"/>
    <w:rsid w:val="70597C3D"/>
    <w:rsid w:val="70870A93"/>
    <w:rsid w:val="70E6008A"/>
    <w:rsid w:val="7101188A"/>
    <w:rsid w:val="710F13FB"/>
    <w:rsid w:val="71325EE7"/>
    <w:rsid w:val="713A383D"/>
    <w:rsid w:val="713B036A"/>
    <w:rsid w:val="71490E9E"/>
    <w:rsid w:val="717004D5"/>
    <w:rsid w:val="718F6E95"/>
    <w:rsid w:val="71946BA2"/>
    <w:rsid w:val="719A67A3"/>
    <w:rsid w:val="71A570C7"/>
    <w:rsid w:val="71A90CEE"/>
    <w:rsid w:val="71AF6E2A"/>
    <w:rsid w:val="71B01C5A"/>
    <w:rsid w:val="71B3466F"/>
    <w:rsid w:val="71CF3736"/>
    <w:rsid w:val="71D040A5"/>
    <w:rsid w:val="71D43432"/>
    <w:rsid w:val="72181AC2"/>
    <w:rsid w:val="72204CA1"/>
    <w:rsid w:val="722262C4"/>
    <w:rsid w:val="72356ABA"/>
    <w:rsid w:val="723624ED"/>
    <w:rsid w:val="724539F8"/>
    <w:rsid w:val="724E16FF"/>
    <w:rsid w:val="725010ED"/>
    <w:rsid w:val="72533EF4"/>
    <w:rsid w:val="726C5429"/>
    <w:rsid w:val="726F134A"/>
    <w:rsid w:val="727F515C"/>
    <w:rsid w:val="728054EE"/>
    <w:rsid w:val="728950D8"/>
    <w:rsid w:val="728C7879"/>
    <w:rsid w:val="72A5093A"/>
    <w:rsid w:val="72AB37D9"/>
    <w:rsid w:val="72AF0608"/>
    <w:rsid w:val="72BA7CED"/>
    <w:rsid w:val="72C87102"/>
    <w:rsid w:val="72D643D9"/>
    <w:rsid w:val="72DC7929"/>
    <w:rsid w:val="73004332"/>
    <w:rsid w:val="731A30D6"/>
    <w:rsid w:val="733760E5"/>
    <w:rsid w:val="73A72BD8"/>
    <w:rsid w:val="73D4493F"/>
    <w:rsid w:val="73E017E3"/>
    <w:rsid w:val="74130252"/>
    <w:rsid w:val="7420471D"/>
    <w:rsid w:val="743034AB"/>
    <w:rsid w:val="74477866"/>
    <w:rsid w:val="74557F6E"/>
    <w:rsid w:val="74622631"/>
    <w:rsid w:val="74720851"/>
    <w:rsid w:val="747B1159"/>
    <w:rsid w:val="74A068ED"/>
    <w:rsid w:val="74AE3AD6"/>
    <w:rsid w:val="74D91F12"/>
    <w:rsid w:val="752C4E7E"/>
    <w:rsid w:val="752F6409"/>
    <w:rsid w:val="7530694E"/>
    <w:rsid w:val="75826B4A"/>
    <w:rsid w:val="75874327"/>
    <w:rsid w:val="75894543"/>
    <w:rsid w:val="758B206A"/>
    <w:rsid w:val="75A7411C"/>
    <w:rsid w:val="75BA336B"/>
    <w:rsid w:val="75D22519"/>
    <w:rsid w:val="75ED3850"/>
    <w:rsid w:val="75F75951"/>
    <w:rsid w:val="760575EC"/>
    <w:rsid w:val="760D6F22"/>
    <w:rsid w:val="764211A2"/>
    <w:rsid w:val="764F2257"/>
    <w:rsid w:val="76663657"/>
    <w:rsid w:val="76726CE1"/>
    <w:rsid w:val="769A339D"/>
    <w:rsid w:val="76D0242A"/>
    <w:rsid w:val="76E5783D"/>
    <w:rsid w:val="76F141A8"/>
    <w:rsid w:val="770A5210"/>
    <w:rsid w:val="77302EC9"/>
    <w:rsid w:val="7746449A"/>
    <w:rsid w:val="778B4487"/>
    <w:rsid w:val="779C2B71"/>
    <w:rsid w:val="77A77481"/>
    <w:rsid w:val="77D00114"/>
    <w:rsid w:val="77E93077"/>
    <w:rsid w:val="77EC6C8E"/>
    <w:rsid w:val="78014865"/>
    <w:rsid w:val="781B5F15"/>
    <w:rsid w:val="781F367E"/>
    <w:rsid w:val="7829735B"/>
    <w:rsid w:val="782F7CC1"/>
    <w:rsid w:val="7834094C"/>
    <w:rsid w:val="78520C9B"/>
    <w:rsid w:val="786D2338"/>
    <w:rsid w:val="78757A10"/>
    <w:rsid w:val="78882D0F"/>
    <w:rsid w:val="789348B4"/>
    <w:rsid w:val="789E342A"/>
    <w:rsid w:val="78CD641D"/>
    <w:rsid w:val="78D37FAF"/>
    <w:rsid w:val="78F85C68"/>
    <w:rsid w:val="791B54B2"/>
    <w:rsid w:val="79220128"/>
    <w:rsid w:val="79345E71"/>
    <w:rsid w:val="79492020"/>
    <w:rsid w:val="795057A9"/>
    <w:rsid w:val="797352EE"/>
    <w:rsid w:val="79856DD0"/>
    <w:rsid w:val="79CE4C1B"/>
    <w:rsid w:val="79CF7AC7"/>
    <w:rsid w:val="79DE1CDD"/>
    <w:rsid w:val="7A0039B2"/>
    <w:rsid w:val="7A28639F"/>
    <w:rsid w:val="7A781A05"/>
    <w:rsid w:val="7A8A69B9"/>
    <w:rsid w:val="7A987255"/>
    <w:rsid w:val="7A9F1DA5"/>
    <w:rsid w:val="7ABA174D"/>
    <w:rsid w:val="7ABB2A50"/>
    <w:rsid w:val="7AC51B7A"/>
    <w:rsid w:val="7ACA53E2"/>
    <w:rsid w:val="7AE40ADC"/>
    <w:rsid w:val="7AED4FCB"/>
    <w:rsid w:val="7AF41338"/>
    <w:rsid w:val="7B0703E4"/>
    <w:rsid w:val="7B122F38"/>
    <w:rsid w:val="7B197943"/>
    <w:rsid w:val="7B1B0A31"/>
    <w:rsid w:val="7B220D7A"/>
    <w:rsid w:val="7B236593"/>
    <w:rsid w:val="7B2B563E"/>
    <w:rsid w:val="7B424730"/>
    <w:rsid w:val="7B622613"/>
    <w:rsid w:val="7B8B4B71"/>
    <w:rsid w:val="7B9652C4"/>
    <w:rsid w:val="7BA05373"/>
    <w:rsid w:val="7BAB644C"/>
    <w:rsid w:val="7BD03A78"/>
    <w:rsid w:val="7BD17E24"/>
    <w:rsid w:val="7BD6100B"/>
    <w:rsid w:val="7BDF6C6B"/>
    <w:rsid w:val="7BE45E17"/>
    <w:rsid w:val="7C02766E"/>
    <w:rsid w:val="7C346E24"/>
    <w:rsid w:val="7C3B5D56"/>
    <w:rsid w:val="7C3B5E28"/>
    <w:rsid w:val="7C526F44"/>
    <w:rsid w:val="7C61296E"/>
    <w:rsid w:val="7C727344"/>
    <w:rsid w:val="7C7558D6"/>
    <w:rsid w:val="7C9D4824"/>
    <w:rsid w:val="7CBA4B64"/>
    <w:rsid w:val="7CBD5124"/>
    <w:rsid w:val="7CCB44C9"/>
    <w:rsid w:val="7CD26EA2"/>
    <w:rsid w:val="7D287906"/>
    <w:rsid w:val="7D511DEB"/>
    <w:rsid w:val="7D5144AE"/>
    <w:rsid w:val="7D8F5CDD"/>
    <w:rsid w:val="7D9825B8"/>
    <w:rsid w:val="7D9918F9"/>
    <w:rsid w:val="7DA33071"/>
    <w:rsid w:val="7DA541D3"/>
    <w:rsid w:val="7DD26177"/>
    <w:rsid w:val="7DEC6224"/>
    <w:rsid w:val="7E2B7F71"/>
    <w:rsid w:val="7E2D4F56"/>
    <w:rsid w:val="7E494C49"/>
    <w:rsid w:val="7E730367"/>
    <w:rsid w:val="7EA667AD"/>
    <w:rsid w:val="7EBF44CB"/>
    <w:rsid w:val="7ECB7185"/>
    <w:rsid w:val="7ED97333"/>
    <w:rsid w:val="7EE55250"/>
    <w:rsid w:val="7EED29F8"/>
    <w:rsid w:val="7EF86E6B"/>
    <w:rsid w:val="7F0C025E"/>
    <w:rsid w:val="7F1C1C9B"/>
    <w:rsid w:val="7F8F09A8"/>
    <w:rsid w:val="7FB9093A"/>
    <w:rsid w:val="7FCD70CE"/>
    <w:rsid w:val="7FEA1F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link w:val="114"/>
    <w:autoRedefine/>
    <w:qFormat/>
    <w:uiPriority w:val="0"/>
    <w:pPr>
      <w:keepNext/>
      <w:keepLines/>
      <w:widowControl/>
      <w:spacing w:line="360" w:lineRule="auto"/>
      <w:jc w:val="center"/>
      <w:outlineLvl w:val="1"/>
    </w:pPr>
    <w:rPr>
      <w:rFonts w:ascii="宋体" w:hAnsi="宋体"/>
      <w:b/>
      <w:color w:val="000000"/>
      <w:kern w:val="0"/>
      <w:sz w:val="44"/>
      <w:szCs w:val="20"/>
    </w:rPr>
  </w:style>
  <w:style w:type="paragraph" w:styleId="4">
    <w:name w:val="heading 3"/>
    <w:basedOn w:val="1"/>
    <w:next w:val="1"/>
    <w:link w:val="63"/>
    <w:autoRedefine/>
    <w:qFormat/>
    <w:uiPriority w:val="9"/>
    <w:pPr>
      <w:keepNext/>
      <w:keepLines/>
      <w:widowControl/>
      <w:tabs>
        <w:tab w:val="left" w:pos="720"/>
      </w:tabs>
      <w:spacing w:before="120" w:after="120" w:line="360" w:lineRule="auto"/>
      <w:ind w:left="720" w:hanging="720"/>
      <w:jc w:val="center"/>
      <w:outlineLvl w:val="2"/>
    </w:pPr>
    <w:rPr>
      <w:b/>
      <w:kern w:val="0"/>
      <w:sz w:val="32"/>
      <w:szCs w:val="20"/>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autoRedefine/>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ind w:left="1260"/>
      <w:jc w:val="left"/>
    </w:pPr>
    <w:rPr>
      <w:sz w:val="18"/>
      <w:szCs w:val="18"/>
    </w:rPr>
  </w:style>
  <w:style w:type="paragraph" w:styleId="12">
    <w:name w:val="Normal Indent"/>
    <w:basedOn w:val="1"/>
    <w:autoRedefine/>
    <w:qFormat/>
    <w:uiPriority w:val="0"/>
    <w:pPr>
      <w:widowControl/>
      <w:ind w:firstLine="420"/>
      <w:jc w:val="left"/>
    </w:pPr>
    <w:rPr>
      <w:kern w:val="0"/>
      <w:sz w:val="20"/>
      <w:szCs w:val="20"/>
    </w:rPr>
  </w:style>
  <w:style w:type="paragraph" w:styleId="13">
    <w:name w:val="index 5"/>
    <w:basedOn w:val="1"/>
    <w:next w:val="1"/>
    <w:unhideWhenUsed/>
    <w:qFormat/>
    <w:uiPriority w:val="99"/>
    <w:pPr>
      <w:ind w:left="800" w:leftChars="800"/>
    </w:pPr>
  </w:style>
  <w:style w:type="paragraph" w:styleId="14">
    <w:name w:val="Document Map"/>
    <w:basedOn w:val="1"/>
    <w:autoRedefine/>
    <w:semiHidden/>
    <w:qFormat/>
    <w:uiPriority w:val="0"/>
    <w:pPr>
      <w:widowControl/>
      <w:shd w:val="clear" w:color="auto" w:fill="000080"/>
      <w:jc w:val="left"/>
    </w:pPr>
    <w:rPr>
      <w:kern w:val="0"/>
      <w:sz w:val="20"/>
      <w:szCs w:val="20"/>
    </w:rPr>
  </w:style>
  <w:style w:type="paragraph" w:styleId="15">
    <w:name w:val="annotation text"/>
    <w:basedOn w:val="1"/>
    <w:autoRedefine/>
    <w:semiHidden/>
    <w:qFormat/>
    <w:uiPriority w:val="0"/>
    <w:pPr>
      <w:adjustRightInd w:val="0"/>
      <w:spacing w:line="360" w:lineRule="atLeast"/>
      <w:jc w:val="left"/>
      <w:textAlignment w:val="baseline"/>
    </w:pPr>
    <w:rPr>
      <w:kern w:val="0"/>
      <w:sz w:val="24"/>
      <w:szCs w:val="20"/>
    </w:rPr>
  </w:style>
  <w:style w:type="paragraph" w:styleId="16">
    <w:name w:val="Body Text"/>
    <w:basedOn w:val="1"/>
    <w:next w:val="1"/>
    <w:link w:val="116"/>
    <w:autoRedefine/>
    <w:qFormat/>
    <w:uiPriority w:val="99"/>
    <w:pPr>
      <w:spacing w:line="0" w:lineRule="atLeast"/>
    </w:pPr>
    <w:rPr>
      <w:sz w:val="30"/>
      <w:szCs w:val="20"/>
    </w:rPr>
  </w:style>
  <w:style w:type="paragraph" w:styleId="17">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8">
    <w:name w:val="Block Text"/>
    <w:basedOn w:val="1"/>
    <w:autoRedefine/>
    <w:qFormat/>
    <w:uiPriority w:val="0"/>
    <w:pPr>
      <w:adjustRightInd w:val="0"/>
      <w:ind w:left="420" w:right="33"/>
      <w:jc w:val="left"/>
      <w:textAlignment w:val="baseline"/>
    </w:pPr>
    <w:rPr>
      <w:kern w:val="0"/>
      <w:sz w:val="24"/>
      <w:szCs w:val="20"/>
    </w:rPr>
  </w:style>
  <w:style w:type="paragraph" w:styleId="19">
    <w:name w:val="toc 5"/>
    <w:basedOn w:val="1"/>
    <w:next w:val="1"/>
    <w:autoRedefine/>
    <w:semiHidden/>
    <w:qFormat/>
    <w:uiPriority w:val="0"/>
    <w:pPr>
      <w:ind w:left="840"/>
      <w:jc w:val="left"/>
    </w:pPr>
    <w:rPr>
      <w:sz w:val="18"/>
      <w:szCs w:val="18"/>
    </w:rPr>
  </w:style>
  <w:style w:type="paragraph" w:styleId="20">
    <w:name w:val="toc 3"/>
    <w:basedOn w:val="1"/>
    <w:next w:val="1"/>
    <w:autoRedefine/>
    <w:qFormat/>
    <w:uiPriority w:val="39"/>
    <w:pPr>
      <w:tabs>
        <w:tab w:val="right" w:leader="dot" w:pos="9345"/>
      </w:tabs>
      <w:spacing w:line="480" w:lineRule="auto"/>
    </w:pPr>
    <w:rPr>
      <w:i/>
      <w:iCs/>
      <w:sz w:val="20"/>
      <w:szCs w:val="20"/>
    </w:rPr>
  </w:style>
  <w:style w:type="paragraph" w:styleId="21">
    <w:name w:val="Plain Text"/>
    <w:basedOn w:val="1"/>
    <w:autoRedefine/>
    <w:qFormat/>
    <w:uiPriority w:val="0"/>
    <w:rPr>
      <w:rFonts w:ascii="宋体" w:hAnsi="Courier New"/>
      <w:szCs w:val="20"/>
    </w:rPr>
  </w:style>
  <w:style w:type="paragraph" w:styleId="22">
    <w:name w:val="toc 8"/>
    <w:basedOn w:val="1"/>
    <w:next w:val="1"/>
    <w:autoRedefine/>
    <w:semiHidden/>
    <w:qFormat/>
    <w:uiPriority w:val="0"/>
    <w:pPr>
      <w:ind w:left="1470"/>
      <w:jc w:val="left"/>
    </w:pPr>
    <w:rPr>
      <w:sz w:val="18"/>
      <w:szCs w:val="18"/>
    </w:rPr>
  </w:style>
  <w:style w:type="paragraph" w:styleId="23">
    <w:name w:val="Date"/>
    <w:basedOn w:val="1"/>
    <w:next w:val="1"/>
    <w:autoRedefine/>
    <w:qFormat/>
    <w:uiPriority w:val="0"/>
    <w:rPr>
      <w:sz w:val="24"/>
      <w:szCs w:val="20"/>
    </w:rPr>
  </w:style>
  <w:style w:type="paragraph" w:styleId="24">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25">
    <w:name w:val="endnote text"/>
    <w:basedOn w:val="1"/>
    <w:autoRedefine/>
    <w:semiHidden/>
    <w:qFormat/>
    <w:uiPriority w:val="0"/>
    <w:pPr>
      <w:widowControl/>
      <w:snapToGrid w:val="0"/>
      <w:jc w:val="left"/>
    </w:pPr>
    <w:rPr>
      <w:kern w:val="0"/>
      <w:sz w:val="20"/>
      <w:szCs w:val="20"/>
    </w:rPr>
  </w:style>
  <w:style w:type="paragraph" w:styleId="26">
    <w:name w:val="Balloon Text"/>
    <w:basedOn w:val="1"/>
    <w:link w:val="115"/>
    <w:autoRedefine/>
    <w:qFormat/>
    <w:uiPriority w:val="99"/>
    <w:pPr>
      <w:widowControl/>
      <w:jc w:val="left"/>
    </w:pPr>
    <w:rPr>
      <w:kern w:val="0"/>
      <w:sz w:val="18"/>
      <w:szCs w:val="18"/>
    </w:rPr>
  </w:style>
  <w:style w:type="paragraph" w:styleId="27">
    <w:name w:val="footer"/>
    <w:basedOn w:val="1"/>
    <w:link w:val="64"/>
    <w:autoRedefine/>
    <w:qFormat/>
    <w:uiPriority w:val="99"/>
    <w:pPr>
      <w:widowControl/>
      <w:tabs>
        <w:tab w:val="center" w:pos="4153"/>
        <w:tab w:val="right" w:pos="8306"/>
      </w:tabs>
      <w:snapToGrid w:val="0"/>
      <w:jc w:val="left"/>
    </w:pPr>
    <w:rPr>
      <w:kern w:val="0"/>
      <w:sz w:val="18"/>
      <w:szCs w:val="20"/>
    </w:rPr>
  </w:style>
  <w:style w:type="paragraph" w:styleId="28">
    <w:name w:val="header"/>
    <w:basedOn w:val="1"/>
    <w:link w:val="60"/>
    <w:autoRedefine/>
    <w:qFormat/>
    <w:uiPriority w:val="99"/>
    <w:pPr>
      <w:widowControl/>
      <w:pBdr>
        <w:bottom w:val="single" w:color="auto" w:sz="6" w:space="1"/>
      </w:pBdr>
      <w:tabs>
        <w:tab w:val="center" w:pos="4153"/>
        <w:tab w:val="right" w:pos="8306"/>
      </w:tabs>
      <w:snapToGrid w:val="0"/>
      <w:jc w:val="center"/>
    </w:pPr>
    <w:rPr>
      <w:kern w:val="0"/>
      <w:sz w:val="18"/>
      <w:szCs w:val="20"/>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39"/>
    <w:pPr>
      <w:ind w:left="630"/>
      <w:jc w:val="left"/>
    </w:pPr>
    <w:rPr>
      <w:sz w:val="18"/>
      <w:szCs w:val="18"/>
    </w:rPr>
  </w:style>
  <w:style w:type="paragraph" w:styleId="31">
    <w:name w:val="footnote text"/>
    <w:basedOn w:val="1"/>
    <w:autoRedefine/>
    <w:semiHidden/>
    <w:qFormat/>
    <w:uiPriority w:val="0"/>
    <w:pPr>
      <w:adjustRightInd w:val="0"/>
      <w:spacing w:line="312" w:lineRule="atLeast"/>
      <w:jc w:val="left"/>
      <w:textAlignment w:val="baseline"/>
    </w:pPr>
    <w:rPr>
      <w:kern w:val="0"/>
      <w:sz w:val="18"/>
      <w:szCs w:val="20"/>
    </w:rPr>
  </w:style>
  <w:style w:type="paragraph" w:styleId="32">
    <w:name w:val="toc 6"/>
    <w:basedOn w:val="1"/>
    <w:next w:val="1"/>
    <w:autoRedefine/>
    <w:semiHidden/>
    <w:qFormat/>
    <w:uiPriority w:val="0"/>
    <w:pPr>
      <w:ind w:left="1050"/>
      <w:jc w:val="left"/>
    </w:pPr>
    <w:rPr>
      <w:sz w:val="18"/>
      <w:szCs w:val="18"/>
    </w:rPr>
  </w:style>
  <w:style w:type="paragraph" w:styleId="33">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4">
    <w:name w:val="toc 2"/>
    <w:basedOn w:val="1"/>
    <w:next w:val="1"/>
    <w:autoRedefine/>
    <w:qFormat/>
    <w:uiPriority w:val="39"/>
    <w:pPr>
      <w:tabs>
        <w:tab w:val="right" w:leader="dot" w:pos="9345"/>
      </w:tabs>
      <w:spacing w:line="360" w:lineRule="auto"/>
      <w:ind w:left="210"/>
    </w:pPr>
    <w:rPr>
      <w:b/>
      <w:smallCaps/>
      <w:sz w:val="32"/>
      <w:szCs w:val="32"/>
    </w:rPr>
  </w:style>
  <w:style w:type="paragraph" w:styleId="35">
    <w:name w:val="toc 9"/>
    <w:basedOn w:val="1"/>
    <w:next w:val="1"/>
    <w:autoRedefine/>
    <w:semiHidden/>
    <w:qFormat/>
    <w:uiPriority w:val="0"/>
    <w:pPr>
      <w:ind w:left="1680"/>
      <w:jc w:val="left"/>
    </w:pPr>
    <w:rPr>
      <w:sz w:val="18"/>
      <w:szCs w:val="18"/>
    </w:rPr>
  </w:style>
  <w:style w:type="paragraph" w:styleId="36">
    <w:name w:val="Body Text 2"/>
    <w:basedOn w:val="1"/>
    <w:autoRedefine/>
    <w:qFormat/>
    <w:uiPriority w:val="0"/>
    <w:pPr>
      <w:widowControl/>
      <w:spacing w:after="120" w:line="480" w:lineRule="auto"/>
      <w:jc w:val="left"/>
    </w:pPr>
    <w:rPr>
      <w:kern w:val="0"/>
      <w:sz w:val="20"/>
      <w:szCs w:val="20"/>
    </w:rPr>
  </w:style>
  <w:style w:type="paragraph" w:styleId="37">
    <w:name w:val="Message Header"/>
    <w:basedOn w:val="1"/>
    <w:next w:val="1"/>
    <w:autoRedefine/>
    <w:qFormat/>
    <w:uiPriority w:val="0"/>
    <w:pPr>
      <w:pBdr>
        <w:top w:val="none" w:color="auto" w:sz="0" w:space="1"/>
        <w:left w:val="none" w:color="auto" w:sz="0" w:space="1"/>
        <w:bottom w:val="none" w:color="auto" w:sz="0" w:space="1"/>
        <w:right w:val="none" w:color="auto" w:sz="0" w:space="1"/>
      </w:pBdr>
      <w:snapToGrid w:val="0"/>
      <w:spacing w:line="360" w:lineRule="auto"/>
      <w:ind w:left="560" w:hanging="560" w:hangingChars="200"/>
      <w:jc w:val="left"/>
    </w:pPr>
    <w:rPr>
      <w:rFonts w:ascii="Arial" w:hAnsi="Arial" w:eastAsia="仿宋"/>
      <w:sz w:val="28"/>
    </w:rPr>
  </w:style>
  <w:style w:type="paragraph" w:styleId="3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39">
    <w:name w:val="Title"/>
    <w:basedOn w:val="1"/>
    <w:next w:val="1"/>
    <w:qFormat/>
    <w:uiPriority w:val="10"/>
    <w:pPr>
      <w:adjustRightInd w:val="0"/>
      <w:spacing w:before="240" w:after="60" w:line="420" w:lineRule="atLeast"/>
      <w:jc w:val="center"/>
      <w:textAlignment w:val="baseline"/>
      <w:outlineLvl w:val="0"/>
    </w:pPr>
    <w:rPr>
      <w:rFonts w:ascii="Arial" w:hAnsi="Arial"/>
      <w:b/>
      <w:sz w:val="32"/>
    </w:rPr>
  </w:style>
  <w:style w:type="paragraph" w:styleId="40">
    <w:name w:val="annotation subject"/>
    <w:basedOn w:val="15"/>
    <w:next w:val="15"/>
    <w:autoRedefine/>
    <w:semiHidden/>
    <w:qFormat/>
    <w:uiPriority w:val="0"/>
    <w:pPr>
      <w:adjustRightInd/>
      <w:spacing w:line="360" w:lineRule="auto"/>
      <w:textAlignment w:val="auto"/>
    </w:pPr>
    <w:rPr>
      <w:b/>
      <w:bCs/>
      <w:kern w:val="2"/>
    </w:rPr>
  </w:style>
  <w:style w:type="paragraph" w:styleId="41">
    <w:name w:val="Body Text First Indent"/>
    <w:basedOn w:val="16"/>
    <w:link w:val="117"/>
    <w:autoRedefine/>
    <w:qFormat/>
    <w:uiPriority w:val="0"/>
    <w:pPr>
      <w:spacing w:after="120" w:line="240" w:lineRule="auto"/>
      <w:ind w:firstLine="420" w:firstLineChars="100"/>
    </w:pPr>
    <w:rPr>
      <w:sz w:val="21"/>
      <w:szCs w:val="24"/>
    </w:rPr>
  </w:style>
  <w:style w:type="table" w:styleId="43">
    <w:name w:val="Table Grid"/>
    <w:basedOn w:val="4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autoRedefine/>
    <w:qFormat/>
    <w:uiPriority w:val="0"/>
    <w:rPr>
      <w:b/>
      <w:bCs/>
    </w:rPr>
  </w:style>
  <w:style w:type="character" w:styleId="46">
    <w:name w:val="page number"/>
    <w:basedOn w:val="44"/>
    <w:autoRedefine/>
    <w:qFormat/>
    <w:uiPriority w:val="0"/>
  </w:style>
  <w:style w:type="character" w:styleId="47">
    <w:name w:val="FollowedHyperlink"/>
    <w:basedOn w:val="44"/>
    <w:autoRedefine/>
    <w:qFormat/>
    <w:uiPriority w:val="0"/>
    <w:rPr>
      <w:color w:val="800080"/>
      <w:u w:val="none"/>
    </w:rPr>
  </w:style>
  <w:style w:type="character" w:styleId="48">
    <w:name w:val="Emphasis"/>
    <w:basedOn w:val="44"/>
    <w:autoRedefine/>
    <w:qFormat/>
    <w:uiPriority w:val="0"/>
    <w:rPr>
      <w:b/>
      <w:bCs/>
    </w:rPr>
  </w:style>
  <w:style w:type="character" w:styleId="49">
    <w:name w:val="HTML Definition"/>
    <w:basedOn w:val="44"/>
    <w:autoRedefine/>
    <w:qFormat/>
    <w:uiPriority w:val="0"/>
  </w:style>
  <w:style w:type="character" w:styleId="50">
    <w:name w:val="HTML Typewriter"/>
    <w:basedOn w:val="44"/>
    <w:autoRedefine/>
    <w:qFormat/>
    <w:uiPriority w:val="0"/>
    <w:rPr>
      <w:rFonts w:hint="default" w:ascii="monospace" w:hAnsi="monospace" w:eastAsia="monospace" w:cs="monospace"/>
      <w:sz w:val="20"/>
    </w:rPr>
  </w:style>
  <w:style w:type="character" w:styleId="51">
    <w:name w:val="HTML Acronym"/>
    <w:basedOn w:val="44"/>
    <w:autoRedefine/>
    <w:qFormat/>
    <w:uiPriority w:val="0"/>
    <w:rPr>
      <w:vanish/>
    </w:rPr>
  </w:style>
  <w:style w:type="character" w:styleId="52">
    <w:name w:val="HTML Variable"/>
    <w:basedOn w:val="44"/>
    <w:autoRedefine/>
    <w:qFormat/>
    <w:uiPriority w:val="0"/>
  </w:style>
  <w:style w:type="character" w:styleId="53">
    <w:name w:val="Hyperlink"/>
    <w:basedOn w:val="44"/>
    <w:autoRedefine/>
    <w:qFormat/>
    <w:uiPriority w:val="99"/>
    <w:rPr>
      <w:color w:val="0000FF"/>
      <w:u w:val="none"/>
    </w:rPr>
  </w:style>
  <w:style w:type="character" w:styleId="54">
    <w:name w:val="HTML Code"/>
    <w:basedOn w:val="44"/>
    <w:autoRedefine/>
    <w:qFormat/>
    <w:uiPriority w:val="0"/>
    <w:rPr>
      <w:rFonts w:ascii="monospace" w:hAnsi="monospace" w:eastAsia="monospace" w:cs="monospace"/>
      <w:sz w:val="20"/>
    </w:rPr>
  </w:style>
  <w:style w:type="character" w:styleId="55">
    <w:name w:val="annotation reference"/>
    <w:semiHidden/>
    <w:qFormat/>
    <w:uiPriority w:val="0"/>
    <w:rPr>
      <w:sz w:val="21"/>
      <w:szCs w:val="21"/>
    </w:rPr>
  </w:style>
  <w:style w:type="character" w:styleId="56">
    <w:name w:val="HTML Cite"/>
    <w:basedOn w:val="44"/>
    <w:autoRedefine/>
    <w:qFormat/>
    <w:uiPriority w:val="0"/>
  </w:style>
  <w:style w:type="character" w:styleId="57">
    <w:name w:val="HTML Keyboard"/>
    <w:basedOn w:val="44"/>
    <w:autoRedefine/>
    <w:qFormat/>
    <w:uiPriority w:val="0"/>
    <w:rPr>
      <w:rFonts w:hint="default" w:ascii="monospace" w:hAnsi="monospace" w:eastAsia="monospace" w:cs="monospace"/>
      <w:sz w:val="20"/>
    </w:rPr>
  </w:style>
  <w:style w:type="character" w:styleId="58">
    <w:name w:val="HTML Sample"/>
    <w:basedOn w:val="44"/>
    <w:autoRedefine/>
    <w:qFormat/>
    <w:uiPriority w:val="0"/>
    <w:rPr>
      <w:rFonts w:hint="default" w:ascii="monospace" w:hAnsi="monospace" w:eastAsia="monospace" w:cs="monospace"/>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页眉 Char"/>
    <w:link w:val="28"/>
    <w:autoRedefine/>
    <w:qFormat/>
    <w:uiPriority w:val="99"/>
    <w:rPr>
      <w:rFonts w:eastAsia="宋体"/>
      <w:sz w:val="18"/>
      <w:lang w:val="en-US" w:eastAsia="zh-CN" w:bidi="ar-SA"/>
    </w:rPr>
  </w:style>
  <w:style w:type="character" w:customStyle="1" w:styleId="61">
    <w:name w:val="Para head"/>
    <w:autoRedefine/>
    <w:qFormat/>
    <w:uiPriority w:val="0"/>
    <w:rPr>
      <w:rFonts w:ascii="Arial" w:hAnsi="Arial" w:eastAsia="Times New Roman"/>
      <w:sz w:val="20"/>
    </w:rPr>
  </w:style>
  <w:style w:type="character" w:customStyle="1" w:styleId="62">
    <w:name w:val="标题 1 Char"/>
    <w:link w:val="2"/>
    <w:autoRedefine/>
    <w:qFormat/>
    <w:uiPriority w:val="0"/>
    <w:rPr>
      <w:rFonts w:ascii="黑体" w:eastAsia="黑体"/>
      <w:sz w:val="52"/>
    </w:rPr>
  </w:style>
  <w:style w:type="character" w:customStyle="1" w:styleId="63">
    <w:name w:val="标题 3 Char"/>
    <w:link w:val="4"/>
    <w:autoRedefine/>
    <w:qFormat/>
    <w:uiPriority w:val="0"/>
    <w:rPr>
      <w:b/>
      <w:sz w:val="32"/>
    </w:rPr>
  </w:style>
  <w:style w:type="character" w:customStyle="1" w:styleId="64">
    <w:name w:val="页脚 Char"/>
    <w:link w:val="27"/>
    <w:autoRedefine/>
    <w:qFormat/>
    <w:uiPriority w:val="99"/>
    <w:rPr>
      <w:rFonts w:eastAsia="宋体"/>
      <w:sz w:val="18"/>
      <w:lang w:val="en-US" w:eastAsia="zh-CN" w:bidi="ar-SA"/>
    </w:rPr>
  </w:style>
  <w:style w:type="character" w:customStyle="1" w:styleId="65">
    <w:name w:val="font41"/>
    <w:qFormat/>
    <w:uiPriority w:val="0"/>
    <w:rPr>
      <w:rFonts w:ascii="Arial" w:hAnsi="Arial" w:cs="Arial"/>
      <w:color w:val="000000"/>
      <w:sz w:val="18"/>
      <w:szCs w:val="18"/>
      <w:u w:val="none"/>
    </w:rPr>
  </w:style>
  <w:style w:type="paragraph" w:customStyle="1" w:styleId="66">
    <w:name w:val="xl44"/>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40"/>
      <w:szCs w:val="40"/>
    </w:rPr>
  </w:style>
  <w:style w:type="paragraph" w:customStyle="1" w:styleId="67">
    <w:name w:val="Char Char Char"/>
    <w:basedOn w:val="1"/>
    <w:autoRedefine/>
    <w:qFormat/>
    <w:uiPriority w:val="0"/>
    <w:pPr>
      <w:snapToGrid w:val="0"/>
    </w:pPr>
    <w:rPr>
      <w:rFonts w:ascii="Tahoma" w:hAnsi="Tahoma" w:eastAsia="仿宋_GB2312"/>
      <w:kern w:val="0"/>
      <w:sz w:val="24"/>
      <w:szCs w:val="20"/>
    </w:rPr>
  </w:style>
  <w:style w:type="paragraph" w:customStyle="1" w:styleId="68">
    <w:name w:val="菲页1"/>
    <w:basedOn w:val="3"/>
    <w:autoRedefine/>
    <w:qFormat/>
    <w:uiPriority w:val="0"/>
    <w:rPr>
      <w:rFonts w:ascii="黑体"/>
      <w:b w:val="0"/>
      <w:sz w:val="52"/>
    </w:rPr>
  </w:style>
  <w:style w:type="paragraph" w:customStyle="1" w:styleId="69">
    <w:name w:val="目录"/>
    <w:basedOn w:val="1"/>
    <w:autoRedefine/>
    <w:qFormat/>
    <w:uiPriority w:val="0"/>
    <w:pPr>
      <w:widowControl/>
      <w:jc w:val="center"/>
    </w:pPr>
    <w:rPr>
      <w:rFonts w:ascii="宋体"/>
      <w:b/>
      <w:kern w:val="0"/>
      <w:sz w:val="36"/>
      <w:szCs w:val="20"/>
    </w:rPr>
  </w:style>
  <w:style w:type="paragraph" w:customStyle="1" w:styleId="70">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71">
    <w:name w:val="xl31"/>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7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菲页(卷)"/>
    <w:basedOn w:val="2"/>
    <w:next w:val="74"/>
    <w:autoRedefine/>
    <w:qFormat/>
    <w:uiPriority w:val="0"/>
    <w:pPr>
      <w:outlineLvl w:val="1"/>
    </w:pPr>
  </w:style>
  <w:style w:type="paragraph" w:customStyle="1" w:styleId="7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Default"/>
    <w:next w:val="2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Char"/>
    <w:basedOn w:val="1"/>
    <w:autoRedefine/>
    <w:qFormat/>
    <w:uiPriority w:val="0"/>
    <w:pPr>
      <w:spacing w:line="360" w:lineRule="auto"/>
      <w:ind w:firstLine="200" w:firstLineChars="200"/>
    </w:pPr>
    <w:rPr>
      <w:szCs w:val="20"/>
    </w:rPr>
  </w:style>
  <w:style w:type="paragraph" w:customStyle="1" w:styleId="77">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78">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79">
    <w:name w:val="xl32"/>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0">
    <w:name w:val="xl36"/>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81">
    <w:name w:val="xl4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82">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83">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4">
    <w:name w:val="xl30"/>
    <w:basedOn w:val="1"/>
    <w:autoRedefine/>
    <w:qFormat/>
    <w:uiPriority w:val="0"/>
    <w:pPr>
      <w:widowControl/>
      <w:spacing w:before="100" w:beforeAutospacing="1" w:after="100" w:afterAutospacing="1"/>
      <w:jc w:val="center"/>
    </w:pPr>
    <w:rPr>
      <w:rFonts w:ascii="Arial Unicode MS" w:hAnsi="Arial Unicode MS" w:eastAsia="Arial Unicode MS" w:cs="Arial Unicode MS"/>
      <w:b/>
      <w:bCs/>
      <w:kern w:val="0"/>
      <w:sz w:val="48"/>
      <w:szCs w:val="48"/>
    </w:rPr>
  </w:style>
  <w:style w:type="paragraph" w:customStyle="1" w:styleId="85">
    <w:name w:val="font8"/>
    <w:basedOn w:val="1"/>
    <w:autoRedefine/>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86">
    <w:name w:val="xl4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87">
    <w:name w:val="xl35"/>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88">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8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0">
    <w:name w:val="p0"/>
    <w:basedOn w:val="1"/>
    <w:autoRedefine/>
    <w:qFormat/>
    <w:uiPriority w:val="0"/>
    <w:pPr>
      <w:widowControl/>
      <w:jc w:val="left"/>
    </w:pPr>
    <w:rPr>
      <w:kern w:val="0"/>
      <w:sz w:val="20"/>
      <w:szCs w:val="20"/>
    </w:rPr>
  </w:style>
  <w:style w:type="paragraph" w:customStyle="1" w:styleId="91">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2">
    <w:name w:val="Char Char 字元 字元 字元 Char Char Char Char"/>
    <w:basedOn w:val="1"/>
    <w:autoRedefine/>
    <w:qFormat/>
    <w:uiPriority w:val="0"/>
    <w:pPr>
      <w:adjustRightInd w:val="0"/>
      <w:spacing w:line="360" w:lineRule="auto"/>
    </w:pPr>
    <w:rPr>
      <w:kern w:val="0"/>
      <w:sz w:val="24"/>
      <w:szCs w:val="20"/>
    </w:rPr>
  </w:style>
  <w:style w:type="paragraph" w:customStyle="1" w:styleId="93">
    <w:name w:val="xl3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4">
    <w:name w:val="xl3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9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96">
    <w:name w:val="菲页2"/>
    <w:basedOn w:val="4"/>
    <w:autoRedefine/>
    <w:qFormat/>
    <w:uiPriority w:val="0"/>
    <w:rPr>
      <w:rFonts w:ascii="黑体" w:hAnsi="宋体" w:eastAsia="黑体"/>
      <w:b w:val="0"/>
      <w:sz w:val="44"/>
    </w:rPr>
  </w:style>
  <w:style w:type="paragraph" w:customStyle="1" w:styleId="97">
    <w:name w:val="xl22"/>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32"/>
      <w:szCs w:val="32"/>
    </w:rPr>
  </w:style>
  <w:style w:type="paragraph" w:customStyle="1" w:styleId="98">
    <w:name w:val="样式 样式 首行缩进:  2 字符 + 首行缩进:  2 字符"/>
    <w:basedOn w:val="1"/>
    <w:autoRedefine/>
    <w:qFormat/>
    <w:uiPriority w:val="0"/>
    <w:pPr>
      <w:widowControl/>
      <w:spacing w:after="200" w:line="360" w:lineRule="auto"/>
      <w:ind w:firstLine="480" w:firstLineChars="200"/>
      <w:jc w:val="left"/>
    </w:pPr>
    <w:rPr>
      <w:rFonts w:ascii="Calibri" w:hAnsi="Calibri" w:cs="宋体"/>
      <w:kern w:val="0"/>
      <w:sz w:val="24"/>
      <w:szCs w:val="20"/>
      <w:lang w:eastAsia="en-US" w:bidi="en-US"/>
    </w:rPr>
  </w:style>
  <w:style w:type="paragraph" w:customStyle="1" w:styleId="99">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100">
    <w:name w:val="font9"/>
    <w:basedOn w:val="1"/>
    <w:autoRedefine/>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10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102">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03">
    <w:name w:val="xl3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4">
    <w:name w:val="xl34"/>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105">
    <w:name w:val="样式1"/>
    <w:basedOn w:val="1"/>
    <w:autoRedefine/>
    <w:qFormat/>
    <w:uiPriority w:val="0"/>
    <w:pPr>
      <w:spacing w:before="120" w:after="120" w:line="300" w:lineRule="auto"/>
    </w:pPr>
    <w:rPr>
      <w:rFonts w:ascii="宋体" w:hAnsi="宋体"/>
      <w:b/>
      <w:sz w:val="24"/>
      <w:szCs w:val="20"/>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107">
    <w:name w:val="xl24"/>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44"/>
      <w:szCs w:val="44"/>
    </w:rPr>
  </w:style>
  <w:style w:type="paragraph" w:customStyle="1" w:styleId="108">
    <w:name w:val="font10"/>
    <w:basedOn w:val="1"/>
    <w:autoRedefine/>
    <w:qFormat/>
    <w:uiPriority w:val="0"/>
    <w:pPr>
      <w:widowControl/>
      <w:spacing w:before="100" w:beforeAutospacing="1" w:after="100" w:afterAutospacing="1"/>
      <w:jc w:val="left"/>
    </w:pPr>
    <w:rPr>
      <w:rFonts w:eastAsia="Arial Unicode MS"/>
      <w:b/>
      <w:bCs/>
      <w:kern w:val="0"/>
      <w:sz w:val="24"/>
    </w:rPr>
  </w:style>
  <w:style w:type="paragraph" w:customStyle="1" w:styleId="109">
    <w:name w:val="Char Char Char Char"/>
    <w:basedOn w:val="1"/>
    <w:autoRedefine/>
    <w:qFormat/>
    <w:uiPriority w:val="0"/>
    <w:pPr>
      <w:spacing w:line="360" w:lineRule="auto"/>
      <w:ind w:firstLine="200" w:firstLineChars="200"/>
    </w:pPr>
    <w:rPr>
      <w:rFonts w:ascii="宋体" w:hAnsi="宋体" w:cs="宋体"/>
      <w:sz w:val="24"/>
    </w:rPr>
  </w:style>
  <w:style w:type="paragraph" w:customStyle="1" w:styleId="110">
    <w:name w:val="Char1 Char Char Char"/>
    <w:basedOn w:val="1"/>
    <w:autoRedefine/>
    <w:qFormat/>
    <w:uiPriority w:val="0"/>
    <w:rPr>
      <w:rFonts w:ascii="Tahoma" w:hAnsi="Tahoma"/>
      <w:sz w:val="24"/>
      <w:szCs w:val="20"/>
    </w:rPr>
  </w:style>
  <w:style w:type="paragraph" w:customStyle="1" w:styleId="11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2">
    <w:name w:val="xl4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3">
    <w:name w:val="List Paragraph"/>
    <w:basedOn w:val="1"/>
    <w:link w:val="119"/>
    <w:autoRedefine/>
    <w:qFormat/>
    <w:uiPriority w:val="34"/>
    <w:pPr>
      <w:ind w:firstLine="420" w:firstLineChars="200"/>
    </w:pPr>
    <w:rPr>
      <w:rFonts w:ascii="Calibri" w:hAnsi="Calibri"/>
      <w:szCs w:val="22"/>
    </w:rPr>
  </w:style>
  <w:style w:type="character" w:customStyle="1" w:styleId="114">
    <w:name w:val="标题 2 Char"/>
    <w:basedOn w:val="44"/>
    <w:link w:val="3"/>
    <w:autoRedefine/>
    <w:qFormat/>
    <w:uiPriority w:val="0"/>
    <w:rPr>
      <w:rFonts w:ascii="宋体" w:hAnsi="宋体"/>
      <w:b/>
      <w:color w:val="000000"/>
      <w:sz w:val="44"/>
    </w:rPr>
  </w:style>
  <w:style w:type="character" w:customStyle="1" w:styleId="115">
    <w:name w:val="批注框文本 Char"/>
    <w:link w:val="26"/>
    <w:autoRedefine/>
    <w:qFormat/>
    <w:uiPriority w:val="99"/>
    <w:rPr>
      <w:sz w:val="18"/>
      <w:szCs w:val="18"/>
    </w:rPr>
  </w:style>
  <w:style w:type="character" w:customStyle="1" w:styleId="116">
    <w:name w:val="正文文本 Char"/>
    <w:basedOn w:val="44"/>
    <w:link w:val="16"/>
    <w:autoRedefine/>
    <w:qFormat/>
    <w:uiPriority w:val="99"/>
    <w:rPr>
      <w:kern w:val="2"/>
      <w:sz w:val="30"/>
    </w:rPr>
  </w:style>
  <w:style w:type="character" w:customStyle="1" w:styleId="117">
    <w:name w:val="正文首行缩进 Char"/>
    <w:basedOn w:val="116"/>
    <w:link w:val="41"/>
    <w:autoRedefine/>
    <w:qFormat/>
    <w:uiPriority w:val="0"/>
    <w:rPr>
      <w:kern w:val="2"/>
      <w:sz w:val="30"/>
    </w:rPr>
  </w:style>
  <w:style w:type="paragraph" w:customStyle="1" w:styleId="118">
    <w:name w:val="列出段落2"/>
    <w:basedOn w:val="1"/>
    <w:autoRedefine/>
    <w:qFormat/>
    <w:uiPriority w:val="34"/>
    <w:pPr>
      <w:ind w:firstLine="420" w:firstLineChars="200"/>
    </w:pPr>
    <w:rPr>
      <w:rFonts w:ascii="Calibri" w:hAnsi="Calibri"/>
      <w:szCs w:val="21"/>
    </w:rPr>
  </w:style>
  <w:style w:type="character" w:customStyle="1" w:styleId="119">
    <w:name w:val="列出段落 Char"/>
    <w:link w:val="113"/>
    <w:autoRedefine/>
    <w:qFormat/>
    <w:uiPriority w:val="34"/>
    <w:rPr>
      <w:rFonts w:ascii="Calibri" w:hAnsi="Calibri"/>
      <w:kern w:val="2"/>
      <w:sz w:val="21"/>
      <w:szCs w:val="22"/>
    </w:rPr>
  </w:style>
  <w:style w:type="character" w:customStyle="1" w:styleId="120">
    <w:name w:val="标书正文:  0.74 厘米 Char1"/>
    <w:autoRedefine/>
    <w:qFormat/>
    <w:uiPriority w:val="0"/>
    <w:rPr>
      <w:rFonts w:eastAsia="宋体"/>
      <w:kern w:val="2"/>
      <w:sz w:val="24"/>
      <w:lang w:val="en-US" w:eastAsia="zh-CN"/>
    </w:rPr>
  </w:style>
  <w:style w:type="paragraph" w:customStyle="1" w:styleId="121">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22">
    <w:name w:val="正文_2"/>
    <w:autoRedefine/>
    <w:qFormat/>
    <w:uiPriority w:val="0"/>
    <w:pPr>
      <w:widowControl w:val="0"/>
      <w:spacing w:line="288" w:lineRule="auto"/>
      <w:jc w:val="both"/>
    </w:pPr>
    <w:rPr>
      <w:rFonts w:ascii="Calibri" w:hAnsi="Calibri" w:eastAsia="宋体" w:cs="Calibri"/>
      <w:kern w:val="2"/>
      <w:sz w:val="24"/>
      <w:szCs w:val="22"/>
      <w:lang w:val="en-US" w:eastAsia="zh-CN" w:bidi="ar-SA"/>
    </w:rPr>
  </w:style>
  <w:style w:type="paragraph" w:customStyle="1" w:styleId="123">
    <w:name w:val="列出段落1"/>
    <w:basedOn w:val="1"/>
    <w:autoRedefine/>
    <w:qFormat/>
    <w:uiPriority w:val="34"/>
    <w:pPr>
      <w:spacing w:line="360" w:lineRule="auto"/>
      <w:jc w:val="left"/>
      <w:outlineLvl w:val="1"/>
    </w:pPr>
    <w:rPr>
      <w:rFonts w:ascii="Calibri" w:hAnsi="Calibri"/>
      <w:b/>
      <w:szCs w:val="22"/>
    </w:rPr>
  </w:style>
  <w:style w:type="character" w:customStyle="1" w:styleId="124">
    <w:name w:val="font51"/>
    <w:autoRedefine/>
    <w:qFormat/>
    <w:uiPriority w:val="0"/>
    <w:rPr>
      <w:rFonts w:ascii="微软雅黑" w:hAnsi="微软雅黑" w:eastAsia="微软雅黑"/>
      <w:color w:val="000000"/>
      <w:sz w:val="20"/>
      <w:u w:val="none"/>
    </w:rPr>
  </w:style>
  <w:style w:type="character" w:customStyle="1" w:styleId="125">
    <w:name w:val="font31"/>
    <w:autoRedefine/>
    <w:qFormat/>
    <w:uiPriority w:val="0"/>
    <w:rPr>
      <w:rFonts w:ascii="微软雅黑" w:hAnsi="微软雅黑" w:eastAsia="微软雅黑"/>
      <w:color w:val="FF0000"/>
      <w:sz w:val="20"/>
      <w:u w:val="none"/>
    </w:rPr>
  </w:style>
  <w:style w:type="character" w:customStyle="1" w:styleId="126">
    <w:name w:val="NormalCharacter"/>
    <w:autoRedefine/>
    <w:qFormat/>
    <w:uiPriority w:val="0"/>
  </w:style>
  <w:style w:type="paragraph" w:customStyle="1" w:styleId="127">
    <w:name w:val="*正文"/>
    <w:basedOn w:val="1"/>
    <w:qFormat/>
    <w:uiPriority w:val="0"/>
    <w:pPr>
      <w:keepNext/>
      <w:keepLines/>
      <w:spacing w:line="360" w:lineRule="auto"/>
      <w:ind w:firstLine="200" w:firstLineChars="200"/>
    </w:pPr>
    <w:rPr>
      <w:rFonts w:ascii="宋体" w:hAnsi="宋体"/>
    </w:rPr>
  </w:style>
  <w:style w:type="paragraph" w:styleId="128">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1"/>
    <w:basedOn w:val="1"/>
    <w:next w:val="21"/>
    <w:qFormat/>
    <w:uiPriority w:val="0"/>
    <w:rPr>
      <w:rFonts w:ascii="宋体" w:hAnsi="Courier New"/>
      <w:szCs w:val="20"/>
    </w:rPr>
  </w:style>
  <w:style w:type="paragraph" w:customStyle="1" w:styleId="130">
    <w:name w:val="CM11"/>
    <w:basedOn w:val="75"/>
    <w:next w:val="75"/>
    <w:unhideWhenUsed/>
    <w:qFormat/>
    <w:uiPriority w:val="99"/>
    <w:pPr>
      <w:spacing w:line="520" w:lineRule="atLeast"/>
    </w:pPr>
    <w:rPr>
      <w:rFonts w:hint="default"/>
    </w:rPr>
  </w:style>
  <w:style w:type="paragraph" w:customStyle="1" w:styleId="131">
    <w:name w:val="CM13"/>
    <w:basedOn w:val="75"/>
    <w:next w:val="75"/>
    <w:unhideWhenUsed/>
    <w:qFormat/>
    <w:uiPriority w:val="99"/>
    <w:pPr>
      <w:spacing w:line="520" w:lineRule="atLeast"/>
    </w:pPr>
    <w:rPr>
      <w:rFonts w:hint="default"/>
    </w:rPr>
  </w:style>
  <w:style w:type="paragraph" w:customStyle="1" w:styleId="132">
    <w:name w:val="CM14"/>
    <w:basedOn w:val="75"/>
    <w:next w:val="75"/>
    <w:unhideWhenUsed/>
    <w:qFormat/>
    <w:uiPriority w:val="99"/>
    <w:pPr>
      <w:spacing w:line="546" w:lineRule="atLeast"/>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49"/>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D4A82-FEDF-4645-9398-E4D83F89B2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17197</Words>
  <Characters>18586</Characters>
  <Lines>280</Lines>
  <Paragraphs>79</Paragraphs>
  <TotalTime>78</TotalTime>
  <ScaleCrop>false</ScaleCrop>
  <LinksUpToDate>false</LinksUpToDate>
  <CharactersWithSpaces>19340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2021-12-22T08:16:00Z</dcterms:created>
  <dc:creator>MC SYSTEM</dc:creator>
  <cp:lastModifiedBy>Administrator</cp:lastModifiedBy>
  <cp:lastPrinted>2025-06-18T00:39:00Z</cp:lastPrinted>
  <dcterms:modified xsi:type="dcterms:W3CDTF">2025-06-20T07:23:14Z</dcterms:modified>
  <dc:title>一、什么是竞争性谈判</dc:title>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37814587228446938B7172F1D4D089DB_12</vt:lpwstr>
  </property>
  <property fmtid="{D5CDD505-2E9C-101B-9397-08002B2CF9AE}" pid="4" name="KSOTemplateDocerSaveRecord">
    <vt:lpwstr>eyJoZGlkIjoiNGEzNWQ4NTk2YTYwNDExMTFhZjAxMzI2ZGNiZDkzYjEiLCJ1c2VySWQiOiI0MTE5NjczNjcifQ==</vt:lpwstr>
  </property>
</Properties>
</file>