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autoSpaceDN w:val="0"/>
        <w:spacing w:line="360" w:lineRule="auto"/>
        <w:jc w:val="both"/>
        <w:rPr>
          <w:rFonts w:asciiTheme="majorEastAsia" w:hAnsiTheme="majorEastAsia" w:eastAsiaTheme="majorEastAsia"/>
          <w:b/>
          <w:bCs/>
          <w:color w:val="auto"/>
          <w:sz w:val="32"/>
          <w:szCs w:val="32"/>
        </w:rPr>
      </w:pPr>
      <w:bookmarkStart w:id="0" w:name="_Toc247085669"/>
      <w:bookmarkStart w:id="1" w:name="_Toc296602400"/>
      <w:bookmarkStart w:id="2" w:name="_Toc246996898"/>
    </w:p>
    <w:p>
      <w:pPr>
        <w:pStyle w:val="21"/>
        <w:autoSpaceDN w:val="0"/>
        <w:spacing w:line="360" w:lineRule="auto"/>
        <w:jc w:val="center"/>
        <w:rPr>
          <w:rFonts w:asciiTheme="majorEastAsia" w:hAnsiTheme="majorEastAsia" w:eastAsiaTheme="majorEastAsia"/>
          <w:b/>
          <w:bCs/>
          <w:color w:val="auto"/>
          <w:sz w:val="44"/>
          <w:szCs w:val="44"/>
        </w:rPr>
      </w:pPr>
      <w:bookmarkStart w:id="3" w:name="_Hlk64874400"/>
      <w:bookmarkEnd w:id="3"/>
      <w:r>
        <w:rPr>
          <w:rFonts w:asciiTheme="majorEastAsia" w:hAnsiTheme="majorEastAsia" w:eastAsiaTheme="majorEastAsia"/>
          <w:b/>
          <w:bCs/>
          <w:color w:val="auto"/>
          <w:sz w:val="44"/>
          <w:szCs w:val="44"/>
        </w:rPr>
        <w:t>长春新区教育局北辰学校数字化校园网络及校园广播设备采购项目</w:t>
      </w:r>
    </w:p>
    <w:p>
      <w:pPr>
        <w:autoSpaceDN w:val="0"/>
        <w:spacing w:line="360" w:lineRule="auto"/>
        <w:jc w:val="center"/>
        <w:rPr>
          <w:rFonts w:asciiTheme="majorEastAsia" w:hAnsiTheme="majorEastAsia" w:eastAsiaTheme="majorEastAsia"/>
          <w:b/>
          <w:bCs/>
          <w:color w:val="auto"/>
          <w:sz w:val="28"/>
          <w:szCs w:val="28"/>
        </w:rPr>
      </w:pPr>
      <w:r>
        <w:rPr>
          <w:rFonts w:hint="eastAsia" w:asciiTheme="majorEastAsia" w:hAnsiTheme="majorEastAsia" w:eastAsiaTheme="majorEastAsia"/>
          <w:b/>
          <w:bCs/>
          <w:color w:val="auto"/>
          <w:sz w:val="72"/>
          <w:szCs w:val="72"/>
        </w:rPr>
        <w:t>招 标 文 件</w:t>
      </w:r>
    </w:p>
    <w:p>
      <w:pPr>
        <w:autoSpaceDN w:val="0"/>
        <w:spacing w:line="360" w:lineRule="auto"/>
        <w:jc w:val="center"/>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项目编号：</w:t>
      </w:r>
      <w:bookmarkStart w:id="4" w:name="_Hlk64874388"/>
      <w:bookmarkEnd w:id="4"/>
      <w:r>
        <w:rPr>
          <w:rFonts w:hint="eastAsia" w:asciiTheme="majorEastAsia" w:hAnsiTheme="majorEastAsia" w:eastAsiaTheme="majorEastAsia"/>
          <w:b/>
          <w:bCs/>
          <w:color w:val="auto"/>
          <w:sz w:val="32"/>
          <w:szCs w:val="32"/>
        </w:rPr>
        <w:fldChar w:fldCharType="begin"/>
      </w:r>
      <w:r>
        <w:rPr>
          <w:rFonts w:hint="eastAsia" w:asciiTheme="majorEastAsia" w:hAnsiTheme="majorEastAsia" w:eastAsiaTheme="majorEastAsia"/>
          <w:b/>
          <w:bCs/>
          <w:color w:val="auto"/>
          <w:sz w:val="32"/>
          <w:szCs w:val="32"/>
        </w:rPr>
        <w:instrText xml:space="preserve"> HYPERLINK "https://pay.zcygov.cn/purchaseplan_front/" \l "/plan/list/view?id=1000000000010981057" \t "https://www.zcygov.cn/delegation-order/order/_blank" </w:instrText>
      </w:r>
      <w:r>
        <w:rPr>
          <w:rFonts w:hint="eastAsia" w:asciiTheme="majorEastAsia" w:hAnsiTheme="majorEastAsia" w:eastAsiaTheme="majorEastAsia"/>
          <w:b/>
          <w:bCs/>
          <w:color w:val="auto"/>
          <w:sz w:val="32"/>
          <w:szCs w:val="32"/>
        </w:rPr>
        <w:fldChar w:fldCharType="separate"/>
      </w:r>
      <w:r>
        <w:rPr>
          <w:rFonts w:hint="eastAsia" w:asciiTheme="majorEastAsia" w:hAnsiTheme="majorEastAsia" w:eastAsiaTheme="majorEastAsia"/>
          <w:b/>
          <w:bCs/>
          <w:color w:val="auto"/>
          <w:sz w:val="32"/>
          <w:szCs w:val="32"/>
        </w:rPr>
        <w:t>XQZC2023-042</w:t>
      </w:r>
      <w:r>
        <w:rPr>
          <w:rFonts w:hint="eastAsia" w:asciiTheme="majorEastAsia" w:hAnsiTheme="majorEastAsia" w:eastAsiaTheme="majorEastAsia"/>
          <w:b/>
          <w:bCs/>
          <w:color w:val="auto"/>
          <w:sz w:val="32"/>
          <w:szCs w:val="32"/>
        </w:rPr>
        <w:fldChar w:fldCharType="end"/>
      </w:r>
    </w:p>
    <w:p>
      <w:pPr>
        <w:autoSpaceDN w:val="0"/>
        <w:spacing w:line="360" w:lineRule="auto"/>
        <w:jc w:val="center"/>
        <w:rPr>
          <w:rFonts w:asciiTheme="majorEastAsia" w:hAnsiTheme="majorEastAsia" w:eastAsiaTheme="majorEastAsia"/>
          <w:color w:val="auto"/>
          <w:sz w:val="18"/>
          <w:szCs w:val="18"/>
        </w:rPr>
      </w:pPr>
    </w:p>
    <w:p>
      <w:pPr>
        <w:autoSpaceDN w:val="0"/>
        <w:spacing w:line="360" w:lineRule="auto"/>
        <w:jc w:val="center"/>
        <w:rPr>
          <w:rFonts w:asciiTheme="majorEastAsia" w:hAnsiTheme="majorEastAsia" w:eastAsiaTheme="majorEastAsia"/>
          <w:color w:val="auto"/>
          <w:sz w:val="18"/>
          <w:szCs w:val="18"/>
        </w:rPr>
      </w:pPr>
    </w:p>
    <w:p>
      <w:pPr>
        <w:autoSpaceDN w:val="0"/>
        <w:spacing w:line="360" w:lineRule="auto"/>
        <w:jc w:val="center"/>
        <w:rPr>
          <w:rFonts w:asciiTheme="majorEastAsia" w:hAnsiTheme="majorEastAsia" w:eastAsiaTheme="majorEastAsia"/>
          <w:color w:val="auto"/>
          <w:sz w:val="18"/>
          <w:szCs w:val="18"/>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pStyle w:val="21"/>
        <w:spacing w:line="360" w:lineRule="auto"/>
        <w:rPr>
          <w:rFonts w:asciiTheme="majorEastAsia" w:hAnsiTheme="majorEastAsia" w:eastAsiaTheme="majorEastAsia"/>
          <w:color w:val="auto"/>
        </w:rPr>
      </w:pPr>
    </w:p>
    <w:p>
      <w:pPr>
        <w:autoSpaceDN w:val="0"/>
        <w:spacing w:line="360" w:lineRule="auto"/>
        <w:jc w:val="center"/>
        <w:rPr>
          <w:rFonts w:asciiTheme="majorEastAsia" w:hAnsiTheme="majorEastAsia" w:eastAsiaTheme="majorEastAsia"/>
          <w:color w:val="auto"/>
          <w:sz w:val="18"/>
          <w:szCs w:val="18"/>
        </w:rPr>
      </w:pPr>
    </w:p>
    <w:p>
      <w:pPr>
        <w:rPr>
          <w:color w:val="auto"/>
        </w:rPr>
      </w:pPr>
    </w:p>
    <w:p>
      <w:pPr>
        <w:pStyle w:val="21"/>
        <w:autoSpaceDN w:val="0"/>
        <w:spacing w:line="360" w:lineRule="auto"/>
        <w:rPr>
          <w:rFonts w:asciiTheme="majorEastAsia" w:hAnsiTheme="majorEastAsia" w:eastAsiaTheme="majorEastAsia"/>
          <w:color w:val="auto"/>
          <w:szCs w:val="21"/>
        </w:rPr>
      </w:pPr>
    </w:p>
    <w:p>
      <w:pPr>
        <w:pStyle w:val="21"/>
        <w:autoSpaceDN w:val="0"/>
        <w:spacing w:line="360" w:lineRule="auto"/>
        <w:rPr>
          <w:rFonts w:asciiTheme="majorEastAsia" w:hAnsiTheme="majorEastAsia" w:eastAsiaTheme="majorEastAsia"/>
          <w:color w:val="auto"/>
        </w:rPr>
      </w:pPr>
    </w:p>
    <w:p>
      <w:pPr>
        <w:autoSpaceDN w:val="0"/>
        <w:spacing w:line="360" w:lineRule="auto"/>
        <w:ind w:firstLine="643" w:firstLineChars="200"/>
        <w:jc w:val="left"/>
        <w:rPr>
          <w:rFonts w:asciiTheme="majorEastAsia" w:hAnsiTheme="majorEastAsia" w:eastAsiaTheme="majorEastAsia"/>
          <w:b/>
          <w:bCs/>
          <w:color w:val="auto"/>
          <w:sz w:val="32"/>
          <w:szCs w:val="32"/>
          <w:u w:val="single"/>
        </w:rPr>
      </w:pPr>
      <w:r>
        <w:rPr>
          <w:rFonts w:hint="eastAsia" w:asciiTheme="majorEastAsia" w:hAnsiTheme="majorEastAsia" w:eastAsiaTheme="majorEastAsia"/>
          <w:b/>
          <w:bCs/>
          <w:color w:val="auto"/>
          <w:sz w:val="32"/>
          <w:szCs w:val="32"/>
        </w:rPr>
        <w:t>采购人：</w:t>
      </w:r>
      <w:bookmarkStart w:id="5" w:name="blank0"/>
      <w:r>
        <w:rPr>
          <w:rFonts w:hint="eastAsia" w:asciiTheme="majorEastAsia" w:hAnsiTheme="majorEastAsia" w:eastAsiaTheme="majorEastAsia"/>
          <w:b/>
          <w:bCs/>
          <w:color w:val="auto"/>
          <w:sz w:val="32"/>
          <w:szCs w:val="32"/>
        </w:rPr>
        <w:t>长春新区教育局</w:t>
      </w:r>
      <w:bookmarkEnd w:id="5"/>
    </w:p>
    <w:p>
      <w:pPr>
        <w:autoSpaceDN w:val="0"/>
        <w:spacing w:line="360" w:lineRule="auto"/>
        <w:ind w:firstLine="643" w:firstLineChars="200"/>
        <w:rPr>
          <w:rFonts w:asciiTheme="majorEastAsia" w:hAnsiTheme="majorEastAsia" w:eastAsiaTheme="majorEastAsia"/>
          <w:b/>
          <w:bCs/>
          <w:color w:val="auto"/>
          <w:sz w:val="32"/>
          <w:szCs w:val="32"/>
          <w:u w:val="single"/>
        </w:rPr>
      </w:pPr>
      <w:r>
        <w:rPr>
          <w:rFonts w:hint="eastAsia" w:asciiTheme="majorEastAsia" w:hAnsiTheme="majorEastAsia" w:eastAsiaTheme="majorEastAsia"/>
          <w:b/>
          <w:bCs/>
          <w:color w:val="auto"/>
          <w:sz w:val="32"/>
          <w:szCs w:val="32"/>
        </w:rPr>
        <w:t>采购代理机构：吉林省煦程招投标代理有限公司</w:t>
      </w:r>
    </w:p>
    <w:p>
      <w:pPr>
        <w:autoSpaceDN w:val="0"/>
        <w:spacing w:line="360" w:lineRule="auto"/>
        <w:ind w:firstLine="643" w:firstLineChars="200"/>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 xml:space="preserve">日     期： </w:t>
      </w:r>
      <w:bookmarkStart w:id="6" w:name="receiveDate"/>
      <w:r>
        <w:rPr>
          <w:rFonts w:hint="eastAsia" w:asciiTheme="majorEastAsia" w:hAnsiTheme="majorEastAsia" w:eastAsiaTheme="majorEastAsia"/>
          <w:b/>
          <w:bCs/>
          <w:color w:val="auto"/>
          <w:sz w:val="32"/>
          <w:szCs w:val="32"/>
        </w:rPr>
        <w:t>202</w:t>
      </w:r>
      <w:r>
        <w:rPr>
          <w:rFonts w:hint="eastAsia" w:asciiTheme="majorEastAsia" w:hAnsiTheme="majorEastAsia" w:eastAsiaTheme="majorEastAsia"/>
          <w:b/>
          <w:bCs/>
          <w:color w:val="auto"/>
          <w:sz w:val="32"/>
          <w:szCs w:val="32"/>
          <w:lang w:val="en-US" w:eastAsia="zh-CN"/>
        </w:rPr>
        <w:t>3</w:t>
      </w:r>
      <w:r>
        <w:rPr>
          <w:rFonts w:hint="eastAsia" w:asciiTheme="majorEastAsia" w:hAnsiTheme="majorEastAsia" w:eastAsiaTheme="majorEastAsia"/>
          <w:b/>
          <w:bCs/>
          <w:color w:val="auto"/>
          <w:sz w:val="32"/>
          <w:szCs w:val="32"/>
        </w:rPr>
        <w:t>年</w:t>
      </w:r>
      <w:r>
        <w:rPr>
          <w:rFonts w:hint="eastAsia" w:asciiTheme="majorEastAsia" w:hAnsiTheme="majorEastAsia" w:eastAsiaTheme="majorEastAsia"/>
          <w:b/>
          <w:bCs/>
          <w:color w:val="auto"/>
          <w:sz w:val="32"/>
          <w:szCs w:val="32"/>
          <w:lang w:val="en-US" w:eastAsia="zh-CN"/>
        </w:rPr>
        <w:t>7</w:t>
      </w:r>
      <w:r>
        <w:rPr>
          <w:rFonts w:hint="eastAsia" w:asciiTheme="majorEastAsia" w:hAnsiTheme="majorEastAsia" w:eastAsiaTheme="majorEastAsia"/>
          <w:b/>
          <w:bCs/>
          <w:color w:val="auto"/>
          <w:sz w:val="32"/>
          <w:szCs w:val="32"/>
        </w:rPr>
        <w:t>月</w:t>
      </w:r>
      <w:bookmarkEnd w:id="6"/>
    </w:p>
    <w:p>
      <w:pPr>
        <w:autoSpaceDN w:val="0"/>
        <w:adjustRightInd w:val="0"/>
        <w:snapToGrid w:val="0"/>
        <w:spacing w:line="360" w:lineRule="auto"/>
        <w:ind w:right="521" w:rightChars="248"/>
        <w:jc w:val="center"/>
        <w:rPr>
          <w:rFonts w:asciiTheme="majorEastAsia" w:hAnsiTheme="majorEastAsia" w:eastAsiaTheme="majorEastAsia"/>
          <w:b/>
          <w:bCs/>
          <w:color w:val="auto"/>
          <w:sz w:val="28"/>
          <w:szCs w:val="28"/>
        </w:rPr>
      </w:pPr>
    </w:p>
    <w:p>
      <w:pPr>
        <w:autoSpaceDN w:val="0"/>
        <w:spacing w:line="360" w:lineRule="auto"/>
        <w:rPr>
          <w:rFonts w:asciiTheme="majorEastAsia" w:hAnsiTheme="majorEastAsia" w:eastAsiaTheme="majorEastAsia"/>
          <w:b/>
          <w:bCs/>
          <w:color w:val="auto"/>
          <w:sz w:val="32"/>
          <w:szCs w:val="32"/>
        </w:rPr>
      </w:pPr>
    </w:p>
    <w:p>
      <w:pPr>
        <w:pStyle w:val="21"/>
        <w:autoSpaceDN w:val="0"/>
        <w:spacing w:line="360" w:lineRule="auto"/>
        <w:rPr>
          <w:rFonts w:asciiTheme="majorEastAsia" w:hAnsiTheme="majorEastAsia" w:eastAsiaTheme="majorEastAsia"/>
          <w:bCs/>
          <w:color w:val="auto"/>
          <w:szCs w:val="21"/>
        </w:rPr>
      </w:pPr>
      <w:bookmarkStart w:id="7" w:name="_Toc98580389"/>
    </w:p>
    <w:p>
      <w:pPr>
        <w:tabs>
          <w:tab w:val="left" w:pos="9379"/>
        </w:tabs>
        <w:autoSpaceDN w:val="0"/>
        <w:spacing w:line="360" w:lineRule="auto"/>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目　　录</w:t>
      </w:r>
    </w:p>
    <w:p>
      <w:pPr>
        <w:pStyle w:val="16"/>
        <w:tabs>
          <w:tab w:val="right" w:leader="dot" w:pos="8787"/>
        </w:tabs>
        <w:rPr>
          <w:color w:val="auto"/>
        </w:rPr>
      </w:pPr>
      <w:r>
        <w:rPr>
          <w:rFonts w:hint="eastAsia" w:asciiTheme="majorEastAsia" w:hAnsiTheme="majorEastAsia" w:eastAsiaTheme="majorEastAsia"/>
          <w:b w:val="0"/>
          <w:bCs w:val="0"/>
          <w:color w:val="auto"/>
          <w:sz w:val="24"/>
          <w:szCs w:val="24"/>
        </w:rPr>
        <w:fldChar w:fldCharType="begin"/>
      </w:r>
      <w:r>
        <w:rPr>
          <w:rFonts w:hint="eastAsia" w:asciiTheme="majorEastAsia" w:hAnsiTheme="majorEastAsia" w:eastAsiaTheme="majorEastAsia"/>
          <w:b w:val="0"/>
          <w:bCs w:val="0"/>
          <w:color w:val="auto"/>
          <w:sz w:val="24"/>
          <w:szCs w:val="24"/>
        </w:rPr>
        <w:instrText xml:space="preserve">TOC \o "1-1" \h \z \u </w:instrText>
      </w:r>
      <w:r>
        <w:rPr>
          <w:rFonts w:hint="eastAsia" w:asciiTheme="majorEastAsia" w:hAnsiTheme="majorEastAsia" w:eastAsiaTheme="majorEastAsia"/>
          <w:b w:val="0"/>
          <w:bCs w:val="0"/>
          <w:color w:val="auto"/>
          <w:sz w:val="24"/>
          <w:szCs w:val="24"/>
        </w:rPr>
        <w:fldChar w:fldCharType="separate"/>
      </w:r>
      <w:r>
        <w:rPr>
          <w:rFonts w:hint="eastAsia" w:asciiTheme="majorEastAsia" w:hAnsiTheme="majorEastAsia" w:eastAsiaTheme="majorEastAsia"/>
          <w:bCs w:val="0"/>
          <w:color w:val="auto"/>
          <w:szCs w:val="24"/>
        </w:rPr>
        <w:fldChar w:fldCharType="begin"/>
      </w:r>
      <w:r>
        <w:rPr>
          <w:rFonts w:hint="eastAsia" w:asciiTheme="majorEastAsia" w:hAnsiTheme="majorEastAsia" w:eastAsiaTheme="majorEastAsia"/>
          <w:bCs w:val="0"/>
          <w:color w:val="auto"/>
          <w:szCs w:val="24"/>
        </w:rPr>
        <w:instrText xml:space="preserve"> HYPERLINK \l _Toc15421 </w:instrText>
      </w:r>
      <w:r>
        <w:rPr>
          <w:rFonts w:hint="eastAsia" w:asciiTheme="majorEastAsia" w:hAnsiTheme="majorEastAsia" w:eastAsiaTheme="majorEastAsia"/>
          <w:bCs w:val="0"/>
          <w:color w:val="auto"/>
          <w:szCs w:val="24"/>
        </w:rPr>
        <w:fldChar w:fldCharType="separate"/>
      </w:r>
      <w:r>
        <w:rPr>
          <w:rFonts w:hint="eastAsia" w:asciiTheme="majorEastAsia" w:hAnsiTheme="majorEastAsia" w:eastAsiaTheme="majorEastAsia"/>
          <w:color w:val="auto"/>
        </w:rPr>
        <w:t>第一部分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招标公告</w:t>
      </w:r>
      <w:r>
        <w:rPr>
          <w:color w:val="auto"/>
        </w:rPr>
        <w:tab/>
      </w:r>
      <w:r>
        <w:rPr>
          <w:color w:val="auto"/>
        </w:rPr>
        <w:fldChar w:fldCharType="begin"/>
      </w:r>
      <w:r>
        <w:rPr>
          <w:color w:val="auto"/>
        </w:rPr>
        <w:instrText xml:space="preserve"> PAGEREF _Toc15421 \h </w:instrText>
      </w:r>
      <w:r>
        <w:rPr>
          <w:color w:val="auto"/>
        </w:rPr>
        <w:fldChar w:fldCharType="separate"/>
      </w:r>
      <w:r>
        <w:rPr>
          <w:color w:val="auto"/>
        </w:rPr>
        <w:t>1</w:t>
      </w:r>
      <w:r>
        <w:rPr>
          <w:color w:val="auto"/>
        </w:rPr>
        <w:fldChar w:fldCharType="end"/>
      </w:r>
      <w:r>
        <w:rPr>
          <w:rFonts w:hint="eastAsia" w:asciiTheme="majorEastAsia" w:hAnsiTheme="majorEastAsia" w:eastAsiaTheme="majorEastAsia"/>
          <w:bCs w:val="0"/>
          <w:color w:val="auto"/>
          <w:szCs w:val="24"/>
        </w:rPr>
        <w:fldChar w:fldCharType="end"/>
      </w:r>
    </w:p>
    <w:p>
      <w:pPr>
        <w:pStyle w:val="16"/>
        <w:tabs>
          <w:tab w:val="right" w:leader="dot" w:pos="8787"/>
        </w:tabs>
        <w:rPr>
          <w:color w:val="auto"/>
        </w:rPr>
      </w:pPr>
      <w:r>
        <w:rPr>
          <w:rFonts w:hint="eastAsia" w:asciiTheme="majorEastAsia" w:hAnsiTheme="majorEastAsia" w:eastAsiaTheme="majorEastAsia"/>
          <w:color w:val="auto"/>
          <w:szCs w:val="24"/>
        </w:rPr>
        <w:fldChar w:fldCharType="begin"/>
      </w:r>
      <w:r>
        <w:rPr>
          <w:rFonts w:hint="eastAsia" w:asciiTheme="majorEastAsia" w:hAnsiTheme="majorEastAsia" w:eastAsiaTheme="majorEastAsia"/>
          <w:color w:val="auto"/>
          <w:szCs w:val="24"/>
        </w:rPr>
        <w:instrText xml:space="preserve"> HYPERLINK \l _Toc12303 </w:instrText>
      </w:r>
      <w:r>
        <w:rPr>
          <w:rFonts w:hint="eastAsia" w:asciiTheme="majorEastAsia" w:hAnsiTheme="majorEastAsia" w:eastAsiaTheme="majorEastAsia"/>
          <w:color w:val="auto"/>
          <w:szCs w:val="24"/>
        </w:rPr>
        <w:fldChar w:fldCharType="separate"/>
      </w:r>
      <w:r>
        <w:rPr>
          <w:rFonts w:hint="eastAsia" w:asciiTheme="majorEastAsia" w:hAnsiTheme="majorEastAsia" w:eastAsiaTheme="majorEastAsia"/>
          <w:color w:val="auto"/>
        </w:rPr>
        <w:t>第二部分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供应商须知</w:t>
      </w:r>
      <w:r>
        <w:rPr>
          <w:color w:val="auto"/>
        </w:rPr>
        <w:tab/>
      </w:r>
      <w:r>
        <w:rPr>
          <w:color w:val="auto"/>
        </w:rPr>
        <w:fldChar w:fldCharType="begin"/>
      </w:r>
      <w:r>
        <w:rPr>
          <w:color w:val="auto"/>
        </w:rPr>
        <w:instrText xml:space="preserve"> PAGEREF _Toc12303 \h </w:instrText>
      </w:r>
      <w:r>
        <w:rPr>
          <w:color w:val="auto"/>
        </w:rPr>
        <w:fldChar w:fldCharType="separate"/>
      </w:r>
      <w:r>
        <w:rPr>
          <w:color w:val="auto"/>
        </w:rPr>
        <w:t>4</w:t>
      </w:r>
      <w:r>
        <w:rPr>
          <w:color w:val="auto"/>
        </w:rPr>
        <w:fldChar w:fldCharType="end"/>
      </w:r>
      <w:r>
        <w:rPr>
          <w:rFonts w:hint="eastAsia" w:asciiTheme="majorEastAsia" w:hAnsiTheme="majorEastAsia" w:eastAsiaTheme="majorEastAsia"/>
          <w:color w:val="auto"/>
          <w:szCs w:val="24"/>
        </w:rPr>
        <w:fldChar w:fldCharType="end"/>
      </w:r>
    </w:p>
    <w:p>
      <w:pPr>
        <w:pStyle w:val="16"/>
        <w:tabs>
          <w:tab w:val="right" w:leader="dot" w:pos="8787"/>
        </w:tabs>
        <w:rPr>
          <w:color w:val="auto"/>
        </w:rPr>
      </w:pPr>
      <w:r>
        <w:rPr>
          <w:rFonts w:hint="eastAsia" w:asciiTheme="majorEastAsia" w:hAnsiTheme="majorEastAsia" w:eastAsiaTheme="majorEastAsia"/>
          <w:color w:val="auto"/>
          <w:szCs w:val="24"/>
        </w:rPr>
        <w:fldChar w:fldCharType="begin"/>
      </w:r>
      <w:r>
        <w:rPr>
          <w:rFonts w:hint="eastAsia" w:asciiTheme="majorEastAsia" w:hAnsiTheme="majorEastAsia" w:eastAsiaTheme="majorEastAsia"/>
          <w:color w:val="auto"/>
          <w:szCs w:val="24"/>
        </w:rPr>
        <w:instrText xml:space="preserve"> HYPERLINK \l _Toc22071 </w:instrText>
      </w:r>
      <w:r>
        <w:rPr>
          <w:rFonts w:hint="eastAsia" w:asciiTheme="majorEastAsia" w:hAnsiTheme="majorEastAsia" w:eastAsiaTheme="majorEastAsia"/>
          <w:color w:val="auto"/>
          <w:szCs w:val="24"/>
        </w:rPr>
        <w:fldChar w:fldCharType="separate"/>
      </w:r>
      <w:r>
        <w:rPr>
          <w:rFonts w:hint="eastAsia" w:asciiTheme="majorEastAsia" w:hAnsiTheme="majorEastAsia" w:eastAsiaTheme="majorEastAsia"/>
          <w:color w:val="auto"/>
        </w:rPr>
        <w:t>第三部分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评标办法</w:t>
      </w:r>
      <w:r>
        <w:rPr>
          <w:color w:val="auto"/>
        </w:rPr>
        <w:tab/>
      </w:r>
      <w:r>
        <w:rPr>
          <w:color w:val="auto"/>
        </w:rPr>
        <w:fldChar w:fldCharType="begin"/>
      </w:r>
      <w:r>
        <w:rPr>
          <w:color w:val="auto"/>
        </w:rPr>
        <w:instrText xml:space="preserve"> PAGEREF _Toc22071 \h </w:instrText>
      </w:r>
      <w:r>
        <w:rPr>
          <w:color w:val="auto"/>
        </w:rPr>
        <w:fldChar w:fldCharType="separate"/>
      </w:r>
      <w:r>
        <w:rPr>
          <w:color w:val="auto"/>
        </w:rPr>
        <w:t>18</w:t>
      </w:r>
      <w:r>
        <w:rPr>
          <w:color w:val="auto"/>
        </w:rPr>
        <w:fldChar w:fldCharType="end"/>
      </w:r>
      <w:r>
        <w:rPr>
          <w:rFonts w:hint="eastAsia" w:asciiTheme="majorEastAsia" w:hAnsiTheme="majorEastAsia" w:eastAsiaTheme="majorEastAsia"/>
          <w:color w:val="auto"/>
          <w:szCs w:val="24"/>
        </w:rPr>
        <w:fldChar w:fldCharType="end"/>
      </w:r>
    </w:p>
    <w:p>
      <w:pPr>
        <w:pStyle w:val="16"/>
        <w:tabs>
          <w:tab w:val="right" w:leader="dot" w:pos="8787"/>
        </w:tabs>
        <w:rPr>
          <w:color w:val="auto"/>
        </w:rPr>
      </w:pPr>
      <w:r>
        <w:rPr>
          <w:rFonts w:hint="eastAsia" w:asciiTheme="majorEastAsia" w:hAnsiTheme="majorEastAsia" w:eastAsiaTheme="majorEastAsia"/>
          <w:color w:val="auto"/>
          <w:szCs w:val="24"/>
        </w:rPr>
        <w:fldChar w:fldCharType="begin"/>
      </w:r>
      <w:r>
        <w:rPr>
          <w:rFonts w:hint="eastAsia" w:asciiTheme="majorEastAsia" w:hAnsiTheme="majorEastAsia" w:eastAsiaTheme="majorEastAsia"/>
          <w:color w:val="auto"/>
          <w:szCs w:val="24"/>
        </w:rPr>
        <w:instrText xml:space="preserve"> HYPERLINK \l _Toc30695 </w:instrText>
      </w:r>
      <w:r>
        <w:rPr>
          <w:rFonts w:hint="eastAsia" w:asciiTheme="majorEastAsia" w:hAnsiTheme="majorEastAsia" w:eastAsiaTheme="majorEastAsia"/>
          <w:color w:val="auto"/>
          <w:szCs w:val="24"/>
        </w:rPr>
        <w:fldChar w:fldCharType="separate"/>
      </w:r>
      <w:r>
        <w:rPr>
          <w:rFonts w:hint="eastAsia" w:asciiTheme="majorEastAsia" w:hAnsiTheme="majorEastAsia" w:eastAsiaTheme="majorEastAsia"/>
          <w:color w:val="auto"/>
        </w:rPr>
        <w:t>第四部分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采购需求</w:t>
      </w:r>
      <w:r>
        <w:rPr>
          <w:color w:val="auto"/>
        </w:rPr>
        <w:tab/>
      </w:r>
      <w:r>
        <w:rPr>
          <w:color w:val="auto"/>
        </w:rPr>
        <w:fldChar w:fldCharType="begin"/>
      </w:r>
      <w:r>
        <w:rPr>
          <w:color w:val="auto"/>
        </w:rPr>
        <w:instrText xml:space="preserve"> PAGEREF _Toc30695 \h </w:instrText>
      </w:r>
      <w:r>
        <w:rPr>
          <w:color w:val="auto"/>
        </w:rPr>
        <w:fldChar w:fldCharType="separate"/>
      </w:r>
      <w:r>
        <w:rPr>
          <w:color w:val="auto"/>
        </w:rPr>
        <w:t>36</w:t>
      </w:r>
      <w:r>
        <w:rPr>
          <w:color w:val="auto"/>
        </w:rPr>
        <w:fldChar w:fldCharType="end"/>
      </w:r>
      <w:r>
        <w:rPr>
          <w:rFonts w:hint="eastAsia" w:asciiTheme="majorEastAsia" w:hAnsiTheme="majorEastAsia" w:eastAsiaTheme="majorEastAsia"/>
          <w:color w:val="auto"/>
          <w:szCs w:val="24"/>
        </w:rPr>
        <w:fldChar w:fldCharType="end"/>
      </w:r>
    </w:p>
    <w:p>
      <w:pPr>
        <w:pStyle w:val="16"/>
        <w:tabs>
          <w:tab w:val="right" w:leader="dot" w:pos="8787"/>
        </w:tabs>
        <w:rPr>
          <w:color w:val="auto"/>
        </w:rPr>
      </w:pPr>
      <w:r>
        <w:rPr>
          <w:rFonts w:hint="eastAsia" w:asciiTheme="majorEastAsia" w:hAnsiTheme="majorEastAsia" w:eastAsiaTheme="majorEastAsia"/>
          <w:color w:val="auto"/>
          <w:szCs w:val="24"/>
        </w:rPr>
        <w:fldChar w:fldCharType="begin"/>
      </w:r>
      <w:r>
        <w:rPr>
          <w:rFonts w:hint="eastAsia" w:asciiTheme="majorEastAsia" w:hAnsiTheme="majorEastAsia" w:eastAsiaTheme="majorEastAsia"/>
          <w:color w:val="auto"/>
          <w:szCs w:val="24"/>
        </w:rPr>
        <w:instrText xml:space="preserve"> HYPERLINK \l _Toc2135 </w:instrText>
      </w:r>
      <w:r>
        <w:rPr>
          <w:rFonts w:hint="eastAsia" w:asciiTheme="majorEastAsia" w:hAnsiTheme="majorEastAsia" w:eastAsiaTheme="majorEastAsia"/>
          <w:color w:val="auto"/>
          <w:szCs w:val="24"/>
        </w:rPr>
        <w:fldChar w:fldCharType="separate"/>
      </w:r>
      <w:r>
        <w:rPr>
          <w:rFonts w:hint="eastAsia" w:cs="宋体" w:asciiTheme="majorEastAsia" w:hAnsiTheme="majorEastAsia" w:eastAsiaTheme="majorEastAsia"/>
          <w:color w:val="auto"/>
        </w:rPr>
        <w:t>第五部分 合同条款及格式</w:t>
      </w:r>
      <w:r>
        <w:rPr>
          <w:color w:val="auto"/>
        </w:rPr>
        <w:tab/>
      </w:r>
      <w:r>
        <w:rPr>
          <w:color w:val="auto"/>
        </w:rPr>
        <w:fldChar w:fldCharType="begin"/>
      </w:r>
      <w:r>
        <w:rPr>
          <w:color w:val="auto"/>
        </w:rPr>
        <w:instrText xml:space="preserve"> PAGEREF _Toc2135 \h </w:instrText>
      </w:r>
      <w:r>
        <w:rPr>
          <w:color w:val="auto"/>
        </w:rPr>
        <w:fldChar w:fldCharType="separate"/>
      </w:r>
      <w:r>
        <w:rPr>
          <w:color w:val="auto"/>
        </w:rPr>
        <w:t>49</w:t>
      </w:r>
      <w:r>
        <w:rPr>
          <w:color w:val="auto"/>
        </w:rPr>
        <w:fldChar w:fldCharType="end"/>
      </w:r>
      <w:r>
        <w:rPr>
          <w:rFonts w:hint="eastAsia" w:asciiTheme="majorEastAsia" w:hAnsiTheme="majorEastAsia" w:eastAsiaTheme="majorEastAsia"/>
          <w:color w:val="auto"/>
          <w:szCs w:val="24"/>
        </w:rPr>
        <w:fldChar w:fldCharType="end"/>
      </w:r>
    </w:p>
    <w:p>
      <w:pPr>
        <w:pStyle w:val="16"/>
        <w:tabs>
          <w:tab w:val="right" w:leader="dot" w:pos="8787"/>
        </w:tabs>
        <w:rPr>
          <w:color w:val="auto"/>
        </w:rPr>
      </w:pPr>
      <w:r>
        <w:rPr>
          <w:rFonts w:hint="eastAsia" w:asciiTheme="majorEastAsia" w:hAnsiTheme="majorEastAsia" w:eastAsiaTheme="majorEastAsia"/>
          <w:color w:val="auto"/>
          <w:szCs w:val="24"/>
        </w:rPr>
        <w:fldChar w:fldCharType="begin"/>
      </w:r>
      <w:r>
        <w:rPr>
          <w:rFonts w:hint="eastAsia" w:asciiTheme="majorEastAsia" w:hAnsiTheme="majorEastAsia" w:eastAsiaTheme="majorEastAsia"/>
          <w:color w:val="auto"/>
          <w:szCs w:val="24"/>
        </w:rPr>
        <w:instrText xml:space="preserve"> HYPERLINK \l _Toc9933 </w:instrText>
      </w:r>
      <w:r>
        <w:rPr>
          <w:rFonts w:hint="eastAsia" w:asciiTheme="majorEastAsia" w:hAnsiTheme="majorEastAsia" w:eastAsiaTheme="majorEastAsia"/>
          <w:color w:val="auto"/>
          <w:szCs w:val="24"/>
        </w:rPr>
        <w:fldChar w:fldCharType="separate"/>
      </w:r>
      <w:r>
        <w:rPr>
          <w:rFonts w:hint="eastAsia" w:cs="宋体" w:asciiTheme="majorEastAsia" w:hAnsiTheme="majorEastAsia" w:eastAsiaTheme="majorEastAsia"/>
          <w:bCs/>
          <w:color w:val="auto"/>
          <w:kern w:val="44"/>
          <w:szCs w:val="44"/>
        </w:rPr>
        <w:t>第</w:t>
      </w:r>
      <w:r>
        <w:rPr>
          <w:rFonts w:hint="eastAsia" w:cs="宋体" w:asciiTheme="majorEastAsia" w:hAnsiTheme="majorEastAsia" w:eastAsiaTheme="majorEastAsia"/>
          <w:bCs/>
          <w:color w:val="auto"/>
          <w:kern w:val="44"/>
          <w:szCs w:val="44"/>
          <w:lang w:val="en-US" w:eastAsia="zh-CN"/>
        </w:rPr>
        <w:t>六</w:t>
      </w:r>
      <w:r>
        <w:rPr>
          <w:rFonts w:hint="eastAsia" w:cs="宋体" w:asciiTheme="majorEastAsia" w:hAnsiTheme="majorEastAsia" w:eastAsiaTheme="majorEastAsia"/>
          <w:bCs/>
          <w:color w:val="auto"/>
          <w:kern w:val="44"/>
          <w:szCs w:val="44"/>
        </w:rPr>
        <w:t>部分  投标文件格式</w:t>
      </w:r>
      <w:r>
        <w:rPr>
          <w:color w:val="auto"/>
        </w:rPr>
        <w:tab/>
      </w:r>
      <w:r>
        <w:rPr>
          <w:color w:val="auto"/>
        </w:rPr>
        <w:fldChar w:fldCharType="begin"/>
      </w:r>
      <w:r>
        <w:rPr>
          <w:color w:val="auto"/>
        </w:rPr>
        <w:instrText xml:space="preserve"> PAGEREF _Toc9933 \h </w:instrText>
      </w:r>
      <w:r>
        <w:rPr>
          <w:color w:val="auto"/>
        </w:rPr>
        <w:fldChar w:fldCharType="separate"/>
      </w:r>
      <w:r>
        <w:rPr>
          <w:color w:val="auto"/>
        </w:rPr>
        <w:t>60</w:t>
      </w:r>
      <w:r>
        <w:rPr>
          <w:color w:val="auto"/>
        </w:rPr>
        <w:fldChar w:fldCharType="end"/>
      </w:r>
      <w:r>
        <w:rPr>
          <w:rFonts w:hint="eastAsia" w:asciiTheme="majorEastAsia" w:hAnsiTheme="majorEastAsia" w:eastAsiaTheme="majorEastAsia"/>
          <w:color w:val="auto"/>
          <w:szCs w:val="24"/>
        </w:rPr>
        <w:fldChar w:fldCharType="end"/>
      </w:r>
    </w:p>
    <w:p>
      <w:pPr>
        <w:pStyle w:val="16"/>
        <w:tabs>
          <w:tab w:val="right" w:leader="dot" w:pos="8504"/>
        </w:tabs>
        <w:autoSpaceDN w:val="0"/>
        <w:spacing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Cs w:val="24"/>
        </w:rPr>
        <w:fldChar w:fldCharType="end"/>
      </w:r>
    </w:p>
    <w:p>
      <w:pPr>
        <w:autoSpaceDN w:val="0"/>
        <w:spacing w:line="360" w:lineRule="auto"/>
        <w:ind w:left="420" w:leftChars="200" w:right="420" w:rightChars="200"/>
        <w:rPr>
          <w:rFonts w:asciiTheme="majorEastAsia" w:hAnsiTheme="majorEastAsia" w:eastAsiaTheme="majorEastAsia"/>
          <w:color w:val="auto"/>
          <w:sz w:val="28"/>
          <w:szCs w:val="28"/>
        </w:rPr>
      </w:pPr>
    </w:p>
    <w:bookmarkEnd w:id="7"/>
    <w:p>
      <w:pPr>
        <w:pStyle w:val="3"/>
        <w:autoSpaceDN w:val="0"/>
        <w:spacing w:before="0" w:after="0" w:line="360" w:lineRule="auto"/>
        <w:jc w:val="center"/>
        <w:rPr>
          <w:rFonts w:asciiTheme="majorEastAsia" w:hAnsiTheme="majorEastAsia" w:eastAsiaTheme="majorEastAsia"/>
          <w:color w:val="auto"/>
        </w:rPr>
        <w:sectPr>
          <w:pgSz w:w="11906" w:h="16838"/>
          <w:pgMar w:top="1418" w:right="1418" w:bottom="1418" w:left="1701" w:header="851" w:footer="851" w:gutter="0"/>
          <w:pgNumType w:start="1"/>
          <w:cols w:space="720" w:num="1"/>
          <w:docGrid w:linePitch="312" w:charSpace="0"/>
        </w:sectPr>
      </w:pPr>
    </w:p>
    <w:p>
      <w:pPr>
        <w:pStyle w:val="3"/>
        <w:autoSpaceDN w:val="0"/>
        <w:spacing w:before="0" w:after="0" w:line="360" w:lineRule="auto"/>
        <w:jc w:val="center"/>
        <w:rPr>
          <w:rFonts w:asciiTheme="majorEastAsia" w:hAnsiTheme="majorEastAsia" w:eastAsiaTheme="majorEastAsia"/>
          <w:color w:val="auto"/>
        </w:rPr>
      </w:pPr>
      <w:bookmarkStart w:id="8" w:name="_Toc15421"/>
      <w:r>
        <w:rPr>
          <w:rFonts w:hint="eastAsia" w:asciiTheme="majorEastAsia" w:hAnsiTheme="majorEastAsia" w:eastAsiaTheme="majorEastAsia"/>
          <w:color w:val="auto"/>
        </w:rPr>
        <w:t>第一部分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招标公告</w:t>
      </w:r>
      <w:bookmarkEnd w:id="8"/>
    </w:p>
    <w:p>
      <w:pPr>
        <w:autoSpaceDN w:val="0"/>
        <w:spacing w:line="360" w:lineRule="auto"/>
        <w:jc w:val="center"/>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w:t>
      </w:r>
      <w:bookmarkStart w:id="9" w:name="blank24_copy_1619581275000"/>
      <w:r>
        <w:rPr>
          <w:rFonts w:hint="eastAsia" w:asciiTheme="majorEastAsia" w:hAnsiTheme="majorEastAsia" w:eastAsiaTheme="majorEastAsia"/>
          <w:b/>
          <w:bCs/>
          <w:color w:val="auto"/>
          <w:kern w:val="0"/>
          <w:szCs w:val="21"/>
        </w:rPr>
        <w:t>资格后审</w:t>
      </w:r>
      <w:bookmarkEnd w:id="9"/>
      <w:r>
        <w:rPr>
          <w:rFonts w:hint="eastAsia" w:asciiTheme="majorEastAsia" w:hAnsiTheme="majorEastAsia" w:eastAsiaTheme="majorEastAsia"/>
          <w:b/>
          <w:bCs/>
          <w:color w:val="auto"/>
          <w:szCs w:val="21"/>
        </w:rPr>
        <w:t>）</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项目概况</w:t>
      </w:r>
    </w:p>
    <w:p>
      <w:pPr>
        <w:widowControl/>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长春新区教育局北辰学校数字化校园网络及校园广播设备采购项目已由长春新区财政局政府采购管理办公室以</w:t>
      </w:r>
      <w:r>
        <w:rPr>
          <w:rFonts w:hint="eastAsia" w:asciiTheme="majorEastAsia" w:hAnsiTheme="majorEastAsia" w:eastAsiaTheme="majorEastAsia"/>
          <w:color w:val="auto"/>
          <w:szCs w:val="21"/>
        </w:rPr>
        <w:fldChar w:fldCharType="begin"/>
      </w:r>
      <w:r>
        <w:rPr>
          <w:rFonts w:hint="eastAsia" w:asciiTheme="majorEastAsia" w:hAnsiTheme="majorEastAsia" w:eastAsiaTheme="majorEastAsia"/>
          <w:color w:val="auto"/>
          <w:szCs w:val="21"/>
        </w:rPr>
        <w:instrText xml:space="preserve"> HYPERLINK "https://pay.zcygov.cn/purchaseplan_front/" \l "/plan/list/view?id=1000000000010981076" \t "https://www.zcygov.cn/delegation-order/order/_blank" </w:instrText>
      </w:r>
      <w:r>
        <w:rPr>
          <w:rFonts w:hint="eastAsia" w:asciiTheme="majorEastAsia" w:hAnsiTheme="majorEastAsia" w:eastAsiaTheme="majorEastAsia"/>
          <w:color w:val="auto"/>
          <w:szCs w:val="21"/>
        </w:rPr>
        <w:fldChar w:fldCharType="separate"/>
      </w:r>
      <w:r>
        <w:rPr>
          <w:rFonts w:hint="eastAsia" w:asciiTheme="majorEastAsia" w:hAnsiTheme="majorEastAsia" w:eastAsiaTheme="majorEastAsia"/>
          <w:color w:val="auto"/>
          <w:szCs w:val="21"/>
        </w:rPr>
        <w:t>XQZC2023-04</w:t>
      </w:r>
      <w:r>
        <w:rPr>
          <w:rFonts w:hint="eastAsia" w:asciiTheme="majorEastAsia" w:hAnsiTheme="majorEastAsia" w:eastAsiaTheme="majorEastAsia"/>
          <w:color w:val="auto"/>
          <w:szCs w:val="21"/>
          <w:lang w:val="en-US" w:eastAsia="zh-CN"/>
        </w:rPr>
        <w:t>2</w:t>
      </w:r>
      <w:r>
        <w:rPr>
          <w:rFonts w:hint="eastAsia" w:asciiTheme="majorEastAsia" w:hAnsiTheme="majorEastAsia" w:eastAsiaTheme="majorEastAsia"/>
          <w:color w:val="auto"/>
          <w:szCs w:val="21"/>
        </w:rPr>
        <w:fldChar w:fldCharType="end"/>
      </w:r>
      <w:r>
        <w:rPr>
          <w:rFonts w:hint="eastAsia" w:asciiTheme="majorEastAsia" w:hAnsiTheme="majorEastAsia" w:eastAsiaTheme="majorEastAsia"/>
          <w:color w:val="auto"/>
          <w:szCs w:val="21"/>
        </w:rPr>
        <w:t>号批准采购，采购人为长春新区教育局，采购代理机构为吉林省煦程招投标代理有限公司，现对该项目进行公开招标，潜在投标人应自行登录政府采购云平台（网址：http://www.zcygov.cn）获取采购文件（操作路径：登录“政采云”平台-项目采购-获取采购文件-找到本项目-点击“申请获取采购文件”），并于</w:t>
      </w:r>
      <w:r>
        <w:rPr>
          <w:rFonts w:hint="eastAsia" w:asciiTheme="majorEastAsia" w:hAnsiTheme="majorEastAsia" w:eastAsiaTheme="majorEastAsia"/>
          <w:color w:val="FF0000"/>
          <w:szCs w:val="21"/>
        </w:rPr>
        <w:t>202</w:t>
      </w:r>
      <w:r>
        <w:rPr>
          <w:rFonts w:hint="eastAsia" w:asciiTheme="majorEastAsia" w:hAnsiTheme="majorEastAsia" w:eastAsiaTheme="majorEastAsia"/>
          <w:color w:val="FF0000"/>
          <w:szCs w:val="21"/>
          <w:lang w:val="en-US" w:eastAsia="zh-CN"/>
        </w:rPr>
        <w:t>3</w:t>
      </w:r>
      <w:r>
        <w:rPr>
          <w:rFonts w:hint="eastAsia" w:asciiTheme="majorEastAsia" w:hAnsiTheme="majorEastAsia" w:eastAsiaTheme="majorEastAsia"/>
          <w:color w:val="FF0000"/>
          <w:szCs w:val="21"/>
        </w:rPr>
        <w:t>年</w:t>
      </w:r>
      <w:r>
        <w:rPr>
          <w:rFonts w:hint="eastAsia" w:asciiTheme="majorEastAsia" w:hAnsiTheme="majorEastAsia" w:eastAsiaTheme="majorEastAsia"/>
          <w:color w:val="FF0000"/>
          <w:szCs w:val="21"/>
          <w:lang w:val="en-US" w:eastAsia="zh-CN"/>
        </w:rPr>
        <w:t>8</w:t>
      </w:r>
      <w:r>
        <w:rPr>
          <w:rFonts w:hint="eastAsia" w:asciiTheme="majorEastAsia" w:hAnsiTheme="majorEastAsia" w:eastAsiaTheme="majorEastAsia"/>
          <w:color w:val="FF0000"/>
          <w:szCs w:val="21"/>
        </w:rPr>
        <w:t>月</w:t>
      </w:r>
      <w:r>
        <w:rPr>
          <w:rFonts w:hint="eastAsia" w:asciiTheme="majorEastAsia" w:hAnsiTheme="majorEastAsia" w:eastAsiaTheme="majorEastAsia"/>
          <w:color w:val="FF0000"/>
          <w:szCs w:val="21"/>
          <w:lang w:val="en-US" w:eastAsia="zh-CN"/>
        </w:rPr>
        <w:t>16</w:t>
      </w:r>
      <w:r>
        <w:rPr>
          <w:rFonts w:hint="eastAsia" w:asciiTheme="majorEastAsia" w:hAnsiTheme="majorEastAsia" w:eastAsiaTheme="majorEastAsia"/>
          <w:color w:val="FF0000"/>
          <w:szCs w:val="21"/>
        </w:rPr>
        <w:t>日9时30分</w:t>
      </w:r>
      <w:r>
        <w:rPr>
          <w:rFonts w:hint="eastAsia" w:asciiTheme="majorEastAsia" w:hAnsiTheme="majorEastAsia" w:eastAsiaTheme="majorEastAsia"/>
          <w:color w:val="auto"/>
          <w:szCs w:val="21"/>
        </w:rPr>
        <w:t>（北京时间）前递交投标文件。</w:t>
      </w:r>
    </w:p>
    <w:p>
      <w:pPr>
        <w:autoSpaceDN w:val="0"/>
        <w:spacing w:line="360" w:lineRule="auto"/>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一、项目基本情况</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项目编号：</w:t>
      </w:r>
      <w:r>
        <w:rPr>
          <w:rFonts w:hint="eastAsia" w:asciiTheme="majorEastAsia" w:hAnsiTheme="majorEastAsia" w:eastAsiaTheme="majorEastAsia"/>
          <w:color w:val="auto"/>
          <w:szCs w:val="21"/>
        </w:rPr>
        <w:fldChar w:fldCharType="begin"/>
      </w:r>
      <w:r>
        <w:rPr>
          <w:rFonts w:hint="eastAsia" w:asciiTheme="majorEastAsia" w:hAnsiTheme="majorEastAsia" w:eastAsiaTheme="majorEastAsia"/>
          <w:color w:val="auto"/>
          <w:szCs w:val="21"/>
        </w:rPr>
        <w:instrText xml:space="preserve"> HYPERLINK "https://pay.zcygov.cn/purchaseplan_front/" \l "/plan/list/view?id=1000000000010981076" \t "https://www.zcygov.cn/delegation-order/order/_blank" </w:instrText>
      </w:r>
      <w:r>
        <w:rPr>
          <w:rFonts w:hint="eastAsia" w:asciiTheme="majorEastAsia" w:hAnsiTheme="majorEastAsia" w:eastAsiaTheme="majorEastAsia"/>
          <w:color w:val="auto"/>
          <w:szCs w:val="21"/>
        </w:rPr>
        <w:fldChar w:fldCharType="separate"/>
      </w:r>
      <w:r>
        <w:rPr>
          <w:rFonts w:hint="eastAsia" w:asciiTheme="majorEastAsia" w:hAnsiTheme="majorEastAsia" w:eastAsiaTheme="majorEastAsia"/>
          <w:color w:val="auto"/>
          <w:szCs w:val="21"/>
        </w:rPr>
        <w:t>XQZC2023-04</w:t>
      </w:r>
      <w:r>
        <w:rPr>
          <w:rFonts w:hint="eastAsia" w:asciiTheme="majorEastAsia" w:hAnsiTheme="majorEastAsia" w:eastAsiaTheme="majorEastAsia"/>
          <w:color w:val="auto"/>
          <w:szCs w:val="21"/>
          <w:lang w:val="en-US" w:eastAsia="zh-CN"/>
        </w:rPr>
        <w:t>2</w:t>
      </w:r>
      <w:r>
        <w:rPr>
          <w:rFonts w:hint="eastAsia" w:asciiTheme="majorEastAsia" w:hAnsiTheme="majorEastAsia" w:eastAsiaTheme="majorEastAsia"/>
          <w:color w:val="auto"/>
          <w:szCs w:val="21"/>
        </w:rPr>
        <w:fldChar w:fldCharType="end"/>
      </w:r>
      <w:r>
        <w:rPr>
          <w:rFonts w:hint="eastAsia" w:asciiTheme="majorEastAsia" w:hAnsiTheme="majorEastAsia" w:eastAsiaTheme="majorEastAsia"/>
          <w:color w:val="auto"/>
          <w:szCs w:val="21"/>
        </w:rPr>
        <w:t>；</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项目名称：</w:t>
      </w:r>
      <w:r>
        <w:rPr>
          <w:rFonts w:hint="eastAsia" w:asciiTheme="majorEastAsia" w:hAnsiTheme="majorEastAsia" w:eastAsiaTheme="majorEastAsia"/>
          <w:color w:val="auto"/>
          <w:szCs w:val="21"/>
          <w:lang w:eastAsia="zh-CN"/>
        </w:rPr>
        <w:t>长春新区教育局北辰学校数字化校园网络及校园广播设备采购项目</w:t>
      </w:r>
      <w:r>
        <w:rPr>
          <w:rFonts w:hint="eastAsia" w:asciiTheme="majorEastAsia" w:hAnsiTheme="majorEastAsia" w:eastAsiaTheme="majorEastAsia"/>
          <w:color w:val="auto"/>
          <w:szCs w:val="21"/>
        </w:rPr>
        <w:t>；</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预算金额：</w:t>
      </w:r>
      <w:r>
        <w:rPr>
          <w:rFonts w:hint="eastAsia" w:asciiTheme="majorEastAsia" w:hAnsiTheme="majorEastAsia" w:eastAsiaTheme="majorEastAsia"/>
          <w:color w:val="auto"/>
          <w:kern w:val="0"/>
          <w:szCs w:val="21"/>
          <w:lang w:val="en-US" w:eastAsia="zh-CN"/>
        </w:rPr>
        <w:t>2000000</w:t>
      </w:r>
      <w:r>
        <w:rPr>
          <w:rFonts w:hint="eastAsia" w:asciiTheme="majorEastAsia" w:hAnsiTheme="majorEastAsia" w:eastAsiaTheme="majorEastAsia"/>
          <w:color w:val="auto"/>
          <w:kern w:val="0"/>
          <w:szCs w:val="21"/>
        </w:rPr>
        <w:t>元</w:t>
      </w:r>
      <w:r>
        <w:rPr>
          <w:rFonts w:hint="eastAsia" w:asciiTheme="majorEastAsia" w:hAnsiTheme="majorEastAsia" w:eastAsiaTheme="majorEastAsia"/>
          <w:color w:val="auto"/>
          <w:szCs w:val="21"/>
        </w:rPr>
        <w:t>；</w:t>
      </w:r>
    </w:p>
    <w:p>
      <w:pPr>
        <w:autoSpaceDN w:val="0"/>
        <w:spacing w:line="360" w:lineRule="auto"/>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szCs w:val="21"/>
        </w:rPr>
        <w:t>最高限价：</w:t>
      </w:r>
      <w:r>
        <w:rPr>
          <w:rFonts w:hint="eastAsia" w:asciiTheme="majorEastAsia" w:hAnsiTheme="majorEastAsia" w:eastAsiaTheme="majorEastAsia"/>
          <w:color w:val="auto"/>
          <w:kern w:val="0"/>
          <w:szCs w:val="21"/>
          <w:lang w:val="en-US" w:eastAsia="zh-CN"/>
        </w:rPr>
        <w:t>2000000</w:t>
      </w:r>
      <w:r>
        <w:rPr>
          <w:rFonts w:hint="eastAsia" w:asciiTheme="majorEastAsia" w:hAnsiTheme="majorEastAsia" w:eastAsiaTheme="majorEastAsia"/>
          <w:bCs/>
          <w:color w:val="auto"/>
          <w:kern w:val="15"/>
          <w:szCs w:val="21"/>
        </w:rPr>
        <w:t>元；</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采购需求：</w:t>
      </w:r>
      <w:bookmarkStart w:id="10" w:name="blank16"/>
      <w:r>
        <w:rPr>
          <w:rFonts w:hint="eastAsia" w:asciiTheme="majorEastAsia" w:hAnsiTheme="majorEastAsia" w:eastAsiaTheme="majorEastAsia"/>
          <w:color w:val="auto"/>
          <w:szCs w:val="21"/>
          <w:lang w:eastAsia="zh-CN"/>
        </w:rPr>
        <w:t>数字化校园网络及校园广播设备</w:t>
      </w:r>
      <w:r>
        <w:rPr>
          <w:rFonts w:hint="eastAsia" w:asciiTheme="majorEastAsia" w:hAnsiTheme="majorEastAsia" w:eastAsiaTheme="majorEastAsia"/>
          <w:color w:val="auto"/>
          <w:kern w:val="0"/>
          <w:szCs w:val="21"/>
        </w:rPr>
        <w:t>采购1批，具体详见招标文件；</w:t>
      </w:r>
      <w:bookmarkEnd w:id="10"/>
    </w:p>
    <w:p>
      <w:pPr>
        <w:autoSpaceDN w:val="0"/>
        <w:spacing w:line="360" w:lineRule="auto"/>
        <w:ind w:firstLine="420" w:firstLineChars="200"/>
        <w:rPr>
          <w:rFonts w:asciiTheme="majorEastAsia" w:hAnsiTheme="majorEastAsia" w:eastAsiaTheme="majorEastAsia"/>
          <w:color w:val="auto"/>
          <w:kern w:val="0"/>
          <w:szCs w:val="21"/>
        </w:rPr>
      </w:pPr>
      <w:r>
        <w:rPr>
          <w:rFonts w:hint="eastAsia" w:asciiTheme="majorEastAsia" w:hAnsiTheme="majorEastAsia" w:eastAsiaTheme="majorEastAsia"/>
          <w:color w:val="auto"/>
          <w:szCs w:val="21"/>
        </w:rPr>
        <w:t>合同履行期限：</w:t>
      </w:r>
      <w:bookmarkStart w:id="11" w:name="blank17"/>
      <w:r>
        <w:rPr>
          <w:rFonts w:hint="eastAsia" w:asciiTheme="majorEastAsia" w:hAnsiTheme="majorEastAsia" w:eastAsiaTheme="majorEastAsia"/>
          <w:color w:val="auto"/>
          <w:szCs w:val="21"/>
          <w:lang w:val="en-US" w:eastAsia="zh-CN"/>
        </w:rPr>
        <w:t>接到供货指令后30</w:t>
      </w:r>
      <w:r>
        <w:rPr>
          <w:rFonts w:hint="eastAsia" w:asciiTheme="majorEastAsia" w:hAnsiTheme="majorEastAsia" w:eastAsiaTheme="majorEastAsia"/>
          <w:color w:val="auto"/>
          <w:szCs w:val="21"/>
        </w:rPr>
        <w:t>日内完成供货、安装、调试</w:t>
      </w:r>
      <w:r>
        <w:rPr>
          <w:rFonts w:hint="eastAsia" w:asciiTheme="majorEastAsia" w:hAnsiTheme="majorEastAsia" w:eastAsiaTheme="majorEastAsia"/>
          <w:color w:val="auto"/>
          <w:kern w:val="0"/>
          <w:szCs w:val="21"/>
        </w:rPr>
        <w:t>；</w:t>
      </w:r>
      <w:bookmarkEnd w:id="11"/>
    </w:p>
    <w:p>
      <w:pPr>
        <w:pStyle w:val="10"/>
        <w:autoSpaceDN w:val="0"/>
        <w:adjustRightInd w:val="0"/>
        <w:snapToGrid w:val="0"/>
        <w:spacing w:after="0" w:line="360" w:lineRule="auto"/>
        <w:ind w:firstLine="420" w:firstLineChars="200"/>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供货地点：采购人指定地点，送货上门服务；</w:t>
      </w:r>
    </w:p>
    <w:p>
      <w:pPr>
        <w:pStyle w:val="10"/>
        <w:autoSpaceDN w:val="0"/>
        <w:adjustRightInd w:val="0"/>
        <w:snapToGrid w:val="0"/>
        <w:spacing w:after="0"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质量标准：符合国家及行业相关合格标准；</w:t>
      </w:r>
    </w:p>
    <w:p>
      <w:pPr>
        <w:autoSpaceDN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本项目是否接受联合体投标：</w:t>
      </w:r>
      <w:bookmarkStart w:id="12" w:name="blank35_copy_1629941207000"/>
      <w:r>
        <w:rPr>
          <w:rFonts w:hint="eastAsia" w:cs="宋体" w:asciiTheme="majorEastAsia" w:hAnsiTheme="majorEastAsia" w:eastAsiaTheme="majorEastAsia"/>
          <w:color w:val="auto"/>
          <w:szCs w:val="21"/>
        </w:rPr>
        <w:t>否</w:t>
      </w:r>
      <w:bookmarkEnd w:id="12"/>
      <w:r>
        <w:rPr>
          <w:rFonts w:hint="eastAsia" w:cs="宋体" w:asciiTheme="majorEastAsia" w:hAnsiTheme="majorEastAsia" w:eastAsiaTheme="majorEastAsia"/>
          <w:color w:val="auto"/>
          <w:szCs w:val="21"/>
        </w:rPr>
        <w:t>；</w:t>
      </w:r>
    </w:p>
    <w:p>
      <w:pPr>
        <w:pStyle w:val="21"/>
        <w:autoSpaceDN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本项目是否支持政采贷业务：</w:t>
      </w:r>
      <w:bookmarkStart w:id="13" w:name="blank37"/>
      <w:r>
        <w:rPr>
          <w:rFonts w:hint="eastAsia" w:asciiTheme="majorEastAsia" w:hAnsiTheme="majorEastAsia" w:eastAsiaTheme="majorEastAsia"/>
          <w:color w:val="auto"/>
        </w:rPr>
        <w:t>是</w:t>
      </w:r>
      <w:bookmarkEnd w:id="13"/>
      <w:r>
        <w:rPr>
          <w:rFonts w:hint="eastAsia" w:asciiTheme="majorEastAsia" w:hAnsiTheme="majorEastAsia" w:eastAsiaTheme="majorEastAsia"/>
          <w:color w:val="auto"/>
        </w:rPr>
        <w:t>。</w:t>
      </w:r>
    </w:p>
    <w:p>
      <w:pPr>
        <w:numPr>
          <w:ilvl w:val="0"/>
          <w:numId w:val="0"/>
        </w:numPr>
        <w:tabs>
          <w:tab w:val="left" w:pos="0"/>
        </w:tabs>
        <w:autoSpaceDN w:val="0"/>
        <w:spacing w:line="360" w:lineRule="auto"/>
        <w:ind w:left="0" w:leftChars="0" w:firstLine="0" w:firstLineChars="0"/>
        <w:rPr>
          <w:rFonts w:asciiTheme="majorEastAsia" w:hAnsiTheme="majorEastAsia" w:eastAsiaTheme="majorEastAsia"/>
          <w:b/>
          <w:bCs/>
          <w:color w:val="auto"/>
          <w:szCs w:val="21"/>
        </w:rPr>
      </w:pPr>
      <w:bookmarkStart w:id="14" w:name="_Toc28359003"/>
      <w:bookmarkStart w:id="15" w:name="_Toc35393791"/>
      <w:bookmarkStart w:id="16" w:name="_Toc35393622"/>
      <w:bookmarkStart w:id="17" w:name="_Toc28359080"/>
      <w:r>
        <w:rPr>
          <w:rFonts w:hint="eastAsia" w:cs="Times New Roman" w:asciiTheme="majorEastAsia" w:hAnsiTheme="majorEastAsia" w:eastAsiaTheme="majorEastAsia"/>
          <w:b/>
          <w:bCs/>
          <w:caps w:val="0"/>
          <w:smallCaps w:val="0"/>
          <w:color w:val="auto"/>
          <w:kern w:val="2"/>
          <w:sz w:val="21"/>
          <w:szCs w:val="21"/>
          <w:lang w:val="en-US" w:eastAsia="zh-CN" w:bidi="ar-SA"/>
        </w:rPr>
        <w:t>二</w:t>
      </w:r>
      <w:bookmarkStart w:id="197" w:name="_GoBack"/>
      <w:bookmarkEnd w:id="197"/>
      <w:r>
        <w:rPr>
          <w:rFonts w:cs="Times New Roman" w:asciiTheme="majorEastAsia" w:hAnsiTheme="majorEastAsia" w:eastAsiaTheme="majorEastAsia"/>
          <w:b/>
          <w:bCs/>
          <w:caps w:val="0"/>
          <w:smallCaps w:val="0"/>
          <w:color w:val="auto"/>
          <w:kern w:val="2"/>
          <w:sz w:val="21"/>
          <w:szCs w:val="21"/>
          <w:lang w:val="en-US" w:eastAsia="zh-CN" w:bidi="ar-SA"/>
        </w:rPr>
        <w:t>、</w:t>
      </w:r>
      <w:r>
        <w:rPr>
          <w:rFonts w:hint="eastAsia" w:asciiTheme="majorEastAsia" w:hAnsiTheme="majorEastAsia" w:eastAsiaTheme="majorEastAsia"/>
          <w:b/>
          <w:bCs/>
          <w:color w:val="auto"/>
          <w:szCs w:val="21"/>
        </w:rPr>
        <w:t>申请人的资格要求：</w:t>
      </w:r>
      <w:bookmarkEnd w:id="14"/>
      <w:bookmarkEnd w:id="15"/>
      <w:bookmarkEnd w:id="16"/>
      <w:bookmarkEnd w:id="17"/>
    </w:p>
    <w:p>
      <w:pPr>
        <w:spacing w:line="360" w:lineRule="auto"/>
        <w:ind w:firstLine="371" w:firstLineChars="177"/>
        <w:rPr>
          <w:rFonts w:ascii="宋体" w:hAnsi="宋体"/>
          <w:color w:val="auto"/>
          <w:szCs w:val="21"/>
        </w:rPr>
      </w:pPr>
      <w:bookmarkStart w:id="18" w:name="_Toc35393792"/>
      <w:bookmarkStart w:id="19" w:name="_Toc35393623"/>
      <w:bookmarkStart w:id="20" w:name="_Toc28359081"/>
      <w:bookmarkStart w:id="21" w:name="_Toc28359004"/>
      <w:r>
        <w:rPr>
          <w:rFonts w:hint="eastAsia" w:ascii="宋体" w:hAnsi="宋体"/>
          <w:color w:val="auto"/>
          <w:szCs w:val="21"/>
          <w:lang w:val="en-US" w:eastAsia="zh-CN"/>
        </w:rPr>
        <w:t>2.</w:t>
      </w:r>
      <w:r>
        <w:rPr>
          <w:rFonts w:hint="eastAsia" w:ascii="宋体" w:hAnsi="宋体"/>
          <w:color w:val="auto"/>
          <w:szCs w:val="21"/>
        </w:rPr>
        <w:t>1.满足《中华人民共和国政府采购法》第二十二条规定；</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2.落实政府采购政策需满足的资格要求：</w:t>
      </w:r>
      <w:bookmarkStart w:id="22" w:name="blank21"/>
      <w:r>
        <w:rPr>
          <w:rFonts w:hint="eastAsia" w:ascii="宋体" w:hAnsi="宋体"/>
          <w:color w:val="auto"/>
          <w:szCs w:val="21"/>
        </w:rPr>
        <w:t>本项目</w:t>
      </w:r>
      <w:r>
        <w:rPr>
          <w:rFonts w:hint="eastAsia" w:ascii="宋体" w:hAnsi="宋体"/>
          <w:color w:val="auto"/>
          <w:szCs w:val="21"/>
          <w:lang w:eastAsia="zh-CN"/>
        </w:rPr>
        <w:t>非</w:t>
      </w:r>
      <w:r>
        <w:rPr>
          <w:rFonts w:hint="eastAsia" w:ascii="宋体" w:hAnsi="宋体"/>
          <w:color w:val="auto"/>
          <w:szCs w:val="21"/>
        </w:rPr>
        <w:t>专门面向中小企业采购</w:t>
      </w:r>
      <w:bookmarkEnd w:id="22"/>
      <w:r>
        <w:rPr>
          <w:rFonts w:hint="eastAsia" w:ascii="宋体" w:hAnsi="宋体"/>
          <w:color w:val="auto"/>
          <w:szCs w:val="21"/>
        </w:rPr>
        <w:t>。</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（1）《政府采购促进中小企业发展管理办法》(财库[2020]46号)；</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（2）《关于政府采购支持监狱企业发展有关问题的通知》(财库[2014]68号)；</w:t>
      </w:r>
    </w:p>
    <w:p>
      <w:pPr>
        <w:autoSpaceDN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rPr>
        <w:t>（3）《</w:t>
      </w:r>
      <w:r>
        <w:rPr>
          <w:rFonts w:hint="eastAsia" w:asciiTheme="majorEastAsia" w:hAnsiTheme="majorEastAsia" w:eastAsiaTheme="majorEastAsia"/>
          <w:color w:val="auto"/>
          <w:szCs w:val="21"/>
          <w:highlight w:val="none"/>
        </w:rPr>
        <w:t>三部门联合发布关于促进残疾人就业政府采购政策的通知》(财库[2017]141号)；</w:t>
      </w:r>
    </w:p>
    <w:p>
      <w:pPr>
        <w:autoSpaceDN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（4）《节能产品政府采购实施意见》的通知(财库〔2004〕185 号)；</w:t>
      </w:r>
    </w:p>
    <w:p>
      <w:pPr>
        <w:autoSpaceDN w:val="0"/>
        <w:spacing w:line="360" w:lineRule="auto"/>
        <w:ind w:firstLine="420" w:firstLineChars="200"/>
      </w:pPr>
      <w:r>
        <w:rPr>
          <w:rFonts w:hint="eastAsia" w:asciiTheme="majorEastAsia" w:hAnsiTheme="majorEastAsia" w:eastAsiaTheme="majorEastAsia"/>
          <w:color w:val="auto"/>
          <w:szCs w:val="21"/>
          <w:highlight w:val="none"/>
        </w:rPr>
        <w:t>（5）《关于调整优化节能产品、环境标志产品政府采购执行机制的通知》(财库[2019]9号)。</w:t>
      </w:r>
    </w:p>
    <w:p>
      <w:pPr>
        <w:spacing w:line="360" w:lineRule="auto"/>
        <w:ind w:firstLine="371" w:firstLineChars="177"/>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3.本项目的特定资格要求：</w:t>
      </w:r>
    </w:p>
    <w:p>
      <w:pPr>
        <w:spacing w:line="360" w:lineRule="auto"/>
        <w:ind w:firstLine="371" w:firstLineChars="177"/>
        <w:rPr>
          <w:rFonts w:hint="eastAsia" w:ascii="宋体" w:hAnsi="宋体"/>
          <w:color w:val="auto"/>
          <w:szCs w:val="21"/>
          <w:highlight w:val="none"/>
          <w:lang w:val="en-US" w:eastAsia="zh-CN"/>
        </w:rPr>
      </w:pPr>
      <w:r>
        <w:rPr>
          <w:rFonts w:hint="eastAsia" w:ascii="宋体" w:hAnsi="宋体"/>
          <w:color w:val="auto"/>
          <w:szCs w:val="21"/>
          <w:lang w:val="en-US" w:eastAsia="zh-CN"/>
        </w:rPr>
        <w:t>2.</w:t>
      </w:r>
      <w:r>
        <w:rPr>
          <w:rFonts w:hint="eastAsia" w:ascii="宋体" w:hAnsi="宋体"/>
          <w:color w:val="auto"/>
          <w:szCs w:val="21"/>
        </w:rPr>
        <w:t>3.1投标人须在中华人民共和国境内注册，能够独立承担民事责任的法人、其他组织形式，具备</w:t>
      </w:r>
      <w:r>
        <w:rPr>
          <w:rFonts w:hint="eastAsia" w:ascii="宋体" w:hAnsi="宋体" w:cs="宋体"/>
          <w:color w:val="auto"/>
          <w:szCs w:val="21"/>
        </w:rPr>
        <w:t>有效</w:t>
      </w:r>
      <w:r>
        <w:rPr>
          <w:rFonts w:hint="eastAsia" w:ascii="宋体" w:hAnsi="宋体" w:cs="宋体"/>
          <w:color w:val="auto"/>
          <w:szCs w:val="21"/>
          <w:lang w:eastAsia="zh-CN"/>
        </w:rPr>
        <w:t>的</w:t>
      </w:r>
      <w:r>
        <w:rPr>
          <w:rFonts w:hint="eastAsia" w:ascii="宋体" w:hAnsi="宋体" w:cs="宋体"/>
          <w:color w:val="auto"/>
          <w:szCs w:val="21"/>
        </w:rPr>
        <w:t>营业执照，在人员、设备、资金等方面具有相应的</w:t>
      </w:r>
      <w:r>
        <w:rPr>
          <w:rFonts w:hint="eastAsia" w:ascii="宋体" w:hAnsi="宋体" w:cs="宋体"/>
          <w:color w:val="auto"/>
          <w:szCs w:val="21"/>
          <w:lang w:eastAsia="zh-CN"/>
        </w:rPr>
        <w:t>服务</w:t>
      </w:r>
      <w:r>
        <w:rPr>
          <w:rFonts w:hint="eastAsia" w:ascii="宋体" w:hAnsi="宋体" w:cs="宋体"/>
          <w:color w:val="auto"/>
          <w:szCs w:val="21"/>
        </w:rPr>
        <w:t>能力。</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2</w:t>
      </w:r>
      <w:r>
        <w:rPr>
          <w:rFonts w:hint="eastAsia" w:ascii="宋体" w:hAnsi="宋体"/>
          <w:color w:val="auto"/>
          <w:szCs w:val="21"/>
        </w:rPr>
        <w:t>近三年（20</w:t>
      </w:r>
      <w:r>
        <w:rPr>
          <w:rFonts w:hint="eastAsia" w:ascii="宋体" w:hAnsi="宋体"/>
          <w:color w:val="auto"/>
          <w:szCs w:val="21"/>
          <w:lang w:val="en-US" w:eastAsia="zh-CN"/>
        </w:rPr>
        <w:t>20</w:t>
      </w: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年）财务状况良好。具有第三方出具的财务审计报告（</w:t>
      </w:r>
      <w:r>
        <w:rPr>
          <w:rFonts w:hint="eastAsia" w:ascii="宋体" w:hAnsi="宋体"/>
          <w:color w:val="auto"/>
          <w:szCs w:val="21"/>
          <w:lang w:eastAsia="zh-CN"/>
        </w:rPr>
        <w:t>近年</w:t>
      </w:r>
      <w:r>
        <w:rPr>
          <w:rFonts w:hint="eastAsia" w:ascii="宋体" w:hAnsi="宋体"/>
          <w:color w:val="auto"/>
          <w:szCs w:val="21"/>
        </w:rPr>
        <w:t>成立企业提供成立至202</w:t>
      </w:r>
      <w:r>
        <w:rPr>
          <w:rFonts w:hint="eastAsia" w:ascii="宋体" w:hAnsi="宋体"/>
          <w:color w:val="auto"/>
          <w:szCs w:val="21"/>
          <w:lang w:val="en-US" w:eastAsia="zh-CN"/>
        </w:rPr>
        <w:t>2</w:t>
      </w:r>
      <w:r>
        <w:rPr>
          <w:rFonts w:hint="eastAsia" w:ascii="宋体" w:hAnsi="宋体"/>
          <w:color w:val="auto"/>
          <w:szCs w:val="21"/>
        </w:rPr>
        <w:t>年财务审计报告，202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eastAsia="zh-CN"/>
        </w:rPr>
        <w:t>及以后</w:t>
      </w:r>
      <w:r>
        <w:rPr>
          <w:rFonts w:hint="eastAsia" w:ascii="宋体" w:hAnsi="宋体"/>
          <w:color w:val="auto"/>
          <w:szCs w:val="21"/>
        </w:rPr>
        <w:t>成立企业提供</w:t>
      </w:r>
      <w:r>
        <w:rPr>
          <w:rFonts w:hint="eastAsia" w:ascii="宋体" w:hAnsi="宋体" w:cs="宋体"/>
          <w:bCs/>
          <w:color w:val="auto"/>
          <w:szCs w:val="21"/>
        </w:rPr>
        <w:t>近三个月内基本银行账户开具的资信证明</w:t>
      </w:r>
      <w:r>
        <w:rPr>
          <w:rFonts w:hint="eastAsia" w:ascii="宋体" w:hAnsi="宋体"/>
          <w:color w:val="auto"/>
          <w:szCs w:val="21"/>
        </w:rPr>
        <w:t>）。</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 xml:space="preserve">3 </w:t>
      </w:r>
      <w:r>
        <w:rPr>
          <w:rFonts w:hint="eastAsia" w:ascii="宋体" w:hAnsi="宋体"/>
          <w:color w:val="auto"/>
          <w:szCs w:val="21"/>
        </w:rPr>
        <w:t>不接受被政府列为取消投标资格期间内的企业或个人投标。</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 xml:space="preserve">2.3.4 </w:t>
      </w:r>
      <w:r>
        <w:rPr>
          <w:rFonts w:hint="eastAsia" w:ascii="宋体" w:hAnsi="宋体"/>
          <w:color w:val="auto"/>
          <w:szCs w:val="21"/>
          <w:lang w:eastAsia="zh-CN"/>
        </w:rPr>
        <w:t>具有</w:t>
      </w:r>
      <w:r>
        <w:rPr>
          <w:rFonts w:hint="eastAsia" w:ascii="宋体" w:hAnsi="宋体"/>
          <w:color w:val="auto"/>
          <w:szCs w:val="21"/>
        </w:rPr>
        <w:t>近六个月任意一个月依法纳税的凭证或免缴纳证明、社会保障资金缴纳记录（专用收据或社会保险缴纳清单）或免缴纳证明。</w:t>
      </w:r>
    </w:p>
    <w:p>
      <w:pPr>
        <w:spacing w:line="360" w:lineRule="auto"/>
        <w:ind w:firstLine="371" w:firstLineChars="177"/>
        <w:rPr>
          <w:rFonts w:hint="eastAsia" w:ascii="宋体" w:hAnsi="宋体" w:eastAsia="宋体"/>
          <w:color w:val="auto"/>
          <w:szCs w:val="21"/>
          <w:lang w:val="en-US" w:eastAsia="zh-CN"/>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 xml:space="preserve">5 </w:t>
      </w:r>
      <w:r>
        <w:rPr>
          <w:rFonts w:hint="eastAsia" w:ascii="宋体" w:hAnsi="宋体"/>
          <w:color w:val="auto"/>
          <w:szCs w:val="21"/>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r>
        <w:rPr>
          <w:rFonts w:hint="eastAsia" w:ascii="宋体" w:hAnsi="宋体"/>
          <w:color w:val="auto"/>
          <w:szCs w:val="21"/>
          <w:lang w:val="en-US" w:eastAsia="zh-CN"/>
        </w:rPr>
        <w:tab/>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6</w:t>
      </w:r>
      <w:r>
        <w:rPr>
          <w:rFonts w:hint="eastAsia" w:ascii="宋体" w:hAnsi="宋体"/>
          <w:color w:val="auto"/>
          <w:szCs w:val="21"/>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autoSpaceDN w:val="0"/>
        <w:spacing w:line="360" w:lineRule="auto"/>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三、获取招标文件</w:t>
      </w:r>
      <w:bookmarkEnd w:id="18"/>
      <w:bookmarkEnd w:id="19"/>
      <w:bookmarkEnd w:id="20"/>
      <w:bookmarkEnd w:id="21"/>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时间：</w:t>
      </w:r>
      <w:r>
        <w:rPr>
          <w:rFonts w:hint="eastAsia" w:asciiTheme="majorEastAsia" w:hAnsiTheme="majorEastAsia" w:eastAsiaTheme="majorEastAsia"/>
          <w:color w:val="FF0000"/>
          <w:szCs w:val="21"/>
        </w:rPr>
        <w:t>202</w:t>
      </w:r>
      <w:r>
        <w:rPr>
          <w:rFonts w:hint="eastAsia" w:asciiTheme="majorEastAsia" w:hAnsiTheme="majorEastAsia" w:eastAsiaTheme="majorEastAsia"/>
          <w:color w:val="FF0000"/>
          <w:szCs w:val="21"/>
          <w:lang w:val="en-US" w:eastAsia="zh-CN"/>
        </w:rPr>
        <w:t>3</w:t>
      </w:r>
      <w:r>
        <w:rPr>
          <w:rFonts w:hint="eastAsia" w:asciiTheme="majorEastAsia" w:hAnsiTheme="majorEastAsia" w:eastAsiaTheme="majorEastAsia"/>
          <w:color w:val="FF0000"/>
          <w:szCs w:val="21"/>
        </w:rPr>
        <w:t>年</w:t>
      </w:r>
      <w:r>
        <w:rPr>
          <w:rFonts w:hint="eastAsia" w:asciiTheme="majorEastAsia" w:hAnsiTheme="majorEastAsia" w:eastAsiaTheme="majorEastAsia"/>
          <w:color w:val="FF0000"/>
          <w:szCs w:val="21"/>
          <w:lang w:val="en-US" w:eastAsia="zh-CN"/>
        </w:rPr>
        <w:t>7</w:t>
      </w:r>
      <w:r>
        <w:rPr>
          <w:rFonts w:hint="eastAsia" w:asciiTheme="majorEastAsia" w:hAnsiTheme="majorEastAsia" w:eastAsiaTheme="majorEastAsia"/>
          <w:color w:val="FF0000"/>
          <w:szCs w:val="21"/>
        </w:rPr>
        <w:t>月</w:t>
      </w:r>
      <w:r>
        <w:rPr>
          <w:rFonts w:hint="eastAsia" w:asciiTheme="majorEastAsia" w:hAnsiTheme="majorEastAsia" w:eastAsiaTheme="majorEastAsia"/>
          <w:color w:val="FF0000"/>
          <w:szCs w:val="21"/>
          <w:lang w:val="en-US" w:eastAsia="zh-CN"/>
        </w:rPr>
        <w:t>26</w:t>
      </w:r>
      <w:r>
        <w:rPr>
          <w:rFonts w:hint="eastAsia" w:asciiTheme="majorEastAsia" w:hAnsiTheme="majorEastAsia" w:eastAsiaTheme="majorEastAsia"/>
          <w:color w:val="FF0000"/>
          <w:szCs w:val="21"/>
        </w:rPr>
        <w:t>日至202</w:t>
      </w:r>
      <w:r>
        <w:rPr>
          <w:rFonts w:hint="eastAsia" w:asciiTheme="majorEastAsia" w:hAnsiTheme="majorEastAsia" w:eastAsiaTheme="majorEastAsia"/>
          <w:color w:val="FF0000"/>
          <w:szCs w:val="21"/>
          <w:lang w:val="en-US" w:eastAsia="zh-CN"/>
        </w:rPr>
        <w:t>3</w:t>
      </w:r>
      <w:r>
        <w:rPr>
          <w:rFonts w:hint="eastAsia" w:asciiTheme="majorEastAsia" w:hAnsiTheme="majorEastAsia" w:eastAsiaTheme="majorEastAsia"/>
          <w:color w:val="FF0000"/>
          <w:szCs w:val="21"/>
        </w:rPr>
        <w:t>年</w:t>
      </w:r>
      <w:r>
        <w:rPr>
          <w:rFonts w:hint="eastAsia" w:asciiTheme="majorEastAsia" w:hAnsiTheme="majorEastAsia" w:eastAsiaTheme="majorEastAsia"/>
          <w:color w:val="FF0000"/>
          <w:szCs w:val="21"/>
          <w:lang w:val="en-US" w:eastAsia="zh-CN"/>
        </w:rPr>
        <w:t>8</w:t>
      </w:r>
      <w:r>
        <w:rPr>
          <w:rFonts w:hint="eastAsia" w:asciiTheme="majorEastAsia" w:hAnsiTheme="majorEastAsia" w:eastAsiaTheme="majorEastAsia"/>
          <w:color w:val="FF0000"/>
          <w:szCs w:val="21"/>
        </w:rPr>
        <w:t>月</w:t>
      </w:r>
      <w:r>
        <w:rPr>
          <w:rFonts w:hint="eastAsia" w:asciiTheme="majorEastAsia" w:hAnsiTheme="majorEastAsia" w:eastAsiaTheme="majorEastAsia"/>
          <w:color w:val="FF0000"/>
          <w:szCs w:val="21"/>
          <w:lang w:val="en-US" w:eastAsia="zh-CN"/>
        </w:rPr>
        <w:t>1</w:t>
      </w:r>
      <w:r>
        <w:rPr>
          <w:rFonts w:hint="eastAsia" w:asciiTheme="majorEastAsia" w:hAnsiTheme="majorEastAsia" w:eastAsiaTheme="majorEastAsia"/>
          <w:color w:val="FF0000"/>
          <w:szCs w:val="21"/>
        </w:rPr>
        <w:t>日</w:t>
      </w:r>
      <w:r>
        <w:rPr>
          <w:rFonts w:hint="eastAsia" w:asciiTheme="majorEastAsia" w:hAnsiTheme="majorEastAsia" w:eastAsiaTheme="majorEastAsia"/>
          <w:color w:val="auto"/>
          <w:szCs w:val="21"/>
        </w:rPr>
        <w:t>，上午9时至11时30分，下午13时00分至16时00分（北京时间，法定节假日除外）</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方式：潜在供应商自行登录政府采购云平台（网址：http:// www.zcygov.cn）下载采购文件（操作路径：登录“政采云”平台-项目采购-获取采购文件-找到本项目-点击“申请获取采购文件”），其他途径获取的采购文件开标时一律按无效投标处理。</w:t>
      </w:r>
    </w:p>
    <w:p>
      <w:pPr>
        <w:autoSpaceDN w:val="0"/>
        <w:spacing w:line="360" w:lineRule="auto"/>
        <w:rPr>
          <w:rFonts w:asciiTheme="majorEastAsia" w:hAnsiTheme="majorEastAsia" w:eastAsiaTheme="majorEastAsia"/>
          <w:b/>
          <w:bCs/>
          <w:color w:val="auto"/>
          <w:szCs w:val="21"/>
        </w:rPr>
      </w:pPr>
      <w:bookmarkStart w:id="23" w:name="_Toc28359082"/>
      <w:bookmarkStart w:id="24" w:name="_Toc28359005"/>
      <w:bookmarkStart w:id="25" w:name="_Toc35393624"/>
      <w:bookmarkStart w:id="26" w:name="_Toc35393793"/>
      <w:r>
        <w:rPr>
          <w:rFonts w:hint="eastAsia" w:asciiTheme="majorEastAsia" w:hAnsiTheme="majorEastAsia" w:eastAsiaTheme="majorEastAsia"/>
          <w:b/>
          <w:bCs/>
          <w:color w:val="auto"/>
          <w:szCs w:val="21"/>
        </w:rPr>
        <w:t>四、提交投标文件</w:t>
      </w:r>
      <w:bookmarkEnd w:id="23"/>
      <w:bookmarkEnd w:id="24"/>
      <w:r>
        <w:rPr>
          <w:rFonts w:hint="eastAsia" w:asciiTheme="majorEastAsia" w:hAnsiTheme="majorEastAsia" w:eastAsiaTheme="majorEastAsia"/>
          <w:b/>
          <w:bCs/>
          <w:color w:val="auto"/>
          <w:szCs w:val="21"/>
        </w:rPr>
        <w:t>截止时间、开标时间和地点</w:t>
      </w:r>
      <w:bookmarkEnd w:id="25"/>
      <w:bookmarkEnd w:id="26"/>
    </w:p>
    <w:p>
      <w:pPr>
        <w:autoSpaceDN w:val="0"/>
        <w:adjustRightInd w:val="0"/>
        <w:snapToGrid w:val="0"/>
        <w:spacing w:line="360" w:lineRule="auto"/>
        <w:ind w:firstLine="420" w:firstLineChars="200"/>
        <w:rPr>
          <w:rFonts w:asciiTheme="majorEastAsia" w:hAnsiTheme="majorEastAsia" w:eastAsiaTheme="majorEastAsia"/>
          <w:color w:val="auto"/>
          <w:szCs w:val="21"/>
        </w:rPr>
      </w:pPr>
      <w:bookmarkStart w:id="27" w:name="_Toc35393625"/>
      <w:bookmarkStart w:id="28" w:name="_Toc28359084"/>
      <w:bookmarkStart w:id="29" w:name="_Toc28359007"/>
      <w:bookmarkStart w:id="30" w:name="_Toc35393794"/>
      <w:r>
        <w:rPr>
          <w:rFonts w:hint="eastAsia" w:asciiTheme="majorEastAsia" w:hAnsiTheme="majorEastAsia" w:eastAsiaTheme="majorEastAsia"/>
          <w:color w:val="auto"/>
          <w:szCs w:val="21"/>
        </w:rPr>
        <w:t>时间：</w:t>
      </w:r>
      <w:r>
        <w:rPr>
          <w:rFonts w:hint="eastAsia" w:asciiTheme="majorEastAsia" w:hAnsiTheme="majorEastAsia" w:eastAsiaTheme="majorEastAsia"/>
          <w:color w:val="FF0000"/>
          <w:szCs w:val="21"/>
        </w:rPr>
        <w:t>202</w:t>
      </w:r>
      <w:r>
        <w:rPr>
          <w:rFonts w:hint="eastAsia" w:asciiTheme="majorEastAsia" w:hAnsiTheme="majorEastAsia" w:eastAsiaTheme="majorEastAsia"/>
          <w:color w:val="FF0000"/>
          <w:szCs w:val="21"/>
          <w:lang w:val="en-US" w:eastAsia="zh-CN"/>
        </w:rPr>
        <w:t>3</w:t>
      </w:r>
      <w:r>
        <w:rPr>
          <w:rFonts w:hint="eastAsia" w:asciiTheme="majorEastAsia" w:hAnsiTheme="majorEastAsia" w:eastAsiaTheme="majorEastAsia"/>
          <w:color w:val="FF0000"/>
          <w:szCs w:val="21"/>
        </w:rPr>
        <w:t>年</w:t>
      </w:r>
      <w:r>
        <w:rPr>
          <w:rFonts w:hint="eastAsia" w:asciiTheme="majorEastAsia" w:hAnsiTheme="majorEastAsia" w:eastAsiaTheme="majorEastAsia"/>
          <w:color w:val="FF0000"/>
          <w:szCs w:val="21"/>
          <w:lang w:val="en-US" w:eastAsia="zh-CN"/>
        </w:rPr>
        <w:t>8</w:t>
      </w:r>
      <w:r>
        <w:rPr>
          <w:rFonts w:hint="eastAsia" w:asciiTheme="majorEastAsia" w:hAnsiTheme="majorEastAsia" w:eastAsiaTheme="majorEastAsia"/>
          <w:color w:val="FF0000"/>
          <w:szCs w:val="21"/>
        </w:rPr>
        <w:t>月</w:t>
      </w:r>
      <w:r>
        <w:rPr>
          <w:rFonts w:hint="eastAsia" w:asciiTheme="majorEastAsia" w:hAnsiTheme="majorEastAsia" w:eastAsiaTheme="majorEastAsia"/>
          <w:color w:val="FF0000"/>
          <w:szCs w:val="21"/>
          <w:lang w:val="en-US" w:eastAsia="zh-CN"/>
        </w:rPr>
        <w:t>16</w:t>
      </w:r>
      <w:r>
        <w:rPr>
          <w:rFonts w:hint="eastAsia" w:asciiTheme="majorEastAsia" w:hAnsiTheme="majorEastAsia" w:eastAsiaTheme="majorEastAsia"/>
          <w:color w:val="FF0000"/>
          <w:szCs w:val="21"/>
        </w:rPr>
        <w:t>日9时30分</w:t>
      </w:r>
      <w:r>
        <w:rPr>
          <w:rFonts w:hint="eastAsia" w:asciiTheme="majorEastAsia" w:hAnsiTheme="majorEastAsia" w:eastAsiaTheme="majorEastAsia"/>
          <w:color w:val="auto"/>
          <w:szCs w:val="21"/>
        </w:rPr>
        <w:t>（北京时间）</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地点：长春新区政务服务中心公共资源交易大厅（龙湖大路5799号）2楼</w:t>
      </w:r>
      <w:r>
        <w:rPr>
          <w:rFonts w:hint="eastAsia" w:asciiTheme="majorEastAsia" w:hAnsiTheme="majorEastAsia" w:eastAsiaTheme="majorEastAsia"/>
          <w:color w:val="FF0000"/>
          <w:szCs w:val="21"/>
        </w:rPr>
        <w:t>B2</w:t>
      </w:r>
      <w:r>
        <w:rPr>
          <w:rFonts w:hint="eastAsia" w:asciiTheme="majorEastAsia" w:hAnsiTheme="majorEastAsia" w:eastAsiaTheme="majorEastAsia"/>
          <w:color w:val="FF0000"/>
          <w:szCs w:val="21"/>
          <w:lang w:val="en-US" w:eastAsia="zh-CN"/>
        </w:rPr>
        <w:t>08</w:t>
      </w:r>
      <w:r>
        <w:rPr>
          <w:rFonts w:hint="eastAsia" w:asciiTheme="majorEastAsia" w:hAnsiTheme="majorEastAsia" w:eastAsiaTheme="majorEastAsia"/>
          <w:color w:val="auto"/>
          <w:szCs w:val="21"/>
        </w:rPr>
        <w:t>开标室</w:t>
      </w:r>
    </w:p>
    <w:p>
      <w:pPr>
        <w:autoSpaceDN w:val="0"/>
        <w:spacing w:line="360" w:lineRule="auto"/>
        <w:ind w:firstLine="420" w:firstLineChars="200"/>
        <w:rPr>
          <w:rFonts w:asciiTheme="majorEastAsia" w:hAnsiTheme="majorEastAsia" w:eastAsiaTheme="majorEastAsia"/>
          <w:color w:val="auto"/>
          <w:kern w:val="0"/>
          <w:szCs w:val="21"/>
        </w:rPr>
      </w:pPr>
      <w:r>
        <w:rPr>
          <w:rFonts w:hint="eastAsia" w:asciiTheme="majorEastAsia" w:hAnsiTheme="majorEastAsia" w:eastAsiaTheme="majorEastAsia"/>
          <w:color w:val="auto"/>
          <w:kern w:val="0"/>
          <w:szCs w:val="21"/>
        </w:rPr>
        <w:t>本项目执行电子化招投标，供应商通过政府采购云平台（网址：http:// www.zcygov.cn）递交电子版投标文件同时须在现场递交纸</w:t>
      </w:r>
      <w:r>
        <w:rPr>
          <w:rFonts w:hint="eastAsia" w:asciiTheme="majorEastAsia" w:hAnsiTheme="majorEastAsia" w:eastAsiaTheme="majorEastAsia"/>
          <w:color w:val="auto"/>
          <w:kern w:val="0"/>
          <w:szCs w:val="21"/>
          <w:lang w:val="en-US" w:eastAsia="zh-CN"/>
        </w:rPr>
        <w:t>质</w:t>
      </w:r>
      <w:r>
        <w:rPr>
          <w:rFonts w:hint="eastAsia" w:asciiTheme="majorEastAsia" w:hAnsiTheme="majorEastAsia" w:eastAsiaTheme="majorEastAsia"/>
          <w:color w:val="auto"/>
          <w:kern w:val="0"/>
          <w:szCs w:val="21"/>
        </w:rPr>
        <w:t>版及电子版（U盘）投标文件。</w:t>
      </w:r>
    </w:p>
    <w:p>
      <w:pPr>
        <w:autoSpaceDN w:val="0"/>
        <w:spacing w:line="360" w:lineRule="auto"/>
        <w:ind w:firstLine="420" w:firstLineChars="200"/>
        <w:rPr>
          <w:rFonts w:asciiTheme="majorEastAsia" w:hAnsiTheme="majorEastAsia" w:eastAsiaTheme="majorEastAsia"/>
          <w:color w:val="auto"/>
          <w:kern w:val="0"/>
          <w:szCs w:val="21"/>
        </w:rPr>
      </w:pPr>
      <w:r>
        <w:rPr>
          <w:rFonts w:hint="eastAsia" w:asciiTheme="majorEastAsia" w:hAnsiTheme="majorEastAsia" w:eastAsiaTheme="majorEastAsia"/>
          <w:color w:val="auto"/>
          <w:kern w:val="0"/>
          <w:szCs w:val="21"/>
        </w:rPr>
        <w:t>投标操作流程：供应商在政府采购云平台网注册入库成为正式供应商后，在平台上按《政府采购项目电子交易管理操作指南-供应商》进行投标操作。</w:t>
      </w:r>
    </w:p>
    <w:p>
      <w:pPr>
        <w:autoSpaceDN w:val="0"/>
        <w:spacing w:line="360" w:lineRule="auto"/>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五、公告期限</w:t>
      </w:r>
      <w:bookmarkEnd w:id="27"/>
      <w:bookmarkEnd w:id="28"/>
      <w:bookmarkEnd w:id="29"/>
      <w:bookmarkEnd w:id="30"/>
    </w:p>
    <w:p>
      <w:pPr>
        <w:autoSpaceDN w:val="0"/>
        <w:spacing w:line="360" w:lineRule="auto"/>
        <w:ind w:firstLine="420" w:firstLineChars="200"/>
        <w:rPr>
          <w:rFonts w:asciiTheme="majorEastAsia" w:hAnsiTheme="majorEastAsia" w:eastAsiaTheme="majorEastAsia"/>
          <w:color w:val="auto"/>
          <w:szCs w:val="21"/>
        </w:rPr>
      </w:pPr>
      <w:bookmarkStart w:id="31" w:name="_Hlk64709943"/>
      <w:bookmarkEnd w:id="31"/>
      <w:r>
        <w:rPr>
          <w:rFonts w:hint="eastAsia" w:asciiTheme="majorEastAsia" w:hAnsiTheme="majorEastAsia" w:eastAsiaTheme="majorEastAsia"/>
          <w:color w:val="auto"/>
          <w:szCs w:val="21"/>
        </w:rPr>
        <w:t>自本公告发布之日起</w:t>
      </w:r>
      <w:bookmarkStart w:id="32" w:name="blank65"/>
      <w:r>
        <w:rPr>
          <w:rFonts w:hint="eastAsia" w:asciiTheme="majorEastAsia" w:hAnsiTheme="majorEastAsia" w:eastAsiaTheme="majorEastAsia"/>
          <w:color w:val="auto"/>
          <w:szCs w:val="21"/>
        </w:rPr>
        <w:t>5</w:t>
      </w:r>
      <w:bookmarkEnd w:id="32"/>
      <w:r>
        <w:rPr>
          <w:rFonts w:hint="eastAsia" w:asciiTheme="majorEastAsia" w:hAnsiTheme="majorEastAsia" w:eastAsiaTheme="majorEastAsia"/>
          <w:color w:val="auto"/>
          <w:szCs w:val="21"/>
        </w:rPr>
        <w:t>个工作日。</w:t>
      </w:r>
    </w:p>
    <w:p>
      <w:pPr>
        <w:autoSpaceDN w:val="0"/>
        <w:spacing w:line="360" w:lineRule="auto"/>
        <w:rPr>
          <w:rFonts w:asciiTheme="majorEastAsia" w:hAnsiTheme="majorEastAsia" w:eastAsiaTheme="majorEastAsia"/>
          <w:b/>
          <w:bCs/>
          <w:color w:val="auto"/>
          <w:szCs w:val="21"/>
        </w:rPr>
      </w:pPr>
      <w:bookmarkStart w:id="33" w:name="_Toc35393795"/>
      <w:bookmarkStart w:id="34" w:name="_Toc35393626"/>
      <w:r>
        <w:rPr>
          <w:rFonts w:hint="eastAsia" w:asciiTheme="majorEastAsia" w:hAnsiTheme="majorEastAsia" w:eastAsiaTheme="majorEastAsia"/>
          <w:b/>
          <w:bCs/>
          <w:color w:val="auto"/>
          <w:szCs w:val="21"/>
        </w:rPr>
        <w:t>六、其他补充事宜</w:t>
      </w:r>
      <w:bookmarkEnd w:id="33"/>
      <w:bookmarkEnd w:id="34"/>
    </w:p>
    <w:p>
      <w:pPr>
        <w:pStyle w:val="10"/>
        <w:autoSpaceDN w:val="0"/>
        <w:adjustRightInd w:val="0"/>
        <w:snapToGrid w:val="0"/>
        <w:spacing w:after="0" w:line="360" w:lineRule="auto"/>
        <w:ind w:firstLine="315" w:firstLineChars="150"/>
        <w:rPr>
          <w:rFonts w:asciiTheme="majorEastAsia" w:hAnsiTheme="majorEastAsia" w:eastAsiaTheme="majorEastAsia"/>
          <w:color w:val="auto"/>
          <w:kern w:val="0"/>
          <w:szCs w:val="21"/>
        </w:rPr>
      </w:pPr>
      <w:r>
        <w:rPr>
          <w:rFonts w:hint="eastAsia" w:asciiTheme="majorEastAsia" w:hAnsiTheme="majorEastAsia" w:eastAsiaTheme="majorEastAsia"/>
          <w:color w:val="auto"/>
          <w:szCs w:val="21"/>
        </w:rPr>
        <w:t xml:space="preserve"> 1.</w:t>
      </w:r>
      <w:r>
        <w:rPr>
          <w:rFonts w:hint="eastAsia" w:asciiTheme="majorEastAsia" w:hAnsiTheme="majorEastAsia" w:eastAsiaTheme="majorEastAsia"/>
          <w:color w:val="auto"/>
          <w:kern w:val="0"/>
          <w:szCs w:val="21"/>
        </w:rPr>
        <w:t>本次招标公告同时在中国政府采购网、吉林省政府采购网、长春市公共资源交易网上发布。</w:t>
      </w:r>
    </w:p>
    <w:p>
      <w:pPr>
        <w:pStyle w:val="10"/>
        <w:autoSpaceDN w:val="0"/>
        <w:adjustRightInd w:val="0"/>
        <w:snapToGrid w:val="0"/>
        <w:spacing w:after="0"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2.逾期送达的、未送达指定地点的</w:t>
      </w:r>
      <w:r>
        <w:rPr>
          <w:rFonts w:hint="eastAsia" w:asciiTheme="majorEastAsia" w:hAnsiTheme="majorEastAsia" w:eastAsiaTheme="majorEastAsia"/>
          <w:color w:val="auto"/>
          <w:szCs w:val="21"/>
          <w:lang w:eastAsia="zh-CN"/>
        </w:rPr>
        <w:t>、由于自身原因未能在规定时间内解密电子文件的</w:t>
      </w:r>
      <w:r>
        <w:rPr>
          <w:rFonts w:hint="eastAsia" w:asciiTheme="majorEastAsia" w:hAnsiTheme="majorEastAsia" w:eastAsiaTheme="majorEastAsia"/>
          <w:color w:val="auto"/>
          <w:szCs w:val="21"/>
        </w:rPr>
        <w:t>或者不按照招标文件要求密封的投标文件，招标人将予以拒收。</w:t>
      </w:r>
    </w:p>
    <w:p>
      <w:pPr>
        <w:autoSpaceDN w:val="0"/>
        <w:spacing w:line="360" w:lineRule="auto"/>
        <w:rPr>
          <w:rFonts w:asciiTheme="majorEastAsia" w:hAnsiTheme="majorEastAsia" w:eastAsiaTheme="majorEastAsia"/>
          <w:b/>
          <w:bCs/>
          <w:color w:val="auto"/>
          <w:szCs w:val="21"/>
        </w:rPr>
      </w:pPr>
      <w:bookmarkStart w:id="35" w:name="_Toc35393796"/>
      <w:bookmarkStart w:id="36" w:name="_Toc35393627"/>
      <w:bookmarkStart w:id="37" w:name="_Toc28359008"/>
      <w:bookmarkStart w:id="38" w:name="_Toc28359085"/>
      <w:r>
        <w:rPr>
          <w:rFonts w:hint="eastAsia" w:asciiTheme="majorEastAsia" w:hAnsiTheme="majorEastAsia" w:eastAsiaTheme="majorEastAsia"/>
          <w:b/>
          <w:bCs/>
          <w:color w:val="auto"/>
          <w:szCs w:val="21"/>
        </w:rPr>
        <w:t>七、对本次招标提出询问，请按以下方式联系</w:t>
      </w:r>
      <w:bookmarkEnd w:id="35"/>
      <w:bookmarkEnd w:id="36"/>
      <w:bookmarkEnd w:id="37"/>
      <w:bookmarkEnd w:id="38"/>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1.采购人信息</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名称：</w:t>
      </w:r>
      <w:bookmarkStart w:id="39" w:name="blank0_copy_1619577441000"/>
      <w:r>
        <w:rPr>
          <w:rFonts w:hint="eastAsia" w:asciiTheme="majorEastAsia" w:hAnsiTheme="majorEastAsia" w:eastAsiaTheme="majorEastAsia"/>
          <w:color w:val="auto"/>
          <w:kern w:val="0"/>
          <w:szCs w:val="21"/>
        </w:rPr>
        <w:t>长春新区教育局</w:t>
      </w:r>
      <w:bookmarkEnd w:id="39"/>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地址：</w:t>
      </w:r>
      <w:bookmarkStart w:id="40" w:name="blank4"/>
      <w:r>
        <w:rPr>
          <w:rFonts w:hint="eastAsia" w:asciiTheme="majorEastAsia" w:hAnsiTheme="majorEastAsia" w:eastAsiaTheme="majorEastAsia"/>
          <w:color w:val="auto"/>
          <w:kern w:val="0"/>
          <w:szCs w:val="21"/>
        </w:rPr>
        <w:t>长春市龙湖大路5799号</w:t>
      </w:r>
      <w:bookmarkEnd w:id="40"/>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联系方式：</w:t>
      </w:r>
      <w:bookmarkStart w:id="41" w:name="blank3"/>
      <w:r>
        <w:rPr>
          <w:rFonts w:hint="eastAsia" w:asciiTheme="majorEastAsia" w:hAnsiTheme="majorEastAsia" w:eastAsiaTheme="majorEastAsia"/>
          <w:color w:val="auto"/>
          <w:kern w:val="0"/>
          <w:szCs w:val="21"/>
        </w:rPr>
        <w:t>0431-82538548</w:t>
      </w:r>
      <w:bookmarkEnd w:id="41"/>
      <w:r>
        <w:rPr>
          <w:rFonts w:hint="eastAsia" w:asciiTheme="majorEastAsia" w:hAnsiTheme="majorEastAsia" w:eastAsiaTheme="majorEastAsia"/>
          <w:color w:val="auto"/>
          <w:szCs w:val="21"/>
        </w:rPr>
        <w:t>（</w:t>
      </w:r>
      <w:bookmarkStart w:id="42" w:name="blank2"/>
      <w:r>
        <w:rPr>
          <w:rFonts w:hint="eastAsia" w:asciiTheme="majorEastAsia" w:hAnsiTheme="majorEastAsia" w:eastAsiaTheme="majorEastAsia"/>
          <w:color w:val="auto"/>
          <w:kern w:val="0"/>
          <w:szCs w:val="21"/>
        </w:rPr>
        <w:t>李</w:t>
      </w:r>
      <w:bookmarkEnd w:id="42"/>
      <w:r>
        <w:rPr>
          <w:rFonts w:hint="eastAsia" w:asciiTheme="majorEastAsia" w:hAnsiTheme="majorEastAsia" w:eastAsiaTheme="majorEastAsia"/>
          <w:color w:val="auto"/>
          <w:kern w:val="0"/>
          <w:szCs w:val="21"/>
          <w:lang w:val="en-US" w:eastAsia="zh-CN"/>
        </w:rPr>
        <w:t>刚</w:t>
      </w:r>
      <w:r>
        <w:rPr>
          <w:rFonts w:hint="eastAsia" w:asciiTheme="majorEastAsia" w:hAnsiTheme="majorEastAsia" w:eastAsiaTheme="majorEastAsia"/>
          <w:color w:val="auto"/>
          <w:szCs w:val="21"/>
        </w:rPr>
        <w:t>）</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2.采购代理机构信息</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名称：</w:t>
      </w:r>
      <w:r>
        <w:rPr>
          <w:rFonts w:hint="eastAsia" w:asciiTheme="majorEastAsia" w:hAnsiTheme="majorEastAsia" w:eastAsiaTheme="majorEastAsia"/>
          <w:color w:val="auto"/>
          <w:kern w:val="0"/>
          <w:szCs w:val="21"/>
        </w:rPr>
        <w:t>吉林省煦程招投标代理有限公司</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地址：长春市绿园区景阳大路3333号</w:t>
      </w:r>
      <w:r>
        <w:rPr>
          <w:rFonts w:hint="eastAsia" w:asciiTheme="majorEastAsia" w:hAnsiTheme="majorEastAsia" w:eastAsiaTheme="majorEastAsia"/>
          <w:color w:val="auto"/>
          <w:szCs w:val="21"/>
          <w:lang w:val="en-US" w:eastAsia="zh-CN"/>
        </w:rPr>
        <w:t>明翰国际</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联系方式：</w:t>
      </w:r>
      <w:r>
        <w:rPr>
          <w:rFonts w:hint="eastAsia" w:asciiTheme="majorEastAsia" w:hAnsiTheme="majorEastAsia" w:eastAsiaTheme="majorEastAsia"/>
          <w:color w:val="auto"/>
          <w:kern w:val="0"/>
          <w:szCs w:val="21"/>
          <w:lang w:val="en-US" w:eastAsia="zh-CN"/>
        </w:rPr>
        <w:t>13944800357</w:t>
      </w:r>
      <w:r>
        <w:rPr>
          <w:rFonts w:hint="eastAsia" w:asciiTheme="majorEastAsia" w:hAnsiTheme="majorEastAsia" w:eastAsiaTheme="majorEastAsia"/>
          <w:color w:val="auto"/>
          <w:kern w:val="0"/>
          <w:szCs w:val="21"/>
        </w:rPr>
        <w:t>（洪岩）</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3.项目联系方式</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项目联系人：</w:t>
      </w:r>
      <w:r>
        <w:rPr>
          <w:rFonts w:hint="eastAsia" w:asciiTheme="majorEastAsia" w:hAnsiTheme="majorEastAsia" w:eastAsiaTheme="majorEastAsia"/>
          <w:color w:val="auto"/>
          <w:kern w:val="0"/>
          <w:szCs w:val="21"/>
        </w:rPr>
        <w:t>洪岩</w:t>
      </w:r>
    </w:p>
    <w:p>
      <w:pPr>
        <w:autoSpaceDN w:val="0"/>
        <w:spacing w:line="360" w:lineRule="auto"/>
        <w:ind w:firstLine="420" w:firstLineChars="200"/>
        <w:rPr>
          <w:rFonts w:cs="宋体" w:asciiTheme="majorEastAsia" w:hAnsiTheme="majorEastAsia" w:eastAsiaTheme="majorEastAsia"/>
          <w:color w:val="auto"/>
          <w:szCs w:val="21"/>
        </w:rPr>
      </w:pPr>
      <w:r>
        <w:rPr>
          <w:rFonts w:hint="eastAsia" w:asciiTheme="majorEastAsia" w:hAnsiTheme="majorEastAsia" w:eastAsiaTheme="majorEastAsia"/>
          <w:color w:val="auto"/>
          <w:szCs w:val="21"/>
        </w:rPr>
        <w:t>电</w:t>
      </w:r>
      <w:r>
        <w:rPr>
          <w:rFonts w:hint="eastAsia" w:cs="宋体" w:asciiTheme="majorEastAsia" w:hAnsiTheme="majorEastAsia" w:eastAsiaTheme="majorEastAsia"/>
          <w:color w:val="auto"/>
          <w:szCs w:val="21"/>
        </w:rPr>
        <w:t>话：</w:t>
      </w:r>
      <w:r>
        <w:rPr>
          <w:rFonts w:hint="eastAsia" w:asciiTheme="majorEastAsia" w:hAnsiTheme="majorEastAsia" w:eastAsiaTheme="majorEastAsia"/>
          <w:color w:val="auto"/>
          <w:kern w:val="0"/>
          <w:szCs w:val="21"/>
          <w:lang w:val="en-US" w:eastAsia="zh-CN"/>
        </w:rPr>
        <w:t>13944800357</w:t>
      </w:r>
    </w:p>
    <w:p>
      <w:pPr>
        <w:autoSpaceDN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4.监督机构：长春新区财政局政府采购管理办公室</w:t>
      </w:r>
    </w:p>
    <w:p>
      <w:pPr>
        <w:autoSpaceDN w:val="0"/>
        <w:spacing w:line="360" w:lineRule="auto"/>
        <w:ind w:firstLine="420" w:firstLineChars="200"/>
        <w:rPr>
          <w:rFonts w:hint="eastAsia" w:ascii="宋体" w:hAnsi="宋体" w:eastAsia="宋体" w:cs="宋体"/>
          <w:color w:val="auto"/>
          <w:szCs w:val="21"/>
        </w:rPr>
      </w:pPr>
      <w:r>
        <w:rPr>
          <w:rFonts w:hint="eastAsia" w:asciiTheme="majorEastAsia" w:hAnsiTheme="majorEastAsia" w:eastAsiaTheme="majorEastAsia"/>
          <w:color w:val="auto"/>
          <w:szCs w:val="21"/>
        </w:rPr>
        <w:t>地址：长春</w:t>
      </w:r>
      <w:r>
        <w:rPr>
          <w:rFonts w:hint="eastAsia" w:ascii="宋体" w:hAnsi="宋体" w:eastAsia="宋体" w:cs="宋体"/>
          <w:color w:val="auto"/>
          <w:szCs w:val="21"/>
        </w:rPr>
        <w:t>市龙湖大路5799号</w:t>
      </w:r>
    </w:p>
    <w:p>
      <w:pPr>
        <w:autoSpaceDN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联系方式：0431-81335709</w:t>
      </w:r>
    </w:p>
    <w:p>
      <w:pPr>
        <w:autoSpaceDN w:val="0"/>
        <w:spacing w:line="360" w:lineRule="auto"/>
        <w:ind w:firstLine="420" w:firstLineChars="200"/>
        <w:rPr>
          <w:rFonts w:asciiTheme="majorEastAsia" w:hAnsiTheme="majorEastAsia" w:eastAsiaTheme="majorEastAsia"/>
          <w:color w:val="auto"/>
          <w:szCs w:val="21"/>
        </w:rPr>
      </w:pPr>
      <w:r>
        <w:rPr>
          <w:rFonts w:hint="eastAsia" w:ascii="宋体" w:hAnsi="宋体" w:eastAsia="宋体" w:cs="宋体"/>
          <w:color w:val="auto"/>
          <w:szCs w:val="21"/>
        </w:rPr>
        <w:t>5.“</w:t>
      </w:r>
      <w:r>
        <w:rPr>
          <w:rFonts w:hint="eastAsia" w:ascii="宋体" w:hAnsi="宋体" w:eastAsia="宋体" w:cs="宋体"/>
          <w:lang w:val="en-US" w:eastAsia="zh-CN"/>
        </w:rPr>
        <w:t>政采数金平台”联系电话：0431-81888992/81888798</w:t>
      </w:r>
      <w:r>
        <w:rPr>
          <w:rFonts w:hint="eastAsia" w:asciiTheme="majorEastAsia" w:hAnsiTheme="majorEastAsia" w:eastAsiaTheme="majorEastAsia"/>
          <w:color w:val="auto"/>
          <w:sz w:val="24"/>
        </w:rPr>
        <w:br w:type="page"/>
      </w:r>
    </w:p>
    <w:p>
      <w:pPr>
        <w:pStyle w:val="3"/>
        <w:autoSpaceDN w:val="0"/>
        <w:spacing w:before="0" w:after="0" w:line="360" w:lineRule="auto"/>
        <w:jc w:val="center"/>
        <w:rPr>
          <w:rFonts w:asciiTheme="majorEastAsia" w:hAnsiTheme="majorEastAsia" w:eastAsiaTheme="majorEastAsia"/>
          <w:color w:val="auto"/>
        </w:rPr>
      </w:pPr>
      <w:bookmarkStart w:id="43" w:name="_Toc12303"/>
      <w:r>
        <w:rPr>
          <w:rFonts w:hint="eastAsia" w:asciiTheme="majorEastAsia" w:hAnsiTheme="majorEastAsia" w:eastAsiaTheme="majorEastAsia"/>
          <w:color w:val="auto"/>
        </w:rPr>
        <w:t>第二部分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供应商须知</w:t>
      </w:r>
      <w:bookmarkEnd w:id="43"/>
    </w:p>
    <w:p>
      <w:pPr>
        <w:pStyle w:val="4"/>
        <w:tabs>
          <w:tab w:val="left" w:pos="360"/>
        </w:tabs>
        <w:autoSpaceDN w:val="0"/>
        <w:spacing w:line="360" w:lineRule="auto"/>
        <w:rPr>
          <w:rFonts w:asciiTheme="majorEastAsia" w:hAnsiTheme="majorEastAsia" w:eastAsiaTheme="majorEastAsia"/>
          <w:color w:val="auto"/>
        </w:rPr>
      </w:pPr>
      <w:r>
        <w:rPr>
          <w:rFonts w:hint="eastAsia" w:asciiTheme="majorEastAsia" w:hAnsiTheme="majorEastAsia" w:eastAsiaTheme="majorEastAsia"/>
          <w:color w:val="auto"/>
        </w:rPr>
        <w:t>一、供应商须知前附表</w:t>
      </w:r>
    </w:p>
    <w:tbl>
      <w:tblPr>
        <w:tblStyle w:val="23"/>
        <w:tblW w:w="90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1"/>
        <w:gridCol w:w="2127"/>
        <w:gridCol w:w="6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项</w:t>
            </w:r>
          </w:p>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号</w:t>
            </w: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内    容</w:t>
            </w:r>
          </w:p>
        </w:tc>
        <w:tc>
          <w:tcPr>
            <w:tcW w:w="6380" w:type="dxa"/>
            <w:tcBorders>
              <w:top w:val="single" w:color="auto" w:sz="4" w:space="0"/>
              <w:left w:val="single" w:color="auto" w:sz="4" w:space="0"/>
              <w:bottom w:val="single" w:color="auto" w:sz="4" w:space="0"/>
              <w:right w:val="single" w:color="auto" w:sz="4" w:space="0"/>
            </w:tcBorders>
            <w:noWrap/>
            <w:vAlign w:val="center"/>
          </w:tcPr>
          <w:p>
            <w:pPr>
              <w:tabs>
                <w:tab w:val="left" w:pos="1180"/>
              </w:tabs>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采购人</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pPr>
            <w:r>
              <w:rPr>
                <w:rFonts w:hint="eastAsia"/>
              </w:rPr>
              <w:t>采购单位：长春新区教育局</w:t>
            </w:r>
          </w:p>
          <w:p>
            <w:pPr>
              <w:autoSpaceDN w:val="0"/>
              <w:adjustRightInd w:val="0"/>
              <w:snapToGrid w:val="0"/>
              <w:spacing w:line="360" w:lineRule="auto"/>
              <w:rPr>
                <w:rFonts w:hint="eastAsia"/>
                <w:lang w:eastAsia="zh-CN"/>
              </w:rPr>
            </w:pPr>
            <w:r>
              <w:rPr>
                <w:rFonts w:hint="eastAsia"/>
              </w:rPr>
              <w:t>联 系 人：李</w:t>
            </w:r>
            <w:r>
              <w:rPr>
                <w:rFonts w:hint="eastAsia"/>
                <w:lang w:val="en-US" w:eastAsia="zh-CN"/>
              </w:rPr>
              <w:t>刚</w:t>
            </w:r>
          </w:p>
          <w:p>
            <w:pPr>
              <w:autoSpaceDN w:val="0"/>
              <w:adjustRightInd w:val="0"/>
              <w:snapToGrid w:val="0"/>
              <w:spacing w:line="360" w:lineRule="auto"/>
              <w:rPr>
                <w:rFonts w:hint="eastAsia"/>
              </w:rPr>
            </w:pPr>
            <w:r>
              <w:rPr>
                <w:rFonts w:hint="eastAsia"/>
              </w:rPr>
              <w:t xml:space="preserve">联系电话：0431-82538548 </w:t>
            </w:r>
          </w:p>
          <w:p>
            <w:pPr>
              <w:autoSpaceDN w:val="0"/>
              <w:spacing w:line="360" w:lineRule="auto"/>
            </w:pPr>
            <w:r>
              <w:rPr>
                <w:rFonts w:hint="eastAsia" w:asciiTheme="majorEastAsia" w:hAnsiTheme="majorEastAsia" w:eastAsiaTheme="majorEastAsia"/>
                <w:color w:val="auto"/>
                <w:szCs w:val="21"/>
              </w:rPr>
              <w:t>地址：</w:t>
            </w:r>
            <w:r>
              <w:rPr>
                <w:rFonts w:hint="eastAsia" w:asciiTheme="majorEastAsia" w:hAnsiTheme="majorEastAsia" w:eastAsiaTheme="majorEastAsia"/>
                <w:color w:val="auto"/>
                <w:kern w:val="0"/>
                <w:szCs w:val="21"/>
              </w:rPr>
              <w:t>长春市龙湖大路5799号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采购代理机构</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pPr>
            <w:r>
              <w:rPr>
                <w:rFonts w:hint="eastAsia"/>
              </w:rPr>
              <w:t>单位名称：吉林省煦程招投标代理有限公司</w:t>
            </w:r>
          </w:p>
          <w:p>
            <w:pPr>
              <w:autoSpaceDN w:val="0"/>
              <w:adjustRightInd w:val="0"/>
              <w:snapToGrid w:val="0"/>
              <w:spacing w:line="360" w:lineRule="auto"/>
            </w:pPr>
            <w:r>
              <w:rPr>
                <w:rFonts w:hint="eastAsia"/>
              </w:rPr>
              <w:t xml:space="preserve">联 系 人：洪岩    </w:t>
            </w:r>
          </w:p>
          <w:p>
            <w:pPr>
              <w:autoSpaceDN w:val="0"/>
              <w:adjustRightInd w:val="0"/>
              <w:snapToGrid w:val="0"/>
              <w:spacing w:line="360" w:lineRule="auto"/>
              <w:rPr>
                <w:rFonts w:hint="eastAsia"/>
                <w:lang w:val="en-US" w:eastAsia="zh-CN"/>
              </w:rPr>
            </w:pPr>
            <w:r>
              <w:rPr>
                <w:rFonts w:hint="eastAsia"/>
              </w:rPr>
              <w:t>联系电话：</w:t>
            </w:r>
            <w:r>
              <w:rPr>
                <w:rFonts w:hint="eastAsia"/>
                <w:lang w:val="en-US" w:eastAsia="zh-CN"/>
              </w:rPr>
              <w:t>13944800357</w:t>
            </w:r>
          </w:p>
          <w:p>
            <w:pPr>
              <w:pStyle w:val="21"/>
              <w:ind w:left="0" w:leftChars="0" w:firstLine="0" w:firstLineChars="0"/>
            </w:pPr>
            <w:r>
              <w:rPr>
                <w:rFonts w:hint="eastAsia" w:asciiTheme="majorEastAsia" w:hAnsiTheme="majorEastAsia" w:eastAsiaTheme="majorEastAsia"/>
                <w:color w:val="auto"/>
                <w:kern w:val="0"/>
                <w:szCs w:val="21"/>
                <w:lang w:val="en-US" w:eastAsia="zh-CN"/>
              </w:rPr>
              <w:t>地址：</w:t>
            </w:r>
            <w:r>
              <w:rPr>
                <w:rFonts w:hint="eastAsia" w:ascii="宋体" w:hAnsi="宋体"/>
                <w:color w:val="auto"/>
                <w:szCs w:val="21"/>
              </w:rPr>
              <w:t>长春市绿园区景阳大路3333号</w:t>
            </w:r>
            <w:r>
              <w:rPr>
                <w:rFonts w:hint="eastAsia" w:ascii="宋体" w:hAnsi="宋体"/>
                <w:color w:val="auto"/>
                <w:szCs w:val="21"/>
                <w:lang w:val="en-US" w:eastAsia="zh-CN"/>
              </w:rPr>
              <w:t>明翰国际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项目名称</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hint="eastAsia" w:asciiTheme="majorEastAsia" w:hAnsiTheme="majorEastAsia" w:eastAsiaTheme="majorEastAsia"/>
                <w:color w:val="auto"/>
                <w:szCs w:val="21"/>
                <w:lang w:eastAsia="zh-CN"/>
              </w:rPr>
            </w:pPr>
            <w:r>
              <w:rPr>
                <w:rFonts w:hint="eastAsia" w:asciiTheme="majorEastAsia" w:hAnsiTheme="majorEastAsia" w:eastAsiaTheme="majorEastAsia"/>
                <w:color w:val="auto"/>
                <w:szCs w:val="21"/>
                <w:lang w:eastAsia="zh-CN"/>
              </w:rPr>
              <w:t>长春新区教育局北辰学校数字化校园网络及校园广播设备采购项目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项目编号</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hint="eastAsia" w:asciiTheme="majorEastAsia" w:hAnsiTheme="majorEastAsia" w:eastAsiaTheme="majorEastAsia"/>
                <w:color w:val="auto"/>
                <w:szCs w:val="21"/>
                <w:lang w:eastAsia="zh-CN"/>
              </w:rPr>
            </w:pPr>
            <w:r>
              <w:rPr>
                <w:rFonts w:hint="eastAsia" w:asciiTheme="majorEastAsia" w:hAnsiTheme="majorEastAsia" w:eastAsiaTheme="majorEastAsia"/>
                <w:color w:val="auto"/>
                <w:szCs w:val="21"/>
              </w:rPr>
              <w:fldChar w:fldCharType="begin"/>
            </w:r>
            <w:r>
              <w:rPr>
                <w:rFonts w:hint="eastAsia" w:asciiTheme="majorEastAsia" w:hAnsiTheme="majorEastAsia" w:eastAsiaTheme="majorEastAsia"/>
                <w:color w:val="auto"/>
                <w:szCs w:val="21"/>
              </w:rPr>
              <w:instrText xml:space="preserve"> HYPERLINK "https://pay.zcygov.cn/purchaseplan_front/" \l "/plan/list/view?id=1000000000010981076" \t "https://www.zcygov.cn/delegation-order/order/_blank" </w:instrText>
            </w:r>
            <w:r>
              <w:rPr>
                <w:rFonts w:hint="eastAsia" w:asciiTheme="majorEastAsia" w:hAnsiTheme="majorEastAsia" w:eastAsiaTheme="majorEastAsia"/>
                <w:color w:val="auto"/>
                <w:szCs w:val="21"/>
              </w:rPr>
              <w:fldChar w:fldCharType="separate"/>
            </w:r>
            <w:r>
              <w:rPr>
                <w:rFonts w:hint="eastAsia" w:asciiTheme="majorEastAsia" w:hAnsiTheme="majorEastAsia" w:eastAsiaTheme="majorEastAsia"/>
                <w:color w:val="auto"/>
                <w:szCs w:val="21"/>
              </w:rPr>
              <w:t>XQZC2023-04</w:t>
            </w:r>
            <w:r>
              <w:rPr>
                <w:rFonts w:hint="eastAsia" w:asciiTheme="majorEastAsia" w:hAnsiTheme="majorEastAsia" w:eastAsiaTheme="majorEastAsia"/>
                <w:color w:val="auto"/>
                <w:szCs w:val="21"/>
                <w:lang w:val="en-US" w:eastAsia="zh-CN"/>
              </w:rPr>
              <w:t>2</w:t>
            </w:r>
            <w:r>
              <w:rPr>
                <w:rFonts w:hint="eastAsia" w:asciiTheme="majorEastAsia" w:hAnsiTheme="majorEastAsia" w:eastAsiaTheme="majorEastAsia"/>
                <w:color w:val="auto"/>
                <w:szCs w:val="21"/>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cs="宋体" w:asciiTheme="majorEastAsia" w:hAnsiTheme="majorEastAsia" w:eastAsiaTheme="majorEastAsia"/>
                <w:bCs/>
                <w:color w:val="auto"/>
                <w:szCs w:val="21"/>
                <w:lang w:val="zh-CN"/>
              </w:rPr>
              <w:t>采购预算</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bCs/>
                <w:color w:val="auto"/>
                <w:kern w:val="15"/>
                <w:szCs w:val="21"/>
                <w:lang w:val="en-US" w:eastAsia="zh-CN"/>
              </w:rPr>
              <w:t>2000000</w:t>
            </w:r>
            <w:r>
              <w:rPr>
                <w:rFonts w:hint="eastAsia" w:asciiTheme="majorEastAsia" w:hAnsiTheme="majorEastAsia" w:eastAsiaTheme="majorEastAsia"/>
                <w:color w:val="auto"/>
                <w:kern w:val="0"/>
                <w:szCs w:val="21"/>
              </w:rPr>
              <w:t>元</w:t>
            </w:r>
            <w:r>
              <w:rPr>
                <w:rFonts w:hint="eastAsia" w:asciiTheme="majorEastAsia" w:hAnsiTheme="majorEastAsia" w:eastAsiaTheme="majorEastAsia"/>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bCs/>
                <w:color w:val="auto"/>
                <w:kern w:val="15"/>
                <w:szCs w:val="21"/>
              </w:rPr>
              <w:t>供货地点</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kern w:val="0"/>
                <w:szCs w:val="21"/>
                <w:shd w:val="clear" w:color="auto" w:fill="FFFFFF"/>
              </w:rPr>
              <w:t>采购人指定地点，送货上门服务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采购内容</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bookmarkStart w:id="44" w:name="blank16_copy_1619577590000"/>
            <w:r>
              <w:rPr>
                <w:rFonts w:hint="eastAsia" w:asciiTheme="majorEastAsia" w:hAnsiTheme="majorEastAsia" w:eastAsiaTheme="majorEastAsia"/>
                <w:color w:val="auto"/>
                <w:szCs w:val="21"/>
                <w:lang w:eastAsia="zh-CN"/>
              </w:rPr>
              <w:t>数字化校园网络及校园广播设备</w:t>
            </w:r>
            <w:r>
              <w:rPr>
                <w:rFonts w:hint="eastAsia" w:asciiTheme="majorEastAsia" w:hAnsiTheme="majorEastAsia" w:eastAsiaTheme="majorEastAsia"/>
                <w:color w:val="auto"/>
                <w:kern w:val="0"/>
                <w:szCs w:val="21"/>
              </w:rPr>
              <w:t>采购1批，具体详见招标文件；</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bCs/>
                <w:color w:val="auto"/>
                <w:kern w:val="15"/>
                <w:szCs w:val="21"/>
              </w:rPr>
              <w:t>质量要求</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kern w:val="0"/>
                <w:szCs w:val="21"/>
              </w:rPr>
            </w:pPr>
            <w:r>
              <w:rPr>
                <w:rFonts w:hint="eastAsia" w:asciiTheme="majorEastAsia" w:hAnsiTheme="majorEastAsia" w:eastAsiaTheme="majorEastAsia"/>
                <w:bCs/>
                <w:color w:val="auto"/>
                <w:kern w:val="15"/>
                <w:szCs w:val="21"/>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质保期</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设备自验收之日起</w:t>
            </w:r>
            <w:r>
              <w:rPr>
                <w:rFonts w:hint="eastAsia" w:asciiTheme="majorEastAsia" w:hAnsiTheme="majorEastAsia" w:eastAsiaTheme="majorEastAsia"/>
                <w:bCs/>
                <w:color w:val="auto"/>
                <w:kern w:val="15"/>
                <w:szCs w:val="21"/>
                <w:lang w:val="en-US" w:eastAsia="zh-CN"/>
              </w:rPr>
              <w:t>4</w:t>
            </w:r>
            <w:r>
              <w:rPr>
                <w:rFonts w:hint="eastAsia" w:asciiTheme="majorEastAsia" w:hAnsiTheme="majorEastAsia" w:eastAsiaTheme="majorEastAsia"/>
                <w:bCs/>
                <w:color w:val="auto"/>
                <w:kern w:val="15"/>
                <w:szCs w:val="21"/>
              </w:rPr>
              <w:t>年内为</w:t>
            </w:r>
            <w:r>
              <w:rPr>
                <w:rFonts w:hint="eastAsia" w:asciiTheme="majorEastAsia" w:hAnsiTheme="majorEastAsia" w:eastAsiaTheme="majorEastAsia"/>
                <w:bCs/>
                <w:color w:val="auto"/>
                <w:kern w:val="15"/>
                <w:szCs w:val="21"/>
                <w:lang w:val="en-US" w:eastAsia="zh-CN"/>
              </w:rPr>
              <w:t>维</w:t>
            </w:r>
            <w:r>
              <w:rPr>
                <w:rFonts w:hint="eastAsia" w:asciiTheme="majorEastAsia" w:hAnsiTheme="majorEastAsia" w:eastAsiaTheme="majorEastAsia"/>
                <w:bCs/>
                <w:color w:val="auto"/>
                <w:kern w:val="15"/>
                <w:szCs w:val="21"/>
              </w:rPr>
              <w:t>保期</w:t>
            </w:r>
            <w:r>
              <w:rPr>
                <w:rFonts w:hint="eastAsia" w:asciiTheme="majorEastAsia" w:hAnsiTheme="majorEastAsia" w:eastAsiaTheme="majorEastAsia"/>
                <w:bCs/>
                <w:color w:val="auto"/>
                <w:kern w:val="15"/>
                <w:szCs w:val="21"/>
                <w:lang w:val="en-US" w:eastAsia="zh-CN"/>
              </w:rPr>
              <w:t>其中第1年为质保期，质保维保期所有软硬件服务均免费</w:t>
            </w:r>
            <w:r>
              <w:rPr>
                <w:rFonts w:hint="eastAsia" w:asciiTheme="majorEastAsia" w:hAnsiTheme="majorEastAsia" w:eastAsiaTheme="majorEastAsia"/>
                <w:bCs/>
                <w:color w:val="auto"/>
                <w:kern w:val="15"/>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合同履行期限</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bookmarkStart w:id="45" w:name="blank17_copy_1619577596000"/>
            <w:r>
              <w:rPr>
                <w:rFonts w:hint="eastAsia" w:asciiTheme="majorEastAsia" w:hAnsiTheme="majorEastAsia" w:eastAsiaTheme="majorEastAsia"/>
                <w:color w:val="auto"/>
                <w:kern w:val="0"/>
                <w:szCs w:val="21"/>
              </w:rPr>
              <w:t>接到供货指令后30日内完成供货、安装、调试；</w:t>
            </w:r>
            <w:bookmarkEnd w:id="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资金来源</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cs="宋体" w:asciiTheme="majorEastAsia" w:hAnsiTheme="majorEastAsia" w:eastAsiaTheme="majorEastAsia"/>
                <w:bCs/>
                <w:color w:val="auto"/>
                <w:szCs w:val="21"/>
                <w:lang w:val="en-US" w:eastAsia="zh-CN"/>
              </w:rPr>
              <w:t>财政</w:t>
            </w:r>
            <w:r>
              <w:rPr>
                <w:rFonts w:hint="eastAsia" w:cs="宋体" w:asciiTheme="majorEastAsia" w:hAnsiTheme="majorEastAsia" w:eastAsiaTheme="majorEastAsia"/>
                <w:bCs/>
                <w:color w:val="auto"/>
                <w:szCs w:val="21"/>
                <w:lang w:val="zh-CN"/>
              </w:rPr>
              <w:t>资金</w:t>
            </w:r>
            <w:r>
              <w:rPr>
                <w:rFonts w:hint="eastAsia" w:asciiTheme="majorEastAsia" w:hAnsiTheme="majorEastAsia" w:eastAsiaTheme="majorEastAsia"/>
                <w:color w:val="auto"/>
                <w:szCs w:val="21"/>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nil"/>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nil"/>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yellow"/>
              </w:rPr>
            </w:pPr>
            <w:r>
              <w:rPr>
                <w:rFonts w:hint="eastAsia" w:asciiTheme="majorEastAsia" w:hAnsiTheme="majorEastAsia" w:eastAsiaTheme="majorEastAsia"/>
                <w:color w:val="auto"/>
                <w:szCs w:val="21"/>
                <w:highlight w:val="none"/>
              </w:rPr>
              <w:t>供应商资格要求</w:t>
            </w:r>
          </w:p>
        </w:tc>
        <w:tc>
          <w:tcPr>
            <w:tcW w:w="6380" w:type="dxa"/>
            <w:tcBorders>
              <w:top w:val="single" w:color="auto" w:sz="4" w:space="0"/>
              <w:left w:val="single" w:color="auto" w:sz="4" w:space="0"/>
              <w:bottom w:val="nil"/>
              <w:right w:val="single" w:color="auto" w:sz="4" w:space="0"/>
            </w:tcBorders>
            <w:noWrap/>
            <w:vAlign w:val="center"/>
          </w:tcPr>
          <w:p>
            <w:pPr>
              <w:spacing w:line="360" w:lineRule="auto"/>
              <w:ind w:firstLine="371" w:firstLineChars="177"/>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1.满足《中华人民共和国政府采购法》第二十二条规定；</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2.落实政府采购政策需满足的资格要求：本项目</w:t>
            </w:r>
            <w:r>
              <w:rPr>
                <w:rFonts w:hint="eastAsia" w:ascii="宋体" w:hAnsi="宋体"/>
                <w:color w:val="auto"/>
                <w:szCs w:val="21"/>
                <w:lang w:eastAsia="zh-CN"/>
              </w:rPr>
              <w:t>非</w:t>
            </w:r>
            <w:r>
              <w:rPr>
                <w:rFonts w:hint="eastAsia" w:ascii="宋体" w:hAnsi="宋体"/>
                <w:color w:val="auto"/>
                <w:szCs w:val="21"/>
              </w:rPr>
              <w:t>专门面向中小企业采购。</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（1）《政府采购促进中小企业发展管理办法》(财库[2020]46号)；</w:t>
            </w:r>
          </w:p>
          <w:p>
            <w:pPr>
              <w:autoSpaceDN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（2）《关于政府采购支持监狱企业发展有关问题的通知》(财库[2014]68号)；</w:t>
            </w:r>
          </w:p>
          <w:p>
            <w:pPr>
              <w:autoSpaceDN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rPr>
              <w:t>（3）《</w:t>
            </w:r>
            <w:r>
              <w:rPr>
                <w:rFonts w:hint="eastAsia" w:asciiTheme="majorEastAsia" w:hAnsiTheme="majorEastAsia" w:eastAsiaTheme="majorEastAsia"/>
                <w:color w:val="auto"/>
                <w:szCs w:val="21"/>
                <w:highlight w:val="none"/>
              </w:rPr>
              <w:t>三部门联合发布关于促进残疾人就业政府采购政策的通知》(财库[2017]141号)；</w:t>
            </w:r>
          </w:p>
          <w:p>
            <w:pPr>
              <w:autoSpaceDN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（4）《节能产品政府采购实施意见》的通知(财库〔2004〕185 号)；</w:t>
            </w:r>
          </w:p>
          <w:p>
            <w:pPr>
              <w:autoSpaceDN w:val="0"/>
              <w:spacing w:line="360" w:lineRule="auto"/>
              <w:ind w:firstLine="420" w:firstLineChars="200"/>
            </w:pPr>
            <w:r>
              <w:rPr>
                <w:rFonts w:hint="eastAsia" w:asciiTheme="majorEastAsia" w:hAnsiTheme="majorEastAsia" w:eastAsiaTheme="majorEastAsia"/>
                <w:color w:val="auto"/>
                <w:szCs w:val="21"/>
                <w:highlight w:val="none"/>
              </w:rPr>
              <w:t>（5）《关于调整优化节能产品、环境标志产品政府采购执行机制的通知》(财库[2019]9号)。</w:t>
            </w:r>
          </w:p>
          <w:p>
            <w:pPr>
              <w:spacing w:line="360" w:lineRule="auto"/>
              <w:ind w:firstLine="371" w:firstLineChars="177"/>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3.本项目的特定资格要求：</w:t>
            </w:r>
          </w:p>
          <w:p>
            <w:pPr>
              <w:spacing w:line="360" w:lineRule="auto"/>
              <w:ind w:firstLine="371" w:firstLineChars="177"/>
              <w:rPr>
                <w:rFonts w:hint="eastAsia" w:ascii="宋体" w:hAnsi="宋体"/>
                <w:color w:val="auto"/>
                <w:szCs w:val="21"/>
                <w:highlight w:val="none"/>
                <w:lang w:val="en-US" w:eastAsia="zh-CN"/>
              </w:rPr>
            </w:pPr>
            <w:r>
              <w:rPr>
                <w:rFonts w:hint="eastAsia" w:ascii="宋体" w:hAnsi="宋体"/>
                <w:color w:val="auto"/>
                <w:szCs w:val="21"/>
                <w:lang w:val="en-US" w:eastAsia="zh-CN"/>
              </w:rPr>
              <w:t>2.</w:t>
            </w:r>
            <w:r>
              <w:rPr>
                <w:rFonts w:hint="eastAsia" w:ascii="宋体" w:hAnsi="宋体"/>
                <w:color w:val="auto"/>
                <w:szCs w:val="21"/>
              </w:rPr>
              <w:t>3.1投标人须在中华人民共和国境内注册，能够独立承担民事责任的法人、其他组织形式，具备</w:t>
            </w:r>
            <w:r>
              <w:rPr>
                <w:rFonts w:hint="eastAsia" w:ascii="宋体" w:hAnsi="宋体" w:cs="宋体"/>
                <w:color w:val="auto"/>
                <w:szCs w:val="21"/>
              </w:rPr>
              <w:t>有效</w:t>
            </w:r>
            <w:r>
              <w:rPr>
                <w:rFonts w:hint="eastAsia" w:ascii="宋体" w:hAnsi="宋体" w:cs="宋体"/>
                <w:color w:val="auto"/>
                <w:szCs w:val="21"/>
                <w:lang w:eastAsia="zh-CN"/>
              </w:rPr>
              <w:t>的</w:t>
            </w:r>
            <w:r>
              <w:rPr>
                <w:rFonts w:hint="eastAsia" w:ascii="宋体" w:hAnsi="宋体" w:cs="宋体"/>
                <w:color w:val="auto"/>
                <w:szCs w:val="21"/>
              </w:rPr>
              <w:t>营业执照，在人员、设备、资金等方面具有相应的</w:t>
            </w:r>
            <w:r>
              <w:rPr>
                <w:rFonts w:hint="eastAsia" w:ascii="宋体" w:hAnsi="宋体" w:cs="宋体"/>
                <w:color w:val="auto"/>
                <w:szCs w:val="21"/>
                <w:lang w:eastAsia="zh-CN"/>
              </w:rPr>
              <w:t>服务</w:t>
            </w:r>
            <w:r>
              <w:rPr>
                <w:rFonts w:hint="eastAsia" w:ascii="宋体" w:hAnsi="宋体" w:cs="宋体"/>
                <w:color w:val="auto"/>
                <w:szCs w:val="21"/>
              </w:rPr>
              <w:t>能力。</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2</w:t>
            </w:r>
            <w:r>
              <w:rPr>
                <w:rFonts w:hint="eastAsia" w:ascii="宋体" w:hAnsi="宋体"/>
                <w:color w:val="auto"/>
                <w:szCs w:val="21"/>
              </w:rPr>
              <w:t>近三年（20</w:t>
            </w:r>
            <w:r>
              <w:rPr>
                <w:rFonts w:hint="eastAsia" w:ascii="宋体" w:hAnsi="宋体"/>
                <w:color w:val="auto"/>
                <w:szCs w:val="21"/>
                <w:lang w:val="en-US" w:eastAsia="zh-CN"/>
              </w:rPr>
              <w:t>20</w:t>
            </w: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年）财务状况良好。具有第三方出具的财务审计报告（</w:t>
            </w:r>
            <w:r>
              <w:rPr>
                <w:rFonts w:hint="eastAsia" w:ascii="宋体" w:hAnsi="宋体"/>
                <w:color w:val="auto"/>
                <w:szCs w:val="21"/>
                <w:lang w:eastAsia="zh-CN"/>
              </w:rPr>
              <w:t>近年</w:t>
            </w:r>
            <w:r>
              <w:rPr>
                <w:rFonts w:hint="eastAsia" w:ascii="宋体" w:hAnsi="宋体"/>
                <w:color w:val="auto"/>
                <w:szCs w:val="21"/>
              </w:rPr>
              <w:t>成立企业提供成立至202</w:t>
            </w:r>
            <w:r>
              <w:rPr>
                <w:rFonts w:hint="eastAsia" w:ascii="宋体" w:hAnsi="宋体"/>
                <w:color w:val="auto"/>
                <w:szCs w:val="21"/>
                <w:lang w:val="en-US" w:eastAsia="zh-CN"/>
              </w:rPr>
              <w:t>2</w:t>
            </w:r>
            <w:r>
              <w:rPr>
                <w:rFonts w:hint="eastAsia" w:ascii="宋体" w:hAnsi="宋体"/>
                <w:color w:val="auto"/>
                <w:szCs w:val="21"/>
              </w:rPr>
              <w:t>年财务审计报告，202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eastAsia="zh-CN"/>
              </w:rPr>
              <w:t>及以后</w:t>
            </w:r>
            <w:r>
              <w:rPr>
                <w:rFonts w:hint="eastAsia" w:ascii="宋体" w:hAnsi="宋体"/>
                <w:color w:val="auto"/>
                <w:szCs w:val="21"/>
              </w:rPr>
              <w:t>成立企业提供</w:t>
            </w:r>
            <w:r>
              <w:rPr>
                <w:rFonts w:hint="eastAsia" w:ascii="宋体" w:hAnsi="宋体" w:cs="宋体"/>
                <w:bCs/>
                <w:color w:val="auto"/>
                <w:szCs w:val="21"/>
              </w:rPr>
              <w:t>近三个月内基本银行账户开具的资信证明</w:t>
            </w:r>
            <w:r>
              <w:rPr>
                <w:rFonts w:hint="eastAsia" w:ascii="宋体" w:hAnsi="宋体"/>
                <w:color w:val="auto"/>
                <w:szCs w:val="21"/>
              </w:rPr>
              <w:t>）。</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 xml:space="preserve">3 </w:t>
            </w:r>
            <w:r>
              <w:rPr>
                <w:rFonts w:hint="eastAsia" w:ascii="宋体" w:hAnsi="宋体"/>
                <w:color w:val="auto"/>
                <w:szCs w:val="21"/>
              </w:rPr>
              <w:t>不接受被政府列为取消投标资格期间内的企业或个人投标。</w:t>
            </w:r>
          </w:p>
          <w:p>
            <w:pPr>
              <w:spacing w:line="360" w:lineRule="auto"/>
              <w:ind w:firstLine="371" w:firstLineChars="177"/>
              <w:rPr>
                <w:rFonts w:hint="eastAsia" w:ascii="宋体" w:hAnsi="宋体"/>
                <w:color w:val="auto"/>
                <w:szCs w:val="21"/>
              </w:rPr>
            </w:pPr>
            <w:r>
              <w:rPr>
                <w:rFonts w:hint="eastAsia" w:ascii="宋体" w:hAnsi="宋体"/>
                <w:color w:val="auto"/>
                <w:szCs w:val="21"/>
                <w:lang w:val="en-US" w:eastAsia="zh-CN"/>
              </w:rPr>
              <w:t xml:space="preserve">2.3.4 </w:t>
            </w:r>
            <w:r>
              <w:rPr>
                <w:rFonts w:hint="eastAsia" w:ascii="宋体" w:hAnsi="宋体"/>
                <w:color w:val="auto"/>
                <w:szCs w:val="21"/>
                <w:lang w:eastAsia="zh-CN"/>
              </w:rPr>
              <w:t>具有</w:t>
            </w:r>
            <w:r>
              <w:rPr>
                <w:rFonts w:hint="eastAsia" w:ascii="宋体" w:hAnsi="宋体"/>
                <w:color w:val="auto"/>
                <w:szCs w:val="21"/>
              </w:rPr>
              <w:t>近六个月任意一个月依法纳税的凭证或免缴纳证明、社会保障资金缴纳记录（专用收据或社会保险缴纳清单）或免缴纳证明。</w:t>
            </w:r>
          </w:p>
          <w:p>
            <w:pPr>
              <w:spacing w:line="360" w:lineRule="auto"/>
              <w:ind w:firstLine="371" w:firstLineChars="177"/>
              <w:rPr>
                <w:rFonts w:hint="eastAsia" w:ascii="宋体" w:hAnsi="宋体" w:eastAsia="宋体"/>
                <w:color w:val="auto"/>
                <w:szCs w:val="21"/>
                <w:lang w:val="en-US" w:eastAsia="zh-CN"/>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 xml:space="preserve">5 </w:t>
            </w:r>
            <w:r>
              <w:rPr>
                <w:rFonts w:hint="eastAsia" w:ascii="宋体" w:hAnsi="宋体"/>
                <w:color w:val="auto"/>
                <w:szCs w:val="21"/>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r>
              <w:rPr>
                <w:rFonts w:hint="eastAsia" w:ascii="宋体" w:hAnsi="宋体"/>
                <w:color w:val="auto"/>
                <w:szCs w:val="21"/>
                <w:lang w:val="en-US" w:eastAsia="zh-CN"/>
              </w:rPr>
              <w:tab/>
            </w:r>
          </w:p>
          <w:p>
            <w:pPr>
              <w:spacing w:line="360" w:lineRule="auto"/>
              <w:ind w:firstLine="371" w:firstLineChars="177"/>
              <w:rPr>
                <w:rFonts w:cs="宋体" w:asciiTheme="majorEastAsia" w:hAnsiTheme="majorEastAsia" w:eastAsiaTheme="majorEastAsia"/>
                <w:color w:val="auto"/>
                <w:szCs w:val="21"/>
                <w:highlight w:val="yellow"/>
                <w:shd w:val="clear" w:color="auto" w:fill="FFFFFF"/>
              </w:rPr>
            </w:pPr>
            <w:r>
              <w:rPr>
                <w:rFonts w:hint="eastAsia" w:ascii="宋体" w:hAnsi="宋体"/>
                <w:color w:val="auto"/>
                <w:szCs w:val="21"/>
                <w:lang w:val="en-US" w:eastAsia="zh-CN"/>
              </w:rPr>
              <w:t>2.</w:t>
            </w:r>
            <w:r>
              <w:rPr>
                <w:rFonts w:hint="eastAsia" w:ascii="宋体" w:hAnsi="宋体"/>
                <w:color w:val="auto"/>
                <w:szCs w:val="21"/>
              </w:rPr>
              <w:t>3.</w:t>
            </w:r>
            <w:r>
              <w:rPr>
                <w:rFonts w:hint="eastAsia" w:ascii="宋体" w:hAnsi="宋体"/>
                <w:color w:val="auto"/>
                <w:szCs w:val="21"/>
                <w:lang w:val="en-US" w:eastAsia="zh-CN"/>
              </w:rPr>
              <w:t>6</w:t>
            </w:r>
            <w:r>
              <w:rPr>
                <w:rFonts w:hint="eastAsia" w:ascii="宋体" w:hAnsi="宋体"/>
                <w:color w:val="auto"/>
                <w:szCs w:val="21"/>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yellow"/>
              </w:rPr>
            </w:pPr>
            <w:r>
              <w:rPr>
                <w:rFonts w:hint="eastAsia" w:asciiTheme="majorEastAsia" w:hAnsiTheme="majorEastAsia" w:eastAsiaTheme="majorEastAsia"/>
                <w:color w:val="auto"/>
                <w:szCs w:val="21"/>
              </w:rPr>
              <w:t>是否接受联合体投标</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□是，接受</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√否，不接受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yellow"/>
              </w:rPr>
            </w:pPr>
            <w:r>
              <w:rPr>
                <w:rFonts w:hint="eastAsia" w:asciiTheme="majorEastAsia" w:hAnsiTheme="majorEastAsia" w:eastAsiaTheme="majorEastAsia"/>
                <w:color w:val="auto"/>
                <w:szCs w:val="21"/>
              </w:rPr>
              <w:t>踏勘现场</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asciiTheme="majorEastAsia" w:hAnsiTheme="majorEastAsia" w:eastAsiaTheme="majorEastAsia"/>
                <w:color w:val="auto"/>
                <w:szCs w:val="21"/>
              </w:rPr>
              <w:t>√</w:t>
            </w:r>
            <w:r>
              <w:rPr>
                <w:rFonts w:hint="eastAsia" w:cs="宋体" w:asciiTheme="majorEastAsia" w:hAnsiTheme="majorEastAsia" w:eastAsiaTheme="majorEastAsia"/>
                <w:color w:val="auto"/>
                <w:szCs w:val="21"/>
              </w:rPr>
              <w:t>不组织</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□组织，踏勘时间：</w:t>
            </w:r>
          </w:p>
          <w:p>
            <w:pPr>
              <w:autoSpaceDN w:val="0"/>
              <w:adjustRightInd w:val="0"/>
              <w:snapToGrid w:val="0"/>
              <w:spacing w:line="360" w:lineRule="auto"/>
              <w:rPr>
                <w:rFonts w:asciiTheme="majorEastAsia" w:hAnsiTheme="majorEastAsia" w:eastAsiaTheme="majorEastAsia"/>
                <w:color w:val="auto"/>
                <w:szCs w:val="21"/>
                <w:highlight w:val="yellow"/>
              </w:rPr>
            </w:pPr>
            <w:r>
              <w:rPr>
                <w:rFonts w:hint="eastAsia" w:cs="宋体" w:asciiTheme="majorEastAsia" w:hAnsiTheme="majorEastAsia" w:eastAsiaTheme="majorEastAsia"/>
                <w:color w:val="auto"/>
                <w:szCs w:val="21"/>
              </w:rPr>
              <w:t xml:space="preserve">        踏勘集中地点：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nil"/>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nil"/>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答疑会时间及地点</w:t>
            </w:r>
          </w:p>
        </w:tc>
        <w:tc>
          <w:tcPr>
            <w:tcW w:w="6380" w:type="dxa"/>
            <w:tcBorders>
              <w:top w:val="single" w:color="auto" w:sz="4" w:space="0"/>
              <w:left w:val="single" w:color="auto" w:sz="4" w:space="0"/>
              <w:bottom w:val="nil"/>
              <w:right w:val="single" w:color="auto" w:sz="4" w:space="0"/>
            </w:tcBorders>
            <w:noWrap/>
            <w:vAlign w:val="center"/>
          </w:tcPr>
          <w:p>
            <w:pPr>
              <w:pStyle w:val="9"/>
              <w:topLinePunct/>
              <w:autoSpaceDN w:val="0"/>
              <w:adjustRightInd w:val="0"/>
              <w:snapToGrid w:val="0"/>
              <w:spacing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Cs w:val="21"/>
              </w:rPr>
              <w:t>√</w:t>
            </w:r>
            <w:r>
              <w:rPr>
                <w:rFonts w:hint="eastAsia" w:asciiTheme="majorEastAsia" w:hAnsiTheme="majorEastAsia" w:eastAsiaTheme="majorEastAsia"/>
                <w:color w:val="auto"/>
                <w:sz w:val="21"/>
                <w:szCs w:val="21"/>
              </w:rPr>
              <w:t>不召开</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□召开，召开时间：</w:t>
            </w:r>
          </w:p>
          <w:p>
            <w:pPr>
              <w:autoSpaceDN w:val="0"/>
              <w:adjustRightInd w:val="0"/>
              <w:snapToGrid w:val="0"/>
              <w:spacing w:line="360" w:lineRule="auto"/>
              <w:rPr>
                <w:rFonts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召开地点：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分包、转包</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hint="default"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偏离</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color w:val="auto"/>
                <w:kern w:val="15"/>
                <w:szCs w:val="21"/>
              </w:rPr>
            </w:pPr>
            <w:r>
              <w:rPr>
                <w:rFonts w:hint="eastAsia" w:asciiTheme="majorEastAsia" w:hAnsiTheme="majorEastAsia" w:eastAsiaTheme="majorEastAsia"/>
                <w:color w:val="auto"/>
                <w:szCs w:val="21"/>
              </w:rPr>
              <w:t>√</w:t>
            </w:r>
            <w:r>
              <w:rPr>
                <w:rFonts w:hint="eastAsia" w:cs="宋体" w:asciiTheme="majorEastAsia" w:hAnsiTheme="majorEastAsia" w:eastAsiaTheme="majorEastAsia"/>
                <w:color w:val="auto"/>
                <w:kern w:val="15"/>
                <w:szCs w:val="21"/>
              </w:rPr>
              <w:t>允许正偏离</w:t>
            </w:r>
          </w:p>
          <w:p>
            <w:pPr>
              <w:autoSpaceDN w:val="0"/>
              <w:adjustRightInd w:val="0"/>
              <w:snapToGrid w:val="0"/>
              <w:spacing w:line="360" w:lineRule="auto"/>
              <w:rPr>
                <w:rFonts w:asciiTheme="majorEastAsia" w:hAnsiTheme="majorEastAsia" w:eastAsiaTheme="majorEastAsia"/>
                <w:color w:val="auto"/>
                <w:szCs w:val="21"/>
              </w:rPr>
            </w:pPr>
            <w:r>
              <w:rPr>
                <w:rFonts w:hint="eastAsia" w:cs="宋体" w:asciiTheme="majorEastAsia" w:hAnsiTheme="majorEastAsia" w:eastAsiaTheme="majorEastAsia"/>
                <w:color w:val="auto"/>
                <w:kern w:val="15"/>
                <w:szCs w:val="21"/>
              </w:rPr>
              <w:t>□不接受任何偏离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构成投标文件</w:t>
            </w:r>
          </w:p>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的其他材料</w:t>
            </w:r>
          </w:p>
        </w:tc>
        <w:tc>
          <w:tcPr>
            <w:tcW w:w="6380" w:type="dxa"/>
            <w:tcBorders>
              <w:top w:val="single" w:color="auto" w:sz="4" w:space="0"/>
              <w:left w:val="single" w:color="auto" w:sz="4" w:space="0"/>
              <w:bottom w:val="single" w:color="auto" w:sz="4" w:space="0"/>
              <w:right w:val="single" w:color="auto" w:sz="4" w:space="0"/>
            </w:tcBorders>
            <w:noWrap/>
            <w:vAlign w:val="center"/>
          </w:tcPr>
          <w:p>
            <w:pPr>
              <w:pStyle w:val="50"/>
              <w:autoSpaceDN w:val="0"/>
              <w:snapToGrid w:val="0"/>
              <w:spacing w:line="360" w:lineRule="auto"/>
              <w:rPr>
                <w:rFonts w:hint="eastAsia" w:asciiTheme="majorEastAsia" w:hAnsiTheme="majorEastAsia" w:eastAsiaTheme="majorEastAsia"/>
                <w:bCs/>
                <w:color w:val="auto"/>
                <w:szCs w:val="21"/>
                <w:shd w:val="clear" w:color="auto" w:fill="FFFFFF"/>
                <w:lang w:val="en-US" w:eastAsia="zh-CN"/>
              </w:rPr>
            </w:pPr>
            <w:r>
              <w:rPr>
                <w:rFonts w:hint="eastAsia" w:asciiTheme="majorEastAsia" w:hAnsiTheme="majorEastAsia" w:eastAsiaTheme="majorEastAsia"/>
                <w:bCs/>
                <w:color w:val="auto"/>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textAlignment w:val="baseline"/>
              <w:rPr>
                <w:rFonts w:asciiTheme="majorEastAsia" w:hAnsiTheme="majorEastAsia" w:eastAsiaTheme="majorEastAsia"/>
                <w:color w:val="auto"/>
                <w:szCs w:val="21"/>
              </w:rPr>
            </w:pPr>
            <w:r>
              <w:rPr>
                <w:rFonts w:hint="eastAsia" w:asciiTheme="majorEastAsia" w:hAnsiTheme="majorEastAsia" w:eastAsiaTheme="majorEastAsia"/>
                <w:color w:val="auto"/>
                <w:szCs w:val="21"/>
              </w:rPr>
              <w:t>签字或盖章要求</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（1）所有要求签字的地方都应用不褪色的墨水或签字笔由本人亲笔手写签字（包括姓和名），不得用盖章（如签名章、签字章等）代替，也不得由他人代签。 </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（2）所有要求盖章的地方都应按照招标文件的规定加盖与投标人名称全称相一致的标准公章，不得使用彩喷或者彩印的印章。 </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投标有效期</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b/>
                <w:bCs/>
                <w:color w:val="auto"/>
                <w:szCs w:val="21"/>
                <w:u w:val="single"/>
              </w:rPr>
              <w:t>90</w:t>
            </w:r>
            <w:r>
              <w:rPr>
                <w:rFonts w:hint="eastAsia" w:asciiTheme="majorEastAsia" w:hAnsiTheme="majorEastAsia" w:eastAsiaTheme="majorEastAsia"/>
                <w:color w:val="auto"/>
                <w:szCs w:val="21"/>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投标保证金</w:t>
            </w:r>
          </w:p>
        </w:tc>
        <w:tc>
          <w:tcPr>
            <w:tcW w:w="6380" w:type="dxa"/>
            <w:tcBorders>
              <w:top w:val="single" w:color="auto" w:sz="4" w:space="0"/>
              <w:left w:val="single" w:color="auto" w:sz="4" w:space="0"/>
              <w:bottom w:val="single" w:color="auto" w:sz="4" w:space="0"/>
              <w:right w:val="single" w:color="auto" w:sz="4" w:space="0"/>
            </w:tcBorders>
            <w:noWrap/>
            <w:vAlign w:val="center"/>
          </w:tcPr>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1.对于诚信良好的供应商可免收投标保证金；但对于满足《中华人民共和国政府采购法》第二十二条有关规定，经“信用中国”网站查询存在行政处罚信息的供应商，须按规定提交投标保证金。</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2.投标保证金形式：投标保证金应当以支票、汇票、本票或者金融机构、担保机构出具的保函等非现金形式提交或转账、电汇（转账、电汇须从投标人的基本账户转出）。投标人未按照招标文件要求提交投标保证金的，投标无效。</w:t>
            </w:r>
          </w:p>
          <w:p>
            <w:pPr>
              <w:tabs>
                <w:tab w:val="center" w:pos="2530"/>
              </w:tabs>
              <w:autoSpaceDN w:val="0"/>
              <w:adjustRightInd w:val="0"/>
              <w:snapToGrid w:val="0"/>
              <w:spacing w:line="360" w:lineRule="auto"/>
              <w:rPr>
                <w:rFonts w:hint="default" w:cs="Arial" w:asciiTheme="majorEastAsia" w:hAnsiTheme="majorEastAsia" w:eastAsiaTheme="majorEastAsia"/>
                <w:bCs/>
                <w:color w:val="auto"/>
                <w:szCs w:val="21"/>
                <w:lang w:val="en-US" w:eastAsia="zh-CN"/>
              </w:rPr>
            </w:pPr>
            <w:r>
              <w:rPr>
                <w:rFonts w:hint="eastAsia" w:cs="Arial" w:asciiTheme="majorEastAsia" w:hAnsiTheme="majorEastAsia" w:eastAsiaTheme="majorEastAsia"/>
                <w:bCs/>
                <w:color w:val="auto"/>
                <w:szCs w:val="21"/>
              </w:rPr>
              <w:t>3.递交时间和要求：应在开标前（银行到账时间）将投标保证金存入采购代理机构指定账户，银行进账单或电汇凭证等凭证上应明确用途、投标项目名称、投标人名称、联系人及电话，以便核对查实。投标人缴纳完投标保证金后须将银行的存款回单复印件装入到投标文件中，否则投标文件无效；投标保证金若以保函形式提交，开标时须提供原件，复印件装入到投标文件中，否则投标文件无效。投标保证金的确认以最终到账日期为准。</w:t>
            </w:r>
            <w:r>
              <w:rPr>
                <w:rFonts w:hint="eastAsia" w:cs="Arial" w:asciiTheme="majorEastAsia" w:hAnsiTheme="majorEastAsia" w:eastAsiaTheme="majorEastAsia"/>
                <w:bCs/>
                <w:color w:val="auto"/>
                <w:szCs w:val="21"/>
                <w:lang w:val="en-US" w:eastAsia="zh-CN"/>
              </w:rPr>
              <w:t>开标前投标人须将投标保证金缴纳凭证或免缴纳证明材料电子版发送至</w:t>
            </w:r>
            <w:r>
              <w:rPr>
                <w:rFonts w:hint="eastAsia" w:cs="Arial" w:asciiTheme="majorEastAsia" w:hAnsiTheme="majorEastAsia" w:eastAsiaTheme="majorEastAsia"/>
                <w:b/>
                <w:bCs w:val="0"/>
                <w:color w:val="auto"/>
                <w:szCs w:val="21"/>
                <w:lang w:val="en-US" w:eastAsia="zh-CN"/>
              </w:rPr>
              <w:t>532606771@qq.com</w:t>
            </w:r>
            <w:r>
              <w:rPr>
                <w:rFonts w:hint="eastAsia" w:cs="Arial" w:asciiTheme="majorEastAsia" w:hAnsiTheme="majorEastAsia" w:eastAsiaTheme="majorEastAsia"/>
                <w:bCs/>
                <w:color w:val="auto"/>
                <w:szCs w:val="21"/>
                <w:lang w:val="en-US" w:eastAsia="zh-CN"/>
              </w:rPr>
              <w:t>邮箱确认保证金缴纳情况。</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4.投标保证金额：</w:t>
            </w:r>
            <w:r>
              <w:rPr>
                <w:rFonts w:hint="eastAsia" w:cs="Arial" w:asciiTheme="majorEastAsia" w:hAnsiTheme="majorEastAsia" w:eastAsiaTheme="majorEastAsia"/>
                <w:bCs/>
                <w:color w:val="auto"/>
                <w:szCs w:val="21"/>
                <w:lang w:val="en-US" w:eastAsia="zh-CN"/>
              </w:rPr>
              <w:t>40</w:t>
            </w:r>
            <w:r>
              <w:rPr>
                <w:rFonts w:hint="eastAsia" w:cs="Arial" w:asciiTheme="majorEastAsia" w:hAnsiTheme="majorEastAsia" w:eastAsiaTheme="majorEastAsia"/>
                <w:bCs/>
                <w:color w:val="auto"/>
                <w:szCs w:val="21"/>
              </w:rPr>
              <w:t>000元</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应在保证金截止时间前递交收款人</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5.开户名称：吉林省煦程招投标代理有限公司</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开户银行：</w:t>
            </w:r>
            <w:r>
              <w:rPr>
                <w:rFonts w:hint="eastAsia" w:cs="宋体" w:asciiTheme="majorEastAsia" w:hAnsiTheme="majorEastAsia" w:eastAsiaTheme="majorEastAsia"/>
                <w:bCs/>
                <w:color w:val="auto"/>
                <w:szCs w:val="21"/>
                <w:lang w:val="zh-CN"/>
              </w:rPr>
              <w:t>中国农业银行股份有限公司长春西安大路支行</w:t>
            </w:r>
          </w:p>
          <w:p>
            <w:pPr>
              <w:tabs>
                <w:tab w:val="center" w:pos="2530"/>
              </w:tabs>
              <w:autoSpaceDN w:val="0"/>
              <w:adjustRightInd w:val="0"/>
              <w:snapToGrid w:val="0"/>
              <w:spacing w:line="360" w:lineRule="auto"/>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账号：</w:t>
            </w:r>
            <w:r>
              <w:rPr>
                <w:rFonts w:hint="eastAsia" w:cs="宋体" w:asciiTheme="majorEastAsia" w:hAnsiTheme="majorEastAsia" w:eastAsiaTheme="majorEastAsia"/>
                <w:bCs/>
                <w:color w:val="auto"/>
                <w:szCs w:val="21"/>
                <w:lang w:val="zh-CN"/>
              </w:rPr>
              <w:t>07198901040013386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投标文件份数</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一份正本，</w:t>
            </w:r>
            <w:r>
              <w:rPr>
                <w:rFonts w:hint="eastAsia" w:asciiTheme="majorEastAsia" w:hAnsiTheme="majorEastAsia" w:eastAsiaTheme="majorEastAsia"/>
                <w:color w:val="auto"/>
                <w:szCs w:val="21"/>
                <w:lang w:val="en-US" w:eastAsia="zh-CN"/>
              </w:rPr>
              <w:t>四</w:t>
            </w:r>
            <w:r>
              <w:rPr>
                <w:rFonts w:hint="eastAsia" w:asciiTheme="majorEastAsia" w:hAnsiTheme="majorEastAsia" w:eastAsiaTheme="majorEastAsia"/>
                <w:color w:val="auto"/>
                <w:szCs w:val="21"/>
              </w:rPr>
              <w:t>份副本，电子版文件二份</w:t>
            </w:r>
            <w:r>
              <w:rPr>
                <w:rFonts w:hint="eastAsia" w:asciiTheme="majorEastAsia" w:hAnsiTheme="majorEastAsia" w:eastAsiaTheme="majorEastAsia"/>
                <w:bCs/>
                <w:color w:val="auto"/>
                <w:szCs w:val="21"/>
              </w:rPr>
              <w:t>（提供U盘且不退）</w:t>
            </w:r>
            <w:r>
              <w:rPr>
                <w:rFonts w:hint="eastAsia" w:asciiTheme="majorEastAsia" w:hAnsiTheme="majorEastAsia" w:eastAsiaTheme="majorEastAsia"/>
                <w:color w:val="auto"/>
                <w:szCs w:val="21"/>
              </w:rPr>
              <w:t>（电子版投标文件须与纸质版文件相一致的全部内容，电子版文件（U盘）内容须包括可编辑的</w:t>
            </w:r>
            <w:r>
              <w:rPr>
                <w:rFonts w:hint="eastAsia" w:asciiTheme="majorEastAsia" w:hAnsiTheme="majorEastAsia" w:eastAsiaTheme="majorEastAsia"/>
                <w:bCs/>
                <w:color w:val="auto"/>
                <w:szCs w:val="21"/>
              </w:rPr>
              <w:t>WORD版本与PDF版本各一份，PDF版本须具有和纸质版本一样的签字和盖章</w:t>
            </w:r>
            <w:r>
              <w:rPr>
                <w:rFonts w:hint="eastAsia" w:asciiTheme="majorEastAsia" w:hAnsiTheme="majorEastAsia" w:eastAsiaTheme="majorEastAsia"/>
                <w:color w:val="auto"/>
                <w:szCs w:val="21"/>
              </w:rPr>
              <w:t>，且须单独密封并提交，包封上须注明项目名称和公司名称）。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投标文件提交地点及截止时间</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highlight w:val="none"/>
              </w:rPr>
            </w:pPr>
            <w:r>
              <w:rPr>
                <w:rFonts w:hint="eastAsia"/>
                <w:highlight w:val="none"/>
              </w:rPr>
              <w:t>1、投标文件提交地点及时间：</w:t>
            </w:r>
          </w:p>
          <w:p>
            <w:pPr>
              <w:autoSpaceDN w:val="0"/>
              <w:adjustRightInd w:val="0"/>
              <w:snapToGrid w:val="0"/>
              <w:spacing w:line="360" w:lineRule="auto"/>
              <w:rPr>
                <w:highlight w:val="none"/>
              </w:rPr>
            </w:pPr>
            <w:r>
              <w:rPr>
                <w:rFonts w:hint="eastAsia"/>
                <w:highlight w:val="none"/>
              </w:rPr>
              <w:t>递交投标文件开始时间：</w:t>
            </w:r>
            <w:r>
              <w:rPr>
                <w:rFonts w:hint="eastAsia"/>
                <w:color w:val="FF0000"/>
                <w:highlight w:val="none"/>
              </w:rPr>
              <w:t>202</w:t>
            </w:r>
            <w:r>
              <w:rPr>
                <w:rFonts w:hint="eastAsia"/>
                <w:color w:val="FF0000"/>
                <w:highlight w:val="none"/>
                <w:lang w:val="en-US" w:eastAsia="zh-CN"/>
              </w:rPr>
              <w:t>3</w:t>
            </w:r>
            <w:r>
              <w:rPr>
                <w:rFonts w:hint="eastAsia"/>
                <w:color w:val="FF0000"/>
                <w:highlight w:val="none"/>
              </w:rPr>
              <w:t>年</w:t>
            </w:r>
            <w:r>
              <w:rPr>
                <w:rFonts w:hint="eastAsia"/>
                <w:color w:val="FF0000"/>
                <w:highlight w:val="none"/>
                <w:lang w:val="en-US" w:eastAsia="zh-CN"/>
              </w:rPr>
              <w:t>8</w:t>
            </w:r>
            <w:r>
              <w:rPr>
                <w:rFonts w:hint="eastAsia"/>
                <w:color w:val="FF0000"/>
                <w:highlight w:val="none"/>
              </w:rPr>
              <w:t>月</w:t>
            </w:r>
            <w:r>
              <w:rPr>
                <w:rFonts w:hint="eastAsia"/>
                <w:color w:val="FF0000"/>
                <w:highlight w:val="none"/>
                <w:lang w:val="en-US" w:eastAsia="zh-CN"/>
              </w:rPr>
              <w:t>16</w:t>
            </w:r>
            <w:r>
              <w:rPr>
                <w:rFonts w:hint="eastAsia"/>
                <w:color w:val="FF0000"/>
                <w:highlight w:val="none"/>
              </w:rPr>
              <w:t>日9时00分</w:t>
            </w:r>
          </w:p>
          <w:p>
            <w:pPr>
              <w:autoSpaceDN w:val="0"/>
              <w:adjustRightInd w:val="0"/>
              <w:snapToGrid w:val="0"/>
              <w:spacing w:line="360" w:lineRule="auto"/>
              <w:rPr>
                <w:highlight w:val="none"/>
              </w:rPr>
            </w:pPr>
            <w:r>
              <w:rPr>
                <w:rFonts w:hint="eastAsia"/>
                <w:highlight w:val="none"/>
              </w:rPr>
              <w:t>递交投标文件截止时间：</w:t>
            </w:r>
            <w:r>
              <w:rPr>
                <w:rFonts w:hint="eastAsia"/>
                <w:color w:val="FF0000"/>
                <w:highlight w:val="none"/>
              </w:rPr>
              <w:t>202</w:t>
            </w:r>
            <w:r>
              <w:rPr>
                <w:rFonts w:hint="eastAsia"/>
                <w:color w:val="FF0000"/>
                <w:highlight w:val="none"/>
                <w:lang w:val="en-US" w:eastAsia="zh-CN"/>
              </w:rPr>
              <w:t>3</w:t>
            </w:r>
            <w:r>
              <w:rPr>
                <w:rFonts w:hint="eastAsia"/>
                <w:color w:val="FF0000"/>
                <w:highlight w:val="none"/>
              </w:rPr>
              <w:t>年</w:t>
            </w:r>
            <w:r>
              <w:rPr>
                <w:rFonts w:hint="eastAsia"/>
                <w:color w:val="FF0000"/>
                <w:highlight w:val="none"/>
                <w:lang w:val="en-US" w:eastAsia="zh-CN"/>
              </w:rPr>
              <w:t>8</w:t>
            </w:r>
            <w:r>
              <w:rPr>
                <w:rFonts w:hint="eastAsia"/>
                <w:color w:val="FF0000"/>
                <w:highlight w:val="none"/>
              </w:rPr>
              <w:t>月</w:t>
            </w:r>
            <w:r>
              <w:rPr>
                <w:rFonts w:hint="eastAsia"/>
                <w:color w:val="FF0000"/>
                <w:highlight w:val="none"/>
                <w:lang w:val="en-US" w:eastAsia="zh-CN"/>
              </w:rPr>
              <w:t>16</w:t>
            </w:r>
            <w:r>
              <w:rPr>
                <w:rFonts w:hint="eastAsia"/>
                <w:color w:val="FF0000"/>
                <w:highlight w:val="none"/>
              </w:rPr>
              <w:t>日9时30分</w:t>
            </w:r>
          </w:p>
          <w:p>
            <w:pPr>
              <w:autoSpaceDN w:val="0"/>
              <w:adjustRightInd w:val="0"/>
              <w:snapToGrid w:val="0"/>
              <w:spacing w:line="360" w:lineRule="auto"/>
              <w:rPr>
                <w:highlight w:val="none"/>
              </w:rPr>
            </w:pPr>
            <w:r>
              <w:rPr>
                <w:rFonts w:hint="eastAsia"/>
                <w:highlight w:val="none"/>
              </w:rPr>
              <w:t>地点：长春新区政务服务中心公共资源交易大厅（龙湖大路5799号）2楼</w:t>
            </w:r>
            <w:r>
              <w:rPr>
                <w:rFonts w:hint="eastAsia"/>
                <w:color w:val="FF0000"/>
                <w:highlight w:val="none"/>
              </w:rPr>
              <w:t>B2</w:t>
            </w:r>
            <w:r>
              <w:rPr>
                <w:rFonts w:hint="eastAsia"/>
                <w:color w:val="FF0000"/>
                <w:highlight w:val="none"/>
                <w:lang w:val="en-US" w:eastAsia="zh-CN"/>
              </w:rPr>
              <w:t>08</w:t>
            </w:r>
            <w:r>
              <w:rPr>
                <w:rFonts w:hint="eastAsia"/>
                <w:highlight w:val="none"/>
              </w:rPr>
              <w:t>开标室</w:t>
            </w:r>
          </w:p>
          <w:p>
            <w:pPr>
              <w:autoSpaceDN w:val="0"/>
              <w:adjustRightInd w:val="0"/>
              <w:snapToGrid w:val="0"/>
              <w:spacing w:line="360" w:lineRule="auto"/>
              <w:rPr>
                <w:highlight w:val="none"/>
              </w:rPr>
            </w:pPr>
            <w:r>
              <w:rPr>
                <w:rFonts w:hint="eastAsia"/>
                <w:highlight w:val="none"/>
              </w:rPr>
              <w:t>2、其他要求：</w:t>
            </w:r>
          </w:p>
          <w:p>
            <w:pPr>
              <w:autoSpaceDN w:val="0"/>
              <w:adjustRightInd w:val="0"/>
              <w:snapToGrid w:val="0"/>
              <w:spacing w:line="360" w:lineRule="auto"/>
              <w:rPr>
                <w:highlight w:val="none"/>
              </w:rPr>
            </w:pPr>
            <w:r>
              <w:rPr>
                <w:rFonts w:hint="eastAsia"/>
                <w:highlight w:val="none"/>
              </w:rPr>
              <w:t>（1）现场递交纸质</w:t>
            </w:r>
            <w:r>
              <w:rPr>
                <w:rFonts w:hint="eastAsia"/>
                <w:highlight w:val="none"/>
                <w:lang w:eastAsia="zh-CN"/>
              </w:rPr>
              <w:t>、</w:t>
            </w:r>
            <w:r>
              <w:rPr>
                <w:rFonts w:hint="eastAsia"/>
                <w:highlight w:val="none"/>
                <w:lang w:val="en-US" w:eastAsia="zh-CN"/>
              </w:rPr>
              <w:t>电子（U盘）</w:t>
            </w:r>
            <w:r>
              <w:rPr>
                <w:rFonts w:hint="eastAsia"/>
                <w:highlight w:val="none"/>
              </w:rPr>
              <w:t>投标文件。</w:t>
            </w:r>
          </w:p>
          <w:p>
            <w:pPr>
              <w:autoSpaceDN w:val="0"/>
              <w:adjustRightInd w:val="0"/>
              <w:snapToGrid w:val="0"/>
              <w:spacing w:line="360" w:lineRule="auto"/>
              <w:rPr>
                <w:rFonts w:hint="eastAsia"/>
                <w:highlight w:val="none"/>
              </w:rPr>
            </w:pPr>
            <w:r>
              <w:rPr>
                <w:rFonts w:hint="eastAsia"/>
                <w:highlight w:val="none"/>
              </w:rPr>
              <w:t>（2）投标单位在“政采云”平台（http：//www.zcygov.cn）上制作投标文件1份（此投标文件须上传至“政采云”平台）。</w:t>
            </w:r>
          </w:p>
          <w:p>
            <w:pPr>
              <w:pStyle w:val="21"/>
              <w:ind w:left="0" w:leftChars="0" w:firstLine="0" w:firstLineChars="0"/>
              <w:rPr>
                <w:rFonts w:hint="eastAsia" w:eastAsiaTheme="majorEastAsia"/>
                <w:highlight w:val="none"/>
                <w:lang w:eastAsia="zh-CN"/>
              </w:rPr>
            </w:pPr>
            <w:r>
              <w:rPr>
                <w:rFonts w:hint="eastAsia" w:asciiTheme="majorEastAsia" w:hAnsiTheme="majorEastAsia" w:eastAsiaTheme="majorEastAsia"/>
                <w:color w:val="auto"/>
                <w:szCs w:val="21"/>
                <w:highlight w:val="none"/>
                <w:lang w:eastAsia="zh-CN"/>
              </w:rPr>
              <w:t>（</w:t>
            </w:r>
            <w:r>
              <w:rPr>
                <w:rFonts w:hint="eastAsia" w:asciiTheme="majorEastAsia" w:hAnsiTheme="majorEastAsia" w:eastAsiaTheme="majorEastAsia"/>
                <w:color w:val="auto"/>
                <w:szCs w:val="21"/>
                <w:highlight w:val="none"/>
                <w:lang w:val="en-US" w:eastAsia="zh-CN"/>
              </w:rPr>
              <w:t>3</w:t>
            </w:r>
            <w:r>
              <w:rPr>
                <w:rFonts w:hint="eastAsia" w:asciiTheme="majorEastAsia" w:hAnsiTheme="majorEastAsia" w:eastAsiaTheme="majorEastAsia"/>
                <w:color w:val="auto"/>
                <w:szCs w:val="21"/>
                <w:highlight w:val="none"/>
                <w:lang w:eastAsia="zh-CN"/>
              </w:rPr>
              <w:t>）开标时投标单位须在规定的时间内解密其上传至政采云平台的电子投标文件，由于投标单位自身原因未在规定时间内容成功解密其电子投标文件的，投标将被拒绝。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评标方法及标准</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highlight w:val="none"/>
              </w:rPr>
            </w:pPr>
            <w:bookmarkStart w:id="46" w:name="blank29"/>
            <w:r>
              <w:rPr>
                <w:rFonts w:hint="eastAsia" w:asciiTheme="majorEastAsia" w:hAnsiTheme="majorEastAsia" w:eastAsiaTheme="majorEastAsia"/>
                <w:color w:val="auto"/>
                <w:kern w:val="0"/>
                <w:szCs w:val="21"/>
                <w:highlight w:val="none"/>
              </w:rPr>
              <w:t>综合评分法</w:t>
            </w:r>
            <w:bookmark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资格审查方式</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highlight w:val="none"/>
              </w:rPr>
            </w:pPr>
            <w:bookmarkStart w:id="47" w:name="blank24"/>
            <w:r>
              <w:rPr>
                <w:rFonts w:hint="eastAsia" w:asciiTheme="majorEastAsia" w:hAnsiTheme="majorEastAsia" w:eastAsiaTheme="majorEastAsia"/>
                <w:color w:val="auto"/>
                <w:kern w:val="0"/>
                <w:szCs w:val="21"/>
                <w:highlight w:val="none"/>
              </w:rPr>
              <w:t>资格后审</w:t>
            </w:r>
            <w:bookmarkEnd w:id="4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评标委员会的组建</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评标委员会构成：</w:t>
            </w:r>
            <w:bookmarkStart w:id="48" w:name="blank30"/>
            <w:r>
              <w:rPr>
                <w:rFonts w:hint="eastAsia" w:asciiTheme="majorEastAsia" w:hAnsiTheme="majorEastAsia" w:eastAsiaTheme="majorEastAsia"/>
                <w:color w:val="auto"/>
                <w:kern w:val="0"/>
                <w:szCs w:val="21"/>
                <w:highlight w:val="none"/>
              </w:rPr>
              <w:t>5</w:t>
            </w:r>
            <w:bookmarkEnd w:id="48"/>
            <w:r>
              <w:rPr>
                <w:rFonts w:hint="eastAsia" w:asciiTheme="majorEastAsia" w:hAnsiTheme="majorEastAsia" w:eastAsiaTheme="majorEastAsia"/>
                <w:color w:val="auto"/>
                <w:szCs w:val="21"/>
                <w:highlight w:val="none"/>
              </w:rPr>
              <w:t>人，评标委员会专家确定方式：</w:t>
            </w:r>
            <w:r>
              <w:rPr>
                <w:rFonts w:hint="eastAsia" w:asciiTheme="majorEastAsia" w:hAnsiTheme="majorEastAsia" w:eastAsiaTheme="majorEastAsia"/>
                <w:bCs/>
                <w:color w:val="auto"/>
                <w:szCs w:val="21"/>
                <w:highlight w:val="none"/>
              </w:rPr>
              <w:t>从政府采购评审专家库中随机抽取产生。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是否授权评标委员会确定中标人</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履约担保</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pPr>
            <w:r>
              <w:rPr>
                <w:rFonts w:hint="eastAsia"/>
                <w:lang w:val="en-US" w:eastAsia="zh-CN"/>
              </w:rPr>
              <w:t>诚信记录良好的供应商免收履约担保金。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付款方式</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设备货物配送、安装、调试完毕</w:t>
            </w:r>
            <w:r>
              <w:rPr>
                <w:rFonts w:hint="eastAsia" w:asciiTheme="majorEastAsia" w:hAnsiTheme="majorEastAsia" w:eastAsiaTheme="majorEastAsia"/>
                <w:color w:val="auto"/>
                <w:szCs w:val="21"/>
                <w:lang w:val="en-US" w:eastAsia="zh-CN"/>
              </w:rPr>
              <w:t>且</w:t>
            </w:r>
            <w:r>
              <w:rPr>
                <w:rFonts w:hint="eastAsia" w:asciiTheme="majorEastAsia" w:hAnsiTheme="majorEastAsia" w:eastAsiaTheme="majorEastAsia"/>
                <w:color w:val="auto"/>
                <w:szCs w:val="21"/>
              </w:rPr>
              <w:t>验收合格</w:t>
            </w:r>
            <w:r>
              <w:rPr>
                <w:rFonts w:hint="eastAsia" w:asciiTheme="majorEastAsia" w:hAnsiTheme="majorEastAsia" w:eastAsiaTheme="majorEastAsia"/>
                <w:color w:val="auto"/>
                <w:szCs w:val="21"/>
                <w:lang w:val="en-US" w:eastAsia="zh-CN"/>
              </w:rPr>
              <w:t>，</w:t>
            </w:r>
            <w:r>
              <w:rPr>
                <w:rFonts w:hint="eastAsia" w:asciiTheme="majorEastAsia" w:hAnsiTheme="majorEastAsia" w:eastAsiaTheme="majorEastAsia"/>
                <w:color w:val="auto"/>
                <w:szCs w:val="21"/>
              </w:rPr>
              <w:t>学校（或实际项目实施单位）使用测试无问题后甲方向乙方支付合同总价款9</w:t>
            </w:r>
            <w:r>
              <w:rPr>
                <w:rFonts w:hint="eastAsia" w:asciiTheme="majorEastAsia" w:hAnsiTheme="majorEastAsia" w:eastAsiaTheme="majorEastAsia"/>
                <w:color w:val="auto"/>
                <w:szCs w:val="21"/>
                <w:lang w:val="en-US" w:eastAsia="zh-CN"/>
              </w:rPr>
              <w:t>0</w:t>
            </w:r>
            <w:r>
              <w:rPr>
                <w:rFonts w:hint="eastAsia" w:asciiTheme="majorEastAsia" w:hAnsiTheme="majorEastAsia" w:eastAsiaTheme="majorEastAsia"/>
                <w:color w:val="auto"/>
                <w:szCs w:val="21"/>
              </w:rPr>
              <w:t>%，剩余合同金额</w:t>
            </w:r>
            <w:r>
              <w:rPr>
                <w:rFonts w:hint="eastAsia" w:asciiTheme="majorEastAsia" w:hAnsiTheme="majorEastAsia" w:eastAsiaTheme="majorEastAsia"/>
                <w:color w:val="auto"/>
                <w:szCs w:val="21"/>
                <w:lang w:val="en-US" w:eastAsia="zh-CN"/>
              </w:rPr>
              <w:t>10</w:t>
            </w:r>
            <w:r>
              <w:rPr>
                <w:rFonts w:hint="eastAsia" w:asciiTheme="majorEastAsia" w:hAnsiTheme="majorEastAsia" w:eastAsiaTheme="majorEastAsia"/>
                <w:color w:val="auto"/>
                <w:szCs w:val="21"/>
              </w:rPr>
              <w:t>%账款扣作质保金</w:t>
            </w:r>
            <w:r>
              <w:rPr>
                <w:rFonts w:hint="eastAsia" w:asciiTheme="majorEastAsia" w:hAnsiTheme="majorEastAsia" w:eastAsiaTheme="majorEastAsia"/>
                <w:color w:val="auto"/>
                <w:szCs w:val="21"/>
                <w:lang w:eastAsia="zh-CN"/>
              </w:rPr>
              <w:t>，</w:t>
            </w:r>
            <w:r>
              <w:rPr>
                <w:rFonts w:hint="eastAsia" w:asciiTheme="majorEastAsia" w:hAnsiTheme="majorEastAsia" w:eastAsiaTheme="majorEastAsia"/>
                <w:color w:val="auto"/>
                <w:szCs w:val="21"/>
              </w:rPr>
              <w:t>设备自验收之日起</w:t>
            </w:r>
            <w:r>
              <w:rPr>
                <w:rFonts w:hint="eastAsia" w:asciiTheme="majorEastAsia" w:hAnsiTheme="majorEastAsia" w:eastAsiaTheme="majorEastAsia"/>
                <w:color w:val="auto"/>
                <w:szCs w:val="21"/>
                <w:lang w:val="en-US" w:eastAsia="zh-CN"/>
              </w:rPr>
              <w:t>1年</w:t>
            </w:r>
            <w:r>
              <w:rPr>
                <w:rFonts w:hint="eastAsia" w:asciiTheme="majorEastAsia" w:hAnsiTheme="majorEastAsia" w:eastAsiaTheme="majorEastAsia"/>
                <w:color w:val="auto"/>
                <w:szCs w:val="21"/>
              </w:rPr>
              <w:t>后</w:t>
            </w:r>
            <w:r>
              <w:rPr>
                <w:rFonts w:hint="eastAsia" w:asciiTheme="majorEastAsia" w:hAnsiTheme="majorEastAsia" w:eastAsiaTheme="majorEastAsia"/>
                <w:color w:val="auto"/>
                <w:szCs w:val="21"/>
                <w:lang w:val="en-US" w:eastAsia="zh-CN"/>
              </w:rPr>
              <w:t>即质保期结束后</w:t>
            </w:r>
            <w:r>
              <w:rPr>
                <w:rFonts w:hint="eastAsia" w:asciiTheme="majorEastAsia" w:hAnsiTheme="majorEastAsia" w:eastAsiaTheme="majorEastAsia"/>
                <w:color w:val="auto"/>
                <w:szCs w:val="21"/>
              </w:rPr>
              <w:t>无质量问题支付。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签订合同</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中标人应在中标结果确定后</w:t>
            </w:r>
            <w:r>
              <w:rPr>
                <w:rFonts w:hint="eastAsia" w:asciiTheme="majorEastAsia" w:hAnsiTheme="majorEastAsia" w:eastAsiaTheme="majorEastAsia"/>
                <w:color w:val="auto"/>
                <w:szCs w:val="21"/>
                <w:u w:val="single"/>
              </w:rPr>
              <w:t xml:space="preserve">  30  </w:t>
            </w:r>
            <w:r>
              <w:rPr>
                <w:rFonts w:hint="eastAsia" w:asciiTheme="majorEastAsia" w:hAnsiTheme="majorEastAsia" w:eastAsiaTheme="majorEastAsia"/>
                <w:color w:val="auto"/>
                <w:szCs w:val="21"/>
              </w:rPr>
              <w:t>天内签订采购合同。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招标代理服务费</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color w:val="auto"/>
                <w:kern w:val="15"/>
                <w:szCs w:val="21"/>
              </w:rPr>
            </w:pPr>
            <w:r>
              <w:rPr>
                <w:rFonts w:hint="eastAsia" w:cs="宋体" w:asciiTheme="majorEastAsia" w:hAnsiTheme="majorEastAsia" w:eastAsiaTheme="majorEastAsia"/>
                <w:bCs/>
                <w:color w:val="auto"/>
                <w:kern w:val="15"/>
                <w:szCs w:val="21"/>
              </w:rPr>
              <w:t>按照国家发展改革委关于进一步放开建设项目专业服务价格的通知（发改价格[2015]299号）文件执行，由招标代理机构向中标人收取，中标服务费金额为中标金额的</w:t>
            </w:r>
            <w:r>
              <w:rPr>
                <w:rFonts w:hint="eastAsia" w:cs="宋体" w:asciiTheme="majorEastAsia" w:hAnsiTheme="majorEastAsia" w:eastAsiaTheme="majorEastAsia"/>
                <w:bCs/>
                <w:color w:val="auto"/>
                <w:kern w:val="15"/>
                <w:szCs w:val="21"/>
                <w:lang w:val="en-US" w:eastAsia="zh-CN"/>
              </w:rPr>
              <w:t>2</w:t>
            </w:r>
            <w:r>
              <w:rPr>
                <w:rFonts w:hint="eastAsia" w:cs="宋体" w:asciiTheme="majorEastAsia" w:hAnsiTheme="majorEastAsia" w:eastAsiaTheme="majorEastAsia"/>
                <w:bCs/>
                <w:color w:val="auto"/>
                <w:kern w:val="15"/>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jc w:val="center"/>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投标人信用信息查询</w:t>
            </w:r>
          </w:p>
          <w:p>
            <w:pPr>
              <w:autoSpaceDN w:val="0"/>
              <w:adjustRightInd w:val="0"/>
              <w:snapToGrid w:val="0"/>
              <w:spacing w:line="360" w:lineRule="auto"/>
              <w:jc w:val="center"/>
              <w:rPr>
                <w:rFonts w:asciiTheme="majorEastAsia" w:hAnsiTheme="majorEastAsia" w:eastAsiaTheme="majorEastAsia"/>
                <w:bCs/>
                <w:color w:val="auto"/>
                <w:kern w:val="15"/>
                <w:szCs w:val="21"/>
              </w:rPr>
            </w:pP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查询渠道：</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①“信用中国”网站（www.creditchina.gov.cn）：失信被执行人、重大税收违法案件当事人名单 。</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②中国政府采购网(www.ccgp.gov.cn)：政府采购严重违法失信行为信息记录。</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查询截止时点：同投标截止时间</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信用信息查询记录和证据留存的具体方式：</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采购人或采购代理机构将按查询截止时点对所有投标人的信用信息进行查询，查询记录将作为评委评标的依据，对列入失信被执行人、重大税收违法案件当事人名单、政府采购严重违法失信行为记录名单的投标人，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asciiTheme="majorEastAsia" w:hAnsiTheme="majorEastAsia" w:eastAsiaTheme="majorEastAsia"/>
                <w:bCs/>
                <w:color w:val="auto"/>
                <w:kern w:val="15"/>
                <w:szCs w:val="21"/>
              </w:rPr>
              <w:t>重新招标的其他情形</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asciiTheme="majorEastAsia" w:hAnsiTheme="majorEastAsia" w:eastAsiaTheme="majorEastAsia"/>
                <w:bCs/>
                <w:color w:val="auto"/>
                <w:kern w:val="15"/>
                <w:szCs w:val="21"/>
              </w:rPr>
              <w:t>除供应商须知正文第8条规定的情形外，除非已经产生中标候选人，在投标有效期内同意延长投标有效期的供应商少于三个的，采购人应当依法重新招标。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4"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asciiTheme="majorEastAsia" w:hAnsiTheme="majorEastAsia" w:eastAsiaTheme="majorEastAsia"/>
                <w:color w:val="auto"/>
                <w:szCs w:val="21"/>
              </w:rPr>
              <w:t>电子标说明</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一、上传的电子证件及资料均需按要求签字盖章上传，否则按未签章处理。</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投标文件电子</w:t>
            </w:r>
            <w:r>
              <w:rPr>
                <w:rFonts w:hint="eastAsia" w:asciiTheme="majorEastAsia" w:hAnsiTheme="majorEastAsia" w:eastAsiaTheme="majorEastAsia"/>
                <w:color w:val="auto"/>
                <w:szCs w:val="21"/>
                <w:lang w:val="en-US" w:eastAsia="zh-CN"/>
              </w:rPr>
              <w:t>标制作</w:t>
            </w:r>
            <w:r>
              <w:rPr>
                <w:rFonts w:hint="eastAsia" w:asciiTheme="majorEastAsia" w:hAnsiTheme="majorEastAsia" w:eastAsiaTheme="majorEastAsia"/>
                <w:color w:val="auto"/>
                <w:szCs w:val="21"/>
              </w:rPr>
              <w:t>方面技术支持：95763</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投标人在政府采购云平台（网址：http:// www.zcygov.cn）通过数字证书制作投标文件1份（此投标文件需上传至政府采购云平台，并在开标现场持编制投标文件的供应商数字证书现场解密）。</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投标人须携带数字证书至开标现场（供应商须现场解密其上传至政府采购云平台的投标文件）。</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二、电子投标文件中反映投标人资格审查的图片、扫描件、文字描述等，必须清晰可见。其中所有证书和执照必须为原件扫描。</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三、投标人应在招标文件要求提交投标文件的截止时间前，将电子</w:t>
            </w:r>
            <w:r>
              <w:rPr>
                <w:rFonts w:hint="eastAsia" w:asciiTheme="majorEastAsia" w:hAnsiTheme="majorEastAsia" w:eastAsiaTheme="majorEastAsia"/>
                <w:bCs/>
                <w:color w:val="auto"/>
                <w:kern w:val="15"/>
                <w:szCs w:val="21"/>
                <w:lang w:eastAsia="zh-CN"/>
              </w:rPr>
              <w:t>（</w:t>
            </w:r>
            <w:r>
              <w:rPr>
                <w:rFonts w:hint="eastAsia" w:asciiTheme="majorEastAsia" w:hAnsiTheme="majorEastAsia" w:eastAsiaTheme="majorEastAsia"/>
                <w:bCs/>
                <w:color w:val="auto"/>
                <w:kern w:val="15"/>
                <w:szCs w:val="21"/>
                <w:lang w:val="en-US" w:eastAsia="zh-CN"/>
              </w:rPr>
              <w:t>U盘</w:t>
            </w:r>
            <w:r>
              <w:rPr>
                <w:rFonts w:hint="eastAsia" w:asciiTheme="majorEastAsia" w:hAnsiTheme="majorEastAsia" w:eastAsiaTheme="majorEastAsia"/>
                <w:bCs/>
                <w:color w:val="auto"/>
                <w:kern w:val="15"/>
                <w:szCs w:val="21"/>
                <w:lang w:eastAsia="zh-CN"/>
              </w:rPr>
              <w:t>）</w:t>
            </w:r>
            <w:r>
              <w:rPr>
                <w:rFonts w:hint="eastAsia" w:asciiTheme="majorEastAsia" w:hAnsiTheme="majorEastAsia" w:eastAsiaTheme="majorEastAsia"/>
                <w:bCs/>
                <w:color w:val="auto"/>
                <w:kern w:val="15"/>
                <w:szCs w:val="21"/>
              </w:rPr>
              <w:t>投标文件和纸质投标文件分别密封，送达投标地点。</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四、若投标人上传的电子投标文件因无法</w:t>
            </w:r>
            <w:r>
              <w:rPr>
                <w:rFonts w:hint="eastAsia" w:asciiTheme="majorEastAsia" w:hAnsiTheme="majorEastAsia" w:eastAsiaTheme="majorEastAsia"/>
                <w:bCs/>
                <w:color w:val="auto"/>
                <w:kern w:val="15"/>
                <w:szCs w:val="21"/>
                <w:lang w:val="en-US" w:eastAsia="zh-CN"/>
              </w:rPr>
              <w:t>在规定时间内</w:t>
            </w:r>
            <w:r>
              <w:rPr>
                <w:rFonts w:hint="eastAsia" w:asciiTheme="majorEastAsia" w:hAnsiTheme="majorEastAsia" w:eastAsiaTheme="majorEastAsia"/>
                <w:bCs/>
                <w:color w:val="auto"/>
                <w:kern w:val="15"/>
                <w:szCs w:val="21"/>
              </w:rPr>
              <w:t>解密而对投标文件无法进行评价的，招标人</w:t>
            </w:r>
            <w:r>
              <w:rPr>
                <w:rFonts w:hint="eastAsia" w:asciiTheme="majorEastAsia" w:hAnsiTheme="majorEastAsia" w:eastAsiaTheme="majorEastAsia"/>
                <w:bCs/>
                <w:color w:val="auto"/>
                <w:kern w:val="15"/>
                <w:szCs w:val="21"/>
                <w:lang w:val="en-US" w:eastAsia="zh-CN"/>
              </w:rPr>
              <w:t>将</w:t>
            </w:r>
            <w:r>
              <w:rPr>
                <w:rFonts w:hint="eastAsia" w:asciiTheme="majorEastAsia" w:hAnsiTheme="majorEastAsia" w:eastAsiaTheme="majorEastAsia"/>
                <w:bCs/>
                <w:color w:val="auto"/>
                <w:kern w:val="15"/>
                <w:szCs w:val="21"/>
              </w:rPr>
              <w:t>拒绝该投标人投标。</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五、当纸质投标文件与电子投标文件</w:t>
            </w:r>
            <w:r>
              <w:rPr>
                <w:rFonts w:hint="eastAsia" w:asciiTheme="majorEastAsia" w:hAnsiTheme="majorEastAsia" w:eastAsiaTheme="majorEastAsia"/>
                <w:bCs/>
                <w:color w:val="auto"/>
                <w:kern w:val="15"/>
                <w:szCs w:val="21"/>
                <w:lang w:eastAsia="zh-CN"/>
              </w:rPr>
              <w:t>（</w:t>
            </w:r>
            <w:r>
              <w:rPr>
                <w:rFonts w:hint="eastAsia" w:asciiTheme="majorEastAsia" w:hAnsiTheme="majorEastAsia" w:eastAsiaTheme="majorEastAsia"/>
                <w:bCs/>
                <w:color w:val="auto"/>
                <w:kern w:val="15"/>
                <w:szCs w:val="21"/>
                <w:lang w:val="en-US" w:eastAsia="zh-CN"/>
              </w:rPr>
              <w:t>政采云上传文件</w:t>
            </w:r>
            <w:r>
              <w:rPr>
                <w:rFonts w:hint="eastAsia" w:asciiTheme="majorEastAsia" w:hAnsiTheme="majorEastAsia" w:eastAsiaTheme="majorEastAsia"/>
                <w:bCs/>
                <w:color w:val="auto"/>
                <w:kern w:val="15"/>
                <w:szCs w:val="21"/>
                <w:lang w:eastAsia="zh-CN"/>
              </w:rPr>
              <w:t>）</w:t>
            </w:r>
            <w:r>
              <w:rPr>
                <w:rFonts w:hint="eastAsia" w:asciiTheme="majorEastAsia" w:hAnsiTheme="majorEastAsia" w:eastAsiaTheme="majorEastAsia"/>
                <w:bCs/>
                <w:color w:val="auto"/>
                <w:kern w:val="15"/>
                <w:szCs w:val="21"/>
              </w:rPr>
              <w:t>不一致时，以电子投标文件为准。</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bCs/>
                <w:color w:val="auto"/>
                <w:kern w:val="15"/>
                <w:szCs w:val="21"/>
              </w:rPr>
              <w:t>六、若出现停电、灾害、系统故障等不可抗力情况，可按纸质投标文件开标。</w:t>
            </w:r>
          </w:p>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备注：</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color w:val="auto"/>
                <w:szCs w:val="21"/>
              </w:rPr>
              <w:t>投标文件电子版(U盘)按招标文件规定执行，用数字证书编制的电子版按《政府采购项目电子交易管理操作指南-供应商》进行投标操作。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报价方式</w:t>
            </w:r>
          </w:p>
        </w:tc>
        <w:tc>
          <w:tcPr>
            <w:tcW w:w="6380" w:type="dxa"/>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hint="eastAsia" w:ascii="宋体" w:hAnsi="宋体" w:eastAsia="宋体" w:cs="宋体"/>
                <w:bCs/>
                <w:color w:val="auto"/>
                <w:kern w:val="2"/>
                <w:sz w:val="21"/>
                <w:szCs w:val="21"/>
                <w:lang w:val="zh-CN" w:eastAsia="zh-CN" w:bidi="ar-SA"/>
              </w:rPr>
            </w:pPr>
            <w:r>
              <w:rPr>
                <w:rFonts w:hint="eastAsia" w:ascii="宋体" w:hAnsi="宋体" w:cs="宋体"/>
                <w:bCs/>
                <w:color w:val="auto"/>
                <w:szCs w:val="21"/>
                <w:lang w:val="zh-CN"/>
              </w:rPr>
              <w:t>投标人按总价报价，超过预算（最高控制价）按无效投标处理。报价中应包含成本、利润、税金、安装、调试、运输等一切费用。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hint="eastAsia" w:ascii="宋体" w:hAnsi="宋体" w:eastAsia="宋体" w:cs="Times New Roman"/>
                <w:bCs/>
                <w:color w:val="auto"/>
                <w:kern w:val="2"/>
                <w:sz w:val="21"/>
                <w:szCs w:val="21"/>
                <w:lang w:val="zh-CN" w:eastAsia="zh-CN" w:bidi="ar-SA"/>
              </w:rPr>
            </w:pPr>
            <w:r>
              <w:rPr>
                <w:rFonts w:hint="eastAsia" w:ascii="宋体" w:hAnsi="宋体"/>
                <w:bCs/>
                <w:color w:val="auto"/>
                <w:szCs w:val="21"/>
                <w:lang w:val="zh-CN"/>
              </w:rPr>
              <w:t>投标无效的情形</w:t>
            </w:r>
          </w:p>
        </w:tc>
        <w:tc>
          <w:tcPr>
            <w:tcW w:w="6380" w:type="dxa"/>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宋体" w:hAnsi="宋体"/>
                <w:bCs/>
                <w:color w:val="auto"/>
                <w:szCs w:val="21"/>
                <w:lang w:val="zh-CN"/>
              </w:rPr>
            </w:pPr>
            <w:r>
              <w:rPr>
                <w:rFonts w:hint="eastAsia" w:ascii="宋体" w:hAnsi="宋体"/>
                <w:bCs/>
                <w:color w:val="auto"/>
                <w:szCs w:val="21"/>
                <w:lang w:val="zh-CN"/>
              </w:rPr>
              <w:t>（一）未按照招标文件的规定提交投标保证金的；</w:t>
            </w:r>
          </w:p>
          <w:p>
            <w:pPr>
              <w:snapToGrid w:val="0"/>
              <w:spacing w:line="300" w:lineRule="exact"/>
              <w:rPr>
                <w:rFonts w:ascii="宋体" w:hAnsi="宋体"/>
                <w:bCs/>
                <w:color w:val="auto"/>
                <w:szCs w:val="21"/>
                <w:lang w:val="zh-CN"/>
              </w:rPr>
            </w:pPr>
            <w:r>
              <w:rPr>
                <w:rFonts w:hint="eastAsia" w:ascii="宋体" w:hAnsi="宋体"/>
                <w:bCs/>
                <w:color w:val="auto"/>
                <w:szCs w:val="21"/>
                <w:lang w:val="zh-CN"/>
              </w:rPr>
              <w:t>（二）投标文件未按招标文件要求签署、盖章的；</w:t>
            </w:r>
          </w:p>
          <w:p>
            <w:pPr>
              <w:snapToGrid w:val="0"/>
              <w:spacing w:line="300" w:lineRule="exact"/>
              <w:rPr>
                <w:rFonts w:ascii="宋体" w:hAnsi="宋体"/>
                <w:bCs/>
                <w:color w:val="auto"/>
                <w:szCs w:val="21"/>
                <w:lang w:val="zh-CN"/>
              </w:rPr>
            </w:pPr>
            <w:r>
              <w:rPr>
                <w:rFonts w:hint="eastAsia" w:ascii="宋体" w:hAnsi="宋体"/>
                <w:bCs/>
                <w:color w:val="auto"/>
                <w:szCs w:val="21"/>
                <w:lang w:val="zh-CN"/>
              </w:rPr>
              <w:t>（三）不具备招标文件中规定的资格要求的；</w:t>
            </w:r>
          </w:p>
          <w:p>
            <w:pPr>
              <w:snapToGrid w:val="0"/>
              <w:spacing w:line="300" w:lineRule="exact"/>
              <w:rPr>
                <w:rFonts w:ascii="宋体" w:hAnsi="宋体"/>
                <w:bCs/>
                <w:color w:val="auto"/>
                <w:szCs w:val="21"/>
                <w:lang w:val="zh-CN"/>
              </w:rPr>
            </w:pPr>
            <w:r>
              <w:rPr>
                <w:rFonts w:hint="eastAsia" w:ascii="宋体" w:hAnsi="宋体"/>
                <w:bCs/>
                <w:color w:val="auto"/>
                <w:szCs w:val="21"/>
                <w:lang w:val="zh-CN"/>
              </w:rPr>
              <w:t>（四）报价超过招标文件中规定的预算金额或者最高限价的；</w:t>
            </w:r>
          </w:p>
          <w:p>
            <w:pPr>
              <w:snapToGrid w:val="0"/>
              <w:spacing w:line="300" w:lineRule="exact"/>
              <w:rPr>
                <w:rFonts w:ascii="宋体" w:hAnsi="宋体"/>
                <w:bCs/>
                <w:color w:val="auto"/>
                <w:szCs w:val="21"/>
                <w:lang w:val="zh-CN"/>
              </w:rPr>
            </w:pPr>
            <w:r>
              <w:rPr>
                <w:rFonts w:hint="eastAsia" w:ascii="宋体" w:hAnsi="宋体"/>
                <w:bCs/>
                <w:color w:val="auto"/>
                <w:szCs w:val="21"/>
                <w:lang w:val="zh-CN"/>
              </w:rPr>
              <w:t>（五）投标文件含有采购人不能接受的附加条件的;</w:t>
            </w:r>
          </w:p>
          <w:p>
            <w:pPr>
              <w:snapToGrid w:val="0"/>
              <w:spacing w:line="300" w:lineRule="exact"/>
              <w:rPr>
                <w:rFonts w:hint="eastAsia" w:ascii="宋体" w:hAnsi="宋体" w:eastAsia="宋体" w:cs="Times New Roman"/>
                <w:bCs/>
                <w:color w:val="auto"/>
                <w:kern w:val="2"/>
                <w:sz w:val="21"/>
                <w:szCs w:val="21"/>
                <w:lang w:val="zh-CN" w:eastAsia="zh-CN" w:bidi="ar-SA"/>
              </w:rPr>
            </w:pPr>
            <w:r>
              <w:rPr>
                <w:rFonts w:hint="eastAsia" w:ascii="宋体" w:hAnsi="宋体"/>
                <w:bCs/>
                <w:color w:val="auto"/>
                <w:szCs w:val="21"/>
                <w:lang w:val="zh-CN"/>
              </w:rPr>
              <w:t>（六）法律、法规和招标文件规定的其他无效情形。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vMerge w:val="restart"/>
            <w:tcBorders>
              <w:top w:val="single" w:color="auto" w:sz="4" w:space="0"/>
              <w:left w:val="single" w:color="auto" w:sz="4" w:space="0"/>
              <w:bottom w:val="single" w:color="auto" w:sz="4" w:space="0"/>
              <w:right w:val="single" w:color="auto" w:sz="4" w:space="0"/>
            </w:tcBorders>
            <w:noWrap/>
            <w:vAlign w:val="center"/>
          </w:tcPr>
          <w:p>
            <w:pPr>
              <w:numPr>
                <w:ilvl w:val="0"/>
                <w:numId w:val="2"/>
              </w:numPr>
              <w:autoSpaceDN w:val="0"/>
              <w:adjustRightInd w:val="0"/>
              <w:snapToGrid w:val="0"/>
              <w:spacing w:line="360" w:lineRule="auto"/>
              <w:ind w:left="0" w:firstLine="0"/>
              <w:jc w:val="center"/>
              <w:rPr>
                <w:rFonts w:asciiTheme="majorEastAsia" w:hAnsiTheme="majorEastAsia" w:eastAsiaTheme="majorEastAsia"/>
                <w:color w:val="auto"/>
                <w:szCs w:val="21"/>
              </w:rPr>
            </w:pPr>
          </w:p>
        </w:tc>
        <w:tc>
          <w:tcPr>
            <w:tcW w:w="2127" w:type="dxa"/>
            <w:vMerge w:val="restart"/>
            <w:tcBorders>
              <w:top w:val="single" w:color="auto" w:sz="4" w:space="0"/>
              <w:left w:val="single" w:color="auto" w:sz="4" w:space="0"/>
              <w:bottom w:val="single" w:color="auto" w:sz="4" w:space="0"/>
              <w:right w:val="single" w:color="auto" w:sz="4" w:space="0"/>
            </w:tcBorders>
            <w:noWrap/>
            <w:vAlign w:val="center"/>
          </w:tcPr>
          <w:p>
            <w:pPr>
              <w:pStyle w:val="51"/>
              <w:tabs>
                <w:tab w:val="left" w:pos="8295"/>
              </w:tabs>
              <w:snapToGrid w:val="0"/>
              <w:spacing w:before="0" w:after="0" w:line="360" w:lineRule="auto"/>
              <w:ind w:left="0" w:right="0"/>
              <w:jc w:val="center"/>
              <w:rPr>
                <w:rFonts w:asciiTheme="majorEastAsia" w:hAnsiTheme="majorEastAsia" w:eastAsiaTheme="majorEastAsia"/>
                <w:bCs/>
                <w:color w:val="auto"/>
                <w:kern w:val="18"/>
                <w:sz w:val="21"/>
                <w:szCs w:val="21"/>
              </w:rPr>
            </w:pPr>
            <w:r>
              <w:rPr>
                <w:rFonts w:hint="eastAsia" w:cs="宋体" w:asciiTheme="majorEastAsia" w:hAnsiTheme="majorEastAsia" w:eastAsiaTheme="majorEastAsia"/>
                <w:bCs/>
                <w:color w:val="auto"/>
                <w:kern w:val="15"/>
                <w:sz w:val="21"/>
                <w:szCs w:val="21"/>
              </w:rPr>
              <w:t>其他要求</w:t>
            </w: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cs="宋体" w:asciiTheme="majorEastAsia" w:hAnsiTheme="majorEastAsia" w:eastAsiaTheme="majorEastAsia"/>
                <w:bCs/>
                <w:color w:val="auto"/>
                <w:kern w:val="15"/>
                <w:szCs w:val="21"/>
              </w:rPr>
              <w:t>投标人必须保证投标时所报资料真实有效，采购人保留对资料的核查权力，一旦发现资料有虚假现象将没收投标人投标保证金，并移交有关部门处理。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bCs/>
                <w:color w:val="auto"/>
                <w:kern w:val="18"/>
                <w:szCs w:val="21"/>
              </w:rPr>
            </w:pP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cs="宋体" w:asciiTheme="majorEastAsia" w:hAnsiTheme="majorEastAsia" w:eastAsiaTheme="majorEastAsia"/>
                <w:bCs/>
                <w:color w:val="auto"/>
                <w:kern w:val="15"/>
                <w:szCs w:val="21"/>
              </w:rPr>
            </w:pPr>
            <w:r>
              <w:rPr>
                <w:rFonts w:hint="eastAsia" w:asciiTheme="majorEastAsia" w:hAnsiTheme="majorEastAsia" w:eastAsiaTheme="majorEastAsia"/>
                <w:color w:val="auto"/>
                <w:szCs w:val="21"/>
                <w:shd w:val="clear" w:color="auto" w:fill="FFFFFF"/>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napToGrid w:val="0"/>
              <w:spacing w:line="360" w:lineRule="auto"/>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根据《关于印发节能产品政府采购品目清单的通知》(财库〔2019〕19 号)文件规定的政府强制采购产品，应按清单提供。</w:t>
            </w:r>
          </w:p>
          <w:p>
            <w:pPr>
              <w:pStyle w:val="2"/>
              <w:numPr>
                <w:ilvl w:val="0"/>
                <w:numId w:val="0"/>
              </w:numPr>
              <w:rPr>
                <w:rFonts w:asciiTheme="majorEastAsia" w:hAnsiTheme="majorEastAsia" w:eastAsiaTheme="majorEastAsia"/>
                <w:color w:val="auto"/>
              </w:rPr>
            </w:pPr>
            <w:r>
              <w:rPr>
                <w:rFonts w:hint="eastAsia" w:cs="宋体" w:asciiTheme="majorEastAsia" w:hAnsiTheme="majorEastAsia" w:eastAsiaTheme="majorEastAsia"/>
                <w:bCs/>
                <w:color w:val="auto"/>
                <w:szCs w:val="21"/>
                <w:lang w:val="zh-CN"/>
              </w:rPr>
              <w:t>投标文件内应提供国家确定的认证机构出具的、处于有效期之内的、符合认证依据标准的节能产品认证证书复印件</w:t>
            </w:r>
            <w:r>
              <w:rPr>
                <w:rFonts w:hint="eastAsia" w:ascii="宋体" w:hAnsi="宋体" w:eastAsia="宋体" w:cs="宋体"/>
                <w:szCs w:val="21"/>
                <w:highlight w:val="none"/>
              </w:rPr>
              <w:t>及中国政府采购网（www.ccgp.gov.cn）节能产品、环境标志产品查询截图</w:t>
            </w:r>
            <w:r>
              <w:rPr>
                <w:rFonts w:hint="eastAsia" w:cs="宋体" w:asciiTheme="majorEastAsia" w:hAnsiTheme="majorEastAsia" w:eastAsiaTheme="majorEastAsia"/>
                <w:bCs/>
                <w:color w:val="auto"/>
                <w:szCs w:val="21"/>
                <w:lang w:val="zh-CN"/>
              </w:rPr>
              <w:t>，否则其投标将被否决。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bCs/>
                <w:color w:val="auto"/>
                <w:kern w:val="18"/>
                <w:szCs w:val="21"/>
              </w:rPr>
            </w:pP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szCs w:val="21"/>
              </w:rPr>
            </w:pPr>
            <w:r>
              <w:rPr>
                <w:rFonts w:hint="eastAsia" w:asciiTheme="majorEastAsia" w:hAnsiTheme="majorEastAsia" w:eastAsiaTheme="majorEastAsia"/>
                <w:bCs/>
                <w:color w:val="auto"/>
                <w:kern w:val="15"/>
                <w:szCs w:val="21"/>
              </w:rPr>
              <w:t>对于中小企业参与本项目投标的：投标人需提供符合《政府采购促进中小企业发展管理办法》（财库[2020]46号）、</w:t>
            </w:r>
            <w:r>
              <w:rPr>
                <w:rFonts w:hint="eastAsia" w:cs="宋体" w:asciiTheme="majorEastAsia" w:hAnsiTheme="majorEastAsia" w:eastAsiaTheme="majorEastAsia"/>
                <w:color w:val="auto"/>
                <w:szCs w:val="21"/>
              </w:rPr>
              <w:t>财库〔2022〕19号</w:t>
            </w:r>
            <w:r>
              <w:rPr>
                <w:rFonts w:hint="eastAsia" w:asciiTheme="majorEastAsia" w:hAnsiTheme="majorEastAsia" w:eastAsiaTheme="majorEastAsia"/>
                <w:bCs/>
                <w:color w:val="auto"/>
                <w:kern w:val="15"/>
                <w:szCs w:val="21"/>
              </w:rPr>
              <w:t>规定的《中小企业声明函》原件，在评审中将对小型或微型企业报价给予10%的扣除，用扣除后的价格参与评审。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bCs/>
                <w:color w:val="auto"/>
                <w:kern w:val="18"/>
                <w:szCs w:val="21"/>
              </w:rPr>
            </w:pPr>
          </w:p>
        </w:tc>
        <w:tc>
          <w:tcPr>
            <w:tcW w:w="6380" w:type="dxa"/>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根据中华人民共和国财政部令第94号--政府采购质疑和投诉办法规定，投标人在法定质疑期内应一次性提出针对同一采购程序环节的质疑，提出质疑时应当提交符合规定的质疑函和必要的证明材料。</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只接受以书面形式向采购人、采购代理机构提出质疑，不接受以其他形式或提出的质疑。</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采购代理机构：吉林省煦程招投标代理有限公司</w:t>
            </w:r>
          </w:p>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地址：长春市绿园区景阳大路3333号</w:t>
            </w:r>
          </w:p>
          <w:p>
            <w:pPr>
              <w:autoSpaceDN w:val="0"/>
              <w:adjustRightInd w:val="0"/>
              <w:snapToGrid w:val="0"/>
              <w:spacing w:line="360" w:lineRule="auto"/>
              <w:rPr>
                <w:rFonts w:asciiTheme="majorEastAsia" w:hAnsiTheme="majorEastAsia" w:eastAsiaTheme="majorEastAsia"/>
                <w:bCs/>
                <w:color w:val="auto"/>
                <w:szCs w:val="21"/>
              </w:rPr>
            </w:pPr>
            <w:r>
              <w:rPr>
                <w:rFonts w:hint="eastAsia" w:asciiTheme="majorEastAsia" w:hAnsiTheme="majorEastAsia" w:eastAsiaTheme="majorEastAsia"/>
                <w:bCs/>
                <w:color w:val="auto"/>
                <w:kern w:val="15"/>
                <w:szCs w:val="21"/>
              </w:rPr>
              <w:t>联系人:</w:t>
            </w:r>
            <w:r>
              <w:rPr>
                <w:rFonts w:hint="eastAsia" w:asciiTheme="majorEastAsia" w:hAnsiTheme="majorEastAsia" w:eastAsiaTheme="majorEastAsia"/>
                <w:color w:val="auto"/>
                <w:kern w:val="0"/>
                <w:szCs w:val="21"/>
              </w:rPr>
              <w:t xml:space="preserve"> 洪岩</w:t>
            </w:r>
            <w:r>
              <w:rPr>
                <w:rFonts w:hint="eastAsia" w:asciiTheme="majorEastAsia" w:hAnsiTheme="majorEastAsia" w:eastAsiaTheme="majorEastAsia"/>
                <w:bCs/>
                <w:color w:val="auto"/>
                <w:kern w:val="15"/>
                <w:szCs w:val="21"/>
              </w:rPr>
              <w:t xml:space="preserve">            联系方式：</w:t>
            </w:r>
            <w:r>
              <w:rPr>
                <w:rFonts w:hint="eastAsia" w:asciiTheme="majorEastAsia" w:hAnsiTheme="majorEastAsia" w:eastAsiaTheme="majorEastAsia"/>
                <w:color w:val="auto"/>
                <w:kern w:val="0"/>
                <w:szCs w:val="21"/>
                <w:lang w:val="en-US" w:eastAsia="zh-CN"/>
              </w:rPr>
              <w:t>13944800357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78" w:type="dxa"/>
            <w:gridSpan w:val="3"/>
            <w:tcBorders>
              <w:top w:val="single" w:color="auto" w:sz="4" w:space="0"/>
              <w:left w:val="single" w:color="auto" w:sz="4" w:space="0"/>
              <w:bottom w:val="single" w:color="auto" w:sz="4" w:space="0"/>
              <w:right w:val="single" w:color="auto" w:sz="4" w:space="0"/>
            </w:tcBorders>
            <w:noWrap/>
            <w:vAlign w:val="center"/>
          </w:tcPr>
          <w:p>
            <w:pPr>
              <w:autoSpaceDN w:val="0"/>
              <w:adjustRightInd w:val="0"/>
              <w:snapToGrid w:val="0"/>
              <w:spacing w:line="360" w:lineRule="auto"/>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注意事项：本项目招标公告与招标文件中内容有不符之处，以本招标文件中内容为准。</w:t>
            </w:r>
          </w:p>
        </w:tc>
      </w:tr>
    </w:tbl>
    <w:p>
      <w:pPr>
        <w:autoSpaceDN w:val="0"/>
        <w:adjustRightInd w:val="0"/>
        <w:snapToGrid w:val="0"/>
        <w:spacing w:line="360" w:lineRule="auto"/>
        <w:rPr>
          <w:rFonts w:asciiTheme="majorEastAsia" w:hAnsiTheme="majorEastAsia" w:eastAsiaTheme="majorEastAsia"/>
          <w:color w:val="auto"/>
          <w:szCs w:val="21"/>
        </w:rPr>
      </w:pPr>
    </w:p>
    <w:p>
      <w:pPr>
        <w:pStyle w:val="21"/>
        <w:autoSpaceDN w:val="0"/>
        <w:adjustRightInd w:val="0"/>
        <w:snapToGrid w:val="0"/>
        <w:spacing w:line="360" w:lineRule="auto"/>
        <w:rPr>
          <w:rFonts w:asciiTheme="majorEastAsia" w:hAnsiTheme="majorEastAsia" w:eastAsiaTheme="majorEastAsia"/>
          <w:color w:val="auto"/>
          <w:szCs w:val="21"/>
        </w:rPr>
      </w:pPr>
    </w:p>
    <w:p>
      <w:pPr>
        <w:pStyle w:val="21"/>
        <w:autoSpaceDN w:val="0"/>
        <w:adjustRightInd w:val="0"/>
        <w:snapToGrid w:val="0"/>
        <w:spacing w:line="360" w:lineRule="auto"/>
        <w:rPr>
          <w:rFonts w:asciiTheme="majorEastAsia" w:hAnsiTheme="majorEastAsia" w:eastAsiaTheme="majorEastAsia"/>
          <w:color w:val="auto"/>
          <w:szCs w:val="21"/>
        </w:rPr>
      </w:pPr>
    </w:p>
    <w:p>
      <w:pPr>
        <w:pStyle w:val="21"/>
        <w:autoSpaceDN w:val="0"/>
        <w:adjustRightInd w:val="0"/>
        <w:snapToGrid w:val="0"/>
        <w:spacing w:line="360" w:lineRule="auto"/>
        <w:rPr>
          <w:rFonts w:asciiTheme="majorEastAsia" w:hAnsiTheme="majorEastAsia" w:eastAsiaTheme="majorEastAsia"/>
          <w:color w:val="auto"/>
          <w:szCs w:val="21"/>
        </w:rPr>
      </w:pPr>
    </w:p>
    <w:p>
      <w:pPr>
        <w:rPr>
          <w:rFonts w:hint="eastAsia" w:asciiTheme="majorEastAsia" w:hAnsiTheme="majorEastAsia" w:eastAsiaTheme="majorEastAsia"/>
          <w:color w:val="auto"/>
        </w:rPr>
      </w:pPr>
      <w:r>
        <w:rPr>
          <w:rFonts w:hint="eastAsia" w:asciiTheme="majorEastAsia" w:hAnsiTheme="majorEastAsia" w:eastAsiaTheme="majorEastAsia"/>
          <w:color w:val="auto"/>
        </w:rPr>
        <w:br w:type="page"/>
      </w:r>
    </w:p>
    <w:p>
      <w:pPr>
        <w:pStyle w:val="4"/>
        <w:tabs>
          <w:tab w:val="left" w:pos="360"/>
        </w:tabs>
        <w:autoSpaceDN w:val="0"/>
        <w:adjustRightInd w:val="0"/>
        <w:snapToGrid w:val="0"/>
        <w:spacing w:line="360" w:lineRule="auto"/>
        <w:jc w:val="center"/>
        <w:rPr>
          <w:rFonts w:asciiTheme="majorEastAsia" w:hAnsiTheme="majorEastAsia" w:eastAsiaTheme="majorEastAsia"/>
          <w:color w:val="auto"/>
        </w:rPr>
      </w:pPr>
      <w:r>
        <w:rPr>
          <w:rFonts w:hint="eastAsia" w:asciiTheme="majorEastAsia" w:hAnsiTheme="majorEastAsia" w:eastAsiaTheme="majorEastAsia"/>
          <w:color w:val="auto"/>
        </w:rPr>
        <w:t>二</w:t>
      </w:r>
      <w:r>
        <w:rPr>
          <w:rFonts w:asciiTheme="majorEastAsia" w:hAnsiTheme="majorEastAsia" w:eastAsiaTheme="majorEastAsia"/>
          <w:color w:val="auto"/>
        </w:rPr>
        <w:t xml:space="preserve"> </w:t>
      </w:r>
      <w:r>
        <w:rPr>
          <w:rFonts w:hint="eastAsia" w:asciiTheme="majorEastAsia" w:hAnsiTheme="majorEastAsia" w:eastAsiaTheme="majorEastAsia"/>
          <w:color w:val="auto"/>
        </w:rPr>
        <w:t>供应商须知</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本项目招标依据为《中华人民共和国政府采购法》、《中华人民共和国政府采购法实施条例》、《政府采购货物和服务招标投标管理办法》等有关法律、法规及规定。</w:t>
      </w:r>
    </w:p>
    <w:p>
      <w:pPr>
        <w:pStyle w:val="7"/>
        <w:autoSpaceDN w:val="0"/>
        <w:adjustRightInd w:val="0"/>
        <w:snapToGrid w:val="0"/>
        <w:spacing w:line="360" w:lineRule="auto"/>
        <w:ind w:firstLine="420"/>
        <w:rPr>
          <w:rFonts w:asciiTheme="majorEastAsia" w:hAnsiTheme="majorEastAsia" w:eastAsiaTheme="majorEastAsia"/>
          <w:color w:val="auto"/>
          <w:szCs w:val="21"/>
        </w:rPr>
      </w:pPr>
    </w:p>
    <w:p>
      <w:pPr>
        <w:pStyle w:val="5"/>
        <w:autoSpaceDN w:val="0"/>
        <w:adjustRightInd w:val="0"/>
        <w:snapToGrid w:val="0"/>
        <w:spacing w:before="0" w:after="0" w:line="360" w:lineRule="auto"/>
        <w:jc w:val="center"/>
        <w:rPr>
          <w:rFonts w:asciiTheme="majorEastAsia" w:hAnsiTheme="majorEastAsia" w:eastAsiaTheme="majorEastAsia"/>
          <w:color w:val="auto"/>
          <w:sz w:val="21"/>
          <w:szCs w:val="21"/>
        </w:rPr>
      </w:pPr>
      <w:bookmarkStart w:id="49" w:name="_Toc98580391"/>
      <w:r>
        <w:rPr>
          <w:rFonts w:hint="eastAsia" w:asciiTheme="majorEastAsia" w:hAnsiTheme="majorEastAsia" w:eastAsiaTheme="majorEastAsia"/>
          <w:color w:val="auto"/>
          <w:sz w:val="21"/>
          <w:szCs w:val="21"/>
        </w:rPr>
        <w:t>A 说明</w:t>
      </w:r>
      <w:bookmarkEnd w:id="49"/>
    </w:p>
    <w:p>
      <w:pPr>
        <w:pStyle w:val="6"/>
        <w:autoSpaceDN w:val="0"/>
        <w:adjustRightInd w:val="0"/>
        <w:snapToGrid w:val="0"/>
        <w:spacing w:before="0" w:after="0" w:line="360" w:lineRule="auto"/>
        <w:rPr>
          <w:rFonts w:asciiTheme="majorEastAsia" w:hAnsiTheme="majorEastAsia" w:eastAsiaTheme="majorEastAsia"/>
          <w:b w:val="0"/>
          <w:bCs w:val="0"/>
          <w:color w:val="auto"/>
          <w:spacing w:val="6"/>
          <w:sz w:val="21"/>
          <w:szCs w:val="21"/>
        </w:rPr>
      </w:pPr>
      <w:bookmarkStart w:id="50" w:name="_Toc98580392"/>
      <w:r>
        <w:rPr>
          <w:rFonts w:hint="eastAsia" w:asciiTheme="majorEastAsia" w:hAnsiTheme="majorEastAsia" w:eastAsiaTheme="majorEastAsia"/>
          <w:color w:val="auto"/>
          <w:sz w:val="21"/>
          <w:szCs w:val="21"/>
        </w:rPr>
        <w:t>1.适用范围</w:t>
      </w:r>
      <w:bookmarkEnd w:id="50"/>
    </w:p>
    <w:p>
      <w:pPr>
        <w:autoSpaceDN w:val="0"/>
        <w:adjustRightInd w:val="0"/>
        <w:snapToGrid w:val="0"/>
        <w:spacing w:line="360" w:lineRule="auto"/>
        <w:ind w:firstLine="567"/>
        <w:rPr>
          <w:rFonts w:asciiTheme="majorEastAsia" w:hAnsiTheme="majorEastAsia" w:eastAsiaTheme="majorEastAsia"/>
          <w:color w:val="auto"/>
          <w:szCs w:val="21"/>
        </w:rPr>
      </w:pPr>
      <w:r>
        <w:rPr>
          <w:rFonts w:hint="eastAsia" w:asciiTheme="majorEastAsia" w:hAnsiTheme="majorEastAsia" w:eastAsiaTheme="majorEastAsia"/>
          <w:color w:val="auto"/>
          <w:szCs w:val="21"/>
        </w:rPr>
        <w:t>本文件是受</w:t>
      </w:r>
      <w:r>
        <w:rPr>
          <w:rFonts w:hint="eastAsia" w:asciiTheme="majorEastAsia" w:hAnsiTheme="majorEastAsia" w:eastAsiaTheme="majorEastAsia"/>
          <w:color w:val="auto"/>
          <w:spacing w:val="6"/>
          <w:szCs w:val="21"/>
        </w:rPr>
        <w:t>采购人</w:t>
      </w:r>
      <w:r>
        <w:rPr>
          <w:rFonts w:hint="eastAsia" w:asciiTheme="majorEastAsia" w:hAnsiTheme="majorEastAsia" w:eastAsiaTheme="majorEastAsia"/>
          <w:color w:val="auto"/>
          <w:szCs w:val="21"/>
        </w:rPr>
        <w:t>委托</w:t>
      </w:r>
      <w:r>
        <w:rPr>
          <w:rFonts w:hint="eastAsia" w:asciiTheme="majorEastAsia" w:hAnsiTheme="majorEastAsia" w:eastAsiaTheme="majorEastAsia"/>
          <w:color w:val="auto"/>
          <w:spacing w:val="6"/>
          <w:szCs w:val="21"/>
        </w:rPr>
        <w:t>，对采购人</w:t>
      </w:r>
      <w:r>
        <w:rPr>
          <w:rFonts w:hint="eastAsia" w:asciiTheme="majorEastAsia" w:hAnsiTheme="majorEastAsia" w:eastAsiaTheme="majorEastAsia"/>
          <w:color w:val="auto"/>
          <w:szCs w:val="21"/>
        </w:rPr>
        <w:t>委托</w:t>
      </w:r>
      <w:r>
        <w:rPr>
          <w:rFonts w:hint="eastAsia" w:cs="宋体" w:asciiTheme="majorEastAsia" w:hAnsiTheme="majorEastAsia" w:eastAsiaTheme="majorEastAsia"/>
          <w:bCs/>
          <w:color w:val="auto"/>
          <w:szCs w:val="21"/>
          <w:lang w:val="zh-CN"/>
        </w:rPr>
        <w:t>采购项目</w:t>
      </w:r>
      <w:r>
        <w:rPr>
          <w:rFonts w:hint="eastAsia" w:asciiTheme="majorEastAsia" w:hAnsiTheme="majorEastAsia" w:eastAsiaTheme="majorEastAsia"/>
          <w:color w:val="auto"/>
          <w:spacing w:val="6"/>
          <w:szCs w:val="21"/>
        </w:rPr>
        <w:t>的规范性招标</w:t>
      </w:r>
      <w:r>
        <w:rPr>
          <w:rFonts w:hint="eastAsia" w:asciiTheme="majorEastAsia" w:hAnsiTheme="majorEastAsia" w:eastAsiaTheme="majorEastAsia"/>
          <w:color w:val="auto"/>
          <w:szCs w:val="21"/>
        </w:rPr>
        <w:t>文件，适用于本项目招标公告所述的标的采购及服务，是供应商编制投标文件的依据。</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51" w:name="_Toc98580393"/>
      <w:r>
        <w:rPr>
          <w:rFonts w:hint="eastAsia" w:asciiTheme="majorEastAsia" w:hAnsiTheme="majorEastAsia" w:eastAsiaTheme="majorEastAsia"/>
          <w:color w:val="auto"/>
          <w:sz w:val="21"/>
          <w:szCs w:val="21"/>
        </w:rPr>
        <w:t>2.法律适用</w:t>
      </w:r>
      <w:bookmarkEnd w:id="51"/>
    </w:p>
    <w:p>
      <w:pPr>
        <w:autoSpaceDN w:val="0"/>
        <w:adjustRightInd w:val="0"/>
        <w:snapToGrid w:val="0"/>
        <w:spacing w:line="360" w:lineRule="auto"/>
        <w:ind w:firstLine="567"/>
        <w:rPr>
          <w:rFonts w:asciiTheme="majorEastAsia" w:hAnsiTheme="majorEastAsia" w:eastAsiaTheme="majorEastAsia"/>
          <w:color w:val="auto"/>
          <w:szCs w:val="21"/>
        </w:rPr>
      </w:pPr>
      <w:r>
        <w:rPr>
          <w:rFonts w:hint="eastAsia" w:asciiTheme="majorEastAsia" w:hAnsiTheme="majorEastAsia" w:eastAsiaTheme="majorEastAsia"/>
          <w:color w:val="auto"/>
          <w:szCs w:val="21"/>
        </w:rPr>
        <w:t>本招标文件及由本次招标产生的合同适用中华人民共和国法律。</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52" w:name="_Toc98580394"/>
      <w:r>
        <w:rPr>
          <w:rFonts w:hint="eastAsia" w:asciiTheme="majorEastAsia" w:hAnsiTheme="majorEastAsia" w:eastAsiaTheme="majorEastAsia"/>
          <w:color w:val="auto"/>
          <w:sz w:val="21"/>
          <w:szCs w:val="21"/>
        </w:rPr>
        <w:t>3.定义</w:t>
      </w:r>
      <w:bookmarkEnd w:id="52"/>
    </w:p>
    <w:p>
      <w:pPr>
        <w:autoSpaceDN w:val="0"/>
        <w:adjustRightInd w:val="0"/>
        <w:snapToGrid w:val="0"/>
        <w:spacing w:line="360" w:lineRule="auto"/>
        <w:ind w:firstLine="351"/>
        <w:rPr>
          <w:rFonts w:asciiTheme="majorEastAsia" w:hAnsiTheme="majorEastAsia" w:eastAsiaTheme="majorEastAsia"/>
          <w:color w:val="auto"/>
          <w:szCs w:val="21"/>
        </w:rPr>
      </w:pPr>
      <w:r>
        <w:rPr>
          <w:rFonts w:hint="eastAsia" w:asciiTheme="majorEastAsia" w:hAnsiTheme="majorEastAsia" w:eastAsiaTheme="majorEastAsia"/>
          <w:color w:val="auto"/>
          <w:szCs w:val="21"/>
        </w:rPr>
        <w:t>“招标机构”系指组织本次招标的代理机构；</w:t>
      </w:r>
    </w:p>
    <w:p>
      <w:pPr>
        <w:autoSpaceDN w:val="0"/>
        <w:adjustRightInd w:val="0"/>
        <w:snapToGrid w:val="0"/>
        <w:spacing w:line="360" w:lineRule="auto"/>
        <w:ind w:firstLine="351"/>
        <w:rPr>
          <w:rFonts w:asciiTheme="majorEastAsia" w:hAnsiTheme="majorEastAsia" w:eastAsiaTheme="majorEastAsia"/>
          <w:color w:val="auto"/>
          <w:szCs w:val="21"/>
        </w:rPr>
      </w:pPr>
      <w:r>
        <w:rPr>
          <w:rFonts w:hint="eastAsia" w:asciiTheme="majorEastAsia" w:hAnsiTheme="majorEastAsia" w:eastAsiaTheme="majorEastAsia"/>
          <w:color w:val="auto"/>
          <w:szCs w:val="21"/>
        </w:rPr>
        <w:t>“供应商”系指向招标机构提交投标文件的投标商；</w:t>
      </w:r>
    </w:p>
    <w:p>
      <w:pPr>
        <w:autoSpaceDN w:val="0"/>
        <w:adjustRightInd w:val="0"/>
        <w:snapToGrid w:val="0"/>
        <w:spacing w:line="360" w:lineRule="auto"/>
        <w:ind w:firstLine="351"/>
        <w:rPr>
          <w:rFonts w:asciiTheme="majorEastAsia" w:hAnsiTheme="majorEastAsia" w:eastAsiaTheme="majorEastAsia"/>
          <w:color w:val="auto"/>
          <w:szCs w:val="21"/>
        </w:rPr>
      </w:pPr>
      <w:r>
        <w:rPr>
          <w:rFonts w:hint="eastAsia" w:asciiTheme="majorEastAsia" w:hAnsiTheme="majorEastAsia" w:eastAsiaTheme="majorEastAsia"/>
          <w:color w:val="auto"/>
          <w:szCs w:val="21"/>
        </w:rPr>
        <w:t>“买方”系指采购单位，合同一方当事人；</w:t>
      </w:r>
    </w:p>
    <w:p>
      <w:pPr>
        <w:autoSpaceDN w:val="0"/>
        <w:adjustRightInd w:val="0"/>
        <w:snapToGrid w:val="0"/>
        <w:spacing w:line="360" w:lineRule="auto"/>
        <w:ind w:firstLine="351"/>
        <w:rPr>
          <w:rFonts w:asciiTheme="majorEastAsia" w:hAnsiTheme="majorEastAsia" w:eastAsiaTheme="majorEastAsia"/>
          <w:color w:val="auto"/>
          <w:szCs w:val="21"/>
        </w:rPr>
      </w:pPr>
      <w:r>
        <w:rPr>
          <w:rFonts w:hint="eastAsia" w:asciiTheme="majorEastAsia" w:hAnsiTheme="majorEastAsia" w:eastAsiaTheme="majorEastAsia"/>
          <w:color w:val="auto"/>
          <w:szCs w:val="21"/>
        </w:rPr>
        <w:t>“服务”系指招标文件规定须完成的服务和其他的类似义务；</w:t>
      </w:r>
    </w:p>
    <w:p>
      <w:pPr>
        <w:autoSpaceDN w:val="0"/>
        <w:adjustRightInd w:val="0"/>
        <w:snapToGrid w:val="0"/>
        <w:spacing w:line="360" w:lineRule="auto"/>
        <w:ind w:firstLine="351"/>
        <w:rPr>
          <w:rFonts w:asciiTheme="majorEastAsia" w:hAnsiTheme="majorEastAsia" w:eastAsiaTheme="majorEastAsia"/>
          <w:color w:val="auto"/>
          <w:szCs w:val="21"/>
        </w:rPr>
      </w:pPr>
      <w:r>
        <w:rPr>
          <w:rFonts w:hint="eastAsia" w:asciiTheme="majorEastAsia" w:hAnsiTheme="majorEastAsia" w:eastAsiaTheme="majorEastAsia"/>
          <w:color w:val="auto"/>
          <w:szCs w:val="21"/>
        </w:rPr>
        <w:t>“日”、“天”系指日历日；</w:t>
      </w:r>
    </w:p>
    <w:p>
      <w:pPr>
        <w:pStyle w:val="52"/>
        <w:autoSpaceDN w:val="0"/>
        <w:adjustRightInd w:val="0"/>
        <w:snapToGrid w:val="0"/>
        <w:spacing w:before="0" w:beforeAutospacing="0" w:after="0" w:afterAutospacing="0" w:line="360" w:lineRule="auto"/>
        <w:ind w:firstLine="240"/>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 xml:space="preserve"> “合同”是买方与中标人共同以招标文件、投标文件为依据，经过协商签订的具备法律效力的文件。招标文件、投标文件及其共同确定的补充文件是合同的有效组成部分，与合同具备同等的法律效力。</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53" w:name="_Toc98580395"/>
      <w:r>
        <w:rPr>
          <w:rFonts w:hint="eastAsia" w:asciiTheme="majorEastAsia" w:hAnsiTheme="majorEastAsia" w:eastAsiaTheme="majorEastAsia"/>
          <w:color w:val="auto"/>
          <w:sz w:val="21"/>
          <w:szCs w:val="21"/>
        </w:rPr>
        <w:t>4.合格的供应商</w:t>
      </w:r>
      <w:bookmarkEnd w:id="53"/>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4.1合格供应商必须符合供应商须知前附表第12项下各项要求，并在投标时提供相应文件，若有遗漏或不符合要求均为资格审查不合格；</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4.2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autoSpaceDN w:val="0"/>
        <w:adjustRightInd w:val="0"/>
        <w:snapToGrid w:val="0"/>
        <w:spacing w:line="360" w:lineRule="auto"/>
        <w:rPr>
          <w:rFonts w:asciiTheme="majorEastAsia" w:hAnsiTheme="majorEastAsia" w:eastAsiaTheme="majorEastAsia"/>
          <w:b/>
          <w:bCs/>
          <w:color w:val="auto"/>
          <w:szCs w:val="21"/>
        </w:rPr>
      </w:pPr>
      <w:bookmarkStart w:id="54" w:name="_Toc98580402"/>
      <w:r>
        <w:rPr>
          <w:rFonts w:hint="eastAsia" w:asciiTheme="majorEastAsia" w:hAnsiTheme="majorEastAsia" w:eastAsiaTheme="majorEastAsia"/>
          <w:b/>
          <w:bCs/>
          <w:color w:val="auto"/>
          <w:szCs w:val="21"/>
        </w:rPr>
        <w:t>5．投标费用</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供应商应承担其在投标准备、编制、递交投标文件和签订合同协议书的整个过程中发生的一切费用而不论其投标结果如何。</w:t>
      </w:r>
    </w:p>
    <w:p>
      <w:pPr>
        <w:pStyle w:val="5"/>
        <w:autoSpaceDN w:val="0"/>
        <w:adjustRightInd w:val="0"/>
        <w:snapToGrid w:val="0"/>
        <w:spacing w:before="0" w:after="0" w:line="360" w:lineRule="auto"/>
        <w:jc w:val="center"/>
        <w:rPr>
          <w:rFonts w:asciiTheme="majorEastAsia" w:hAnsiTheme="majorEastAsia" w:eastAsiaTheme="majorEastAsia"/>
          <w:color w:val="auto"/>
          <w:sz w:val="21"/>
          <w:szCs w:val="21"/>
        </w:rPr>
      </w:pPr>
      <w:bookmarkStart w:id="55" w:name="_Toc98580396"/>
      <w:r>
        <w:rPr>
          <w:rFonts w:hint="eastAsia" w:asciiTheme="majorEastAsia" w:hAnsiTheme="majorEastAsia" w:eastAsiaTheme="majorEastAsia"/>
          <w:color w:val="auto"/>
          <w:sz w:val="21"/>
          <w:szCs w:val="21"/>
        </w:rPr>
        <w:t>B.招标文件说明</w:t>
      </w:r>
      <w:bookmarkEnd w:id="55"/>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56" w:name="_Toc98580397"/>
      <w:r>
        <w:rPr>
          <w:rFonts w:hint="eastAsia" w:asciiTheme="majorEastAsia" w:hAnsiTheme="majorEastAsia" w:eastAsiaTheme="majorEastAsia"/>
          <w:color w:val="auto"/>
          <w:sz w:val="21"/>
          <w:szCs w:val="21"/>
        </w:rPr>
        <w:t>6.招标文件</w:t>
      </w:r>
      <w:bookmarkEnd w:id="56"/>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招标文件用以阐明所需货物及服务、招标投标程序和投标文件格式。招标文件由以下部分组成：</w:t>
      </w:r>
    </w:p>
    <w:p>
      <w:pPr>
        <w:autoSpaceDN w:val="0"/>
        <w:adjustRightInd w:val="0"/>
        <w:snapToGrid w:val="0"/>
        <w:spacing w:line="360" w:lineRule="auto"/>
        <w:ind w:firstLine="709"/>
        <w:rPr>
          <w:rFonts w:asciiTheme="majorEastAsia" w:hAnsiTheme="majorEastAsia" w:eastAsiaTheme="majorEastAsia"/>
          <w:color w:val="auto"/>
          <w:szCs w:val="21"/>
        </w:rPr>
      </w:pPr>
      <w:bookmarkStart w:id="57" w:name="_Toc98580398"/>
      <w:r>
        <w:rPr>
          <w:rFonts w:hint="eastAsia" w:asciiTheme="majorEastAsia" w:hAnsiTheme="majorEastAsia" w:eastAsiaTheme="majorEastAsia"/>
          <w:color w:val="auto"/>
          <w:szCs w:val="21"/>
        </w:rPr>
        <w:t>第一部分   招标公告</w:t>
      </w:r>
    </w:p>
    <w:p>
      <w:pPr>
        <w:autoSpaceDN w:val="0"/>
        <w:adjustRightInd w:val="0"/>
        <w:snapToGrid w:val="0"/>
        <w:spacing w:line="360" w:lineRule="auto"/>
        <w:ind w:firstLine="709"/>
        <w:rPr>
          <w:rFonts w:asciiTheme="majorEastAsia" w:hAnsiTheme="majorEastAsia" w:eastAsiaTheme="majorEastAsia"/>
          <w:color w:val="auto"/>
          <w:szCs w:val="21"/>
        </w:rPr>
      </w:pPr>
      <w:r>
        <w:rPr>
          <w:rFonts w:hint="eastAsia" w:asciiTheme="majorEastAsia" w:hAnsiTheme="majorEastAsia" w:eastAsiaTheme="majorEastAsia"/>
          <w:color w:val="auto"/>
          <w:szCs w:val="21"/>
        </w:rPr>
        <w:t>第二部分   供应商须知</w:t>
      </w:r>
    </w:p>
    <w:p>
      <w:pPr>
        <w:autoSpaceDN w:val="0"/>
        <w:adjustRightInd w:val="0"/>
        <w:snapToGrid w:val="0"/>
        <w:spacing w:line="360" w:lineRule="auto"/>
        <w:ind w:firstLine="709"/>
        <w:rPr>
          <w:rFonts w:asciiTheme="majorEastAsia" w:hAnsiTheme="majorEastAsia" w:eastAsiaTheme="majorEastAsia"/>
          <w:color w:val="auto"/>
          <w:szCs w:val="21"/>
        </w:rPr>
      </w:pPr>
      <w:r>
        <w:rPr>
          <w:rFonts w:hint="eastAsia" w:asciiTheme="majorEastAsia" w:hAnsiTheme="majorEastAsia" w:eastAsiaTheme="majorEastAsia"/>
          <w:color w:val="auto"/>
          <w:szCs w:val="21"/>
        </w:rPr>
        <w:t>第三部分   评标办法</w:t>
      </w:r>
    </w:p>
    <w:p>
      <w:pPr>
        <w:autoSpaceDN w:val="0"/>
        <w:adjustRightInd w:val="0"/>
        <w:snapToGrid w:val="0"/>
        <w:spacing w:line="360" w:lineRule="auto"/>
        <w:ind w:firstLine="709"/>
        <w:rPr>
          <w:rFonts w:asciiTheme="majorEastAsia" w:hAnsiTheme="majorEastAsia" w:eastAsiaTheme="majorEastAsia"/>
          <w:color w:val="auto"/>
          <w:szCs w:val="21"/>
        </w:rPr>
      </w:pPr>
      <w:r>
        <w:rPr>
          <w:rFonts w:hint="eastAsia" w:asciiTheme="majorEastAsia" w:hAnsiTheme="majorEastAsia" w:eastAsiaTheme="majorEastAsia"/>
          <w:color w:val="auto"/>
          <w:szCs w:val="21"/>
        </w:rPr>
        <w:t>第四部分   采购需求</w:t>
      </w:r>
    </w:p>
    <w:p>
      <w:pPr>
        <w:autoSpaceDN w:val="0"/>
        <w:adjustRightInd w:val="0"/>
        <w:snapToGrid w:val="0"/>
        <w:spacing w:line="360" w:lineRule="auto"/>
        <w:ind w:firstLine="709"/>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第五部分   合同条款及格式</w:t>
      </w:r>
    </w:p>
    <w:p>
      <w:pPr>
        <w:pStyle w:val="21"/>
        <w:ind w:left="0" w:leftChars="0" w:firstLine="380" w:firstLineChars="0"/>
        <w:rPr>
          <w:rFonts w:hint="default" w:eastAsiaTheme="majorEastAsia"/>
          <w:color w:val="auto"/>
          <w:lang w:val="en-US" w:eastAsia="zh-CN"/>
        </w:rPr>
      </w:pPr>
      <w:r>
        <w:rPr>
          <w:rFonts w:hint="eastAsia" w:asciiTheme="majorEastAsia" w:hAnsiTheme="majorEastAsia" w:eastAsiaTheme="majorEastAsia"/>
          <w:color w:val="auto"/>
          <w:szCs w:val="21"/>
          <w:lang w:val="en-US" w:eastAsia="zh-CN"/>
        </w:rPr>
        <w:t xml:space="preserve">   第六部分  投标文件格式</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7.招标文件的澄清</w:t>
      </w:r>
      <w:bookmarkEnd w:id="57"/>
    </w:p>
    <w:p>
      <w:pPr>
        <w:autoSpaceDN w:val="0"/>
        <w:adjustRightInd w:val="0"/>
        <w:snapToGrid w:val="0"/>
        <w:spacing w:line="360" w:lineRule="auto"/>
        <w:ind w:firstLine="567"/>
        <w:rPr>
          <w:rFonts w:asciiTheme="majorEastAsia" w:hAnsiTheme="majorEastAsia" w:eastAsiaTheme="majorEastAsia"/>
          <w:color w:val="auto"/>
          <w:szCs w:val="21"/>
        </w:rPr>
      </w:pPr>
      <w:r>
        <w:rPr>
          <w:rFonts w:hint="eastAsia" w:asciiTheme="majorEastAsia" w:hAnsiTheme="majorEastAsia" w:eastAsiaTheme="majorEastAsia"/>
          <w:color w:val="auto"/>
          <w:szCs w:val="21"/>
        </w:rPr>
        <w:t>供应商对本次招标文件的内容有疑问时，可要求澄清，但应在距投标截止日15日前，按供应商须知注明的联系地址以书面形式（包括信函、传真，下同）通知到招标机构。招标机构将视情况确定采用其认为适当的方式予以澄清或以书面形式予以答复，并在其认为必要时，将不标明查询来源的书面答复发给所有购买招标文件的每一供应商。</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58" w:name="_Toc98580399"/>
      <w:r>
        <w:rPr>
          <w:rFonts w:hint="eastAsia" w:asciiTheme="majorEastAsia" w:hAnsiTheme="majorEastAsia" w:eastAsiaTheme="majorEastAsia"/>
          <w:color w:val="auto"/>
          <w:sz w:val="21"/>
          <w:szCs w:val="21"/>
        </w:rPr>
        <w:t>8.招标文件的修改</w:t>
      </w:r>
      <w:bookmarkEnd w:id="58"/>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8.1在投标截止时间前，招标机构可根据需要和（或）依据供应商要求澄清的问题而修改招标文件，并以书面形式通知所有购买招标文件的供应商，供应商在收到该通知后应立即以传真的形式予以确认；</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8.2 招标文件的修改书将构成招标文件的一部分，对供应商具有同样的约束力。</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8.3为使供应商有足够的时间按招标文件的修改要求考虑修正投标文件，招标机构可酌情推迟投标的截止时间和开标时间，并以书面形式通知已购买招标文件的每一供应商。</w:t>
      </w:r>
    </w:p>
    <w:p>
      <w:pPr>
        <w:pStyle w:val="5"/>
        <w:autoSpaceDN w:val="0"/>
        <w:adjustRightInd w:val="0"/>
        <w:snapToGrid w:val="0"/>
        <w:spacing w:before="0" w:after="0" w:line="360" w:lineRule="auto"/>
        <w:jc w:val="center"/>
        <w:rPr>
          <w:rFonts w:asciiTheme="majorEastAsia" w:hAnsiTheme="majorEastAsia" w:eastAsiaTheme="majorEastAsia"/>
          <w:color w:val="auto"/>
          <w:sz w:val="21"/>
          <w:szCs w:val="21"/>
        </w:rPr>
      </w:pPr>
      <w:bookmarkStart w:id="59" w:name="_Toc98580400"/>
      <w:r>
        <w:rPr>
          <w:rFonts w:hint="eastAsia" w:asciiTheme="majorEastAsia" w:hAnsiTheme="majorEastAsia" w:eastAsiaTheme="majorEastAsia"/>
          <w:color w:val="auto"/>
          <w:sz w:val="21"/>
          <w:szCs w:val="21"/>
        </w:rPr>
        <w:t>C投标文件的编写</w:t>
      </w:r>
      <w:bookmarkEnd w:id="59"/>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0" w:name="_Toc98580401"/>
      <w:r>
        <w:rPr>
          <w:rFonts w:hint="eastAsia" w:asciiTheme="majorEastAsia" w:hAnsiTheme="majorEastAsia" w:eastAsiaTheme="majorEastAsia"/>
          <w:color w:val="auto"/>
          <w:sz w:val="21"/>
          <w:szCs w:val="21"/>
        </w:rPr>
        <w:t>9.投标语言及计量单位</w:t>
      </w:r>
      <w:bookmarkEnd w:id="60"/>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9.1投标文件及供应商和招标机构就投标交换的文件和来往信件，以中文书写（专有名词除外）；</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9.2除在招标文件的“技术要求”中另有规定外， 计量单位应使用中华人民共和国法定计量单位（国际单位制和国家选定的其他计量单位）。</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10．投标文件的组成</w:t>
      </w:r>
      <w:bookmarkEnd w:id="54"/>
    </w:p>
    <w:p>
      <w:pPr>
        <w:autoSpaceDN w:val="0"/>
        <w:adjustRightInd w:val="0"/>
        <w:snapToGrid w:val="0"/>
        <w:spacing w:line="360" w:lineRule="auto"/>
        <w:ind w:left="567"/>
        <w:rPr>
          <w:rFonts w:asciiTheme="majorEastAsia" w:hAnsiTheme="majorEastAsia" w:eastAsiaTheme="majorEastAsia"/>
          <w:color w:val="auto"/>
          <w:szCs w:val="21"/>
        </w:rPr>
      </w:pPr>
      <w:r>
        <w:rPr>
          <w:rFonts w:hint="eastAsia" w:asciiTheme="majorEastAsia" w:hAnsiTheme="majorEastAsia" w:eastAsiaTheme="majorEastAsia"/>
          <w:color w:val="auto"/>
          <w:szCs w:val="21"/>
        </w:rPr>
        <w:t>详见第</w:t>
      </w:r>
      <w:r>
        <w:rPr>
          <w:rFonts w:hint="eastAsia" w:asciiTheme="majorEastAsia" w:hAnsiTheme="majorEastAsia" w:eastAsiaTheme="majorEastAsia"/>
          <w:color w:val="auto"/>
          <w:szCs w:val="21"/>
          <w:lang w:val="en-US" w:eastAsia="zh-CN"/>
        </w:rPr>
        <w:t>六</w:t>
      </w:r>
      <w:r>
        <w:rPr>
          <w:rFonts w:hint="eastAsia" w:asciiTheme="majorEastAsia" w:hAnsiTheme="majorEastAsia" w:eastAsiaTheme="majorEastAsia"/>
          <w:color w:val="auto"/>
          <w:szCs w:val="21"/>
        </w:rPr>
        <w:t>部分：</w:t>
      </w:r>
      <w:r>
        <w:rPr>
          <w:rFonts w:hint="eastAsia" w:asciiTheme="majorEastAsia" w:hAnsiTheme="majorEastAsia" w:eastAsiaTheme="majorEastAsia"/>
          <w:color w:val="auto"/>
          <w:szCs w:val="21"/>
          <w:lang w:val="en-US" w:eastAsia="zh-CN"/>
        </w:rPr>
        <w:t>投标文件</w:t>
      </w:r>
      <w:r>
        <w:rPr>
          <w:rFonts w:hint="eastAsia" w:asciiTheme="majorEastAsia" w:hAnsiTheme="majorEastAsia" w:eastAsiaTheme="majorEastAsia"/>
          <w:color w:val="auto"/>
          <w:szCs w:val="21"/>
        </w:rPr>
        <w:t>格式。</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1" w:name="_Toc98580403"/>
      <w:r>
        <w:rPr>
          <w:rFonts w:hint="eastAsia" w:asciiTheme="majorEastAsia" w:hAnsiTheme="majorEastAsia" w:eastAsiaTheme="majorEastAsia"/>
          <w:color w:val="auto"/>
          <w:sz w:val="21"/>
          <w:szCs w:val="21"/>
        </w:rPr>
        <w:t>11.投标文件内容填写说明</w:t>
      </w:r>
      <w:bookmarkEnd w:id="61"/>
    </w:p>
    <w:p>
      <w:pPr>
        <w:autoSpaceDN w:val="0"/>
        <w:adjustRightInd w:val="0"/>
        <w:snapToGrid w:val="0"/>
        <w:spacing w:line="360" w:lineRule="auto"/>
        <w:ind w:left="1" w:firstLine="419"/>
        <w:rPr>
          <w:rFonts w:asciiTheme="majorEastAsia" w:hAnsiTheme="majorEastAsia" w:eastAsiaTheme="majorEastAsia"/>
          <w:color w:val="auto"/>
          <w:szCs w:val="21"/>
        </w:rPr>
      </w:pPr>
      <w:r>
        <w:rPr>
          <w:rFonts w:hint="eastAsia" w:asciiTheme="majorEastAsia" w:hAnsiTheme="majorEastAsia" w:eastAsiaTheme="majorEastAsia"/>
          <w:color w:val="auto"/>
          <w:szCs w:val="21"/>
        </w:rPr>
        <w:t>11.1供应商应严格按招标文件要求的内容逐项填写编制投标文件，有规定格式的按规定格式填写，无规定格式的由供应商自拟，并胶装成册。</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11.2开标一览表为在开标仪式上唱标的内容，要求按格式填写、统一规范，不得自行增减内容。投标文件不得漏项或虚报，否则将可能导致其投标被拒绝。</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11.3 供应商应保证其所提供文件的真实性，并应对招标文件的实质性要求作出完全响应，否则其投标可能被拒绝。</w:t>
      </w:r>
    </w:p>
    <w:p>
      <w:pPr>
        <w:autoSpaceDN w:val="0"/>
        <w:adjustRightInd w:val="0"/>
        <w:snapToGrid w:val="0"/>
        <w:spacing w:line="360" w:lineRule="auto"/>
        <w:ind w:left="1" w:firstLine="419"/>
        <w:rPr>
          <w:rFonts w:asciiTheme="majorEastAsia" w:hAnsiTheme="majorEastAsia" w:eastAsiaTheme="majorEastAsia"/>
          <w:color w:val="auto"/>
          <w:szCs w:val="21"/>
        </w:rPr>
      </w:pPr>
      <w:r>
        <w:rPr>
          <w:rFonts w:hint="eastAsia" w:asciiTheme="majorEastAsia" w:hAnsiTheme="majorEastAsia" w:eastAsiaTheme="majorEastAsia"/>
          <w:color w:val="auto"/>
          <w:szCs w:val="21"/>
        </w:rPr>
        <w:t>11.4供应商视需要自行编制技术文件的补充附件。规格幅面应与正文一致，附于正文之后，与正文页码统一编目编码装订。</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2" w:name="_Toc98580404"/>
      <w:r>
        <w:rPr>
          <w:rFonts w:hint="eastAsia" w:asciiTheme="majorEastAsia" w:hAnsiTheme="majorEastAsia" w:eastAsiaTheme="majorEastAsia"/>
          <w:color w:val="auto"/>
          <w:sz w:val="21"/>
          <w:szCs w:val="21"/>
        </w:rPr>
        <w:t>12.投标报价</w:t>
      </w:r>
      <w:bookmarkEnd w:id="62"/>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12.1 所有投标均以人民币报价；</w:t>
      </w:r>
    </w:p>
    <w:p>
      <w:pPr>
        <w:autoSpaceDN w:val="0"/>
        <w:adjustRightInd w:val="0"/>
        <w:snapToGrid w:val="0"/>
        <w:spacing w:line="360" w:lineRule="auto"/>
        <w:ind w:left="1" w:firstLine="419"/>
        <w:rPr>
          <w:rFonts w:asciiTheme="majorEastAsia" w:hAnsiTheme="majorEastAsia" w:eastAsiaTheme="majorEastAsia"/>
          <w:color w:val="auto"/>
          <w:szCs w:val="21"/>
        </w:rPr>
      </w:pPr>
      <w:r>
        <w:rPr>
          <w:rFonts w:hint="eastAsia" w:asciiTheme="majorEastAsia" w:hAnsiTheme="majorEastAsia" w:eastAsiaTheme="majorEastAsia"/>
          <w:color w:val="auto"/>
          <w:szCs w:val="21"/>
        </w:rPr>
        <w:t>12.2供应商应在填写分项报价表时注明各项单价、总价。如果单价与总价有出入，以单价为准。招标机构不接受有任何选择的报价；报价须有法人代表或授权代表签署。</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12.3供应商应按上述12.1-12.3条款要求填写投标报价，以供评标委员会比较评价。</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12.4供应商因承包本项目需支付的一切费用，并包含在所报的单价或总额价内。</w:t>
      </w:r>
    </w:p>
    <w:p>
      <w:pPr>
        <w:autoSpaceDN w:val="0"/>
        <w:adjustRightInd w:val="0"/>
        <w:snapToGrid w:val="0"/>
        <w:spacing w:line="360" w:lineRule="auto"/>
        <w:rPr>
          <w:rFonts w:asciiTheme="majorEastAsia" w:hAnsiTheme="majorEastAsia" w:eastAsiaTheme="majorEastAsia"/>
          <w:b/>
          <w:bCs/>
          <w:color w:val="auto"/>
          <w:szCs w:val="21"/>
        </w:rPr>
      </w:pPr>
      <w:bookmarkStart w:id="63" w:name="_Toc98580405"/>
      <w:r>
        <w:rPr>
          <w:rFonts w:hint="eastAsia" w:asciiTheme="majorEastAsia" w:hAnsiTheme="majorEastAsia" w:eastAsiaTheme="majorEastAsia"/>
          <w:b/>
          <w:bCs/>
          <w:color w:val="auto"/>
          <w:szCs w:val="21"/>
        </w:rPr>
        <w:t>13.投标保证金</w:t>
      </w:r>
      <w:bookmarkEnd w:id="63"/>
      <w:r>
        <w:rPr>
          <w:rFonts w:hint="eastAsia" w:asciiTheme="majorEastAsia" w:hAnsiTheme="majorEastAsia" w:eastAsiaTheme="majorEastAsia"/>
          <w:b/>
          <w:bCs/>
          <w:color w:val="auto"/>
          <w:szCs w:val="21"/>
        </w:rPr>
        <w:t>（如有）</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13.1投标保证金的形式：现金或现金支票、保兑支票、银行汇票及银行、专业担保公司、保险公司出具的保函等形式，以现金或支票形式提交的投标保证金应当从供应商的基本账户转出。</w:t>
      </w:r>
    </w:p>
    <w:p>
      <w:pPr>
        <w:autoSpaceDN w:val="0"/>
        <w:adjustRightInd w:val="0"/>
        <w:snapToGrid w:val="0"/>
        <w:spacing w:line="360" w:lineRule="auto"/>
        <w:ind w:firstLine="420"/>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13.2投标保证金的金额：见</w:t>
      </w:r>
      <w:r>
        <w:rPr>
          <w:rFonts w:hint="eastAsia" w:asciiTheme="majorEastAsia" w:hAnsiTheme="majorEastAsia" w:eastAsiaTheme="majorEastAsia"/>
          <w:color w:val="auto"/>
          <w:szCs w:val="21"/>
        </w:rPr>
        <w:t>供应商须知前附表第20项</w:t>
      </w:r>
      <w:r>
        <w:rPr>
          <w:rFonts w:hint="eastAsia" w:asciiTheme="majorEastAsia" w:hAnsiTheme="majorEastAsia" w:eastAsiaTheme="majorEastAsia"/>
          <w:bCs/>
          <w:color w:val="auto"/>
          <w:kern w:val="15"/>
          <w:szCs w:val="21"/>
        </w:rPr>
        <w:t xml:space="preserve">； </w:t>
      </w:r>
    </w:p>
    <w:p>
      <w:pPr>
        <w:autoSpaceDN w:val="0"/>
        <w:adjustRightInd w:val="0"/>
        <w:snapToGrid w:val="0"/>
        <w:spacing w:line="360" w:lineRule="auto"/>
        <w:ind w:firstLine="420"/>
        <w:rPr>
          <w:rFonts w:asciiTheme="majorEastAsia" w:hAnsiTheme="majorEastAsia" w:eastAsiaTheme="majorEastAsia"/>
          <w:bCs/>
          <w:color w:val="auto"/>
          <w:kern w:val="15"/>
          <w:szCs w:val="21"/>
        </w:rPr>
      </w:pPr>
      <w:r>
        <w:rPr>
          <w:rFonts w:hint="eastAsia" w:asciiTheme="majorEastAsia" w:hAnsiTheme="majorEastAsia" w:eastAsiaTheme="majorEastAsia"/>
          <w:bCs/>
          <w:color w:val="auto"/>
          <w:kern w:val="15"/>
          <w:szCs w:val="21"/>
        </w:rPr>
        <w:t>13.3递交方式：见</w:t>
      </w:r>
      <w:r>
        <w:rPr>
          <w:rFonts w:hint="eastAsia" w:asciiTheme="majorEastAsia" w:hAnsiTheme="majorEastAsia" w:eastAsiaTheme="majorEastAsia"/>
          <w:color w:val="auto"/>
          <w:szCs w:val="21"/>
        </w:rPr>
        <w:t>供应商须知前附表第20项</w:t>
      </w:r>
      <w:r>
        <w:rPr>
          <w:rFonts w:hint="eastAsia" w:asciiTheme="majorEastAsia" w:hAnsiTheme="majorEastAsia" w:eastAsiaTheme="majorEastAsia"/>
          <w:bCs/>
          <w:color w:val="auto"/>
          <w:kern w:val="15"/>
          <w:szCs w:val="21"/>
        </w:rPr>
        <w:t>；</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13.4投标保证金用于保护本次招标免受因供应商不履行投标承诺及合同等行为而引起的风险；</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13.5未按13.1和13.2条款要求提交投标保证金的投标将被视为投标无效；</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13.6未中标投标人的投标保证金将按25.2条规定予以无息退还；</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13.7中标人的投标保证金，在中标人交纳中标服务费后予以无息退还；</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13.8 发生下列情况之一，投标保证金将被没收：</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（1）供应商在提交响应文件截止时间后撤回响应文件的;</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（2）供应商在响应文件中提供虚假材料的;</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（3）除因不可抗力或谈判文件、询价通知书认可的情形以外，成交供应商不与采购人签订合同的;</w:t>
      </w:r>
    </w:p>
    <w:p>
      <w:pPr>
        <w:autoSpaceDN w:val="0"/>
        <w:adjustRightInd w:val="0"/>
        <w:snapToGrid w:val="0"/>
        <w:spacing w:line="360" w:lineRule="auto"/>
        <w:ind w:left="420"/>
        <w:rPr>
          <w:rFonts w:asciiTheme="majorEastAsia" w:hAnsiTheme="majorEastAsia" w:eastAsiaTheme="majorEastAsia"/>
          <w:color w:val="auto"/>
          <w:szCs w:val="21"/>
        </w:rPr>
      </w:pPr>
      <w:r>
        <w:rPr>
          <w:rFonts w:hint="eastAsia" w:asciiTheme="majorEastAsia" w:hAnsiTheme="majorEastAsia" w:eastAsiaTheme="majorEastAsia"/>
          <w:color w:val="auto"/>
          <w:szCs w:val="21"/>
        </w:rPr>
        <w:t>（4）供应商与采购人、其他供应商或者采购代理机构恶意串通的;</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（5）采购文件规定的其他情形。</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4" w:name="_Toc98580406"/>
      <w:r>
        <w:rPr>
          <w:rFonts w:hint="eastAsia" w:asciiTheme="majorEastAsia" w:hAnsiTheme="majorEastAsia" w:eastAsiaTheme="majorEastAsia"/>
          <w:color w:val="auto"/>
          <w:sz w:val="21"/>
          <w:szCs w:val="21"/>
        </w:rPr>
        <w:t>14.投标有效期</w:t>
      </w:r>
      <w:bookmarkEnd w:id="64"/>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14.1从开标之日起，投标有效期为90天。不能满足投标有效期的投标，将被拒绝；</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14.2特殊情况下，招标机构可于投标有效期满之前要求供应商延长投标有效期，这种要求和答复都应以书面、传真的形式进行。供应商可以拒绝接受延期要求。同意延长有效期的供应商不能修改投标文件。</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5" w:name="_Toc98580407"/>
      <w:r>
        <w:rPr>
          <w:rFonts w:hint="eastAsia" w:asciiTheme="majorEastAsia" w:hAnsiTheme="majorEastAsia" w:eastAsiaTheme="majorEastAsia"/>
          <w:color w:val="auto"/>
          <w:sz w:val="21"/>
          <w:szCs w:val="21"/>
        </w:rPr>
        <w:t>15.投标文件的签署及规定</w:t>
      </w:r>
      <w:bookmarkEnd w:id="65"/>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15.1 组成投标文件的各项资料均应遵守本须知第10条中所规定的内容。</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15.2 供应商应填写单位全称，同时加盖印章。</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15.3 投标文件必须由法人代表或法人授权代表签署。</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15.4 投标文件正本一份和副本</w:t>
      </w:r>
      <w:r>
        <w:rPr>
          <w:rFonts w:hint="eastAsia" w:asciiTheme="majorEastAsia" w:hAnsiTheme="majorEastAsia" w:eastAsiaTheme="majorEastAsia"/>
          <w:color w:val="auto"/>
          <w:szCs w:val="21"/>
          <w:lang w:val="en-US" w:eastAsia="zh-CN"/>
        </w:rPr>
        <w:t>四</w:t>
      </w:r>
      <w:r>
        <w:rPr>
          <w:rFonts w:hint="eastAsia" w:asciiTheme="majorEastAsia" w:hAnsiTheme="majorEastAsia" w:eastAsiaTheme="majorEastAsia"/>
          <w:color w:val="auto"/>
          <w:szCs w:val="21"/>
        </w:rPr>
        <w:t>份，如果正本与副本不符，以正本为准，电子版</w:t>
      </w:r>
      <w:r>
        <w:rPr>
          <w:rFonts w:hint="eastAsia" w:asciiTheme="majorEastAsia" w:hAnsiTheme="majorEastAsia" w:eastAsiaTheme="majorEastAsia"/>
          <w:color w:val="auto"/>
          <w:szCs w:val="21"/>
          <w:lang w:val="en-US" w:eastAsia="zh-CN"/>
        </w:rPr>
        <w:t>二</w:t>
      </w:r>
      <w:r>
        <w:rPr>
          <w:rFonts w:hint="eastAsia" w:asciiTheme="majorEastAsia" w:hAnsiTheme="majorEastAsia" w:eastAsiaTheme="majorEastAsia"/>
          <w:color w:val="auto"/>
          <w:szCs w:val="21"/>
        </w:rPr>
        <w:t>份（U盘形式）</w:t>
      </w:r>
      <w:r>
        <w:rPr>
          <w:rFonts w:hint="eastAsia" w:asciiTheme="majorEastAsia" w:hAnsiTheme="majorEastAsia" w:eastAsiaTheme="majorEastAsia"/>
          <w:color w:val="auto"/>
          <w:szCs w:val="21"/>
          <w:lang w:eastAsia="zh-CN"/>
        </w:rPr>
        <w:t>，</w:t>
      </w:r>
      <w:r>
        <w:rPr>
          <w:rFonts w:hint="eastAsia" w:asciiTheme="majorEastAsia" w:hAnsiTheme="majorEastAsia" w:eastAsiaTheme="majorEastAsia"/>
          <w:color w:val="auto"/>
          <w:szCs w:val="21"/>
          <w:lang w:val="en-US" w:eastAsia="zh-CN"/>
        </w:rPr>
        <w:t>政采云系统上传1份</w:t>
      </w:r>
      <w:r>
        <w:rPr>
          <w:rFonts w:hint="eastAsia" w:asciiTheme="majorEastAsia" w:hAnsiTheme="majorEastAsia" w:eastAsiaTheme="majorEastAsia"/>
          <w:color w:val="auto"/>
          <w:szCs w:val="21"/>
        </w:rPr>
        <w:t>。</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15.5 投标文件的正本必须用不褪色的墨水填写或打印，注明“正本”字样。</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15.6 投标文件不得涂改和增删，如有修改错漏处，必须由同一签署人签字或盖章。</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15.7 投标文件因字迹潦草或表达不清所引起的后果由供应商负责。</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15.8招标机构概不接受以电话、传真形式的投标。</w:t>
      </w:r>
    </w:p>
    <w:p>
      <w:pPr>
        <w:pStyle w:val="5"/>
        <w:autoSpaceDN w:val="0"/>
        <w:adjustRightInd w:val="0"/>
        <w:snapToGrid w:val="0"/>
        <w:spacing w:before="0" w:after="0" w:line="360" w:lineRule="auto"/>
        <w:jc w:val="center"/>
        <w:rPr>
          <w:rFonts w:asciiTheme="majorEastAsia" w:hAnsiTheme="majorEastAsia" w:eastAsiaTheme="majorEastAsia"/>
          <w:color w:val="auto"/>
          <w:sz w:val="21"/>
          <w:szCs w:val="21"/>
        </w:rPr>
      </w:pPr>
      <w:bookmarkStart w:id="66" w:name="_Toc98580408"/>
      <w:r>
        <w:rPr>
          <w:rFonts w:hint="eastAsia" w:asciiTheme="majorEastAsia" w:hAnsiTheme="majorEastAsia" w:eastAsiaTheme="majorEastAsia"/>
          <w:color w:val="auto"/>
          <w:sz w:val="21"/>
          <w:szCs w:val="21"/>
        </w:rPr>
        <w:t>D投标文件的递交</w:t>
      </w:r>
      <w:bookmarkEnd w:id="66"/>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7" w:name="_Toc98580409"/>
      <w:r>
        <w:rPr>
          <w:rFonts w:hint="eastAsia" w:asciiTheme="majorEastAsia" w:hAnsiTheme="majorEastAsia" w:eastAsiaTheme="majorEastAsia"/>
          <w:color w:val="auto"/>
          <w:sz w:val="21"/>
          <w:szCs w:val="21"/>
        </w:rPr>
        <w:t>16.投标文件的密封和标记</w:t>
      </w:r>
      <w:bookmarkEnd w:id="67"/>
    </w:p>
    <w:p>
      <w:pPr>
        <w:autoSpaceDN w:val="0"/>
        <w:adjustRightInd w:val="0"/>
        <w:snapToGrid w:val="0"/>
        <w:spacing w:line="360" w:lineRule="auto"/>
        <w:ind w:firstLine="420"/>
        <w:rPr>
          <w:rFonts w:hint="eastAsia" w:asciiTheme="majorEastAsia" w:hAnsiTheme="majorEastAsia" w:eastAsiaTheme="majorEastAsia"/>
          <w:color w:val="auto"/>
          <w:szCs w:val="21"/>
          <w:lang w:eastAsia="zh-CN"/>
        </w:rPr>
      </w:pPr>
      <w:r>
        <w:rPr>
          <w:rFonts w:hint="eastAsia" w:asciiTheme="majorEastAsia" w:hAnsiTheme="majorEastAsia" w:eastAsiaTheme="majorEastAsia"/>
          <w:color w:val="auto"/>
          <w:szCs w:val="21"/>
        </w:rPr>
        <w:t>16.1供应商应将投标文件正本和副本分别密封，并标明招标编号、投标项目名称、供应商名称及正本或副本等。封口骑缝处应加盖供应商印章；投标文件电子版</w:t>
      </w:r>
      <w:r>
        <w:rPr>
          <w:rFonts w:hint="eastAsia" w:asciiTheme="majorEastAsia" w:hAnsiTheme="majorEastAsia" w:eastAsiaTheme="majorEastAsia"/>
          <w:color w:val="auto"/>
          <w:szCs w:val="21"/>
          <w:lang w:val="en-US" w:eastAsia="zh-CN"/>
        </w:rPr>
        <w:t>(U盘)</w:t>
      </w:r>
      <w:r>
        <w:rPr>
          <w:rFonts w:hint="eastAsia" w:asciiTheme="majorEastAsia" w:hAnsiTheme="majorEastAsia" w:eastAsiaTheme="majorEastAsia"/>
          <w:color w:val="auto"/>
          <w:szCs w:val="21"/>
        </w:rPr>
        <w:t>应单独密封。</w:t>
      </w:r>
      <w:r>
        <w:rPr>
          <w:rFonts w:hint="eastAsia" w:asciiTheme="majorEastAsia" w:hAnsiTheme="majorEastAsia" w:eastAsiaTheme="majorEastAsia"/>
          <w:color w:val="auto"/>
          <w:szCs w:val="21"/>
          <w:lang w:eastAsia="zh-CN"/>
        </w:rPr>
        <w:t>政采云系统上传一套加密的投标文件电子版。</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16.2为了方便开标唱标，供应商应将开标一览表单独密封，并在信封上标明“开标一览表”字样。</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16.3每一密封信封上注明“</w:t>
      </w:r>
      <w:r>
        <w:rPr>
          <w:rFonts w:hint="eastAsia" w:asciiTheme="majorEastAsia" w:hAnsiTheme="majorEastAsia" w:eastAsiaTheme="majorEastAsia"/>
          <w:color w:val="auto"/>
          <w:szCs w:val="21"/>
          <w:u w:val="single"/>
        </w:rPr>
        <w:t>于   年   月  日   时之前不准启封</w:t>
      </w:r>
      <w:r>
        <w:rPr>
          <w:rFonts w:hint="eastAsia" w:asciiTheme="majorEastAsia" w:hAnsiTheme="majorEastAsia" w:eastAsiaTheme="majorEastAsia"/>
          <w:color w:val="auto"/>
          <w:szCs w:val="21"/>
        </w:rPr>
        <w:t>”的字样；</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16.4投标文件由专人送交，供应商应将投标文件按16.1-16.3中的规定进行密封和标记后，按投标邀请注明的投标地址送至招标机构；</w:t>
      </w:r>
    </w:p>
    <w:p>
      <w:pPr>
        <w:numPr>
          <w:ilvl w:val="0"/>
          <w:numId w:val="0"/>
        </w:num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16.5招标机构对投标文件的误投或未投标前提前拆封概不负责。</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68" w:name="_Toc98580410"/>
      <w:r>
        <w:rPr>
          <w:rFonts w:hint="eastAsia" w:asciiTheme="majorEastAsia" w:hAnsiTheme="majorEastAsia" w:eastAsiaTheme="majorEastAsia"/>
          <w:color w:val="auto"/>
          <w:sz w:val="21"/>
          <w:szCs w:val="21"/>
        </w:rPr>
        <w:t>17.递交投标文件的截止时间</w:t>
      </w:r>
      <w:bookmarkEnd w:id="68"/>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17.1所有投标文件都必须按照招标机构在投标邀请中规定的投标截止时间之前送至投标地点。</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17.2 招标机构推迟投标截止时间时，应以书面(或传真)的形式，通知所有供应商。在这种情况下，招标机构和供应商的权利和义务将受到新的截止期的约束。</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17.3 在投标截止时间以后送达的投标文件，招标机构拒绝接收。</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18.投标文件修改和撤销</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18.1 投标以后，如果供应商提出书面修改和撤标要求，在投标截止时间前送达招标机构者，招标机构可以予以接受。但不退还投标文件。</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18.2 供应商修改投标文件的书面材料，须密封送达招标机构，同时应在封套上标明“修改投标文件(并注明招标编号)”和“开标时启封”字样。</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18.3 撤销投标应以书面(或传真)的形式通知招标机构。如采取传真形式撤回投标，随后必须补充有法人代表或授权代表签署的要求撤销投标的正式文件。撤销投标的时间以送达招标机构或邮电到达日戳为准。</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18.4投标截止时间以后不得修改投标文件；</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18.5开标后供应商不得撤回投标。</w:t>
      </w:r>
    </w:p>
    <w:p>
      <w:pPr>
        <w:pStyle w:val="5"/>
        <w:autoSpaceDN w:val="0"/>
        <w:adjustRightInd w:val="0"/>
        <w:snapToGrid w:val="0"/>
        <w:spacing w:before="0" w:after="0" w:line="360" w:lineRule="auto"/>
        <w:jc w:val="center"/>
        <w:rPr>
          <w:rFonts w:asciiTheme="majorEastAsia" w:hAnsiTheme="majorEastAsia" w:eastAsiaTheme="majorEastAsia"/>
          <w:color w:val="auto"/>
          <w:sz w:val="21"/>
          <w:szCs w:val="21"/>
        </w:rPr>
      </w:pPr>
      <w:bookmarkStart w:id="69" w:name="_Toc98580411"/>
      <w:r>
        <w:rPr>
          <w:rFonts w:hint="eastAsia" w:asciiTheme="majorEastAsia" w:hAnsiTheme="majorEastAsia" w:eastAsiaTheme="majorEastAsia"/>
          <w:color w:val="auto"/>
          <w:sz w:val="21"/>
          <w:szCs w:val="21"/>
        </w:rPr>
        <w:t>E开标及评标</w:t>
      </w:r>
      <w:bookmarkEnd w:id="69"/>
    </w:p>
    <w:p>
      <w:pPr>
        <w:pStyle w:val="6"/>
        <w:numPr>
          <w:ilvl w:val="0"/>
          <w:numId w:val="3"/>
        </w:numPr>
        <w:autoSpaceDN w:val="0"/>
        <w:adjustRightInd w:val="0"/>
        <w:snapToGrid w:val="0"/>
        <w:spacing w:before="0" w:after="0" w:line="360" w:lineRule="auto"/>
        <w:rPr>
          <w:rFonts w:asciiTheme="majorEastAsia" w:hAnsiTheme="majorEastAsia" w:eastAsiaTheme="majorEastAsia"/>
          <w:color w:val="auto"/>
          <w:sz w:val="21"/>
          <w:szCs w:val="21"/>
        </w:rPr>
      </w:pPr>
      <w:bookmarkStart w:id="70" w:name="_Toc98580412"/>
      <w:r>
        <w:rPr>
          <w:rFonts w:hint="eastAsia" w:asciiTheme="majorEastAsia" w:hAnsiTheme="majorEastAsia" w:eastAsiaTheme="majorEastAsia"/>
          <w:color w:val="auto"/>
          <w:sz w:val="21"/>
          <w:szCs w:val="21"/>
        </w:rPr>
        <w:t>开标</w:t>
      </w:r>
      <w:bookmarkEnd w:id="70"/>
    </w:p>
    <w:p>
      <w:pPr>
        <w:pStyle w:val="7"/>
        <w:autoSpaceDN w:val="0"/>
        <w:adjustRightInd w:val="0"/>
        <w:snapToGrid w:val="0"/>
        <w:spacing w:line="360" w:lineRule="auto"/>
        <w:ind w:firstLine="42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19.1</w:t>
      </w:r>
      <w:r>
        <w:rPr>
          <w:rFonts w:hint="eastAsia" w:asciiTheme="majorEastAsia" w:hAnsiTheme="majorEastAsia" w:eastAsiaTheme="majorEastAsia"/>
          <w:color w:val="auto"/>
          <w:szCs w:val="21"/>
          <w:lang w:val="zh-CN"/>
        </w:rPr>
        <w:t>招标代理机构将在招标文件规定的时间和地点公开开标。投标人法定代表人或其授权代理人应参加并签名报到以证明其出席，并携带有效身份证件以备审查。</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19.2采购代理机构按招标文件规定的时间、地点主持公开开标。开标仪式由采购代理机构主持，采购人代表及有关工作人员参加。</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19.3开标时由供应商查验投标文件密封情况，确认无误后</w:t>
      </w:r>
      <w:r>
        <w:rPr>
          <w:rFonts w:hint="eastAsia" w:asciiTheme="majorEastAsia" w:hAnsiTheme="majorEastAsia" w:eastAsiaTheme="majorEastAsia"/>
          <w:color w:val="auto"/>
          <w:szCs w:val="21"/>
          <w:lang w:val="en-US" w:eastAsia="zh-CN"/>
        </w:rPr>
        <w:t>解密</w:t>
      </w:r>
      <w:r>
        <w:rPr>
          <w:rFonts w:hint="eastAsia" w:asciiTheme="majorEastAsia" w:hAnsiTheme="majorEastAsia" w:eastAsiaTheme="majorEastAsia"/>
          <w:color w:val="auto"/>
          <w:szCs w:val="21"/>
        </w:rPr>
        <w:t>唱标。</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19.4采购代理机构在开标仪式上，将公开唱出所有供应商的“开标一览表”内容及投标声明，以及采购机构认为合适的其它内容并记录。</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bookmarkStart w:id="71" w:name="_Toc98580413"/>
      <w:r>
        <w:rPr>
          <w:rFonts w:hint="eastAsia" w:asciiTheme="majorEastAsia" w:hAnsiTheme="majorEastAsia" w:eastAsiaTheme="majorEastAsia"/>
          <w:color w:val="auto"/>
          <w:szCs w:val="21"/>
          <w:lang w:val="zh-CN"/>
        </w:rPr>
        <w:t>1</w:t>
      </w:r>
      <w:r>
        <w:rPr>
          <w:rFonts w:hint="eastAsia" w:asciiTheme="majorEastAsia" w:hAnsiTheme="majorEastAsia" w:eastAsiaTheme="majorEastAsia"/>
          <w:color w:val="auto"/>
          <w:szCs w:val="21"/>
        </w:rPr>
        <w:t>9.5</w:t>
      </w:r>
      <w:r>
        <w:rPr>
          <w:rFonts w:hint="eastAsia" w:asciiTheme="majorEastAsia" w:hAnsiTheme="majorEastAsia" w:eastAsiaTheme="majorEastAsia"/>
          <w:color w:val="auto"/>
          <w:szCs w:val="21"/>
          <w:lang w:val="zh-CN"/>
        </w:rPr>
        <w:t xml:space="preserve"> 开标时有下列情形之一的为无效投标：</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（1）投标文件在规定的投标截止时间以后送达的；</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（2）未按招标文件规定提交投标保证金的；</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（3）投标文件未按招标文件规定密封的；</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（4）未提交单独密封的开标一览表或者开标一览表未按规定加盖公章和有效签署的；</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（5）招标文件规定开标时属于无效投标的其他情形。</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1</w:t>
      </w:r>
      <w:r>
        <w:rPr>
          <w:rFonts w:hint="eastAsia" w:asciiTheme="majorEastAsia" w:hAnsiTheme="majorEastAsia" w:eastAsiaTheme="majorEastAsia"/>
          <w:color w:val="auto"/>
          <w:szCs w:val="21"/>
        </w:rPr>
        <w:t>9.6</w:t>
      </w:r>
      <w:r>
        <w:rPr>
          <w:rFonts w:hint="eastAsia" w:asciiTheme="majorEastAsia" w:hAnsiTheme="majorEastAsia" w:eastAsiaTheme="majorEastAsia"/>
          <w:color w:val="auto"/>
          <w:szCs w:val="21"/>
          <w:lang w:val="zh-CN"/>
        </w:rPr>
        <w:t xml:space="preserve"> 开标时有下列情形之一的，招标代理机构有权宣布本项目招标失败：</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（1）交货时间符合招标文件要求的投标人不足三家的；</w:t>
      </w:r>
    </w:p>
    <w:p>
      <w:pPr>
        <w:pStyle w:val="7"/>
        <w:autoSpaceDN w:val="0"/>
        <w:adjustRightInd w:val="0"/>
        <w:snapToGrid w:val="0"/>
        <w:spacing w:line="360" w:lineRule="auto"/>
        <w:ind w:firstLine="42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（2）所有投标人的报价均超过采购项目预算，采购单位不能支付的。</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20.对投标文件的初审</w:t>
      </w:r>
      <w:bookmarkEnd w:id="71"/>
    </w:p>
    <w:p>
      <w:pPr>
        <w:autoSpaceDN w:val="0"/>
        <w:adjustRightInd w:val="0"/>
        <w:snapToGrid w:val="0"/>
        <w:spacing w:line="360" w:lineRule="auto"/>
        <w:ind w:left="1" w:firstLine="419"/>
        <w:rPr>
          <w:rFonts w:asciiTheme="majorEastAsia" w:hAnsiTheme="majorEastAsia" w:eastAsiaTheme="majorEastAsia"/>
          <w:color w:val="auto"/>
          <w:szCs w:val="21"/>
        </w:rPr>
      </w:pPr>
      <w:r>
        <w:rPr>
          <w:rFonts w:hint="eastAsia" w:asciiTheme="majorEastAsia" w:hAnsiTheme="majorEastAsia" w:eastAsiaTheme="majorEastAsia"/>
          <w:color w:val="auto"/>
          <w:szCs w:val="21"/>
        </w:rPr>
        <w:t xml:space="preserve">20.1 采购人根据招标项目特点组建评标委员会，由采购人从专家库中抽取的专家组成。 </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评标委员会对投标文件进行初审，初审内容为投标文件是否符合招标文件的要求、内容是否完整、价格构成有无计算错误、文件签署是否齐全及验证保证金以及投标文件是否具有实质响应性。</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20.2 初审中，对价格的计算错误按下述原则修正：</w:t>
      </w:r>
    </w:p>
    <w:p>
      <w:pPr>
        <w:autoSpaceDN w:val="0"/>
        <w:adjustRightInd w:val="0"/>
        <w:snapToGrid w:val="0"/>
        <w:spacing w:line="360" w:lineRule="auto"/>
        <w:ind w:firstLine="420" w:firstLineChars="200"/>
        <w:textAlignment w:val="baseline"/>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w:t>
      </w:r>
      <w:r>
        <w:rPr>
          <w:rFonts w:hint="eastAsia" w:asciiTheme="majorEastAsia" w:hAnsiTheme="majorEastAsia" w:eastAsiaTheme="majorEastAsia"/>
          <w:color w:val="auto"/>
          <w:szCs w:val="21"/>
        </w:rPr>
        <w:t>1</w:t>
      </w:r>
      <w:r>
        <w:rPr>
          <w:rFonts w:hint="eastAsia" w:asciiTheme="majorEastAsia" w:hAnsiTheme="majorEastAsia" w:eastAsiaTheme="majorEastAsia"/>
          <w:color w:val="auto"/>
          <w:szCs w:val="21"/>
          <w:lang w:val="zh-CN"/>
        </w:rPr>
        <w:t>）投标文件中开标一览表内容与投标文件中相应内容不一致的，以《开标一览表》的报价为准；</w:t>
      </w:r>
    </w:p>
    <w:p>
      <w:pPr>
        <w:autoSpaceDN w:val="0"/>
        <w:adjustRightInd w:val="0"/>
        <w:snapToGrid w:val="0"/>
        <w:spacing w:line="360" w:lineRule="auto"/>
        <w:ind w:firstLine="420" w:firstLineChars="200"/>
        <w:textAlignment w:val="baseline"/>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w:t>
      </w:r>
      <w:r>
        <w:rPr>
          <w:rFonts w:hint="eastAsia" w:asciiTheme="majorEastAsia" w:hAnsiTheme="majorEastAsia" w:eastAsiaTheme="majorEastAsia"/>
          <w:color w:val="auto"/>
          <w:szCs w:val="21"/>
        </w:rPr>
        <w:t>2</w:t>
      </w:r>
      <w:r>
        <w:rPr>
          <w:rFonts w:hint="eastAsia" w:asciiTheme="majorEastAsia" w:hAnsiTheme="majorEastAsia" w:eastAsiaTheme="majorEastAsia"/>
          <w:color w:val="auto"/>
          <w:szCs w:val="21"/>
          <w:lang w:val="zh-CN"/>
        </w:rPr>
        <w:t>）开标一览表内如果小写金额与大写金额不一致时，以大写金额为准；</w:t>
      </w:r>
    </w:p>
    <w:p>
      <w:pPr>
        <w:autoSpaceDN w:val="0"/>
        <w:adjustRightInd w:val="0"/>
        <w:snapToGrid w:val="0"/>
        <w:spacing w:line="360" w:lineRule="auto"/>
        <w:ind w:firstLine="420" w:firstLineChars="200"/>
        <w:textAlignment w:val="baseline"/>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w:t>
      </w:r>
      <w:r>
        <w:rPr>
          <w:rFonts w:hint="eastAsia" w:asciiTheme="majorEastAsia" w:hAnsiTheme="majorEastAsia" w:eastAsiaTheme="majorEastAsia"/>
          <w:color w:val="auto"/>
          <w:szCs w:val="21"/>
        </w:rPr>
        <w:t>3</w:t>
      </w:r>
      <w:r>
        <w:rPr>
          <w:rFonts w:hint="eastAsia" w:asciiTheme="majorEastAsia" w:hAnsiTheme="majorEastAsia" w:eastAsiaTheme="majorEastAsia"/>
          <w:color w:val="auto"/>
          <w:szCs w:val="21"/>
          <w:lang w:val="zh-CN"/>
        </w:rPr>
        <w:t>）如果总价金额与单价金额不一致，以单价金额为准。</w:t>
      </w:r>
    </w:p>
    <w:p>
      <w:pPr>
        <w:autoSpaceDN w:val="0"/>
        <w:adjustRightInd w:val="0"/>
        <w:snapToGrid w:val="0"/>
        <w:spacing w:line="360" w:lineRule="auto"/>
        <w:ind w:firstLine="420" w:firstLineChars="200"/>
        <w:textAlignment w:val="baseline"/>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w:t>
      </w:r>
      <w:r>
        <w:rPr>
          <w:rFonts w:hint="eastAsia" w:asciiTheme="majorEastAsia" w:hAnsiTheme="majorEastAsia" w:eastAsiaTheme="majorEastAsia"/>
          <w:color w:val="auto"/>
          <w:szCs w:val="21"/>
        </w:rPr>
        <w:t>4</w:t>
      </w:r>
      <w:r>
        <w:rPr>
          <w:rFonts w:hint="eastAsia" w:asciiTheme="majorEastAsia" w:hAnsiTheme="majorEastAsia" w:eastAsiaTheme="majorEastAsia"/>
          <w:color w:val="auto"/>
          <w:szCs w:val="21"/>
          <w:lang w:val="zh-CN"/>
        </w:rPr>
        <w:t>）除非单价有明显的小数点错位，此时应以该行标出的总额为准，并修改单价。</w:t>
      </w:r>
    </w:p>
    <w:p>
      <w:pPr>
        <w:autoSpaceDN w:val="0"/>
        <w:adjustRightInd w:val="0"/>
        <w:snapToGrid w:val="0"/>
        <w:spacing w:line="360" w:lineRule="auto"/>
        <w:ind w:left="1" w:firstLine="420" w:firstLineChars="20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按上述原则调整后的价格为评标价，经投标人法定代表人或授权代理人签字确认后对投标人具有约束力。如果投标人不按照上述原则修正其投标报价及分项报价，则其投标将被拒绝。</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20.3 与招标文件有重大偏离的投标文件将被视为具有非实质响应性的投标文件而被拒绝。</w:t>
      </w:r>
    </w:p>
    <w:p>
      <w:pPr>
        <w:autoSpaceDN w:val="0"/>
        <w:adjustRightInd w:val="0"/>
        <w:snapToGrid w:val="0"/>
        <w:spacing w:line="360" w:lineRule="auto"/>
        <w:ind w:firstLine="420"/>
        <w:rPr>
          <w:rFonts w:asciiTheme="majorEastAsia" w:hAnsiTheme="majorEastAsia" w:eastAsiaTheme="majorEastAsia"/>
          <w:b/>
          <w:bCs/>
          <w:color w:val="auto"/>
          <w:szCs w:val="21"/>
        </w:rPr>
      </w:pPr>
      <w:r>
        <w:rPr>
          <w:rFonts w:hint="eastAsia" w:asciiTheme="majorEastAsia" w:hAnsiTheme="majorEastAsia" w:eastAsiaTheme="majorEastAsia"/>
          <w:color w:val="auto"/>
          <w:szCs w:val="21"/>
        </w:rPr>
        <w:t>20.4 投标有下列情况之一者，</w:t>
      </w:r>
      <w:r>
        <w:rPr>
          <w:rFonts w:hint="eastAsia" w:asciiTheme="majorEastAsia" w:hAnsiTheme="majorEastAsia" w:eastAsiaTheme="majorEastAsia"/>
          <w:bCs/>
          <w:color w:val="auto"/>
          <w:szCs w:val="21"/>
        </w:rPr>
        <w:t>将被视为非实质性响应的投标而被拒绝：</w:t>
      </w:r>
    </w:p>
    <w:p>
      <w:pPr>
        <w:numPr>
          <w:ilvl w:val="0"/>
          <w:numId w:val="4"/>
        </w:numPr>
        <w:tabs>
          <w:tab w:val="left" w:pos="686"/>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资格条件及证明文件不符合招标文件要求的；</w:t>
      </w:r>
    </w:p>
    <w:p>
      <w:pPr>
        <w:numPr>
          <w:ilvl w:val="0"/>
          <w:numId w:val="4"/>
        </w:numPr>
        <w:tabs>
          <w:tab w:val="left" w:pos="686"/>
        </w:tabs>
        <w:autoSpaceDN w:val="0"/>
        <w:adjustRightInd w:val="0"/>
        <w:snapToGrid w:val="0"/>
        <w:spacing w:line="360" w:lineRule="auto"/>
        <w:ind w:left="0" w:firstLine="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投标文件无公章或无法定代表人签字，或签字人无法定代表人有效授权书的，或未按要求签字、盖公章的；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不能满足投标有效期的；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投标明显不符合技术规格、技术标准的要求；</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投标文件附有买方不能接受的条件；</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投标报价超过采购预算的；</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未响应招标文件规定的其它实质性条款。</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72" w:name="_Toc98580414"/>
      <w:r>
        <w:rPr>
          <w:rFonts w:hint="eastAsia" w:asciiTheme="majorEastAsia" w:hAnsiTheme="majorEastAsia" w:eastAsiaTheme="majorEastAsia"/>
          <w:color w:val="auto"/>
          <w:sz w:val="21"/>
          <w:szCs w:val="21"/>
        </w:rPr>
        <w:t>21.投标的澄清</w:t>
      </w:r>
      <w:bookmarkEnd w:id="72"/>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21.1 招标机构有权就投标文件中含混之处向供应商提出询问或澄清要求，或要求其补充某些材料。供应商必须按照招标机构通知的时间、地点派技术和商务人员进行答疑和澄清。</w:t>
      </w:r>
    </w:p>
    <w:p>
      <w:pPr>
        <w:autoSpaceDN w:val="0"/>
        <w:adjustRightInd w:val="0"/>
        <w:snapToGrid w:val="0"/>
        <w:spacing w:line="360" w:lineRule="auto"/>
        <w:ind w:firstLine="420"/>
        <w:textAlignment w:val="baseline"/>
        <w:rPr>
          <w:rFonts w:asciiTheme="majorEastAsia" w:hAnsiTheme="majorEastAsia" w:eastAsiaTheme="majorEastAsia"/>
          <w:color w:val="auto"/>
          <w:szCs w:val="21"/>
        </w:rPr>
      </w:pPr>
      <w:r>
        <w:rPr>
          <w:rFonts w:hint="eastAsia" w:asciiTheme="majorEastAsia" w:hAnsiTheme="majorEastAsia" w:eastAsiaTheme="majorEastAsia"/>
          <w:color w:val="auto"/>
          <w:szCs w:val="21"/>
        </w:rPr>
        <w:t xml:space="preserve">21.2 </w:t>
      </w:r>
      <w:r>
        <w:rPr>
          <w:rFonts w:hint="eastAsia" w:asciiTheme="majorEastAsia" w:hAnsiTheme="majorEastAsia" w:eastAsiaTheme="majorEastAsia"/>
          <w:color w:val="auto"/>
          <w:szCs w:val="21"/>
          <w:lang w:val="zh-CN"/>
        </w:rPr>
        <w:t>投标人的澄清、说明或者补正应当采用书面形式，由投标人法定代表人或其授权代理人签字（须提交签字人身份证件并与投标文件签字人一致），并不得超出投标文件的范围或者改变投标文件的实质性内容。投标人拒不进行澄清、说明、补正的，或者不能在规定时间内作出书面澄清、说明、补正的，评标委员会将拒绝其投标。</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73" w:name="_Toc98580415"/>
      <w:bookmarkStart w:id="74" w:name="_Toc98580416"/>
      <w:r>
        <w:rPr>
          <w:rFonts w:hint="eastAsia" w:asciiTheme="majorEastAsia" w:hAnsiTheme="majorEastAsia" w:eastAsiaTheme="majorEastAsia"/>
          <w:color w:val="auto"/>
          <w:sz w:val="21"/>
          <w:szCs w:val="21"/>
        </w:rPr>
        <w:t>22.评标</w:t>
      </w:r>
      <w:bookmarkEnd w:id="73"/>
    </w:p>
    <w:p>
      <w:pPr>
        <w:autoSpaceDE w:val="0"/>
        <w:autoSpaceDN w:val="0"/>
        <w:adjustRightInd w:val="0"/>
        <w:snapToGrid w:val="0"/>
        <w:spacing w:line="360" w:lineRule="auto"/>
        <w:ind w:firstLine="420"/>
        <w:textAlignment w:val="bottom"/>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22.1 原则：对所有供应商的投标评估，都采用相同的程序和标准。</w:t>
      </w:r>
    </w:p>
    <w:p>
      <w:pPr>
        <w:autoSpaceDE w:val="0"/>
        <w:autoSpaceDN w:val="0"/>
        <w:adjustRightInd w:val="0"/>
        <w:snapToGrid w:val="0"/>
        <w:spacing w:line="360" w:lineRule="auto"/>
        <w:ind w:firstLine="420"/>
        <w:textAlignment w:val="bottom"/>
        <w:rPr>
          <w:rFonts w:asciiTheme="majorEastAsia" w:hAnsiTheme="majorEastAsia" w:eastAsiaTheme="majorEastAsia"/>
          <w:color w:val="auto"/>
          <w:szCs w:val="21"/>
        </w:rPr>
      </w:pPr>
      <w:r>
        <w:rPr>
          <w:rFonts w:hint="eastAsia" w:asciiTheme="majorEastAsia" w:hAnsiTheme="majorEastAsia" w:eastAsiaTheme="majorEastAsia"/>
          <w:color w:val="auto"/>
          <w:szCs w:val="21"/>
        </w:rPr>
        <w:t>22.2 标准：评标严格按照招标文件的要求和条件进行。</w:t>
      </w:r>
    </w:p>
    <w:p>
      <w:pPr>
        <w:tabs>
          <w:tab w:val="left" w:pos="475"/>
        </w:tabs>
        <w:autoSpaceDN w:val="0"/>
        <w:adjustRightInd w:val="0"/>
        <w:snapToGrid w:val="0"/>
        <w:spacing w:line="360" w:lineRule="auto"/>
        <w:textAlignment w:val="baseline"/>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ab/>
      </w:r>
      <w:r>
        <w:rPr>
          <w:rFonts w:hint="eastAsia" w:asciiTheme="majorEastAsia" w:hAnsiTheme="majorEastAsia" w:eastAsiaTheme="majorEastAsia"/>
          <w:color w:val="auto"/>
          <w:szCs w:val="21"/>
          <w:lang w:val="zh-CN"/>
        </w:rPr>
        <w:t>22.</w:t>
      </w:r>
      <w:r>
        <w:rPr>
          <w:rFonts w:hint="eastAsia" w:asciiTheme="majorEastAsia" w:hAnsiTheme="majorEastAsia" w:eastAsiaTheme="majorEastAsia"/>
          <w:color w:val="auto"/>
          <w:szCs w:val="21"/>
        </w:rPr>
        <w:t>3</w:t>
      </w:r>
      <w:r>
        <w:rPr>
          <w:rFonts w:hint="eastAsia" w:asciiTheme="majorEastAsia" w:hAnsiTheme="majorEastAsia" w:eastAsiaTheme="majorEastAsia"/>
          <w:color w:val="auto"/>
          <w:szCs w:val="21"/>
          <w:lang w:val="zh-CN"/>
        </w:rPr>
        <w:t>本项目采用</w:t>
      </w:r>
      <w:bookmarkStart w:id="75" w:name="blank29_copy_1619578097000"/>
      <w:r>
        <w:rPr>
          <w:rFonts w:hint="eastAsia" w:asciiTheme="majorEastAsia" w:hAnsiTheme="majorEastAsia" w:eastAsiaTheme="majorEastAsia"/>
          <w:color w:val="auto"/>
          <w:kern w:val="0"/>
          <w:sz w:val="20"/>
          <w:szCs w:val="20"/>
        </w:rPr>
        <w:t>综合评分法</w:t>
      </w:r>
      <w:bookmarkEnd w:id="75"/>
      <w:r>
        <w:rPr>
          <w:rFonts w:hint="eastAsia" w:asciiTheme="majorEastAsia" w:hAnsiTheme="majorEastAsia" w:eastAsiaTheme="majorEastAsia"/>
          <w:color w:val="auto"/>
          <w:szCs w:val="21"/>
          <w:lang w:val="zh-CN"/>
        </w:rPr>
        <w:t>：</w:t>
      </w:r>
    </w:p>
    <w:p>
      <w:pPr>
        <w:autoSpaceDN w:val="0"/>
        <w:adjustRightInd w:val="0"/>
        <w:snapToGrid w:val="0"/>
        <w:spacing w:line="360" w:lineRule="auto"/>
        <w:ind w:firstLine="420" w:firstLineChars="200"/>
        <w:textAlignment w:val="baseline"/>
        <w:rPr>
          <w:rFonts w:asciiTheme="majorEastAsia" w:hAnsiTheme="majorEastAsia" w:eastAsiaTheme="majorEastAsia"/>
          <w:color w:val="auto"/>
          <w:szCs w:val="21"/>
        </w:rPr>
      </w:pPr>
      <w:r>
        <w:rPr>
          <w:rFonts w:hint="eastAsia" w:asciiTheme="majorEastAsia" w:hAnsiTheme="majorEastAsia" w:eastAsiaTheme="majorEastAsia"/>
          <w:color w:val="auto"/>
          <w:szCs w:val="21"/>
          <w:lang w:val="zh-CN"/>
        </w:rPr>
        <w:t>评标委员会将按第三章规定的评审因素和标准，</w:t>
      </w:r>
      <w:r>
        <w:rPr>
          <w:rFonts w:hint="eastAsia" w:asciiTheme="majorEastAsia" w:hAnsiTheme="majorEastAsia" w:eastAsiaTheme="majorEastAsia"/>
          <w:color w:val="auto"/>
          <w:szCs w:val="21"/>
        </w:rPr>
        <w:t xml:space="preserve">按评审后投标人综合得分由高到低的顺序推荐中标候选人排序。 </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23.评标过程保密</w:t>
      </w:r>
      <w:bookmarkEnd w:id="74"/>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23.1有关投标文件的审查、澄清、评估和比较以及有关授予合同意向的一切情况均不得透露给任一供应商或与上述评标工作无关的人员；</w:t>
      </w:r>
    </w:p>
    <w:p>
      <w:pPr>
        <w:autoSpaceDN w:val="0"/>
        <w:adjustRightInd w:val="0"/>
        <w:snapToGrid w:val="0"/>
        <w:spacing w:line="360" w:lineRule="auto"/>
        <w:ind w:firstLine="420"/>
        <w:rPr>
          <w:rFonts w:asciiTheme="majorEastAsia" w:hAnsiTheme="majorEastAsia" w:eastAsiaTheme="majorEastAsia"/>
          <w:b/>
          <w:bCs/>
          <w:color w:val="auto"/>
          <w:szCs w:val="21"/>
        </w:rPr>
      </w:pPr>
      <w:r>
        <w:rPr>
          <w:rFonts w:hint="eastAsia" w:asciiTheme="majorEastAsia" w:hAnsiTheme="majorEastAsia" w:eastAsiaTheme="majorEastAsia"/>
          <w:color w:val="auto"/>
          <w:szCs w:val="21"/>
        </w:rPr>
        <w:t>23.2在评标期间，供应商企图影响招标方的任何活动，将导致投标被拒绝，并承担相应的法律责任。</w:t>
      </w:r>
    </w:p>
    <w:p>
      <w:pPr>
        <w:autoSpaceDN w:val="0"/>
        <w:adjustRightInd w:val="0"/>
        <w:snapToGrid w:val="0"/>
        <w:spacing w:line="360" w:lineRule="auto"/>
        <w:jc w:val="center"/>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F 确定中标</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76" w:name="_Toc98580417"/>
      <w:r>
        <w:rPr>
          <w:rFonts w:hint="eastAsia" w:asciiTheme="majorEastAsia" w:hAnsiTheme="majorEastAsia" w:eastAsiaTheme="majorEastAsia"/>
          <w:color w:val="auto"/>
          <w:sz w:val="21"/>
          <w:szCs w:val="21"/>
        </w:rPr>
        <w:t>24.最终审查</w:t>
      </w:r>
      <w:bookmarkEnd w:id="76"/>
    </w:p>
    <w:p>
      <w:pPr>
        <w:autoSpaceDN w:val="0"/>
        <w:adjustRightInd w:val="0"/>
        <w:snapToGrid w:val="0"/>
        <w:spacing w:line="360" w:lineRule="auto"/>
        <w:ind w:left="29" w:leftChars="14" w:firstLine="417"/>
        <w:rPr>
          <w:rFonts w:asciiTheme="majorEastAsia" w:hAnsiTheme="majorEastAsia" w:eastAsiaTheme="majorEastAsia"/>
          <w:color w:val="auto"/>
          <w:szCs w:val="21"/>
        </w:rPr>
      </w:pPr>
      <w:r>
        <w:rPr>
          <w:rFonts w:hint="eastAsia" w:asciiTheme="majorEastAsia" w:hAnsiTheme="majorEastAsia" w:eastAsiaTheme="majorEastAsia"/>
          <w:color w:val="auto"/>
          <w:szCs w:val="21"/>
        </w:rPr>
        <w:t xml:space="preserve">24.1评标委员会按照招标文件确定的评标标准和方法，对投标文件进行评审，并提出书面评标报告，确定中标人。最终审查的对象是招标项目的合格的供应商。 </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 xml:space="preserve">24.2最终审查的内容是对合格的供应商的财务状况、资格、信誉以及采购人认为有必要了解的其他问题作进一步的审查。  </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24.3 接受最终审查的合格的供应商，必须如实回答和受理采购人的询问或考查，并提供所需的有关资料。</w:t>
      </w:r>
    </w:p>
    <w:p>
      <w:pPr>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24.4评标委员会从合格的供应商中评出中标人，并写出完整的评标报告。</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bookmarkStart w:id="77" w:name="_Toc98580418"/>
      <w:r>
        <w:rPr>
          <w:rFonts w:hint="eastAsia" w:asciiTheme="majorEastAsia" w:hAnsiTheme="majorEastAsia" w:eastAsiaTheme="majorEastAsia"/>
          <w:color w:val="auto"/>
          <w:sz w:val="21"/>
          <w:szCs w:val="21"/>
        </w:rPr>
        <w:t>25.中标通知</w:t>
      </w:r>
      <w:bookmarkEnd w:id="77"/>
    </w:p>
    <w:p>
      <w:pPr>
        <w:pStyle w:val="7"/>
        <w:autoSpaceDN w:val="0"/>
        <w:adjustRightInd w:val="0"/>
        <w:snapToGrid w:val="0"/>
        <w:spacing w:line="360" w:lineRule="auto"/>
        <w:ind w:firstLine="42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25.1在投标有效期内，招标代理机构以书面形式通知所选定的中标人。通知也可以以传真的形式发出，但需要随以书面形式最终确认。</w:t>
      </w:r>
    </w:p>
    <w:p>
      <w:pPr>
        <w:pStyle w:val="7"/>
        <w:autoSpaceDN w:val="0"/>
        <w:adjustRightInd w:val="0"/>
        <w:snapToGrid w:val="0"/>
        <w:spacing w:line="360" w:lineRule="auto"/>
        <w:ind w:firstLine="42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25.2</w:t>
      </w:r>
      <w:r>
        <w:rPr>
          <w:rFonts w:hint="eastAsia" w:asciiTheme="majorEastAsia" w:hAnsiTheme="majorEastAsia" w:eastAsiaTheme="majorEastAsia"/>
          <w:color w:val="auto"/>
          <w:szCs w:val="21"/>
          <w:lang w:val="zh-CN"/>
        </w:rPr>
        <w:t>招标代理机构将自中标通知书发出之日起5个工作日内退还未中标供应商的投标保证金，自政府采购合同签订之日起5个工作日内退还中标供应商的投标保证金。</w:t>
      </w:r>
    </w:p>
    <w:p>
      <w:pPr>
        <w:pStyle w:val="6"/>
        <w:autoSpaceDN w:val="0"/>
        <w:adjustRightInd w:val="0"/>
        <w:snapToGrid w:val="0"/>
        <w:spacing w:before="0" w:after="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26.签定合同</w:t>
      </w:r>
    </w:p>
    <w:p>
      <w:pPr>
        <w:pStyle w:val="7"/>
        <w:autoSpaceDN w:val="0"/>
        <w:adjustRightInd w:val="0"/>
        <w:snapToGrid w:val="0"/>
        <w:spacing w:line="360" w:lineRule="auto"/>
        <w:ind w:firstLine="420" w:firstLineChars="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2</w:t>
      </w:r>
      <w:r>
        <w:rPr>
          <w:rFonts w:hint="eastAsia" w:asciiTheme="majorEastAsia" w:hAnsiTheme="majorEastAsia" w:eastAsiaTheme="majorEastAsia"/>
          <w:color w:val="auto"/>
          <w:szCs w:val="21"/>
        </w:rPr>
        <w:t>6</w:t>
      </w:r>
      <w:r>
        <w:rPr>
          <w:rFonts w:hint="eastAsia" w:asciiTheme="majorEastAsia" w:hAnsiTheme="majorEastAsia" w:eastAsiaTheme="majorEastAsia"/>
          <w:color w:val="auto"/>
          <w:szCs w:val="21"/>
          <w:lang w:val="zh-CN"/>
        </w:rPr>
        <w:t>.1中标通知书发出后，采购单位改变中标结果的，或者中标人放弃中标项目的，应当依法承担法律责任。</w:t>
      </w:r>
    </w:p>
    <w:p>
      <w:pPr>
        <w:pStyle w:val="7"/>
        <w:autoSpaceDN w:val="0"/>
        <w:adjustRightInd w:val="0"/>
        <w:snapToGrid w:val="0"/>
        <w:spacing w:line="360" w:lineRule="auto"/>
        <w:ind w:firstLine="420" w:firstLineChars="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rPr>
        <w:t>26</w:t>
      </w:r>
      <w:r>
        <w:rPr>
          <w:rFonts w:hint="eastAsia" w:asciiTheme="majorEastAsia" w:hAnsiTheme="majorEastAsia" w:eastAsiaTheme="majorEastAsia"/>
          <w:color w:val="auto"/>
          <w:szCs w:val="21"/>
          <w:lang w:val="zh-CN"/>
        </w:rPr>
        <w:t>.2中标人应按中标通知书规定的时间与采购单位签订合同。如果中标人不在规定的时间内签署合同，视为自动放弃中标资格，其提交的投标保证金不予退还，列入不良行为记录名单，在一至三年内禁止参加政府采购活动并予以公告。投标人在被评标委员会评定为预中标人（中标人）之后、中标通知书发出之前放弃中标的，按本条规定处理。</w:t>
      </w:r>
    </w:p>
    <w:p>
      <w:pPr>
        <w:pStyle w:val="7"/>
        <w:autoSpaceDN w:val="0"/>
        <w:adjustRightInd w:val="0"/>
        <w:snapToGrid w:val="0"/>
        <w:spacing w:line="360" w:lineRule="auto"/>
        <w:ind w:left="464" w:hanging="44" w:firstLineChars="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2</w:t>
      </w:r>
      <w:r>
        <w:rPr>
          <w:rFonts w:hint="eastAsia" w:asciiTheme="majorEastAsia" w:hAnsiTheme="majorEastAsia" w:eastAsiaTheme="majorEastAsia"/>
          <w:color w:val="auto"/>
          <w:szCs w:val="21"/>
        </w:rPr>
        <w:t>6</w:t>
      </w:r>
      <w:r>
        <w:rPr>
          <w:rFonts w:hint="eastAsia" w:asciiTheme="majorEastAsia" w:hAnsiTheme="majorEastAsia" w:eastAsiaTheme="majorEastAsia"/>
          <w:color w:val="auto"/>
          <w:szCs w:val="21"/>
          <w:lang w:val="zh-CN"/>
        </w:rPr>
        <w:t>.3中标结果将在发布招标公告的同步网络媒介上公告，不再以书面方式通知未中标人。</w:t>
      </w:r>
    </w:p>
    <w:p>
      <w:pPr>
        <w:pStyle w:val="6"/>
        <w:autoSpaceDN w:val="0"/>
        <w:adjustRightInd w:val="0"/>
        <w:snapToGrid w:val="0"/>
        <w:spacing w:before="0" w:after="0" w:line="360" w:lineRule="auto"/>
        <w:rPr>
          <w:rFonts w:asciiTheme="majorEastAsia" w:hAnsiTheme="majorEastAsia" w:eastAsiaTheme="majorEastAsia"/>
          <w:color w:val="auto"/>
          <w:sz w:val="21"/>
          <w:szCs w:val="21"/>
          <w:lang w:val="zh-CN"/>
        </w:rPr>
      </w:pPr>
      <w:r>
        <w:rPr>
          <w:rFonts w:hint="eastAsia" w:asciiTheme="majorEastAsia" w:hAnsiTheme="majorEastAsia" w:eastAsiaTheme="majorEastAsia"/>
          <w:color w:val="auto"/>
          <w:sz w:val="21"/>
          <w:szCs w:val="21"/>
        </w:rPr>
        <w:t>27.</w:t>
      </w:r>
      <w:r>
        <w:rPr>
          <w:rFonts w:hint="eastAsia" w:asciiTheme="majorEastAsia" w:hAnsiTheme="majorEastAsia" w:eastAsiaTheme="majorEastAsia"/>
          <w:color w:val="auto"/>
          <w:sz w:val="21"/>
          <w:szCs w:val="21"/>
          <w:lang w:val="zh-CN"/>
        </w:rPr>
        <w:t>履约保证金</w:t>
      </w:r>
    </w:p>
    <w:p>
      <w:pPr>
        <w:pStyle w:val="7"/>
        <w:autoSpaceDN w:val="0"/>
        <w:adjustRightInd w:val="0"/>
        <w:snapToGrid w:val="0"/>
        <w:spacing w:line="360" w:lineRule="auto"/>
        <w:ind w:firstLine="402" w:firstLineChars="0"/>
        <w:rPr>
          <w:rFonts w:hint="default"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rPr>
        <w:t>中标人接到中标通知书与采购人签订协议前,向采购人缴纳履约保证金。协议履行完毕后依据采购方验收完成情况返还给成交供应商。若出现任何违约情况，履约保证金全部扣收，并终止协议，造成损失的需另行支付赔偿。</w:t>
      </w:r>
      <w:r>
        <w:rPr>
          <w:rFonts w:hint="eastAsia" w:asciiTheme="majorEastAsia" w:hAnsiTheme="majorEastAsia" w:eastAsiaTheme="majorEastAsia"/>
          <w:color w:val="auto"/>
          <w:szCs w:val="21"/>
          <w:lang w:val="en-US" w:eastAsia="zh-CN"/>
        </w:rPr>
        <w:t>履约保证金缴纳标准详见投标须知前附表</w:t>
      </w:r>
    </w:p>
    <w:p>
      <w:pPr>
        <w:pStyle w:val="6"/>
        <w:autoSpaceDN w:val="0"/>
        <w:adjustRightInd w:val="0"/>
        <w:snapToGrid w:val="0"/>
        <w:spacing w:before="0" w:after="0" w:line="360" w:lineRule="auto"/>
        <w:rPr>
          <w:rFonts w:asciiTheme="majorEastAsia" w:hAnsiTheme="majorEastAsia" w:eastAsiaTheme="majorEastAsia"/>
          <w:color w:val="auto"/>
          <w:sz w:val="21"/>
          <w:szCs w:val="21"/>
          <w:lang w:val="zh-CN"/>
        </w:rPr>
      </w:pPr>
      <w:r>
        <w:rPr>
          <w:rFonts w:hint="eastAsia" w:asciiTheme="majorEastAsia" w:hAnsiTheme="majorEastAsia" w:eastAsiaTheme="majorEastAsia"/>
          <w:color w:val="auto"/>
          <w:sz w:val="21"/>
          <w:szCs w:val="21"/>
          <w:lang w:val="zh-CN"/>
        </w:rPr>
        <w:t>2</w:t>
      </w:r>
      <w:r>
        <w:rPr>
          <w:rFonts w:hint="eastAsia" w:asciiTheme="majorEastAsia" w:hAnsiTheme="majorEastAsia" w:eastAsiaTheme="majorEastAsia"/>
          <w:color w:val="auto"/>
          <w:sz w:val="21"/>
          <w:szCs w:val="21"/>
        </w:rPr>
        <w:t>8</w:t>
      </w:r>
      <w:r>
        <w:rPr>
          <w:rFonts w:hint="eastAsia" w:asciiTheme="majorEastAsia" w:hAnsiTheme="majorEastAsia" w:eastAsiaTheme="majorEastAsia"/>
          <w:color w:val="auto"/>
          <w:sz w:val="21"/>
          <w:szCs w:val="21"/>
          <w:lang w:val="zh-CN"/>
        </w:rPr>
        <w:t>.保密和披露</w:t>
      </w:r>
    </w:p>
    <w:p>
      <w:pPr>
        <w:pStyle w:val="7"/>
        <w:autoSpaceDN w:val="0"/>
        <w:adjustRightInd w:val="0"/>
        <w:snapToGrid w:val="0"/>
        <w:spacing w:line="360" w:lineRule="auto"/>
        <w:ind w:firstLine="420" w:firstLineChars="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2</w:t>
      </w:r>
      <w:r>
        <w:rPr>
          <w:rFonts w:hint="eastAsia" w:asciiTheme="majorEastAsia" w:hAnsiTheme="majorEastAsia" w:eastAsiaTheme="majorEastAsia"/>
          <w:color w:val="auto"/>
          <w:szCs w:val="21"/>
        </w:rPr>
        <w:t>8</w:t>
      </w:r>
      <w:r>
        <w:rPr>
          <w:rFonts w:hint="eastAsia" w:asciiTheme="majorEastAsia" w:hAnsiTheme="majorEastAsia" w:eastAsiaTheme="majorEastAsia"/>
          <w:color w:val="auto"/>
          <w:szCs w:val="21"/>
          <w:lang w:val="zh-CN"/>
        </w:rPr>
        <w:t>.1招标代理机构有权将投标人提供的所有资料向其他政府部门或有关的非政府机构负责评审标书的人员或与评标有关的人员披露。</w:t>
      </w:r>
    </w:p>
    <w:p>
      <w:pPr>
        <w:pStyle w:val="7"/>
        <w:autoSpaceDN w:val="0"/>
        <w:adjustRightInd w:val="0"/>
        <w:snapToGrid w:val="0"/>
        <w:spacing w:line="360" w:lineRule="auto"/>
        <w:ind w:firstLine="420" w:firstLineChars="0"/>
        <w:rPr>
          <w:rFonts w:asciiTheme="majorEastAsia" w:hAnsiTheme="majorEastAsia" w:eastAsiaTheme="majorEastAsia"/>
          <w:color w:val="auto"/>
          <w:szCs w:val="21"/>
          <w:lang w:val="zh-CN"/>
        </w:rPr>
      </w:pPr>
      <w:r>
        <w:rPr>
          <w:rFonts w:hint="eastAsia" w:asciiTheme="majorEastAsia" w:hAnsiTheme="majorEastAsia" w:eastAsiaTheme="majorEastAsia"/>
          <w:color w:val="auto"/>
          <w:szCs w:val="21"/>
        </w:rPr>
        <w:t>28</w:t>
      </w:r>
      <w:r>
        <w:rPr>
          <w:rFonts w:hint="eastAsia" w:asciiTheme="majorEastAsia" w:hAnsiTheme="majorEastAsia" w:eastAsiaTheme="majorEastAsia"/>
          <w:color w:val="auto"/>
          <w:szCs w:val="21"/>
          <w:lang w:val="zh-CN"/>
        </w:rPr>
        <w:t>.2在下列情形下：当发布中标公告和其它公告时，当国家机关调查、审查、审计时，以及在其他符合法律规定的情形下，招标代理机构无须事先征求投标人/中标人同意而可以披露关于采购过程、投标文件、合同文本、合同签署情况的资料、投标人/中标人的名称及地址、采购内容的有关信息以及补充条款等，并且对任何已经公布过的内容或与之内容相同的资料无须再承担保密责任。</w:t>
      </w:r>
    </w:p>
    <w:p>
      <w:pPr>
        <w:pStyle w:val="6"/>
        <w:autoSpaceDN w:val="0"/>
        <w:adjustRightInd w:val="0"/>
        <w:snapToGrid w:val="0"/>
        <w:spacing w:before="0" w:after="0" w:line="360" w:lineRule="auto"/>
        <w:rPr>
          <w:rFonts w:asciiTheme="majorEastAsia" w:hAnsiTheme="majorEastAsia" w:eastAsiaTheme="majorEastAsia"/>
          <w:color w:val="auto"/>
          <w:sz w:val="21"/>
          <w:szCs w:val="21"/>
          <w:lang w:val="zh-CN"/>
        </w:rPr>
      </w:pPr>
      <w:r>
        <w:rPr>
          <w:rFonts w:hint="eastAsia" w:asciiTheme="majorEastAsia" w:hAnsiTheme="majorEastAsia" w:eastAsiaTheme="majorEastAsia"/>
          <w:color w:val="auto"/>
          <w:sz w:val="21"/>
          <w:szCs w:val="21"/>
          <w:lang w:val="zh-CN"/>
        </w:rPr>
        <w:t>29、质疑和投诉</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29.1投标人认为招标文件、招标过程和中标结果使自己的合法权益受到损害的，应当在知道或者应知其权益受到损害之日起七个工作日内，向招标方提出质疑。投标人对招标代理机构的质疑答复不满意或者招标代理机构未在规定时间内作出答复的，可以在答复期满后十五个工作日内向同级采购监管部门投诉。</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cs="宋体" w:asciiTheme="majorEastAsia" w:hAnsiTheme="majorEastAsia" w:eastAsiaTheme="majorEastAsia"/>
          <w:color w:val="auto"/>
          <w:szCs w:val="21"/>
        </w:rPr>
        <w:t>29.2质疑书、投诉书均应明确阐述招标文件、招标过程和中标结果中使自己合法权益受到损害的实质性内容，提供相关事实、依据和证据及其来源或线索，便于有关单位调查、答复和处理。</w:t>
      </w:r>
    </w:p>
    <w:p>
      <w:pPr>
        <w:rPr>
          <w:rFonts w:hint="eastAsia" w:asciiTheme="majorEastAsia" w:hAnsiTheme="majorEastAsia" w:eastAsiaTheme="majorEastAsia"/>
          <w:color w:val="auto"/>
        </w:rPr>
      </w:pPr>
      <w:bookmarkStart w:id="78" w:name="_Toc48760973"/>
      <w:bookmarkStart w:id="79" w:name="_Toc22071"/>
      <w:r>
        <w:rPr>
          <w:rFonts w:hint="eastAsia" w:asciiTheme="majorEastAsia" w:hAnsiTheme="majorEastAsia" w:eastAsiaTheme="majorEastAsia"/>
          <w:color w:val="auto"/>
        </w:rPr>
        <w:br w:type="page"/>
      </w:r>
    </w:p>
    <w:p>
      <w:pPr>
        <w:pStyle w:val="3"/>
        <w:autoSpaceDN w:val="0"/>
        <w:adjustRightInd w:val="0"/>
        <w:snapToGrid w:val="0"/>
        <w:spacing w:before="0" w:after="0" w:line="360" w:lineRule="auto"/>
        <w:jc w:val="center"/>
        <w:rPr>
          <w:rFonts w:asciiTheme="majorEastAsia" w:hAnsiTheme="majorEastAsia" w:eastAsiaTheme="majorEastAsia"/>
          <w:color w:val="auto"/>
        </w:rPr>
      </w:pPr>
      <w:r>
        <w:rPr>
          <w:rFonts w:hint="eastAsia" w:asciiTheme="majorEastAsia" w:hAnsiTheme="majorEastAsia" w:eastAsiaTheme="majorEastAsia"/>
          <w:color w:val="auto"/>
        </w:rPr>
        <w:t>第三部分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评标办法</w:t>
      </w:r>
      <w:bookmarkEnd w:id="78"/>
      <w:bookmarkEnd w:id="79"/>
    </w:p>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（本项目采用</w:t>
      </w:r>
      <w:bookmarkStart w:id="80" w:name="blank29_copy_1619578115000"/>
      <w:r>
        <w:rPr>
          <w:rFonts w:hint="eastAsia" w:asciiTheme="majorEastAsia" w:hAnsiTheme="majorEastAsia" w:eastAsiaTheme="majorEastAsia"/>
          <w:color w:val="auto"/>
          <w:kern w:val="0"/>
          <w:szCs w:val="21"/>
        </w:rPr>
        <w:t>综合评分法</w:t>
      </w:r>
      <w:bookmarkEnd w:id="80"/>
      <w:r>
        <w:rPr>
          <w:rFonts w:hint="eastAsia" w:asciiTheme="majorEastAsia" w:hAnsiTheme="majorEastAsia" w:eastAsiaTheme="majorEastAsia"/>
          <w:color w:val="auto"/>
          <w:szCs w:val="21"/>
        </w:rPr>
        <w:t>）</w:t>
      </w:r>
    </w:p>
    <w:p>
      <w:pPr>
        <w:autoSpaceDN w:val="0"/>
        <w:adjustRightInd w:val="0"/>
        <w:snapToGrid w:val="0"/>
        <w:spacing w:line="360" w:lineRule="auto"/>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评标办法</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按照国家相关部门的规定，遵循公开、公平、公正和诚实信用的原则，结合本招标项目的实际情况，制定本招标项目评标办法。</w:t>
      </w:r>
    </w:p>
    <w:p>
      <w:pPr>
        <w:autoSpaceDN w:val="0"/>
        <w:adjustRightInd w:val="0"/>
        <w:snapToGrid w:val="0"/>
        <w:spacing w:before="156" w:after="156" w:line="360" w:lineRule="auto"/>
        <w:jc w:val="center"/>
        <w:outlineLvl w:val="1"/>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一、评 标 程 序</w:t>
      </w:r>
    </w:p>
    <w:p>
      <w:pPr>
        <w:autoSpaceDN w:val="0"/>
        <w:adjustRightInd w:val="0"/>
        <w:snapToGrid w:val="0"/>
        <w:spacing w:before="156" w:after="156" w:line="360" w:lineRule="auto"/>
        <w:ind w:firstLine="422" w:firstLineChars="20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（一）组成评标委员会</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按照国家有关部委的相关规定，本项目由技术、经济等方面的专家组成评标委员会（以下简称“评委会”）。评标委员会共有5人组成，其中采购人代表0人，经济、技术专家5人。</w:t>
      </w:r>
    </w:p>
    <w:p>
      <w:pPr>
        <w:keepNext/>
        <w:keepLines/>
        <w:autoSpaceDN w:val="0"/>
        <w:adjustRightInd w:val="0"/>
        <w:snapToGrid w:val="0"/>
        <w:spacing w:before="156" w:after="156" w:line="360" w:lineRule="auto"/>
        <w:ind w:firstLine="422" w:firstLineChars="20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（二）评标工作</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评标本着客观公正、公平竞争、择优推荐、规范合法的原则进行。评标工作分为资格审查、初步评审和详细评审三个步骤。</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1.资格审查。采购人或代理机构对各供应商的资格（包括资格审查表中信用查询部分）进行审查。资格审查合格的供应商方可进入符合性审查。</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2.符合性审查。评委会对供应商的投标文件进行符合性鉴定。符合性审查合格的供应商方可进入详细评审。</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3.详细评审。详细评审采用综合评分法。评委依据评标办法分别对各供应商的投标文件进行评审、赋分。</w:t>
      </w:r>
    </w:p>
    <w:p>
      <w:pPr>
        <w:autoSpaceDN w:val="0"/>
        <w:adjustRightInd w:val="0"/>
        <w:snapToGrid w:val="0"/>
        <w:spacing w:before="156" w:after="156" w:line="360" w:lineRule="auto"/>
        <w:ind w:firstLine="422" w:firstLineChars="20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（三）询标（必要时）</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评标委员会对投标文件需要澄清的问题，采用集体询标方式进行。</w:t>
      </w:r>
    </w:p>
    <w:p>
      <w:pPr>
        <w:autoSpaceDN w:val="0"/>
        <w:adjustRightInd w:val="0"/>
        <w:snapToGrid w:val="0"/>
        <w:spacing w:before="156" w:after="156" w:line="360" w:lineRule="auto"/>
        <w:ind w:firstLine="422" w:firstLineChars="20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（四）确定中标候选人</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按最终综合得分由高到低的顺序推荐中标候选人3家，并确定中标人。</w:t>
      </w:r>
    </w:p>
    <w:p>
      <w:pPr>
        <w:autoSpaceDN w:val="0"/>
        <w:adjustRightInd w:val="0"/>
        <w:snapToGrid w:val="0"/>
        <w:spacing w:before="156" w:after="156" w:line="360" w:lineRule="auto"/>
        <w:ind w:firstLine="422" w:firstLineChars="200"/>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（五）评标报告</w:t>
      </w:r>
    </w:p>
    <w:p>
      <w:pPr>
        <w:autoSpaceDN w:val="0"/>
        <w:adjustRightInd w:val="0"/>
        <w:snapToGrid w:val="0"/>
        <w:spacing w:before="156" w:after="156" w:line="360" w:lineRule="auto"/>
        <w:ind w:firstLine="420" w:firstLineChars="200"/>
        <w:rPr>
          <w:rFonts w:asciiTheme="majorEastAsia" w:hAnsiTheme="majorEastAsia" w:eastAsiaTheme="majorEastAsia"/>
          <w:bCs/>
          <w:color w:val="auto"/>
          <w:szCs w:val="21"/>
        </w:rPr>
      </w:pPr>
      <w:r>
        <w:rPr>
          <w:rFonts w:hint="eastAsia" w:asciiTheme="majorEastAsia" w:hAnsiTheme="majorEastAsia" w:eastAsiaTheme="majorEastAsia"/>
          <w:bCs/>
          <w:color w:val="auto"/>
          <w:szCs w:val="21"/>
        </w:rPr>
        <w:t>评标工作结束时，评委会将本项目综合评审结果向采购人提交书面“评标报告”，各评委对评标报告内容讨论通过后，在“评标报告”上签字，对评标结果予以确认。</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br w:type="page"/>
      </w:r>
    </w:p>
    <w:p>
      <w:pPr>
        <w:autoSpaceDN w:val="0"/>
        <w:adjustRightInd w:val="0"/>
        <w:snapToGrid w:val="0"/>
        <w:spacing w:before="156" w:after="156" w:line="360" w:lineRule="auto"/>
        <w:jc w:val="center"/>
        <w:outlineLvl w:val="1"/>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二、评 标 办 法</w:t>
      </w:r>
    </w:p>
    <w:p>
      <w:pPr>
        <w:autoSpaceDN w:val="0"/>
        <w:adjustRightInd w:val="0"/>
        <w:snapToGrid w:val="0"/>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（一）资格审查</w:t>
      </w:r>
    </w:p>
    <w:tbl>
      <w:tblPr>
        <w:tblStyle w:val="23"/>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7"/>
        <w:gridCol w:w="1999"/>
        <w:gridCol w:w="51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1477" w:type="dxa"/>
            <w:tcBorders>
              <w:top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highlight w:val="none"/>
              </w:rPr>
            </w:pPr>
            <w:r>
              <w:rPr>
                <w:rFonts w:ascii="宋体" w:hAnsi="宋体"/>
                <w:b/>
                <w:color w:val="auto"/>
                <w:szCs w:val="21"/>
                <w:highlight w:val="none"/>
              </w:rPr>
              <w:t>条款号</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highlight w:val="none"/>
              </w:rPr>
            </w:pPr>
            <w:r>
              <w:rPr>
                <w:rFonts w:ascii="宋体" w:hAnsi="宋体"/>
                <w:b/>
                <w:color w:val="auto"/>
                <w:szCs w:val="21"/>
                <w:highlight w:val="none"/>
              </w:rPr>
              <w:t>评审因素</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highlight w:val="none"/>
              </w:rPr>
            </w:pPr>
            <w:r>
              <w:rPr>
                <w:rFonts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1477" w:type="dxa"/>
            <w:vMerge w:val="restart"/>
            <w:tcBorders>
              <w:top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资格评审标准</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营业执照</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rPr>
              <w:t>具备有效的营业执照。</w:t>
            </w:r>
            <w:r>
              <w:rPr>
                <w:rFonts w:hint="eastAsia" w:ascii="宋体" w:hAnsi="宋体"/>
                <w:color w:val="auto"/>
                <w:szCs w:val="21"/>
              </w:rPr>
              <w:t>标书内附营业执照（副本）复印件</w:t>
            </w:r>
            <w:r>
              <w:rPr>
                <w:rFonts w:hint="eastAsia" w:ascii="宋体" w:hAnsi="宋体"/>
                <w:color w:val="auto"/>
                <w:szCs w:val="21"/>
                <w:lang w:val="en-US" w:eastAsia="zh-CN"/>
              </w:rPr>
              <w:t>并</w:t>
            </w:r>
            <w:r>
              <w:rPr>
                <w:rFonts w:hint="eastAsia" w:ascii="宋体" w:hAnsi="宋体"/>
                <w:color w:val="auto"/>
                <w:szCs w:val="21"/>
              </w:rPr>
              <w:t>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财务要求</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具有良好的商业信誉和健全的财务会计制度，提供</w:t>
            </w:r>
            <w:r>
              <w:rPr>
                <w:rFonts w:hint="eastAsia" w:ascii="宋体" w:hAnsi="宋体" w:eastAsia="宋体" w:cs="宋体"/>
                <w:b w:val="0"/>
                <w:bCs w:val="0"/>
                <w:color w:val="auto"/>
                <w:szCs w:val="21"/>
                <w:highlight w:val="none"/>
                <w:lang w:val="zh-CN"/>
              </w:rPr>
              <w:t>20</w:t>
            </w:r>
            <w:r>
              <w:rPr>
                <w:rFonts w:hint="eastAsia" w:ascii="宋体" w:hAnsi="宋体" w:eastAsia="宋体" w:cs="宋体"/>
                <w:b w:val="0"/>
                <w:bCs w:val="0"/>
                <w:color w:val="auto"/>
                <w:szCs w:val="21"/>
                <w:highlight w:val="none"/>
              </w:rPr>
              <w:t>2</w:t>
            </w:r>
            <w:r>
              <w:rPr>
                <w:rFonts w:hint="eastAsia" w:ascii="宋体" w:hAnsi="宋体" w:eastAsia="宋体" w:cs="宋体"/>
                <w:b w:val="0"/>
                <w:bCs w:val="0"/>
                <w:color w:val="auto"/>
                <w:szCs w:val="21"/>
                <w:highlight w:val="none"/>
                <w:lang w:val="en-US" w:eastAsia="zh-CN"/>
              </w:rPr>
              <w:t>2</w:t>
            </w:r>
            <w:r>
              <w:rPr>
                <w:rFonts w:hint="eastAsia" w:ascii="宋体" w:hAnsi="宋体" w:eastAsia="宋体" w:cs="宋体"/>
                <w:b w:val="0"/>
                <w:bCs w:val="0"/>
                <w:color w:val="auto"/>
                <w:szCs w:val="21"/>
                <w:highlight w:val="none"/>
                <w:lang w:val="zh-CN"/>
              </w:rPr>
              <w:t>年经审计的财务审计报告（若为20</w:t>
            </w:r>
            <w:r>
              <w:rPr>
                <w:rFonts w:hint="eastAsia" w:ascii="宋体" w:hAnsi="宋体" w:eastAsia="宋体" w:cs="宋体"/>
                <w:b w:val="0"/>
                <w:bCs w:val="0"/>
                <w:color w:val="auto"/>
                <w:szCs w:val="21"/>
                <w:highlight w:val="none"/>
              </w:rPr>
              <w:t>2</w:t>
            </w:r>
            <w:r>
              <w:rPr>
                <w:rFonts w:hint="eastAsia" w:ascii="宋体" w:hAnsi="宋体" w:eastAsia="宋体" w:cs="宋体"/>
                <w:b w:val="0"/>
                <w:bCs w:val="0"/>
                <w:color w:val="auto"/>
                <w:szCs w:val="21"/>
                <w:highlight w:val="none"/>
                <w:lang w:val="en-US" w:eastAsia="zh-CN"/>
              </w:rPr>
              <w:t>3</w:t>
            </w:r>
            <w:r>
              <w:rPr>
                <w:rFonts w:hint="eastAsia" w:ascii="宋体" w:hAnsi="宋体" w:eastAsia="宋体" w:cs="宋体"/>
                <w:b w:val="0"/>
                <w:bCs w:val="0"/>
                <w:color w:val="auto"/>
                <w:szCs w:val="21"/>
                <w:highlight w:val="none"/>
                <w:lang w:val="zh-CN"/>
              </w:rPr>
              <w:t>年成立公司可提供自成立之日起至今的财务报表）</w:t>
            </w:r>
            <w:r>
              <w:rPr>
                <w:rFonts w:hint="eastAsia" w:ascii="宋体" w:hAnsi="宋体" w:eastAsia="宋体" w:cs="宋体"/>
                <w:b w:val="0"/>
                <w:bCs w:val="0"/>
                <w:color w:val="auto"/>
                <w:szCs w:val="21"/>
                <w:highlight w:val="none"/>
              </w:rPr>
              <w:t>或近三个月内基本银行账户开具的资信证明，标书中附复印件</w:t>
            </w:r>
            <w:r>
              <w:rPr>
                <w:rFonts w:hint="eastAsia" w:ascii="宋体" w:hAnsi="宋体" w:eastAsia="宋体" w:cs="宋体"/>
                <w:b w:val="0"/>
                <w:bCs w:val="0"/>
                <w:color w:val="auto"/>
                <w:szCs w:val="21"/>
                <w:highlight w:val="none"/>
                <w:lang w:val="en-US" w:eastAsia="zh-CN"/>
              </w:rPr>
              <w:t>并</w:t>
            </w:r>
            <w:r>
              <w:rPr>
                <w:rFonts w:hint="eastAsia" w:ascii="宋体" w:hAnsi="宋体" w:eastAsia="宋体" w:cs="宋体"/>
                <w:b w:val="0"/>
                <w:bCs w:val="0"/>
                <w:color w:val="auto"/>
                <w:szCs w:val="21"/>
                <w:highlight w:val="none"/>
              </w:rPr>
              <w:t>加盖公章</w:t>
            </w:r>
            <w:r>
              <w:rPr>
                <w:rFonts w:hint="eastAsia" w:ascii="宋体" w:hAnsi="宋体" w:eastAsia="宋体" w:cs="宋体"/>
                <w:b w:val="0"/>
                <w:bCs w:val="0"/>
                <w:color w:val="auto"/>
                <w:szCs w:val="21"/>
                <w:highlight w:val="none"/>
                <w:lang w:val="en-US" w:eastAsia="zh-CN"/>
              </w:rPr>
              <w:t>或提供资格条件承诺函</w:t>
            </w:r>
            <w:r>
              <w:rPr>
                <w:rFonts w:hint="eastAsia" w:ascii="宋体" w:hAnsi="宋体" w:eastAsia="宋体" w:cs="宋体"/>
                <w:b w:val="0"/>
                <w:bCs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缴纳税收证明</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提供</w:t>
            </w:r>
            <w:r>
              <w:rPr>
                <w:rFonts w:hint="eastAsia" w:ascii="宋体" w:hAnsi="宋体" w:eastAsia="宋体" w:cs="宋体"/>
                <w:b w:val="0"/>
                <w:bCs w:val="0"/>
                <w:color w:val="auto"/>
                <w:szCs w:val="21"/>
                <w:highlight w:val="none"/>
              </w:rPr>
              <w:t>近六个月任意一个月</w:t>
            </w:r>
            <w:r>
              <w:rPr>
                <w:rFonts w:hint="eastAsia" w:ascii="宋体" w:hAnsi="宋体" w:eastAsia="宋体" w:cs="宋体"/>
                <w:b w:val="0"/>
                <w:bCs w:val="0"/>
                <w:color w:val="auto"/>
                <w:highlight w:val="none"/>
              </w:rPr>
              <w:t>依法纳税的凭证</w:t>
            </w:r>
            <w:r>
              <w:rPr>
                <w:rFonts w:hint="eastAsia" w:ascii="宋体" w:hAnsi="宋体" w:eastAsia="宋体" w:cs="宋体"/>
                <w:b w:val="0"/>
                <w:bCs w:val="0"/>
                <w:color w:val="auto"/>
                <w:szCs w:val="21"/>
                <w:highlight w:val="none"/>
              </w:rPr>
              <w:t>或免缴纳证明</w:t>
            </w:r>
            <w:r>
              <w:rPr>
                <w:rFonts w:hint="eastAsia" w:ascii="宋体" w:hAnsi="宋体" w:eastAsia="宋体" w:cs="宋体"/>
                <w:b w:val="0"/>
                <w:bCs w:val="0"/>
                <w:color w:val="auto"/>
                <w:highlight w:val="none"/>
              </w:rPr>
              <w:t>。（投标文件中附复印件加盖公章</w:t>
            </w:r>
            <w:r>
              <w:rPr>
                <w:rFonts w:hint="eastAsia" w:ascii="宋体" w:hAnsi="宋体" w:eastAsia="宋体" w:cs="宋体"/>
                <w:b w:val="0"/>
                <w:bCs w:val="0"/>
                <w:color w:val="auto"/>
                <w:szCs w:val="21"/>
                <w:highlight w:val="none"/>
                <w:lang w:val="en-US" w:eastAsia="zh-CN"/>
              </w:rPr>
              <w:t>或提供资格条件承诺函</w:t>
            </w:r>
            <w:r>
              <w:rPr>
                <w:rFonts w:hint="eastAsia" w:ascii="宋体" w:hAnsi="宋体" w:eastAsia="宋体" w:cs="宋体"/>
                <w:b w:val="0"/>
                <w:bCs w:val="0"/>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社会保障资金的良好记录</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提供近六个月任意一个月社会保障资金缴纳记录（专用收据或社会保险缴纳清单）或免缴纳证明</w:t>
            </w:r>
            <w:r>
              <w:rPr>
                <w:rFonts w:hint="eastAsia" w:ascii="宋体" w:hAnsi="宋体" w:eastAsia="宋体" w:cs="宋体"/>
                <w:b w:val="0"/>
                <w:bCs w:val="0"/>
                <w:color w:val="auto"/>
                <w:highlight w:val="none"/>
              </w:rPr>
              <w:t>（投标文件中附复印件加盖公章</w:t>
            </w:r>
            <w:r>
              <w:rPr>
                <w:rFonts w:hint="eastAsia" w:ascii="宋体" w:hAnsi="宋体" w:eastAsia="宋体" w:cs="宋体"/>
                <w:b w:val="0"/>
                <w:bCs w:val="0"/>
                <w:color w:val="auto"/>
                <w:szCs w:val="21"/>
                <w:highlight w:val="none"/>
                <w:lang w:val="en-US" w:eastAsia="zh-CN"/>
              </w:rPr>
              <w:t>或提供资格条件承诺函</w:t>
            </w:r>
            <w:r>
              <w:rPr>
                <w:rFonts w:hint="eastAsia" w:ascii="宋体" w:hAnsi="宋体" w:eastAsia="宋体" w:cs="宋体"/>
                <w:b w:val="0"/>
                <w:bCs w:val="0"/>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信誉要求</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s="宋体"/>
                <w:bCs/>
                <w:color w:val="auto"/>
                <w:szCs w:val="21"/>
                <w:lang w:val="zh-CN"/>
              </w:rPr>
              <w:t>不接受被政府列入取消投标资格期间的企业或个人参加投标</w:t>
            </w:r>
            <w:r>
              <w:rPr>
                <w:rFonts w:hint="eastAsia" w:ascii="宋体" w:hAnsi="宋体"/>
                <w:color w:val="auto"/>
                <w:spacing w:val="-6"/>
                <w:szCs w:val="21"/>
              </w:rPr>
              <w:t>，</w:t>
            </w:r>
            <w:r>
              <w:rPr>
                <w:rFonts w:hint="eastAsia" w:ascii="宋体" w:hAnsi="宋体" w:cs="宋体"/>
                <w:bCs/>
                <w:color w:val="auto"/>
                <w:lang w:val="zh-CN"/>
              </w:rPr>
              <w:t>参加政府采购活动前3年内在经营活动中没有重大违法记录</w:t>
            </w:r>
            <w:r>
              <w:rPr>
                <w:rFonts w:hint="eastAsia" w:ascii="宋体" w:hAnsi="宋体" w:cs="宋体"/>
                <w:bCs/>
                <w:color w:val="auto"/>
                <w:szCs w:val="21"/>
                <w:lang w:val="zh-CN"/>
              </w:rPr>
              <w:t>。标书内附</w:t>
            </w:r>
            <w:r>
              <w:rPr>
                <w:rFonts w:hint="eastAsia" w:ascii="宋体" w:hAnsi="宋体" w:cs="宋体"/>
                <w:bCs/>
                <w:color w:val="auto"/>
                <w:lang w:val="zh-CN"/>
              </w:rPr>
              <w:t>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vMerge w:val="continue"/>
            <w:tcBorders>
              <w:left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51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rPr>
            </w:pPr>
            <w:r>
              <w:rPr>
                <w:rFonts w:hint="eastAsia" w:ascii="宋体" w:hAnsi="宋体"/>
                <w:color w:val="auto"/>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授权委托书（如有委托代理人）</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auto"/>
              <w:rPr>
                <w:rFonts w:hint="eastAsia" w:ascii="宋体" w:hAnsi="宋体"/>
                <w:color w:val="auto"/>
                <w:szCs w:val="21"/>
              </w:rPr>
            </w:pPr>
            <w:r>
              <w:rPr>
                <w:rFonts w:hint="eastAsia" w:ascii="宋体" w:hAnsi="宋体"/>
                <w:color w:val="auto"/>
                <w:szCs w:val="21"/>
              </w:rPr>
              <w:t>由法定代表人及委托代理人签字并加盖公章。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其他要求</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auto"/>
              <w:rPr>
                <w:rFonts w:hint="eastAsia" w:ascii="宋体" w:hAnsi="宋体"/>
                <w:color w:val="auto"/>
                <w:szCs w:val="21"/>
              </w:rPr>
            </w:pPr>
            <w:r>
              <w:rPr>
                <w:rFonts w:hint="eastAsia" w:ascii="宋体" w:hAnsi="宋体"/>
                <w:color w:val="auto"/>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r>
              <w:rPr>
                <w:rFonts w:hint="eastAsia" w:ascii="宋体" w:hAnsi="宋体" w:cs="宋体"/>
                <w:bCs/>
                <w:color w:val="auto"/>
                <w:szCs w:val="21"/>
                <w:lang w:val="zh-CN"/>
              </w:rPr>
              <w:t>标书内附</w:t>
            </w:r>
            <w:r>
              <w:rPr>
                <w:rFonts w:hint="eastAsia" w:ascii="宋体" w:hAnsi="宋体" w:cs="宋体"/>
                <w:bCs/>
                <w:color w:val="auto"/>
                <w:lang w:val="zh-CN"/>
              </w:rPr>
              <w:t>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restart"/>
            <w:tcBorders>
              <w:top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5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color w:val="auto"/>
                <w:szCs w:val="21"/>
                <w:lang w:val="zh-CN"/>
              </w:rPr>
            </w:pPr>
            <w:r>
              <w:rPr>
                <w:rFonts w:hint="eastAsia" w:ascii="宋体" w:hAnsi="宋体" w:cs="宋体"/>
                <w:color w:val="auto"/>
                <w:szCs w:val="21"/>
                <w:lang w:val="zh-CN"/>
              </w:rPr>
              <w:t>投标人不得存在下列1-5项情形之一：</w:t>
            </w:r>
          </w:p>
          <w:p>
            <w:pPr>
              <w:adjustRightInd w:val="0"/>
              <w:snapToGrid w:val="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）为采购人不具有独立法人资格的附属机构（单位）；</w:t>
            </w:r>
          </w:p>
          <w:p>
            <w:pPr>
              <w:adjustRightInd w:val="0"/>
              <w:snapToGrid w:val="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）被责令停业的；</w:t>
            </w:r>
          </w:p>
          <w:p>
            <w:pPr>
              <w:adjustRightInd w:val="0"/>
              <w:snapToGrid w:val="0"/>
              <w:rPr>
                <w:rFonts w:ascii="宋体" w:hAnsi="宋体"/>
                <w:color w:val="auto"/>
                <w:szCs w:val="21"/>
              </w:rPr>
            </w:pPr>
            <w:r>
              <w:rPr>
                <w:rFonts w:hint="eastAsia" w:ascii="宋体" w:hAnsi="宋体"/>
                <w:color w:val="auto"/>
                <w:szCs w:val="21"/>
              </w:rPr>
              <w:t>（3）被暂停或取消投标资格的；</w:t>
            </w:r>
          </w:p>
          <w:p>
            <w:pPr>
              <w:adjustRightInd w:val="0"/>
              <w:snapToGrid w:val="0"/>
              <w:rPr>
                <w:rFonts w:ascii="宋体" w:hAnsi="宋体"/>
                <w:color w:val="auto"/>
                <w:szCs w:val="21"/>
              </w:rPr>
            </w:pPr>
            <w:r>
              <w:rPr>
                <w:rFonts w:hint="eastAsia" w:ascii="宋体" w:hAnsi="宋体"/>
                <w:color w:val="auto"/>
                <w:szCs w:val="21"/>
              </w:rPr>
              <w:t>（4）财产被接管或冻结的；</w:t>
            </w:r>
          </w:p>
          <w:p>
            <w:pPr>
              <w:adjustRightInd w:val="0"/>
              <w:snapToGrid w:val="0"/>
              <w:rPr>
                <w:rFonts w:ascii="宋体" w:hAnsi="宋体"/>
                <w:color w:val="auto"/>
                <w:szCs w:val="21"/>
              </w:rPr>
            </w:pPr>
            <w:r>
              <w:rPr>
                <w:rFonts w:hint="eastAsia" w:ascii="宋体" w:hAnsi="宋体"/>
                <w:color w:val="auto"/>
                <w:szCs w:val="21"/>
              </w:rPr>
              <w:t>（5）在最近三年内有骗取中标或严重违约或重大质量问题的。</w:t>
            </w:r>
          </w:p>
          <w:p>
            <w:pPr>
              <w:autoSpaceDE w:val="0"/>
              <w:autoSpaceDN w:val="0"/>
              <w:spacing w:line="300" w:lineRule="auto"/>
              <w:rPr>
                <w:rFonts w:hint="eastAsia" w:ascii="宋体" w:hAnsi="宋体"/>
                <w:color w:val="auto"/>
              </w:rPr>
            </w:pPr>
            <w:r>
              <w:rPr>
                <w:rFonts w:hint="eastAsia" w:ascii="宋体" w:hAnsi="宋体"/>
                <w:color w:val="auto"/>
                <w:szCs w:val="21"/>
              </w:rPr>
              <w:t>投标文件中</w:t>
            </w:r>
            <w:r>
              <w:rPr>
                <w:rFonts w:hint="eastAsia" w:ascii="宋体" w:hAnsi="宋体" w:cs="宋体"/>
                <w:color w:val="auto"/>
                <w:szCs w:val="21"/>
              </w:rPr>
              <w:t>附</w:t>
            </w:r>
            <w:r>
              <w:rPr>
                <w:rFonts w:hint="eastAsia" w:ascii="宋体" w:hAnsi="宋体"/>
                <w:color w:val="auto"/>
                <w:szCs w:val="21"/>
              </w:rPr>
              <w:t>由法定代表人签字并加盖</w:t>
            </w:r>
            <w:r>
              <w:rPr>
                <w:rFonts w:hint="eastAsia" w:ascii="宋体" w:hAnsi="宋体" w:cs="宋体-18030"/>
                <w:color w:val="auto"/>
                <w:kern w:val="0"/>
                <w:szCs w:val="21"/>
                <w:lang w:val="zh-CN"/>
              </w:rPr>
              <w:t>投标人</w:t>
            </w:r>
            <w:r>
              <w:rPr>
                <w:rFonts w:hint="eastAsia" w:ascii="宋体" w:hAnsi="宋体"/>
                <w:color w:val="auto"/>
                <w:szCs w:val="21"/>
              </w:rPr>
              <w:t>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其他</w:t>
            </w:r>
          </w:p>
        </w:tc>
        <w:tc>
          <w:tcPr>
            <w:tcW w:w="5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color w:val="auto"/>
                <w:szCs w:val="21"/>
                <w:lang w:val="zh-CN"/>
              </w:rPr>
            </w:pPr>
            <w:r>
              <w:rPr>
                <w:rFonts w:hint="eastAsia" w:ascii="宋体" w:hAnsi="宋体"/>
                <w:color w:val="auto"/>
                <w:szCs w:val="21"/>
              </w:rPr>
              <w:t>法律法规及招标文件规定的其他要求。</w:t>
            </w:r>
          </w:p>
        </w:tc>
      </w:tr>
    </w:tbl>
    <w:p>
      <w:pPr>
        <w:autoSpaceDN w:val="0"/>
        <w:adjustRightInd w:val="0"/>
        <w:snapToGrid w:val="0"/>
        <w:spacing w:line="360" w:lineRule="auto"/>
        <w:ind w:firstLine="360" w:firstLineChars="200"/>
        <w:rPr>
          <w:rFonts w:hint="eastAsia" w:asciiTheme="majorEastAsia" w:hAnsiTheme="majorEastAsia" w:eastAsiaTheme="majorEastAsia"/>
          <w:color w:val="auto"/>
          <w:sz w:val="18"/>
          <w:szCs w:val="18"/>
        </w:rPr>
      </w:pPr>
    </w:p>
    <w:p>
      <w:pPr>
        <w:autoSpaceDN w:val="0"/>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注：（1）上述内容中有一项不合格，则资格审查不合格，不进入</w:t>
      </w:r>
      <w:r>
        <w:rPr>
          <w:rFonts w:hint="eastAsia" w:ascii="宋体" w:hAnsi="宋体" w:eastAsia="宋体" w:cs="宋体"/>
          <w:color w:val="auto"/>
          <w:sz w:val="21"/>
          <w:szCs w:val="21"/>
          <w:lang w:val="en-US" w:eastAsia="zh-CN"/>
        </w:rPr>
        <w:t>后续</w:t>
      </w:r>
      <w:r>
        <w:rPr>
          <w:rFonts w:hint="eastAsia" w:ascii="宋体" w:hAnsi="宋体" w:eastAsia="宋体" w:cs="宋体"/>
          <w:color w:val="auto"/>
          <w:sz w:val="21"/>
          <w:szCs w:val="21"/>
        </w:rPr>
        <w:t>评审；</w:t>
      </w:r>
    </w:p>
    <w:p>
      <w:pPr>
        <w:autoSpaceDN w:val="0"/>
        <w:adjustRightInd w:val="0"/>
        <w:snapToGrid w:val="0"/>
        <w:spacing w:line="360" w:lineRule="auto"/>
        <w:ind w:left="0" w:leftChars="0" w:firstLine="718" w:firstLineChars="342"/>
        <w:rPr>
          <w:rFonts w:hint="eastAsia" w:ascii="宋体" w:hAnsi="宋体" w:eastAsia="宋体" w:cs="宋体"/>
          <w:color w:val="auto"/>
          <w:sz w:val="21"/>
          <w:szCs w:val="21"/>
        </w:rPr>
      </w:pPr>
      <w:r>
        <w:rPr>
          <w:rFonts w:hint="eastAsia" w:ascii="宋体" w:hAnsi="宋体" w:eastAsia="宋体" w:cs="宋体"/>
          <w:color w:val="auto"/>
          <w:sz w:val="21"/>
          <w:szCs w:val="21"/>
        </w:rPr>
        <w:t>（2）公开招标采购项目开标结束后，采购人或采购代理机构应当依法对投标人的资格进行审查。合格投标人不足3家的，不得评标。</w:t>
      </w:r>
    </w:p>
    <w:p>
      <w:pPr>
        <w:pStyle w:val="12"/>
        <w:numPr>
          <w:ilvl w:val="0"/>
          <w:numId w:val="0"/>
        </w:numPr>
        <w:spacing w:line="360" w:lineRule="auto"/>
        <w:ind w:firstLine="630" w:firstLineChars="3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highlight w:val="none"/>
          <w:lang w:val="en-US" w:eastAsia="zh-CN"/>
        </w:rPr>
        <w:t>以上要求供应商提供财务状况报告（表）或其基本开户银行出具的资信证明材料、依法缴纳税收和社保保障资金的证明材料。</w:t>
      </w:r>
      <w:r>
        <w:rPr>
          <w:rFonts w:hint="eastAsia" w:ascii="宋体" w:hAnsi="宋体" w:eastAsia="宋体" w:cs="宋体"/>
          <w:color w:val="auto"/>
          <w:sz w:val="21"/>
          <w:szCs w:val="21"/>
          <w:highlight w:val="none"/>
        </w:rPr>
        <w:t>供应商参加采购活动</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提交反映其财务状况、依法缴纳税收和社保保障资金情况的资格条件承诺函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承诺函附后</w:t>
      </w:r>
      <w:r>
        <w:rPr>
          <w:rFonts w:hint="eastAsia" w:ascii="宋体" w:hAnsi="宋体" w:eastAsia="宋体" w:cs="宋体"/>
          <w:color w:val="auto"/>
          <w:sz w:val="21"/>
          <w:szCs w:val="21"/>
          <w:highlight w:val="none"/>
          <w:lang w:eastAsia="zh-CN"/>
        </w:rPr>
        <w:t>）。</w:t>
      </w:r>
    </w:p>
    <w:p>
      <w:pPr>
        <w:pStyle w:val="18"/>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以下情形不适用：</w:t>
      </w:r>
    </w:p>
    <w:p>
      <w:pPr>
        <w:pStyle w:val="18"/>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1.被列入政府采购不良行为记录名单的，被禁止参加政府采购活动且尚在处罚有效期内的；</w:t>
      </w:r>
    </w:p>
    <w:p>
      <w:pPr>
        <w:pStyle w:val="18"/>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2.被有关部门列入失信被执行人、联合惩戒对象、严重违法失信行为记录等情形的；</w:t>
      </w:r>
    </w:p>
    <w:p>
      <w:pPr>
        <w:pStyle w:val="18"/>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3.其他法律法规规定的不适用于资格条件信用承诺的情</w:t>
      </w:r>
      <w:r>
        <w:rPr>
          <w:rFonts w:hint="eastAsia" w:ascii="宋体" w:hAnsi="宋体" w:eastAsia="宋体" w:cs="宋体"/>
          <w:color w:val="auto"/>
          <w:sz w:val="21"/>
          <w:szCs w:val="21"/>
          <w:highlight w:val="none"/>
          <w:lang w:val="en-US" w:eastAsia="zh-CN"/>
        </w:rPr>
        <w:t>行。</w:t>
      </w:r>
    </w:p>
    <w:p>
      <w:pPr>
        <w:pStyle w:val="18"/>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1"/>
          <w:szCs w:val="21"/>
          <w:highlight w:val="none"/>
          <w:lang w:val="en-US" w:eastAsia="zh-CN"/>
        </w:rPr>
      </w:pP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pStyle w:val="18"/>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附件：</w:t>
      </w:r>
    </w:p>
    <w:p>
      <w:pPr>
        <w:pStyle w:val="18"/>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资格条件承诺函</w:t>
      </w:r>
    </w:p>
    <w:p>
      <w:pPr>
        <w:pStyle w:val="18"/>
        <w:keepNext w:val="0"/>
        <w:keepLines w:val="0"/>
        <w:widowControl/>
        <w:suppressLineNumbers w:val="0"/>
        <w:spacing w:before="0" w:beforeAutospacing="0" w:after="0" w:afterAutospacing="0" w:line="480" w:lineRule="auto"/>
        <w:ind w:left="0" w:right="0" w:firstLine="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（采购人、采购代理机构）</w:t>
      </w:r>
      <w:r>
        <w:rPr>
          <w:rFonts w:hint="eastAsia" w:ascii="宋体" w:hAnsi="宋体" w:eastAsia="宋体" w:cs="宋体"/>
          <w:color w:val="auto"/>
          <w:highlight w:val="none"/>
          <w:lang w:val="en-US" w:eastAsia="zh-CN"/>
        </w:rPr>
        <w:t xml:space="preserve">   </w:t>
      </w:r>
    </w:p>
    <w:p>
      <w:pPr>
        <w:pStyle w:val="18"/>
        <w:keepNext w:val="0"/>
        <w:keepLines w:val="0"/>
        <w:widowControl/>
        <w:suppressLineNumbers w:val="0"/>
        <w:spacing w:before="0" w:beforeAutospacing="0" w:after="0" w:afterAutospacing="0" w:line="480" w:lineRule="auto"/>
        <w:ind w:left="0" w:righ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我单位（公司）参与</w:t>
      </w:r>
      <w:r>
        <w:rPr>
          <w:rFonts w:hint="eastAsia" w:ascii="宋体" w:hAnsi="宋体" w:eastAsia="宋体" w:cs="宋体"/>
          <w:color w:val="auto"/>
          <w:highlight w:val="none"/>
          <w:u w:val="single"/>
        </w:rPr>
        <w:t>（采购项目名称 项目编号）</w:t>
      </w:r>
      <w:r>
        <w:rPr>
          <w:rFonts w:hint="eastAsia" w:ascii="宋体" w:hAnsi="宋体" w:eastAsia="宋体" w:cs="宋体"/>
          <w:color w:val="auto"/>
          <w:highlight w:val="none"/>
        </w:rPr>
        <w:t>采购项目的政府采购活动，现承诺如下：</w:t>
      </w:r>
    </w:p>
    <w:p>
      <w:pPr>
        <w:pStyle w:val="18"/>
        <w:keepNext w:val="0"/>
        <w:keepLines w:val="0"/>
        <w:widowControl/>
        <w:numPr>
          <w:ilvl w:val="0"/>
          <w:numId w:val="5"/>
        </w:numPr>
        <w:suppressLineNumbers w:val="0"/>
        <w:spacing w:before="0" w:beforeAutospacing="0" w:after="0" w:afterAutospacing="0" w:line="48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p>
      <w:pPr>
        <w:pStyle w:val="18"/>
        <w:keepNext w:val="0"/>
        <w:keepLines w:val="0"/>
        <w:widowControl/>
        <w:numPr>
          <w:ilvl w:val="0"/>
          <w:numId w:val="5"/>
        </w:numPr>
        <w:suppressLineNumbers w:val="0"/>
        <w:spacing w:before="0" w:beforeAutospacing="0" w:after="0" w:afterAutospacing="0" w:line="480" w:lineRule="auto"/>
        <w:ind w:left="0" w:leftChars="0" w:right="0"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具有依法缴纳税收的良好记录；</w:t>
      </w:r>
    </w:p>
    <w:p>
      <w:pPr>
        <w:pStyle w:val="18"/>
        <w:keepNext w:val="0"/>
        <w:keepLines w:val="0"/>
        <w:widowControl/>
        <w:numPr>
          <w:ilvl w:val="0"/>
          <w:numId w:val="0"/>
        </w:numPr>
        <w:suppressLineNumbers w:val="0"/>
        <w:spacing w:before="0" w:beforeAutospacing="0" w:after="0" w:afterAutospacing="0" w:line="480" w:lineRule="auto"/>
        <w:ind w:leftChars="0" w:right="0" w:rightChars="0"/>
        <w:rPr>
          <w:rFonts w:hint="eastAsia" w:ascii="宋体" w:hAnsi="宋体" w:eastAsia="宋体" w:cs="宋体"/>
          <w:color w:val="auto"/>
          <w:highlight w:val="none"/>
        </w:rPr>
      </w:pPr>
      <w:r>
        <w:rPr>
          <w:rFonts w:hint="eastAsia" w:ascii="宋体" w:hAnsi="宋体" w:eastAsia="宋体" w:cs="宋体"/>
          <w:color w:val="auto"/>
          <w:highlight w:val="none"/>
        </w:rPr>
        <w:t>3.具有依法缴纳社会保障金的良好记录。</w:t>
      </w:r>
    </w:p>
    <w:p>
      <w:pPr>
        <w:pStyle w:val="18"/>
        <w:keepNext w:val="0"/>
        <w:keepLines w:val="0"/>
        <w:widowControl/>
        <w:suppressLineNumbers w:val="0"/>
        <w:spacing w:before="0" w:beforeAutospacing="0" w:after="0" w:afterAutospacing="0" w:line="480" w:lineRule="auto"/>
        <w:ind w:left="0" w:right="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我方在采购项目评审（评标）环节结束后，随时接受采购人、采购代理机构的检查验证，配合提供相关证明材料，证明符合《中华人民共和国政府采购法》规定的供应商基本资格条件。</w:t>
      </w:r>
    </w:p>
    <w:p>
      <w:pPr>
        <w:pStyle w:val="18"/>
        <w:keepNext w:val="0"/>
        <w:keepLines w:val="0"/>
        <w:widowControl/>
        <w:suppressLineNumbers w:val="0"/>
        <w:spacing w:before="0" w:beforeAutospacing="0" w:after="0" w:afterAutospacing="0" w:line="480" w:lineRule="auto"/>
        <w:ind w:left="479" w:leftChars="228"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我单位（公司）对上述承诺的真实性负责。如有虚假，将依法承担相应责任。特此承诺。</w:t>
      </w:r>
    </w:p>
    <w:p>
      <w:pPr>
        <w:pStyle w:val="18"/>
        <w:keepNext w:val="0"/>
        <w:keepLines w:val="0"/>
        <w:widowControl/>
        <w:suppressLineNumbers w:val="0"/>
        <w:spacing w:before="0" w:beforeAutospacing="0" w:after="0" w:afterAutospacing="0" w:line="480" w:lineRule="auto"/>
        <w:ind w:left="0" w:right="0" w:firstLine="2640" w:firstLineChars="1100"/>
        <w:rPr>
          <w:rFonts w:hint="eastAsia" w:ascii="宋体" w:hAnsi="宋体" w:eastAsia="宋体" w:cs="宋体"/>
          <w:color w:val="auto"/>
          <w:highlight w:val="none"/>
        </w:rPr>
      </w:pPr>
      <w:r>
        <w:rPr>
          <w:rFonts w:hint="eastAsia" w:ascii="宋体" w:hAnsi="宋体" w:eastAsia="宋体" w:cs="宋体"/>
          <w:color w:val="auto"/>
          <w:highlight w:val="none"/>
        </w:rPr>
        <w:t>盖章：</w:t>
      </w:r>
    </w:p>
    <w:p>
      <w:pPr>
        <w:pStyle w:val="18"/>
        <w:keepNext w:val="0"/>
        <w:keepLines w:val="0"/>
        <w:widowControl/>
        <w:suppressLineNumbers w:val="0"/>
        <w:spacing w:before="0" w:beforeAutospacing="0" w:after="0" w:afterAutospacing="0" w:line="480" w:lineRule="auto"/>
        <w:ind w:left="0" w:right="0" w:firstLine="2640" w:firstLineChars="1100"/>
        <w:rPr>
          <w:rFonts w:hint="eastAsia" w:ascii="宋体" w:hAnsi="宋体" w:eastAsia="宋体" w:cs="宋体"/>
          <w:color w:val="auto"/>
          <w:highlight w:val="none"/>
        </w:rPr>
      </w:pPr>
      <w:r>
        <w:rPr>
          <w:rFonts w:hint="eastAsia" w:ascii="宋体" w:hAnsi="宋体" w:eastAsia="宋体" w:cs="宋体"/>
          <w:color w:val="auto"/>
          <w:highlight w:val="none"/>
        </w:rPr>
        <w:t>签字：</w:t>
      </w:r>
    </w:p>
    <w:p>
      <w:pPr>
        <w:pStyle w:val="18"/>
        <w:keepNext w:val="0"/>
        <w:keepLines w:val="0"/>
        <w:widowControl/>
        <w:suppressLineNumbers w:val="0"/>
        <w:spacing w:before="0" w:beforeAutospacing="0" w:after="0" w:afterAutospacing="0" w:line="480" w:lineRule="auto"/>
        <w:ind w:left="0" w:right="0" w:firstLine="2640" w:firstLineChars="1100"/>
        <w:rPr>
          <w:rFonts w:hint="eastAsia" w:ascii="宋体" w:hAnsi="宋体" w:eastAsia="宋体" w:cs="宋体"/>
          <w:color w:val="auto"/>
          <w:highlight w:val="none"/>
        </w:rPr>
      </w:pPr>
      <w:r>
        <w:rPr>
          <w:rFonts w:hint="eastAsia" w:ascii="宋体" w:hAnsi="宋体" w:eastAsia="宋体" w:cs="宋体"/>
          <w:color w:val="auto"/>
          <w:highlight w:val="none"/>
        </w:rPr>
        <w:t>日期：</w:t>
      </w:r>
    </w:p>
    <w:p>
      <w:pPr>
        <w:autoSpaceDE w:val="0"/>
        <w:autoSpaceDN w:val="0"/>
        <w:adjustRightInd w:val="0"/>
        <w:spacing w:line="440" w:lineRule="exact"/>
        <w:jc w:val="left"/>
        <w:rPr>
          <w:rFonts w:hint="eastAsia" w:ascii="宋体" w:hAnsi="宋体" w:cs="宋体-18030"/>
          <w:color w:val="auto"/>
          <w:kern w:val="0"/>
          <w:szCs w:val="21"/>
        </w:rPr>
      </w:pPr>
    </w:p>
    <w:p>
      <w:pPr>
        <w:pStyle w:val="21"/>
        <w:autoSpaceDN w:val="0"/>
        <w:adjustRightInd w:val="0"/>
        <w:snapToGrid w:val="0"/>
        <w:spacing w:line="360" w:lineRule="auto"/>
        <w:rPr>
          <w:rFonts w:hint="eastAsia" w:asciiTheme="majorEastAsia" w:hAnsiTheme="majorEastAsia" w:eastAsiaTheme="majorEastAsia"/>
          <w:color w:val="auto"/>
          <w:sz w:val="18"/>
          <w:szCs w:val="18"/>
        </w:rPr>
      </w:pPr>
    </w:p>
    <w:p>
      <w:pPr>
        <w:pStyle w:val="21"/>
        <w:autoSpaceDN w:val="0"/>
        <w:adjustRightInd w:val="0"/>
        <w:snapToGrid w:val="0"/>
        <w:spacing w:line="360" w:lineRule="auto"/>
        <w:rPr>
          <w:rFonts w:hint="eastAsia" w:asciiTheme="majorEastAsia" w:hAnsiTheme="majorEastAsia" w:eastAsiaTheme="majorEastAsia"/>
          <w:color w:val="auto"/>
          <w:sz w:val="18"/>
          <w:szCs w:val="18"/>
        </w:rPr>
      </w:pPr>
    </w:p>
    <w:p>
      <w:pPr>
        <w:autoSpaceDN w:val="0"/>
        <w:adjustRightInd w:val="0"/>
        <w:snapToGrid w:val="0"/>
        <w:spacing w:line="360" w:lineRule="auto"/>
        <w:rPr>
          <w:rFonts w:cs="宋体" w:asciiTheme="majorEastAsia" w:hAnsiTheme="majorEastAsia" w:eastAsiaTheme="majorEastAsia"/>
          <w:color w:val="auto"/>
          <w:sz w:val="24"/>
          <w:lang w:val="zh-CN"/>
        </w:rPr>
      </w:pPr>
      <w:r>
        <w:rPr>
          <w:rFonts w:hint="eastAsia" w:cs="宋体" w:asciiTheme="majorEastAsia" w:hAnsiTheme="majorEastAsia" w:eastAsiaTheme="majorEastAsia"/>
          <w:color w:val="auto"/>
          <w:sz w:val="24"/>
          <w:lang w:val="zh-CN"/>
        </w:rPr>
        <w:br w:type="page"/>
      </w:r>
    </w:p>
    <w:p>
      <w:pPr>
        <w:autoSpaceDN w:val="0"/>
        <w:adjustRightInd w:val="0"/>
        <w:snapToGrid w:val="0"/>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（二）符合性审查表</w:t>
      </w:r>
    </w:p>
    <w:p>
      <w:pPr>
        <w:autoSpaceDN w:val="0"/>
        <w:adjustRightInd w:val="0"/>
        <w:snapToGrid w:val="0"/>
        <w:spacing w:line="360" w:lineRule="auto"/>
        <w:jc w:val="center"/>
        <w:rPr>
          <w:rFonts w:hint="eastAsia" w:asciiTheme="majorEastAsia" w:hAnsiTheme="majorEastAsia" w:eastAsiaTheme="majorEastAsia"/>
          <w:b/>
          <w:bCs/>
          <w:color w:val="auto"/>
          <w:sz w:val="24"/>
        </w:rPr>
      </w:pPr>
      <w:r>
        <w:rPr>
          <w:rFonts w:hint="eastAsia" w:asciiTheme="majorEastAsia" w:hAnsiTheme="majorEastAsia" w:eastAsiaTheme="majorEastAsia"/>
          <w:b/>
          <w:bCs/>
          <w:color w:val="auto"/>
          <w:sz w:val="24"/>
        </w:rPr>
        <w:t>符合性审查表</w:t>
      </w:r>
    </w:p>
    <w:tbl>
      <w:tblPr>
        <w:tblStyle w:val="23"/>
        <w:tblW w:w="91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3"/>
        <w:gridCol w:w="1181"/>
        <w:gridCol w:w="1999"/>
        <w:gridCol w:w="48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2254"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rPr>
            </w:pPr>
            <w:r>
              <w:rPr>
                <w:rFonts w:ascii="宋体" w:hAnsi="宋体"/>
                <w:b/>
                <w:color w:val="auto"/>
                <w:szCs w:val="21"/>
              </w:rPr>
              <w:t>条款号</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rPr>
            </w:pPr>
            <w:r>
              <w:rPr>
                <w:rFonts w:ascii="宋体" w:hAnsi="宋体"/>
                <w:b/>
                <w:color w:val="auto"/>
                <w:szCs w:val="21"/>
              </w:rPr>
              <w:t>评审因素</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b/>
                <w:color w:val="auto"/>
                <w:szCs w:val="21"/>
              </w:rPr>
            </w:pPr>
            <w:r>
              <w:rPr>
                <w:rFonts w:ascii="宋体" w:hAnsi="宋体"/>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restart"/>
            <w:tcBorders>
              <w:top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2.</w:t>
            </w:r>
            <w:r>
              <w:rPr>
                <w:rFonts w:hint="eastAsia" w:ascii="宋体" w:hAnsi="宋体"/>
                <w:color w:val="auto"/>
                <w:szCs w:val="21"/>
              </w:rPr>
              <w:t>2</w:t>
            </w:r>
            <w:r>
              <w:rPr>
                <w:rFonts w:ascii="宋体" w:hAnsi="宋体"/>
                <w:color w:val="auto"/>
                <w:szCs w:val="21"/>
              </w:rPr>
              <w:t>.1</w:t>
            </w:r>
          </w:p>
        </w:tc>
        <w:tc>
          <w:tcPr>
            <w:tcW w:w="1181" w:type="dxa"/>
            <w:vMerge w:val="restart"/>
            <w:tcBorders>
              <w:top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形式评审标准</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投标人名称</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ascii="宋体" w:hAnsi="宋体"/>
                <w:color w:val="auto"/>
                <w:szCs w:val="21"/>
              </w:rPr>
              <w:t>与营业执照一致</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jc w:val="center"/>
        </w:trPr>
        <w:tc>
          <w:tcPr>
            <w:tcW w:w="1073"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投标函签字盖章</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ascii="宋体" w:hAnsi="宋体"/>
                <w:color w:val="auto"/>
                <w:szCs w:val="21"/>
              </w:rPr>
              <w:t>有法定代表人或其委托代理人签字</w:t>
            </w:r>
            <w:r>
              <w:rPr>
                <w:rFonts w:hint="eastAsia" w:ascii="宋体" w:hAnsi="宋体"/>
                <w:color w:val="auto"/>
                <w:szCs w:val="21"/>
              </w:rPr>
              <w:t>和</w:t>
            </w:r>
            <w:r>
              <w:rPr>
                <w:rFonts w:ascii="宋体" w:hAnsi="宋体"/>
                <w:color w:val="auto"/>
                <w:szCs w:val="21"/>
              </w:rPr>
              <w:t>加盖单位章</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6" w:hRule="atLeast"/>
          <w:jc w:val="center"/>
        </w:trPr>
        <w:tc>
          <w:tcPr>
            <w:tcW w:w="1073"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投标文件格式</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ascii="宋体" w:hAnsi="宋体"/>
                <w:color w:val="auto"/>
                <w:szCs w:val="21"/>
              </w:rPr>
              <w:t>符合 “投标文件格式”的要求</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073"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top w:val="nil"/>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报价唯一</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ascii="宋体" w:hAnsi="宋体"/>
                <w:color w:val="auto"/>
                <w:szCs w:val="21"/>
              </w:rPr>
              <w:t>只能有一个有效报价</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9" w:hRule="atLeast"/>
          <w:jc w:val="center"/>
        </w:trPr>
        <w:tc>
          <w:tcPr>
            <w:tcW w:w="1073" w:type="dxa"/>
            <w:vMerge w:val="restart"/>
            <w:tcBorders>
              <w:top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ascii="宋体" w:hAnsi="宋体"/>
                <w:color w:val="auto"/>
                <w:szCs w:val="21"/>
              </w:rPr>
              <w:t>2.</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2</w:t>
            </w:r>
          </w:p>
        </w:tc>
        <w:tc>
          <w:tcPr>
            <w:tcW w:w="1181" w:type="dxa"/>
            <w:vMerge w:val="restart"/>
            <w:tcBorders>
              <w:top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ascii="宋体" w:hAnsi="宋体"/>
                <w:color w:val="auto"/>
                <w:szCs w:val="21"/>
              </w:rPr>
              <w:t>响应性</w:t>
            </w:r>
          </w:p>
          <w:p>
            <w:pPr>
              <w:spacing w:line="300" w:lineRule="auto"/>
              <w:jc w:val="center"/>
              <w:rPr>
                <w:rFonts w:hint="eastAsia" w:ascii="宋体" w:hAnsi="宋体"/>
                <w:color w:val="auto"/>
                <w:szCs w:val="21"/>
              </w:rPr>
            </w:pPr>
            <w:r>
              <w:rPr>
                <w:rFonts w:ascii="宋体" w:hAnsi="宋体"/>
                <w:color w:val="auto"/>
                <w:szCs w:val="21"/>
              </w:rPr>
              <w:t>评审</w:t>
            </w:r>
          </w:p>
          <w:p>
            <w:pPr>
              <w:spacing w:line="300" w:lineRule="auto"/>
              <w:jc w:val="center"/>
              <w:rPr>
                <w:rFonts w:hint="eastAsia" w:ascii="宋体" w:hAnsi="宋体"/>
                <w:color w:val="auto"/>
                <w:szCs w:val="21"/>
              </w:rPr>
            </w:pPr>
            <w:r>
              <w:rPr>
                <w:rFonts w:ascii="宋体" w:hAnsi="宋体"/>
                <w:color w:val="auto"/>
                <w:szCs w:val="21"/>
              </w:rPr>
              <w:t>标准</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投标报价</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不超过采购预算。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continue"/>
            <w:tcBorders>
              <w:top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1181" w:type="dxa"/>
            <w:vMerge w:val="continue"/>
            <w:tcBorders>
              <w:top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投标内容</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ascii="宋体" w:hAnsi="宋体"/>
                <w:color w:val="auto"/>
                <w:szCs w:val="21"/>
              </w:rPr>
              <w:t>符合第二章“投标人须知”</w:t>
            </w:r>
            <w:r>
              <w:rPr>
                <w:rFonts w:hint="eastAsia" w:ascii="宋体" w:hAnsi="宋体"/>
                <w:color w:val="auto"/>
                <w:szCs w:val="21"/>
                <w:lang w:val="en-US" w:eastAsia="zh-CN"/>
              </w:rPr>
              <w:t>投标内容</w:t>
            </w:r>
            <w:r>
              <w:rPr>
                <w:rFonts w:ascii="宋体" w:hAnsi="宋体"/>
                <w:color w:val="auto"/>
                <w:szCs w:val="21"/>
              </w:rPr>
              <w:t>规定</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7"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Theme="majorEastAsia" w:hAnsiTheme="majorEastAsia" w:eastAsiaTheme="majorEastAsia"/>
                <w:color w:val="auto"/>
                <w:szCs w:val="21"/>
              </w:rPr>
              <w:t>合同履行期限</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hint="eastAsia" w:ascii="宋体" w:hAnsi="宋体"/>
                <w:color w:val="auto"/>
                <w:szCs w:val="21"/>
              </w:rPr>
              <w:t>接到供货指令后30日内完成供货、安装、调试。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4"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供货地点</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both"/>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采购人指定地点，送货上门服务。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ascii="宋体" w:hAnsi="宋体"/>
                <w:color w:val="auto"/>
                <w:szCs w:val="21"/>
              </w:rPr>
              <w:t>质量</w:t>
            </w:r>
            <w:r>
              <w:rPr>
                <w:rFonts w:hint="eastAsia" w:ascii="宋体" w:hAnsi="宋体"/>
                <w:color w:val="auto"/>
                <w:szCs w:val="21"/>
              </w:rPr>
              <w:t>要求</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hint="eastAsia" w:ascii="宋体" w:hAnsi="宋体"/>
                <w:color w:val="auto"/>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投标有效期</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技术规格及要求</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满足招标文件要求</w:t>
            </w:r>
            <w:r>
              <w:rPr>
                <w:rFonts w:hint="eastAsia" w:ascii="宋体" w:hAnsi="宋体"/>
                <w:color w:val="auto"/>
                <w:szCs w:val="21"/>
                <w:lang w:val="en-US" w:eastAsia="zh-CN"/>
              </w:rPr>
              <w:t>并提供相关证明材料</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联合体</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不是联合体投标。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投标保证金</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hint="eastAsia" w:ascii="宋体" w:hAnsi="宋体"/>
                <w:color w:val="auto"/>
                <w:szCs w:val="21"/>
              </w:rPr>
              <w:t>满足投标人须知前附表</w:t>
            </w:r>
            <w:r>
              <w:rPr>
                <w:rFonts w:hint="eastAsia" w:ascii="宋体" w:hAnsi="宋体"/>
                <w:color w:val="auto"/>
                <w:szCs w:val="21"/>
                <w:lang w:eastAsia="zh-CN"/>
              </w:rPr>
              <w:t>投标保证金</w:t>
            </w:r>
            <w:r>
              <w:rPr>
                <w:rFonts w:hint="eastAsia" w:ascii="宋体" w:hAnsi="宋体"/>
                <w:color w:val="auto"/>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181" w:type="dxa"/>
            <w:vMerge w:val="continue"/>
            <w:tcBorders>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ascii="宋体" w:hAnsi="宋体"/>
                <w:color w:val="auto"/>
                <w:szCs w:val="21"/>
              </w:rPr>
              <w:t>权利义务</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ascii="宋体" w:hAnsi="宋体"/>
                <w:color w:val="auto"/>
                <w:szCs w:val="21"/>
              </w:rPr>
              <w:t>符合第</w:t>
            </w:r>
            <w:r>
              <w:rPr>
                <w:rFonts w:hint="eastAsia" w:ascii="宋体" w:hAnsi="宋体"/>
                <w:color w:val="auto"/>
                <w:szCs w:val="21"/>
                <w:lang w:val="en-US" w:eastAsia="zh-CN"/>
              </w:rPr>
              <w:t>五</w:t>
            </w:r>
            <w:r>
              <w:rPr>
                <w:rFonts w:ascii="宋体" w:hAnsi="宋体"/>
                <w:color w:val="auto"/>
                <w:szCs w:val="21"/>
              </w:rPr>
              <w:t>章“合同条款”规定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tcBorders>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181" w:type="dxa"/>
            <w:tcBorders>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其他</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r>
              <w:rPr>
                <w:rFonts w:hint="eastAsia" w:ascii="宋体" w:hAnsi="宋体"/>
                <w:color w:val="auto"/>
                <w:szCs w:val="21"/>
              </w:rPr>
              <w:t>法律法规及招标文件规定的其他要求。</w:t>
            </w:r>
          </w:p>
        </w:tc>
      </w:tr>
    </w:tbl>
    <w:p>
      <w:pPr>
        <w:pStyle w:val="2"/>
        <w:widowControl w:val="0"/>
        <w:numPr>
          <w:ilvl w:val="0"/>
          <w:numId w:val="0"/>
        </w:numPr>
        <w:spacing w:line="360" w:lineRule="auto"/>
        <w:jc w:val="both"/>
        <w:rPr>
          <w:rFonts w:hint="eastAsia" w:asciiTheme="majorEastAsia" w:hAnsiTheme="majorEastAsia" w:eastAsiaTheme="majorEastAsia"/>
          <w:b/>
          <w:bCs/>
          <w:color w:val="auto"/>
          <w:sz w:val="24"/>
        </w:rPr>
      </w:pPr>
    </w:p>
    <w:p>
      <w:pPr>
        <w:pStyle w:val="2"/>
        <w:widowControl w:val="0"/>
        <w:numPr>
          <w:ilvl w:val="0"/>
          <w:numId w:val="0"/>
        </w:numPr>
        <w:spacing w:line="360" w:lineRule="auto"/>
        <w:jc w:val="both"/>
        <w:rPr>
          <w:rFonts w:hint="eastAsia" w:asciiTheme="majorEastAsia" w:hAnsiTheme="majorEastAsia" w:eastAsiaTheme="majorEastAsia"/>
          <w:b/>
          <w:bCs/>
          <w:color w:val="auto"/>
          <w:sz w:val="24"/>
        </w:rPr>
      </w:pPr>
    </w:p>
    <w:p>
      <w:pPr>
        <w:autoSpaceDN w:val="0"/>
        <w:adjustRightInd w:val="0"/>
        <w:snapToGrid w:val="0"/>
        <w:spacing w:line="360" w:lineRule="auto"/>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注：供应商或其投标文件不符合上述情况之一的，则符合性审查不合格，不进入详细评审；</w:t>
      </w:r>
    </w:p>
    <w:p>
      <w:pPr>
        <w:autoSpaceDN w:val="0"/>
        <w:adjustRightInd w:val="0"/>
        <w:snapToGrid w:val="0"/>
        <w:spacing w:line="360" w:lineRule="auto"/>
        <w:rPr>
          <w:rFonts w:cs="黑体" w:asciiTheme="majorEastAsia" w:hAnsiTheme="majorEastAsia" w:eastAsiaTheme="majorEastAsia"/>
          <w:b/>
          <w:bCs/>
          <w:color w:val="auto"/>
          <w:sz w:val="24"/>
        </w:rPr>
      </w:pPr>
      <w:r>
        <w:rPr>
          <w:rFonts w:hint="eastAsia" w:cs="黑体" w:asciiTheme="majorEastAsia" w:hAnsiTheme="majorEastAsia" w:eastAsiaTheme="majorEastAsia"/>
          <w:b/>
          <w:bCs/>
          <w:color w:val="auto"/>
          <w:sz w:val="24"/>
        </w:rPr>
        <w:br w:type="page"/>
      </w:r>
      <w:r>
        <w:rPr>
          <w:rFonts w:hint="eastAsia" w:asciiTheme="majorEastAsia" w:hAnsiTheme="majorEastAsia" w:eastAsiaTheme="majorEastAsia"/>
          <w:b/>
          <w:bCs/>
          <w:color w:val="auto"/>
          <w:sz w:val="24"/>
        </w:rPr>
        <w:t xml:space="preserve">（三）详细评审 </w:t>
      </w:r>
    </w:p>
    <w:p>
      <w:pPr>
        <w:pStyle w:val="12"/>
        <w:tabs>
          <w:tab w:val="left" w:pos="6840"/>
        </w:tabs>
        <w:autoSpaceDN w:val="0"/>
        <w:adjustRightInd w:val="0"/>
        <w:snapToGrid w:val="0"/>
        <w:spacing w:line="360" w:lineRule="auto"/>
        <w:ind w:right="-57"/>
        <w:jc w:val="center"/>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详细评审表</w:t>
      </w:r>
    </w:p>
    <w:tbl>
      <w:tblPr>
        <w:tblStyle w:val="23"/>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896"/>
        <w:gridCol w:w="5343"/>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2792" w:type="dxa"/>
            <w:gridSpan w:val="2"/>
            <w:noWrap w:val="0"/>
            <w:vAlign w:val="center"/>
          </w:tcPr>
          <w:p>
            <w:pPr>
              <w:pStyle w:val="12"/>
              <w:tabs>
                <w:tab w:val="left" w:pos="6840"/>
              </w:tabs>
              <w:adjustRightInd w:val="0"/>
              <w:snapToGrid w:val="0"/>
              <w:spacing w:before="36" w:beforeLines="15" w:line="276" w:lineRule="auto"/>
              <w:ind w:right="-56"/>
              <w:jc w:val="center"/>
              <w:rPr>
                <w:rFonts w:ascii="宋体" w:hAnsi="宋体"/>
                <w:color w:val="auto"/>
                <w:szCs w:val="21"/>
              </w:rPr>
            </w:pPr>
            <w:r>
              <w:rPr>
                <w:rFonts w:hint="eastAsia" w:ascii="宋体" w:hAnsi="宋体"/>
                <w:color w:val="auto"/>
                <w:szCs w:val="21"/>
              </w:rPr>
              <w:t>评审内容</w:t>
            </w:r>
          </w:p>
        </w:tc>
        <w:tc>
          <w:tcPr>
            <w:tcW w:w="5343" w:type="dxa"/>
            <w:noWrap w:val="0"/>
            <w:vAlign w:val="center"/>
          </w:tcPr>
          <w:p>
            <w:pPr>
              <w:pStyle w:val="12"/>
              <w:tabs>
                <w:tab w:val="left" w:pos="6840"/>
              </w:tabs>
              <w:adjustRightInd w:val="0"/>
              <w:snapToGrid w:val="0"/>
              <w:spacing w:before="36" w:beforeLines="15" w:line="276" w:lineRule="auto"/>
              <w:ind w:right="-56"/>
              <w:jc w:val="center"/>
              <w:rPr>
                <w:rFonts w:ascii="宋体" w:hAnsi="宋体"/>
                <w:color w:val="auto"/>
                <w:szCs w:val="21"/>
              </w:rPr>
            </w:pPr>
            <w:r>
              <w:rPr>
                <w:rFonts w:hint="eastAsia" w:ascii="宋体" w:hAnsi="宋体"/>
                <w:color w:val="auto"/>
                <w:szCs w:val="21"/>
              </w:rPr>
              <w:t>评审标准</w:t>
            </w:r>
          </w:p>
        </w:tc>
        <w:tc>
          <w:tcPr>
            <w:tcW w:w="783" w:type="dxa"/>
            <w:noWrap w:val="0"/>
            <w:vAlign w:val="center"/>
          </w:tcPr>
          <w:p>
            <w:pPr>
              <w:pStyle w:val="12"/>
              <w:tabs>
                <w:tab w:val="left" w:pos="6840"/>
              </w:tabs>
              <w:adjustRightInd w:val="0"/>
              <w:snapToGrid w:val="0"/>
              <w:spacing w:before="36" w:beforeLines="15" w:line="276" w:lineRule="auto"/>
              <w:ind w:right="-56"/>
              <w:jc w:val="center"/>
              <w:rPr>
                <w:rFonts w:hint="eastAsia" w:ascii="宋体" w:hAnsi="宋体"/>
                <w:color w:val="auto"/>
                <w:szCs w:val="21"/>
              </w:rPr>
            </w:pPr>
            <w:r>
              <w:rPr>
                <w:rFonts w:hint="eastAsia" w:ascii="宋体" w:hAnsi="宋体"/>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792" w:type="dxa"/>
            <w:gridSpan w:val="2"/>
            <w:noWrap w:val="0"/>
            <w:vAlign w:val="center"/>
          </w:tcPr>
          <w:p>
            <w:pPr>
              <w:adjustRightInd w:val="0"/>
              <w:snapToGrid w:val="0"/>
              <w:spacing w:before="36" w:beforeLines="15" w:line="276" w:lineRule="auto"/>
              <w:jc w:val="center"/>
              <w:rPr>
                <w:rFonts w:ascii="宋体" w:hAnsi="宋体"/>
                <w:color w:val="auto"/>
                <w:szCs w:val="21"/>
                <w:highlight w:val="none"/>
              </w:rPr>
            </w:pPr>
            <w:r>
              <w:rPr>
                <w:rFonts w:hint="eastAsia" w:ascii="宋体" w:hAnsi="宋体"/>
                <w:color w:val="auto"/>
                <w:szCs w:val="21"/>
                <w:highlight w:val="none"/>
              </w:rPr>
              <w:t>投标报价（</w:t>
            </w:r>
            <w:r>
              <w:rPr>
                <w:rFonts w:hint="eastAsia" w:ascii="宋体" w:hAnsi="宋体"/>
                <w:color w:val="auto"/>
                <w:szCs w:val="21"/>
                <w:highlight w:val="none"/>
                <w:lang w:val="en-US" w:eastAsia="zh-CN"/>
              </w:rPr>
              <w:t>5</w:t>
            </w:r>
            <w:r>
              <w:rPr>
                <w:rFonts w:hint="eastAsia" w:ascii="宋体" w:hAnsi="宋体"/>
                <w:color w:val="auto"/>
                <w:szCs w:val="21"/>
                <w:highlight w:val="none"/>
              </w:rPr>
              <w:t>0分）</w:t>
            </w:r>
          </w:p>
        </w:tc>
        <w:tc>
          <w:tcPr>
            <w:tcW w:w="5343" w:type="dxa"/>
            <w:noWrap w:val="0"/>
            <w:vAlign w:val="center"/>
          </w:tcPr>
          <w:p>
            <w:pPr>
              <w:autoSpaceDE w:val="0"/>
              <w:autoSpaceDN w:val="0"/>
              <w:adjustRightInd w:val="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满足招标文件要求且投标价格最低的投标报价为评价基准价，其价格分为满分。其他投标人的价格分统一按照下列公式计算：</w:t>
            </w:r>
          </w:p>
          <w:p>
            <w:pPr>
              <w:adjustRightInd w:val="0"/>
              <w:snapToGrid w:val="0"/>
              <w:spacing w:before="36" w:beforeLines="15" w:line="276" w:lineRule="auto"/>
              <w:rPr>
                <w:rFonts w:hint="eastAsia" w:ascii="宋体" w:hAnsi="宋体"/>
                <w:color w:val="auto"/>
                <w:szCs w:val="21"/>
                <w:highlight w:val="none"/>
              </w:rPr>
            </w:pPr>
            <w:r>
              <w:rPr>
                <w:rFonts w:hint="eastAsia" w:ascii="宋体" w:hAnsi="宋体" w:cs="宋体"/>
                <w:color w:val="auto"/>
                <w:kern w:val="0"/>
                <w:szCs w:val="21"/>
                <w:highlight w:val="none"/>
                <w:lang w:val="zh-CN"/>
              </w:rPr>
              <w:t>投标报价得分=（评标基准价/投标报价）*</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val="zh-CN"/>
              </w:rPr>
              <w:t>0%*100，四舍五入保留小数点后两位。</w:t>
            </w:r>
          </w:p>
        </w:tc>
        <w:tc>
          <w:tcPr>
            <w:tcW w:w="783" w:type="dxa"/>
            <w:noWrap w:val="0"/>
            <w:vAlign w:val="center"/>
          </w:tcPr>
          <w:p>
            <w:pPr>
              <w:autoSpaceDE w:val="0"/>
              <w:autoSpaceDN w:val="0"/>
              <w:adjustRightInd w:val="0"/>
              <w:jc w:val="center"/>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96" w:type="dxa"/>
            <w:vMerge w:val="restart"/>
            <w:noWrap w:val="0"/>
            <w:vAlign w:val="center"/>
          </w:tcPr>
          <w:p>
            <w:pPr>
              <w:adjustRightInd w:val="0"/>
              <w:snapToGrid w:val="0"/>
              <w:jc w:val="center"/>
              <w:rPr>
                <w:rFonts w:hint="eastAsia" w:ascii="宋体" w:hAnsi="宋体"/>
                <w:color w:val="auto"/>
                <w:szCs w:val="21"/>
              </w:rPr>
            </w:pPr>
            <w:r>
              <w:rPr>
                <w:rFonts w:hint="eastAsia" w:ascii="宋体" w:hAnsi="宋体"/>
                <w:color w:val="auto"/>
                <w:szCs w:val="21"/>
              </w:rPr>
              <w:t>商务条款（</w:t>
            </w:r>
            <w:r>
              <w:rPr>
                <w:rFonts w:hint="eastAsia" w:ascii="宋体" w:hAnsi="宋体"/>
                <w:color w:val="auto"/>
                <w:szCs w:val="21"/>
                <w:lang w:val="en-US" w:eastAsia="zh-CN"/>
              </w:rPr>
              <w:t>13</w:t>
            </w:r>
            <w:r>
              <w:rPr>
                <w:rFonts w:hint="eastAsia" w:ascii="宋体" w:hAnsi="宋体"/>
                <w:color w:val="auto"/>
                <w:szCs w:val="21"/>
              </w:rPr>
              <w:t>分）</w:t>
            </w:r>
          </w:p>
        </w:tc>
        <w:tc>
          <w:tcPr>
            <w:tcW w:w="1896" w:type="dxa"/>
            <w:noWrap w:val="0"/>
            <w:vAlign w:val="center"/>
          </w:tcPr>
          <w:p>
            <w:pPr>
              <w:adjustRightInd w:val="0"/>
              <w:snapToGrid w:val="0"/>
              <w:spacing w:line="240" w:lineRule="auto"/>
              <w:jc w:val="center"/>
              <w:rPr>
                <w:rFonts w:hint="eastAsia" w:ascii="宋体" w:hAnsi="宋体"/>
                <w:color w:val="auto"/>
                <w:szCs w:val="21"/>
              </w:rPr>
            </w:pPr>
            <w:r>
              <w:rPr>
                <w:rFonts w:hint="eastAsia" w:ascii="宋体" w:hAnsi="宋体"/>
                <w:color w:val="auto"/>
                <w:szCs w:val="21"/>
              </w:rPr>
              <w:t>近三年（20</w:t>
            </w:r>
            <w:r>
              <w:rPr>
                <w:rFonts w:hint="eastAsia" w:ascii="宋体" w:hAnsi="宋体"/>
                <w:color w:val="auto"/>
                <w:szCs w:val="21"/>
                <w:lang w:val="en-US" w:eastAsia="zh-CN"/>
              </w:rPr>
              <w:t>20</w:t>
            </w:r>
            <w:r>
              <w:rPr>
                <w:rFonts w:hint="eastAsia" w:ascii="宋体" w:hAnsi="宋体"/>
                <w:color w:val="auto"/>
                <w:szCs w:val="21"/>
              </w:rPr>
              <w:t>年 1月1日起至递交投标截止时间）类似业绩</w:t>
            </w:r>
          </w:p>
        </w:tc>
        <w:tc>
          <w:tcPr>
            <w:tcW w:w="5343" w:type="dxa"/>
            <w:noWrap w:val="0"/>
            <w:vAlign w:val="center"/>
          </w:tcPr>
          <w:p>
            <w:pPr>
              <w:adjustRightInd w:val="0"/>
              <w:snapToGrid w:val="0"/>
              <w:spacing w:before="36" w:beforeLines="15" w:line="240" w:lineRule="auto"/>
              <w:rPr>
                <w:rFonts w:hint="eastAsia" w:ascii="宋体" w:hAnsi="宋体"/>
                <w:color w:val="auto"/>
                <w:szCs w:val="21"/>
              </w:rPr>
            </w:pPr>
            <w:r>
              <w:rPr>
                <w:rFonts w:hint="eastAsia" w:ascii="宋体" w:hAnsi="宋体"/>
                <w:color w:val="auto"/>
                <w:szCs w:val="21"/>
              </w:rPr>
              <w:t>近三年完成的类似供货业绩，有一项得</w:t>
            </w:r>
            <w:r>
              <w:rPr>
                <w:rFonts w:hint="eastAsia" w:ascii="宋体" w:hAnsi="宋体"/>
                <w:color w:val="auto"/>
                <w:szCs w:val="21"/>
                <w:lang w:val="en-US" w:eastAsia="zh-CN"/>
              </w:rPr>
              <w:t>1</w:t>
            </w:r>
            <w:r>
              <w:rPr>
                <w:rFonts w:hint="eastAsia" w:ascii="宋体" w:hAnsi="宋体"/>
                <w:color w:val="auto"/>
                <w:szCs w:val="21"/>
              </w:rPr>
              <w:t>分，最多得</w:t>
            </w:r>
            <w:r>
              <w:rPr>
                <w:rFonts w:hint="eastAsia" w:ascii="宋体" w:hAnsi="宋体"/>
                <w:color w:val="auto"/>
                <w:szCs w:val="21"/>
                <w:lang w:val="en-US" w:eastAsia="zh-CN"/>
              </w:rPr>
              <w:t>3</w:t>
            </w:r>
            <w:r>
              <w:rPr>
                <w:rFonts w:hint="eastAsia" w:ascii="宋体" w:hAnsi="宋体"/>
                <w:color w:val="auto"/>
                <w:szCs w:val="21"/>
              </w:rPr>
              <w:t>分。须提供相应业绩中标通知书或合同等证明资料的原件，标书内附复印件。</w:t>
            </w:r>
          </w:p>
        </w:tc>
        <w:tc>
          <w:tcPr>
            <w:tcW w:w="783" w:type="dxa"/>
            <w:noWrap w:val="0"/>
            <w:vAlign w:val="center"/>
          </w:tcPr>
          <w:p>
            <w:pPr>
              <w:adjustRightInd w:val="0"/>
              <w:snapToGrid w:val="0"/>
              <w:spacing w:before="36" w:beforeLines="15" w:line="276" w:lineRule="auto"/>
              <w:jc w:val="center"/>
              <w:rPr>
                <w:rFonts w:hint="eastAsia" w:ascii="宋体" w:hAnsi="宋体"/>
                <w:color w:val="auto"/>
                <w:szCs w:val="21"/>
              </w:rPr>
            </w:pPr>
            <w:r>
              <w:rPr>
                <w:rFonts w:hint="eastAsia" w:ascii="宋体" w:hAnsi="宋体"/>
                <w:color w:val="auto"/>
                <w:szCs w:val="21"/>
                <w:lang w:val="en-US" w:eastAsia="zh-CN"/>
              </w:rPr>
              <w:t>3</w:t>
            </w:r>
            <w:r>
              <w:rPr>
                <w:rFonts w:hint="eastAsia" w:ascii="宋体" w:hAnsi="宋体" w:cs="宋体"/>
                <w:color w:val="auto"/>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896" w:type="dxa"/>
            <w:vMerge w:val="continue"/>
            <w:noWrap w:val="0"/>
            <w:vAlign w:val="center"/>
          </w:tcPr>
          <w:p>
            <w:pPr>
              <w:autoSpaceDE w:val="0"/>
              <w:autoSpaceDN w:val="0"/>
              <w:adjustRightInd w:val="0"/>
              <w:snapToGrid w:val="0"/>
              <w:spacing w:before="36" w:beforeLines="15" w:line="276" w:lineRule="auto"/>
              <w:jc w:val="center"/>
              <w:rPr>
                <w:rFonts w:hint="eastAsia" w:ascii="宋体" w:hAnsi="宋体" w:cs="仿宋_GB2312"/>
                <w:color w:val="auto"/>
                <w:kern w:val="0"/>
                <w:szCs w:val="21"/>
              </w:rPr>
            </w:pPr>
          </w:p>
        </w:tc>
        <w:tc>
          <w:tcPr>
            <w:tcW w:w="1896" w:type="dxa"/>
            <w:noWrap w:val="0"/>
            <w:vAlign w:val="center"/>
          </w:tcPr>
          <w:p>
            <w:pPr>
              <w:spacing w:line="240" w:lineRule="auto"/>
              <w:jc w:val="center"/>
              <w:rPr>
                <w:rFonts w:hint="eastAsia" w:ascii="宋体" w:hAnsi="宋体" w:cs="仿宋_GB2312"/>
                <w:color w:val="auto"/>
                <w:kern w:val="0"/>
                <w:szCs w:val="21"/>
                <w:highlight w:val="yellow"/>
              </w:rPr>
            </w:pPr>
            <w:r>
              <w:rPr>
                <w:rFonts w:hint="eastAsia"/>
                <w:color w:val="auto"/>
                <w:sz w:val="21"/>
                <w:szCs w:val="21"/>
                <w:highlight w:val="none"/>
                <w:lang w:val="en-US" w:eastAsia="en-US"/>
              </w:rPr>
              <w:t>供货期</w:t>
            </w:r>
          </w:p>
        </w:tc>
        <w:tc>
          <w:tcPr>
            <w:tcW w:w="5343" w:type="dxa"/>
            <w:noWrap w:val="0"/>
            <w:vAlign w:val="center"/>
          </w:tcPr>
          <w:p>
            <w:pPr>
              <w:autoSpaceDE w:val="0"/>
              <w:autoSpaceDN w:val="0"/>
              <w:adjustRightInd w:val="0"/>
              <w:spacing w:line="240" w:lineRule="auto"/>
              <w:jc w:val="left"/>
              <w:rPr>
                <w:rFonts w:hint="eastAsia" w:ascii="宋体" w:hAnsi="宋体" w:cs="仿宋_GB2312"/>
                <w:color w:val="auto"/>
                <w:sz w:val="21"/>
                <w:szCs w:val="21"/>
                <w:highlight w:val="none"/>
                <w:lang w:val="en-US" w:eastAsia="zh-CN"/>
              </w:rPr>
            </w:pPr>
            <w:r>
              <w:rPr>
                <w:rFonts w:hint="eastAsia"/>
                <w:color w:val="auto"/>
                <w:sz w:val="21"/>
                <w:szCs w:val="21"/>
                <w:highlight w:val="none"/>
                <w:lang w:val="en-US" w:eastAsia="zh-CN"/>
              </w:rPr>
              <w:t>供货期每提前5天得1分，最多2分。</w:t>
            </w:r>
          </w:p>
        </w:tc>
        <w:tc>
          <w:tcPr>
            <w:tcW w:w="783" w:type="dxa"/>
            <w:noWrap w:val="0"/>
            <w:vAlign w:val="center"/>
          </w:tcPr>
          <w:p>
            <w:pPr>
              <w:pStyle w:val="14"/>
              <w:tabs>
                <w:tab w:val="clear" w:pos="4153"/>
                <w:tab w:val="clear" w:pos="8306"/>
              </w:tabs>
              <w:autoSpaceDE w:val="0"/>
              <w:autoSpaceDN w:val="0"/>
              <w:adjustRightInd w:val="0"/>
              <w:spacing w:before="36" w:beforeLines="15" w:line="276" w:lineRule="auto"/>
              <w:jc w:val="center"/>
              <w:rPr>
                <w:rFonts w:hint="default"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896" w:type="dxa"/>
            <w:vMerge w:val="continue"/>
            <w:noWrap w:val="0"/>
            <w:vAlign w:val="center"/>
          </w:tcPr>
          <w:p>
            <w:pPr>
              <w:autoSpaceDE w:val="0"/>
              <w:autoSpaceDN w:val="0"/>
              <w:adjustRightInd w:val="0"/>
              <w:snapToGrid w:val="0"/>
              <w:spacing w:before="36" w:beforeLines="15" w:line="276" w:lineRule="auto"/>
              <w:jc w:val="center"/>
              <w:rPr>
                <w:rFonts w:hint="eastAsia" w:ascii="宋体" w:hAnsi="宋体" w:cs="仿宋_GB2312"/>
                <w:color w:val="auto"/>
                <w:kern w:val="0"/>
                <w:szCs w:val="21"/>
              </w:rPr>
            </w:pPr>
          </w:p>
        </w:tc>
        <w:tc>
          <w:tcPr>
            <w:tcW w:w="1896" w:type="dxa"/>
            <w:noWrap w:val="0"/>
            <w:vAlign w:val="center"/>
          </w:tcPr>
          <w:p>
            <w:pPr>
              <w:autoSpaceDE w:val="0"/>
              <w:autoSpaceDN w:val="0"/>
              <w:adjustRightInd w:val="0"/>
              <w:snapToGrid w:val="0"/>
              <w:spacing w:before="36" w:beforeLines="15" w:line="240" w:lineRule="auto"/>
              <w:jc w:val="center"/>
              <w:rPr>
                <w:rFonts w:hint="eastAsia" w:ascii="宋体" w:hAnsi="宋体" w:eastAsia="宋体" w:cs="仿宋_GB2312"/>
                <w:color w:val="auto"/>
                <w:kern w:val="0"/>
                <w:sz w:val="21"/>
                <w:szCs w:val="21"/>
                <w:lang w:val="en-US" w:eastAsia="zh-CN" w:bidi="ar-SA"/>
              </w:rPr>
            </w:pPr>
            <w:r>
              <w:rPr>
                <w:rFonts w:hint="eastAsia" w:ascii="宋体" w:hAnsi="宋体" w:cs="仿宋_GB2312"/>
                <w:color w:val="auto"/>
                <w:kern w:val="0"/>
                <w:szCs w:val="21"/>
              </w:rPr>
              <w:t>优惠条件</w:t>
            </w:r>
          </w:p>
        </w:tc>
        <w:tc>
          <w:tcPr>
            <w:tcW w:w="5343" w:type="dxa"/>
            <w:noWrap w:val="0"/>
            <w:vAlign w:val="center"/>
          </w:tcPr>
          <w:p>
            <w:pPr>
              <w:autoSpaceDN w:val="0"/>
              <w:spacing w:line="240" w:lineRule="auto"/>
              <w:rPr>
                <w:rFonts w:hint="eastAsia" w:ascii="宋体" w:hAnsi="宋体" w:eastAsia="宋体" w:cs="仿宋_GB2312"/>
                <w:color w:val="auto"/>
                <w:kern w:val="2"/>
                <w:sz w:val="21"/>
                <w:szCs w:val="21"/>
                <w:lang w:val="zh-CN" w:eastAsia="zh-CN" w:bidi="ar-SA"/>
              </w:rPr>
            </w:pPr>
            <w:r>
              <w:rPr>
                <w:rFonts w:hint="eastAsia" w:asciiTheme="majorEastAsia" w:hAnsiTheme="majorEastAsia" w:eastAsiaTheme="majorEastAsia"/>
                <w:color w:val="auto"/>
                <w:szCs w:val="21"/>
                <w:lang w:val="zh-CN"/>
              </w:rPr>
              <w:t>供应商提供的优惠条件具有实质性、可行的每有一项得</w:t>
            </w:r>
            <w:r>
              <w:rPr>
                <w:rFonts w:asciiTheme="majorEastAsia" w:hAnsiTheme="majorEastAsia" w:eastAsiaTheme="majorEastAsia"/>
                <w:color w:val="auto"/>
                <w:szCs w:val="21"/>
              </w:rPr>
              <w:t>1</w:t>
            </w:r>
            <w:r>
              <w:rPr>
                <w:rFonts w:hint="eastAsia" w:asciiTheme="majorEastAsia" w:hAnsiTheme="majorEastAsia" w:eastAsiaTheme="majorEastAsia"/>
                <w:color w:val="auto"/>
                <w:szCs w:val="21"/>
              </w:rPr>
              <w:t>分，满分</w:t>
            </w:r>
            <w:r>
              <w:rPr>
                <w:rFonts w:hint="eastAsia" w:asciiTheme="majorEastAsia" w:hAnsiTheme="majorEastAsia" w:eastAsiaTheme="majorEastAsia"/>
                <w:color w:val="auto"/>
                <w:szCs w:val="21"/>
                <w:lang w:val="en-US" w:eastAsia="zh-CN"/>
              </w:rPr>
              <w:t>2</w:t>
            </w:r>
            <w:r>
              <w:rPr>
                <w:rFonts w:hint="eastAsia" w:asciiTheme="majorEastAsia" w:hAnsiTheme="majorEastAsia" w:eastAsiaTheme="majorEastAsia"/>
                <w:color w:val="auto"/>
                <w:szCs w:val="21"/>
              </w:rPr>
              <w:t>分，没有不得分。</w:t>
            </w:r>
          </w:p>
        </w:tc>
        <w:tc>
          <w:tcPr>
            <w:tcW w:w="783" w:type="dxa"/>
            <w:noWrap w:val="0"/>
            <w:vAlign w:val="center"/>
          </w:tcPr>
          <w:p>
            <w:pPr>
              <w:pStyle w:val="14"/>
              <w:tabs>
                <w:tab w:val="clear" w:pos="4153"/>
                <w:tab w:val="clear" w:pos="8306"/>
              </w:tabs>
              <w:autoSpaceDE w:val="0"/>
              <w:autoSpaceDN w:val="0"/>
              <w:adjustRightInd w:val="0"/>
              <w:spacing w:before="36" w:beforeLines="15" w:line="276" w:lineRule="auto"/>
              <w:jc w:val="center"/>
              <w:rPr>
                <w:rFonts w:hint="eastAsia" w:ascii="宋体" w:hAnsi="宋体" w:eastAsia="宋体" w:cs="仿宋_GB2312"/>
                <w:color w:val="auto"/>
                <w:kern w:val="2"/>
                <w:sz w:val="21"/>
                <w:szCs w:val="21"/>
                <w:lang w:val="en-US" w:eastAsia="zh-CN" w:bidi="ar-SA"/>
              </w:rPr>
            </w:pPr>
            <w:r>
              <w:rPr>
                <w:rFonts w:hint="eastAsia" w:ascii="宋体" w:hAnsi="宋体" w:cs="仿宋_GB2312"/>
                <w:color w:val="auto"/>
                <w:sz w:val="21"/>
                <w:szCs w:val="21"/>
                <w:lang w:val="en-US" w:eastAsia="zh-CN"/>
              </w:rPr>
              <w:t>2</w:t>
            </w:r>
            <w:r>
              <w:rPr>
                <w:rFonts w:hint="eastAsia" w:ascii="宋体" w:hAnsi="宋体" w:cs="宋体"/>
                <w:color w:val="auto"/>
                <w:kern w:val="0"/>
                <w:sz w:val="21"/>
                <w:szCs w:val="21"/>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896" w:type="dxa"/>
            <w:vMerge w:val="continue"/>
            <w:noWrap w:val="0"/>
            <w:vAlign w:val="center"/>
          </w:tcPr>
          <w:p>
            <w:pPr>
              <w:autoSpaceDE w:val="0"/>
              <w:autoSpaceDN w:val="0"/>
              <w:adjustRightInd w:val="0"/>
              <w:snapToGrid w:val="0"/>
              <w:spacing w:before="36" w:beforeLines="15" w:line="276" w:lineRule="auto"/>
              <w:jc w:val="center"/>
              <w:rPr>
                <w:rFonts w:hint="eastAsia" w:ascii="宋体" w:hAnsi="宋体" w:cs="仿宋_GB2312"/>
                <w:color w:val="auto"/>
                <w:kern w:val="0"/>
                <w:szCs w:val="21"/>
              </w:rPr>
            </w:pPr>
          </w:p>
        </w:tc>
        <w:tc>
          <w:tcPr>
            <w:tcW w:w="1896" w:type="dxa"/>
            <w:noWrap w:val="0"/>
            <w:vAlign w:val="center"/>
          </w:tcPr>
          <w:p>
            <w:pPr>
              <w:autoSpaceDE w:val="0"/>
              <w:autoSpaceDN w:val="0"/>
              <w:adjustRightInd w:val="0"/>
              <w:snapToGrid w:val="0"/>
              <w:spacing w:before="36" w:beforeLines="15" w:line="240" w:lineRule="auto"/>
              <w:jc w:val="center"/>
              <w:rPr>
                <w:rFonts w:hint="eastAsia" w:ascii="宋体" w:hAnsi="宋体" w:eastAsia="宋体" w:cs="仿宋_GB2312"/>
                <w:color w:val="auto"/>
                <w:kern w:val="0"/>
                <w:sz w:val="21"/>
                <w:szCs w:val="21"/>
                <w:lang w:val="en-US" w:eastAsia="zh-CN" w:bidi="ar-SA"/>
              </w:rPr>
            </w:pPr>
            <w:r>
              <w:rPr>
                <w:rFonts w:hint="eastAsia" w:ascii="宋体" w:hAnsi="宋体" w:cs="仿宋_GB2312"/>
                <w:color w:val="auto"/>
                <w:kern w:val="0"/>
                <w:szCs w:val="21"/>
              </w:rPr>
              <w:t>服务承诺</w:t>
            </w:r>
          </w:p>
        </w:tc>
        <w:tc>
          <w:tcPr>
            <w:tcW w:w="5343" w:type="dxa"/>
            <w:noWrap w:val="0"/>
            <w:vAlign w:val="center"/>
          </w:tcPr>
          <w:p>
            <w:pPr>
              <w:autoSpaceDN w:val="0"/>
              <w:spacing w:line="240" w:lineRule="auto"/>
              <w:rPr>
                <w:rFonts w:hint="eastAsia" w:ascii="宋体" w:hAnsi="宋体" w:eastAsia="宋体" w:cs="仿宋_GB2312"/>
                <w:color w:val="auto"/>
                <w:kern w:val="2"/>
                <w:sz w:val="21"/>
                <w:szCs w:val="21"/>
                <w:lang w:val="zh-CN" w:eastAsia="zh-CN" w:bidi="ar-SA"/>
              </w:rPr>
            </w:pPr>
            <w:r>
              <w:rPr>
                <w:rFonts w:hint="eastAsia" w:asciiTheme="majorEastAsia" w:hAnsiTheme="majorEastAsia" w:eastAsiaTheme="majorEastAsia"/>
                <w:color w:val="auto"/>
                <w:szCs w:val="21"/>
                <w:lang w:val="zh-CN"/>
              </w:rPr>
              <w:t>供应商提供的服务承诺具有实质性、可行的每有一项得</w:t>
            </w:r>
            <w:r>
              <w:rPr>
                <w:rFonts w:asciiTheme="majorEastAsia" w:hAnsiTheme="majorEastAsia" w:eastAsiaTheme="majorEastAsia"/>
                <w:color w:val="auto"/>
                <w:szCs w:val="21"/>
              </w:rPr>
              <w:t>1</w:t>
            </w:r>
            <w:r>
              <w:rPr>
                <w:rFonts w:hint="eastAsia" w:asciiTheme="majorEastAsia" w:hAnsiTheme="majorEastAsia" w:eastAsiaTheme="majorEastAsia"/>
                <w:color w:val="auto"/>
                <w:szCs w:val="21"/>
              </w:rPr>
              <w:t>分，满分</w:t>
            </w:r>
            <w:r>
              <w:rPr>
                <w:rFonts w:hint="eastAsia" w:asciiTheme="majorEastAsia" w:hAnsiTheme="majorEastAsia" w:eastAsiaTheme="majorEastAsia"/>
                <w:color w:val="auto"/>
                <w:szCs w:val="21"/>
                <w:lang w:val="en-US" w:eastAsia="zh-CN"/>
              </w:rPr>
              <w:t>3</w:t>
            </w:r>
            <w:r>
              <w:rPr>
                <w:rFonts w:hint="eastAsia" w:asciiTheme="majorEastAsia" w:hAnsiTheme="majorEastAsia" w:eastAsiaTheme="majorEastAsia"/>
                <w:color w:val="auto"/>
                <w:szCs w:val="21"/>
              </w:rPr>
              <w:t>分，没有不得分。</w:t>
            </w:r>
          </w:p>
        </w:tc>
        <w:tc>
          <w:tcPr>
            <w:tcW w:w="783" w:type="dxa"/>
            <w:noWrap w:val="0"/>
            <w:vAlign w:val="center"/>
          </w:tcPr>
          <w:p>
            <w:pPr>
              <w:pStyle w:val="14"/>
              <w:tabs>
                <w:tab w:val="clear" w:pos="4153"/>
                <w:tab w:val="clear" w:pos="8306"/>
              </w:tabs>
              <w:autoSpaceDE w:val="0"/>
              <w:autoSpaceDN w:val="0"/>
              <w:adjustRightInd w:val="0"/>
              <w:spacing w:before="36" w:beforeLines="15" w:line="276" w:lineRule="auto"/>
              <w:jc w:val="center"/>
              <w:rPr>
                <w:rFonts w:hint="eastAsia" w:ascii="宋体" w:hAnsi="宋体" w:eastAsia="宋体" w:cs="仿宋_GB2312"/>
                <w:color w:val="auto"/>
                <w:kern w:val="2"/>
                <w:sz w:val="21"/>
                <w:szCs w:val="21"/>
                <w:lang w:val="en-US" w:eastAsia="zh-CN" w:bidi="ar-SA"/>
              </w:rPr>
            </w:pPr>
            <w:r>
              <w:rPr>
                <w:rFonts w:hint="eastAsia" w:ascii="宋体" w:hAnsi="宋体" w:cs="仿宋_GB2312"/>
                <w:color w:val="auto"/>
                <w:sz w:val="21"/>
                <w:szCs w:val="21"/>
                <w:lang w:val="en-US" w:eastAsia="zh-CN"/>
              </w:rPr>
              <w:t>3</w:t>
            </w:r>
            <w:r>
              <w:rPr>
                <w:rFonts w:hint="eastAsia" w:ascii="宋体" w:hAnsi="宋体" w:cs="宋体"/>
                <w:color w:val="auto"/>
                <w:kern w:val="0"/>
                <w:sz w:val="21"/>
                <w:szCs w:val="21"/>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896" w:type="dxa"/>
            <w:vMerge w:val="continue"/>
            <w:noWrap w:val="0"/>
            <w:vAlign w:val="center"/>
          </w:tcPr>
          <w:p>
            <w:pPr>
              <w:autoSpaceDE w:val="0"/>
              <w:autoSpaceDN w:val="0"/>
              <w:adjustRightInd w:val="0"/>
              <w:snapToGrid w:val="0"/>
              <w:spacing w:before="36" w:beforeLines="15" w:line="276" w:lineRule="auto"/>
              <w:jc w:val="center"/>
              <w:rPr>
                <w:rFonts w:hint="eastAsia" w:ascii="宋体" w:hAnsi="宋体" w:cs="仿宋_GB2312"/>
                <w:color w:val="auto"/>
                <w:kern w:val="0"/>
                <w:szCs w:val="21"/>
              </w:rPr>
            </w:pPr>
          </w:p>
        </w:tc>
        <w:tc>
          <w:tcPr>
            <w:tcW w:w="1896" w:type="dxa"/>
            <w:noWrap w:val="0"/>
            <w:vAlign w:val="center"/>
          </w:tcPr>
          <w:p>
            <w:pPr>
              <w:autoSpaceDE w:val="0"/>
              <w:autoSpaceDN w:val="0"/>
              <w:adjustRightInd w:val="0"/>
              <w:snapToGrid w:val="0"/>
              <w:spacing w:before="36" w:beforeLines="15" w:line="240" w:lineRule="auto"/>
              <w:jc w:val="center"/>
              <w:rPr>
                <w:rFonts w:hint="eastAsia" w:ascii="宋体" w:hAnsi="宋体" w:cs="仿宋_GB2312"/>
                <w:color w:val="auto"/>
                <w:kern w:val="0"/>
                <w:szCs w:val="21"/>
              </w:rPr>
            </w:pPr>
            <w:r>
              <w:rPr>
                <w:rFonts w:hint="eastAsia" w:ascii="宋体" w:hAnsi="宋体" w:cs="仿宋_GB2312"/>
                <w:color w:val="auto"/>
                <w:kern w:val="0"/>
                <w:szCs w:val="21"/>
              </w:rPr>
              <w:t>售后服务</w:t>
            </w:r>
          </w:p>
        </w:tc>
        <w:tc>
          <w:tcPr>
            <w:tcW w:w="5343" w:type="dxa"/>
            <w:noWrap w:val="0"/>
            <w:vAlign w:val="center"/>
          </w:tcPr>
          <w:p>
            <w:pPr>
              <w:autoSpaceDN w:val="0"/>
              <w:spacing w:line="240" w:lineRule="auto"/>
              <w:rPr>
                <w:rFonts w:hint="eastAsia" w:ascii="宋体" w:hAnsi="宋体" w:cs="仿宋_GB2312"/>
                <w:color w:val="auto"/>
                <w:sz w:val="21"/>
                <w:szCs w:val="21"/>
                <w:lang w:val="en-US" w:eastAsia="zh-CN"/>
              </w:rPr>
            </w:pPr>
            <w:r>
              <w:rPr>
                <w:rFonts w:hint="eastAsia" w:ascii="宋体" w:hAnsi="宋体" w:cs="仿宋_GB2312"/>
                <w:color w:val="auto"/>
                <w:sz w:val="21"/>
                <w:szCs w:val="21"/>
                <w:lang w:val="en-US" w:eastAsia="zh-CN"/>
              </w:rPr>
              <w:t>售后维修服务方案详细、具体，满足用户需求，售后服务承诺周到，具有相关的服务体系，能够提供本地化服务，具有专业售后服务场所及专职售后人员并能够提供免费的上门服务，根据提供相关证明材料对比，完全能够满足优的得3分；一般的得1分；没有不得分。</w:t>
            </w:r>
          </w:p>
        </w:tc>
        <w:tc>
          <w:tcPr>
            <w:tcW w:w="783" w:type="dxa"/>
            <w:noWrap w:val="0"/>
            <w:vAlign w:val="center"/>
          </w:tcPr>
          <w:p>
            <w:pPr>
              <w:pStyle w:val="14"/>
              <w:tabs>
                <w:tab w:val="clear" w:pos="4153"/>
                <w:tab w:val="clear" w:pos="8306"/>
              </w:tabs>
              <w:autoSpaceDE w:val="0"/>
              <w:autoSpaceDN w:val="0"/>
              <w:adjustRightInd w:val="0"/>
              <w:spacing w:before="36" w:beforeLines="15" w:line="276" w:lineRule="auto"/>
              <w:jc w:val="center"/>
              <w:rPr>
                <w:rFonts w:hint="default" w:ascii="宋体" w:hAnsi="宋体" w:cs="仿宋_GB2312"/>
                <w:color w:val="auto"/>
                <w:sz w:val="21"/>
                <w:szCs w:val="21"/>
                <w:lang w:val="en-US" w:eastAsia="zh-CN"/>
              </w:rPr>
            </w:pPr>
            <w:r>
              <w:rPr>
                <w:rFonts w:hint="eastAsia" w:ascii="宋体" w:hAnsi="宋体" w:cs="仿宋_GB2312"/>
                <w:color w:val="auto"/>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896" w:type="dxa"/>
            <w:vMerge w:val="restart"/>
            <w:noWrap w:val="0"/>
            <w:vAlign w:val="center"/>
          </w:tcPr>
          <w:p>
            <w:pPr>
              <w:adjustRightInd w:val="0"/>
              <w:snapToGrid w:val="0"/>
              <w:spacing w:before="36" w:beforeLines="15" w:line="276" w:lineRule="auto"/>
              <w:jc w:val="center"/>
              <w:rPr>
                <w:rFonts w:ascii="宋体" w:hAnsi="宋体"/>
                <w:color w:val="auto"/>
                <w:szCs w:val="21"/>
              </w:rPr>
            </w:pPr>
            <w:r>
              <w:rPr>
                <w:rFonts w:hint="eastAsia" w:ascii="宋体" w:hAnsi="宋体"/>
                <w:color w:val="auto"/>
                <w:szCs w:val="21"/>
              </w:rPr>
              <w:t>技术条款（</w:t>
            </w:r>
            <w:r>
              <w:rPr>
                <w:rFonts w:hint="eastAsia" w:ascii="宋体" w:hAnsi="宋体"/>
                <w:color w:val="auto"/>
                <w:szCs w:val="21"/>
                <w:lang w:val="en-US" w:eastAsia="zh-CN"/>
              </w:rPr>
              <w:t>37</w:t>
            </w:r>
            <w:r>
              <w:rPr>
                <w:rFonts w:hint="eastAsia" w:ascii="宋体" w:hAnsi="宋体"/>
                <w:color w:val="auto"/>
                <w:szCs w:val="21"/>
              </w:rPr>
              <w:t>分）</w:t>
            </w:r>
          </w:p>
        </w:tc>
        <w:tc>
          <w:tcPr>
            <w:tcW w:w="1896" w:type="dxa"/>
            <w:noWrap w:val="0"/>
            <w:vAlign w:val="center"/>
          </w:tcPr>
          <w:p>
            <w:pPr>
              <w:autoSpaceDE w:val="0"/>
              <w:autoSpaceDN w:val="0"/>
              <w:adjustRightInd w:val="0"/>
              <w:jc w:val="center"/>
              <w:rPr>
                <w:rFonts w:hint="eastAsia" w:ascii="宋体" w:hAnsi="宋体"/>
                <w:color w:val="auto"/>
                <w:szCs w:val="21"/>
              </w:rPr>
            </w:pPr>
            <w:r>
              <w:rPr>
                <w:rFonts w:hint="eastAsia" w:ascii="宋体" w:hAnsi="宋体"/>
                <w:color w:val="auto"/>
              </w:rPr>
              <w:t>项目总体实施方案</w:t>
            </w:r>
          </w:p>
        </w:tc>
        <w:tc>
          <w:tcPr>
            <w:tcW w:w="5343" w:type="dxa"/>
            <w:noWrap w:val="0"/>
            <w:vAlign w:val="center"/>
          </w:tcPr>
          <w:p>
            <w:pPr>
              <w:rPr>
                <w:rFonts w:hint="eastAsia"/>
                <w:color w:val="auto"/>
                <w:sz w:val="21"/>
                <w:szCs w:val="21"/>
                <w:highlight w:val="none"/>
                <w:lang w:val="zh-CN" w:eastAsia="zh-CN"/>
              </w:rPr>
            </w:pPr>
            <w:r>
              <w:rPr>
                <w:rFonts w:hint="eastAsia"/>
                <w:color w:val="auto"/>
                <w:sz w:val="21"/>
                <w:szCs w:val="21"/>
                <w:highlight w:val="none"/>
                <w:lang w:val="zh-CN" w:eastAsia="zh-CN"/>
              </w:rPr>
              <w:t>针对合格投标人提供本项目的技术方案进行评审：</w:t>
            </w:r>
          </w:p>
          <w:p>
            <w:pPr>
              <w:rPr>
                <w:rFonts w:hint="eastAsia" w:ascii="宋体" w:hAnsi="宋体"/>
                <w:color w:val="auto"/>
                <w:szCs w:val="21"/>
                <w:highlight w:val="none"/>
              </w:rPr>
            </w:pPr>
            <w:r>
              <w:rPr>
                <w:rFonts w:hint="eastAsia"/>
                <w:color w:val="auto"/>
                <w:sz w:val="21"/>
                <w:szCs w:val="21"/>
                <w:highlight w:val="none"/>
                <w:lang w:val="zh-CN" w:eastAsia="zh-CN"/>
              </w:rPr>
              <w:t>技术方案流程完善、科学合理、切实可行、合法合规，能够确保项目运行流畅的，得</w:t>
            </w:r>
            <w:r>
              <w:rPr>
                <w:rFonts w:hint="eastAsia"/>
                <w:color w:val="auto"/>
                <w:sz w:val="21"/>
                <w:szCs w:val="21"/>
                <w:highlight w:val="none"/>
                <w:lang w:val="en-US" w:eastAsia="zh-CN"/>
              </w:rPr>
              <w:t>6</w:t>
            </w:r>
            <w:r>
              <w:rPr>
                <w:rFonts w:hint="eastAsia"/>
                <w:color w:val="auto"/>
                <w:sz w:val="21"/>
                <w:szCs w:val="21"/>
                <w:highlight w:val="none"/>
                <w:lang w:val="zh-CN" w:eastAsia="zh-CN"/>
              </w:rPr>
              <w:t>分；技术方案流程较为完善、科学、可行、合法合规，基本保障项目运行流畅的，得</w:t>
            </w:r>
            <w:r>
              <w:rPr>
                <w:rFonts w:hint="eastAsia"/>
                <w:color w:val="auto"/>
                <w:sz w:val="21"/>
                <w:szCs w:val="21"/>
                <w:highlight w:val="none"/>
                <w:lang w:val="en-US" w:eastAsia="zh-CN"/>
              </w:rPr>
              <w:t>3</w:t>
            </w:r>
            <w:r>
              <w:rPr>
                <w:rFonts w:hint="eastAsia"/>
                <w:color w:val="auto"/>
                <w:sz w:val="21"/>
                <w:szCs w:val="21"/>
                <w:highlight w:val="none"/>
                <w:lang w:val="zh-CN" w:eastAsia="zh-CN"/>
              </w:rPr>
              <w:t>分；技术方案存在瑕疵，考虑不够周全，但能够合法合规运行的，得</w:t>
            </w:r>
            <w:r>
              <w:rPr>
                <w:rFonts w:hint="eastAsia"/>
                <w:color w:val="auto"/>
                <w:sz w:val="21"/>
                <w:szCs w:val="21"/>
                <w:highlight w:val="none"/>
                <w:lang w:val="en-US" w:eastAsia="zh-CN"/>
              </w:rPr>
              <w:t>1</w:t>
            </w:r>
            <w:r>
              <w:rPr>
                <w:rFonts w:hint="eastAsia"/>
                <w:color w:val="auto"/>
                <w:sz w:val="21"/>
                <w:szCs w:val="21"/>
                <w:highlight w:val="none"/>
                <w:lang w:val="zh-CN" w:eastAsia="zh-CN"/>
              </w:rPr>
              <w:t>分；方案存在漏洞，对项目运行可能存在负面影响的，不得分。</w:t>
            </w:r>
          </w:p>
        </w:tc>
        <w:tc>
          <w:tcPr>
            <w:tcW w:w="783" w:type="dxa"/>
            <w:noWrap w:val="0"/>
            <w:vAlign w:val="center"/>
          </w:tcPr>
          <w:p>
            <w:pPr>
              <w:autoSpaceDE w:val="0"/>
              <w:autoSpaceDN w:val="0"/>
              <w:adjustRightInd w:val="0"/>
              <w:spacing w:line="300" w:lineRule="exact"/>
              <w:jc w:val="center"/>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rPr>
                <w:rFonts w:hint="eastAsia"/>
                <w:color w:val="auto"/>
                <w:sz w:val="21"/>
                <w:szCs w:val="21"/>
                <w:highlight w:val="none"/>
                <w:lang w:val="zh-CN" w:eastAsia="zh-CN"/>
              </w:rPr>
            </w:pPr>
            <w:r>
              <w:rPr>
                <w:rFonts w:hint="eastAsia"/>
                <w:color w:val="auto"/>
                <w:sz w:val="21"/>
                <w:szCs w:val="21"/>
                <w:highlight w:val="none"/>
                <w:lang w:val="zh-CN" w:eastAsia="zh-CN"/>
              </w:rPr>
              <w:t>质量、安全保证措施</w:t>
            </w:r>
          </w:p>
          <w:p>
            <w:pPr>
              <w:rPr>
                <w:rFonts w:hint="eastAsia" w:ascii="宋体" w:hAnsi="宋体"/>
                <w:color w:val="auto"/>
                <w:szCs w:val="21"/>
                <w:highlight w:val="yellow"/>
              </w:rPr>
            </w:pPr>
          </w:p>
        </w:tc>
        <w:tc>
          <w:tcPr>
            <w:tcW w:w="5343" w:type="dxa"/>
            <w:noWrap w:val="0"/>
            <w:vAlign w:val="center"/>
          </w:tcPr>
          <w:p>
            <w:pPr>
              <w:rPr>
                <w:rFonts w:hint="eastAsia"/>
                <w:color w:val="auto"/>
                <w:sz w:val="21"/>
                <w:szCs w:val="21"/>
                <w:highlight w:val="none"/>
                <w:lang w:val="zh-CN" w:eastAsia="zh-CN"/>
              </w:rPr>
            </w:pPr>
            <w:r>
              <w:rPr>
                <w:rFonts w:hint="eastAsia"/>
                <w:color w:val="auto"/>
                <w:sz w:val="21"/>
                <w:szCs w:val="21"/>
                <w:highlight w:val="none"/>
                <w:lang w:val="zh-CN" w:eastAsia="zh-CN"/>
              </w:rPr>
              <w:t>针对合格投标人提供的质量、安全保证措施进行评审：</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措施描述详细完善、科学合理、切实可行，高效优质、没有疏忽遗漏或其他错误，避免退货调整的，得</w:t>
            </w:r>
            <w:r>
              <w:rPr>
                <w:rFonts w:hint="eastAsia"/>
                <w:color w:val="auto"/>
                <w:sz w:val="21"/>
                <w:szCs w:val="21"/>
                <w:highlight w:val="none"/>
                <w:lang w:val="en-US" w:eastAsia="zh-CN"/>
              </w:rPr>
              <w:t>7</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措施描述较为完善、合理、可行，能够保障货物质量、不易出现疏忽遗漏或其他错误的，得</w:t>
            </w:r>
            <w:r>
              <w:rPr>
                <w:rFonts w:hint="eastAsia"/>
                <w:color w:val="auto"/>
                <w:sz w:val="21"/>
                <w:szCs w:val="21"/>
                <w:highlight w:val="none"/>
                <w:lang w:val="en-US" w:eastAsia="zh-CN"/>
              </w:rPr>
              <w:t>4</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措施描述存在瑕疵，可能导致疏忽遗漏或其他错误但能够及时发现弥补的，得1分；</w:t>
            </w:r>
          </w:p>
          <w:p>
            <w:pPr>
              <w:rPr>
                <w:rFonts w:hint="eastAsia" w:ascii="宋体" w:hAnsi="宋体"/>
                <w:color w:val="auto"/>
                <w:szCs w:val="21"/>
              </w:rPr>
            </w:pPr>
            <w:r>
              <w:rPr>
                <w:rFonts w:hint="eastAsia"/>
                <w:color w:val="auto"/>
                <w:sz w:val="21"/>
                <w:szCs w:val="21"/>
                <w:highlight w:val="none"/>
                <w:lang w:val="zh-CN" w:eastAsia="zh-CN"/>
              </w:rPr>
              <w:t>措施描述存在漏洞，可能影响成果货物质量的不得分。</w:t>
            </w:r>
          </w:p>
        </w:tc>
        <w:tc>
          <w:tcPr>
            <w:tcW w:w="783" w:type="dxa"/>
            <w:noWrap w:val="0"/>
            <w:vAlign w:val="center"/>
          </w:tcPr>
          <w:p>
            <w:pPr>
              <w:autoSpaceDE w:val="0"/>
              <w:autoSpaceDN w:val="0"/>
              <w:adjustRightInd w:val="0"/>
              <w:spacing w:line="300" w:lineRule="exact"/>
              <w:jc w:val="center"/>
              <w:rPr>
                <w:rFonts w:hint="eastAsia" w:ascii="宋体" w:hAnsi="宋体" w:cs="宋体"/>
                <w:color w:val="auto"/>
                <w:szCs w:val="21"/>
                <w:lang w:val="zh-CN"/>
              </w:rPr>
            </w:pPr>
            <w:r>
              <w:rPr>
                <w:rFonts w:hint="eastAsia" w:ascii="宋体" w:hAnsi="宋体" w:cs="宋体"/>
                <w:color w:val="auto"/>
                <w:szCs w:val="21"/>
                <w:lang w:val="en-US" w:eastAsia="zh-CN"/>
              </w:rPr>
              <w:t>7</w:t>
            </w:r>
            <w:r>
              <w:rPr>
                <w:rFonts w:hint="eastAsia" w:ascii="宋体" w:hAnsi="宋体" w:cs="宋体"/>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rPr>
                <w:rFonts w:hint="eastAsia" w:ascii="宋体" w:hAnsi="宋体"/>
                <w:color w:val="auto"/>
                <w:szCs w:val="21"/>
              </w:rPr>
            </w:pPr>
            <w:r>
              <w:rPr>
                <w:rFonts w:hint="eastAsia"/>
                <w:color w:val="auto"/>
                <w:sz w:val="21"/>
                <w:szCs w:val="21"/>
                <w:highlight w:val="none"/>
                <w:lang w:val="zh-CN" w:eastAsia="zh-CN"/>
              </w:rPr>
              <w:t>供货进度保证措施</w:t>
            </w:r>
          </w:p>
        </w:tc>
        <w:tc>
          <w:tcPr>
            <w:tcW w:w="5343" w:type="dxa"/>
            <w:noWrap w:val="0"/>
            <w:vAlign w:val="center"/>
          </w:tcPr>
          <w:p>
            <w:pPr>
              <w:rPr>
                <w:rFonts w:hint="eastAsia"/>
                <w:color w:val="auto"/>
                <w:sz w:val="21"/>
                <w:szCs w:val="21"/>
                <w:highlight w:val="none"/>
                <w:lang w:val="zh-CN" w:eastAsia="zh-CN"/>
              </w:rPr>
            </w:pPr>
            <w:r>
              <w:rPr>
                <w:rFonts w:hint="eastAsia"/>
                <w:color w:val="auto"/>
                <w:sz w:val="21"/>
                <w:szCs w:val="21"/>
                <w:highlight w:val="none"/>
                <w:lang w:val="zh-CN" w:eastAsia="zh-CN"/>
              </w:rPr>
              <w:t>针对合格投标人提供的供货进度保证措施进行评审：</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措施描述详细完善、科学合理、切实可行、能够最大限度地保障各项工作时间节点满足项目需求或提前保质保量完成的，得</w:t>
            </w:r>
            <w:r>
              <w:rPr>
                <w:rFonts w:hint="eastAsia"/>
                <w:color w:val="auto"/>
                <w:sz w:val="21"/>
                <w:szCs w:val="21"/>
                <w:highlight w:val="none"/>
                <w:lang w:val="en-US" w:eastAsia="zh-CN"/>
              </w:rPr>
              <w:t>5</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措施描述较为完善、合理、可行，在工作时间节点满足项目需求前提下，一部分工作内容能够提前保质保量完成的，得</w:t>
            </w:r>
            <w:r>
              <w:rPr>
                <w:rFonts w:hint="eastAsia"/>
                <w:color w:val="auto"/>
                <w:sz w:val="21"/>
                <w:szCs w:val="21"/>
                <w:highlight w:val="none"/>
                <w:lang w:val="en-US" w:eastAsia="zh-CN"/>
              </w:rPr>
              <w:t>3</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措施描述中规中矩，工作时间节点能够满足项目需求的，得</w:t>
            </w:r>
            <w:r>
              <w:rPr>
                <w:rFonts w:hint="eastAsia"/>
                <w:color w:val="auto"/>
                <w:sz w:val="21"/>
                <w:szCs w:val="21"/>
                <w:highlight w:val="none"/>
                <w:lang w:val="en-US" w:eastAsia="zh-CN"/>
              </w:rPr>
              <w:t>1</w:t>
            </w:r>
            <w:r>
              <w:rPr>
                <w:rFonts w:hint="eastAsia"/>
                <w:color w:val="auto"/>
                <w:sz w:val="21"/>
                <w:szCs w:val="21"/>
                <w:highlight w:val="none"/>
                <w:lang w:val="zh-CN" w:eastAsia="zh-CN"/>
              </w:rPr>
              <w:t>分；</w:t>
            </w:r>
          </w:p>
          <w:p>
            <w:pPr>
              <w:rPr>
                <w:rFonts w:ascii="宋体" w:hAnsi="宋体" w:cs="宋体"/>
                <w:color w:val="auto"/>
                <w:szCs w:val="21"/>
                <w:lang w:val="zh-CN"/>
              </w:rPr>
            </w:pPr>
            <w:r>
              <w:rPr>
                <w:rFonts w:hint="eastAsia"/>
                <w:color w:val="auto"/>
                <w:sz w:val="21"/>
                <w:szCs w:val="21"/>
                <w:highlight w:val="none"/>
                <w:lang w:val="zh-CN" w:eastAsia="zh-CN"/>
              </w:rPr>
              <w:t>措施描述存在瑕疵或漏洞，可能影响工作时间节点进度的不得分。</w:t>
            </w:r>
          </w:p>
        </w:tc>
        <w:tc>
          <w:tcPr>
            <w:tcW w:w="783" w:type="dxa"/>
            <w:noWrap w:val="0"/>
            <w:vAlign w:val="center"/>
          </w:tcPr>
          <w:p>
            <w:pPr>
              <w:spacing w:line="300" w:lineRule="exact"/>
              <w:jc w:val="center"/>
              <w:rPr>
                <w:rFonts w:hint="eastAsia" w:ascii="宋体" w:hAnsi="宋体" w:cs="宋体"/>
                <w:color w:val="auto"/>
                <w:szCs w:val="21"/>
                <w:lang w:val="zh-CN"/>
              </w:rPr>
            </w:pPr>
            <w:r>
              <w:rPr>
                <w:rFonts w:hint="eastAsia" w:ascii="宋体" w:hAnsi="宋体" w:cs="宋体"/>
                <w:color w:val="auto"/>
                <w:szCs w:val="21"/>
                <w:lang w:val="en-US" w:eastAsia="zh-CN"/>
              </w:rPr>
              <w:t>5</w:t>
            </w:r>
            <w:r>
              <w:rPr>
                <w:rFonts w:hint="eastAsia" w:ascii="宋体" w:hAnsi="宋体" w:cs="宋体"/>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rPr>
                <w:rFonts w:hint="eastAsia" w:ascii="宋体" w:hAnsi="宋体"/>
                <w:color w:val="auto"/>
                <w:szCs w:val="21"/>
              </w:rPr>
            </w:pPr>
            <w:r>
              <w:rPr>
                <w:rFonts w:hint="eastAsia"/>
                <w:color w:val="auto"/>
                <w:sz w:val="21"/>
                <w:szCs w:val="21"/>
                <w:highlight w:val="none"/>
                <w:lang w:val="zh-CN" w:eastAsia="zh-CN"/>
              </w:rPr>
              <w:t>货物运输、安装、调试</w:t>
            </w:r>
            <w:r>
              <w:rPr>
                <w:rFonts w:hint="eastAsia"/>
                <w:color w:val="auto"/>
                <w:sz w:val="21"/>
                <w:szCs w:val="21"/>
                <w:highlight w:val="none"/>
                <w:lang w:val="en-US" w:eastAsia="zh-CN"/>
              </w:rPr>
              <w:t>措施</w:t>
            </w:r>
          </w:p>
        </w:tc>
        <w:tc>
          <w:tcPr>
            <w:tcW w:w="5343" w:type="dxa"/>
            <w:noWrap w:val="0"/>
            <w:vAlign w:val="center"/>
          </w:tcPr>
          <w:p>
            <w:pPr>
              <w:rPr>
                <w:rFonts w:hint="eastAsia"/>
                <w:color w:val="auto"/>
                <w:sz w:val="21"/>
                <w:szCs w:val="21"/>
                <w:highlight w:val="none"/>
                <w:lang w:val="zh-CN" w:eastAsia="zh-CN"/>
              </w:rPr>
            </w:pPr>
            <w:r>
              <w:rPr>
                <w:rFonts w:hint="eastAsia"/>
                <w:color w:val="auto"/>
                <w:sz w:val="21"/>
                <w:szCs w:val="21"/>
                <w:highlight w:val="none"/>
                <w:lang w:val="zh-CN" w:eastAsia="zh-CN"/>
              </w:rPr>
              <w:t>根据合格投标人提供的货物运输、安装、调试等方面工作重点难点分析进行评审：</w:t>
            </w:r>
          </w:p>
          <w:p>
            <w:pPr>
              <w:rPr>
                <w:rFonts w:hint="eastAsia"/>
                <w:color w:val="auto"/>
                <w:sz w:val="21"/>
                <w:szCs w:val="21"/>
                <w:highlight w:val="none"/>
                <w:lang w:val="zh-CN" w:eastAsia="zh-CN"/>
              </w:rPr>
            </w:pPr>
            <w:r>
              <w:rPr>
                <w:rFonts w:hint="eastAsia"/>
                <w:color w:val="auto"/>
                <w:sz w:val="21"/>
                <w:szCs w:val="21"/>
                <w:highlight w:val="none"/>
                <w:lang w:val="zh-CN" w:eastAsia="zh-CN"/>
              </w:rPr>
              <w:t>分析透彻、详细完善、科学合理，能够从各个角度进行分析，考虑周全，且对各重点难点有针对性的措施，确保项目顺利进行的，得</w:t>
            </w:r>
            <w:r>
              <w:rPr>
                <w:rFonts w:hint="eastAsia"/>
                <w:color w:val="auto"/>
                <w:sz w:val="21"/>
                <w:szCs w:val="21"/>
                <w:highlight w:val="none"/>
                <w:lang w:val="en-US" w:eastAsia="zh-CN"/>
              </w:rPr>
              <w:t>6</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分析较为完善、科学，能够多角度思考分析，且提供相应措施，不影响项目进展的，得</w:t>
            </w:r>
            <w:r>
              <w:rPr>
                <w:rFonts w:hint="eastAsia"/>
                <w:color w:val="auto"/>
                <w:sz w:val="21"/>
                <w:szCs w:val="21"/>
                <w:highlight w:val="none"/>
                <w:lang w:val="en-US" w:eastAsia="zh-CN"/>
              </w:rPr>
              <w:t>3</w:t>
            </w:r>
            <w:r>
              <w:rPr>
                <w:rFonts w:hint="eastAsia"/>
                <w:color w:val="auto"/>
                <w:sz w:val="21"/>
                <w:szCs w:val="21"/>
                <w:highlight w:val="none"/>
                <w:lang w:val="zh-CN" w:eastAsia="zh-CN"/>
              </w:rPr>
              <w:t>分；</w:t>
            </w:r>
          </w:p>
          <w:p>
            <w:pPr>
              <w:rPr>
                <w:rFonts w:hint="eastAsia"/>
                <w:color w:val="auto"/>
                <w:sz w:val="21"/>
                <w:szCs w:val="21"/>
                <w:highlight w:val="none"/>
                <w:lang w:val="zh-CN" w:eastAsia="zh-CN"/>
              </w:rPr>
            </w:pPr>
            <w:r>
              <w:rPr>
                <w:rFonts w:hint="eastAsia"/>
                <w:color w:val="auto"/>
                <w:sz w:val="21"/>
                <w:szCs w:val="21"/>
                <w:highlight w:val="none"/>
                <w:lang w:val="zh-CN" w:eastAsia="zh-CN"/>
              </w:rPr>
              <w:t>分析考虑片面，或对应措施不够完善，可能影响项目进展的，得1分；</w:t>
            </w:r>
          </w:p>
          <w:p>
            <w:pPr>
              <w:rPr>
                <w:rFonts w:hint="eastAsia" w:ascii="宋体" w:hAnsi="宋体"/>
                <w:color w:val="auto"/>
                <w:szCs w:val="21"/>
              </w:rPr>
            </w:pPr>
            <w:r>
              <w:rPr>
                <w:rFonts w:hint="eastAsia"/>
                <w:color w:val="auto"/>
                <w:sz w:val="21"/>
                <w:szCs w:val="21"/>
                <w:highlight w:val="none"/>
                <w:lang w:val="zh-CN" w:eastAsia="zh-CN"/>
              </w:rPr>
              <w:t>分析存在漏洞，措施缺乏针对性，影响项目进展的不得分。</w:t>
            </w:r>
          </w:p>
        </w:tc>
        <w:tc>
          <w:tcPr>
            <w:tcW w:w="783" w:type="dxa"/>
            <w:noWrap w:val="0"/>
            <w:vAlign w:val="center"/>
          </w:tcPr>
          <w:p>
            <w:pPr>
              <w:autoSpaceDE w:val="0"/>
              <w:autoSpaceDN w:val="0"/>
              <w:adjustRightInd w:val="0"/>
              <w:snapToGrid w:val="0"/>
              <w:spacing w:before="36" w:beforeLines="15" w:line="276" w:lineRule="auto"/>
              <w:jc w:val="center"/>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adjustRightInd w:val="0"/>
              <w:jc w:val="center"/>
              <w:rPr>
                <w:rFonts w:hint="eastAsia" w:ascii="宋体" w:hAnsi="宋体" w:eastAsia="宋体" w:cs="Times New Roman"/>
                <w:color w:val="auto"/>
                <w:kern w:val="2"/>
                <w:sz w:val="21"/>
                <w:szCs w:val="21"/>
                <w:lang w:val="zh-CN" w:eastAsia="zh-CN" w:bidi="ar-SA"/>
              </w:rPr>
            </w:pPr>
            <w:r>
              <w:rPr>
                <w:rFonts w:hint="eastAsia"/>
                <w:color w:val="auto"/>
                <w:sz w:val="21"/>
                <w:szCs w:val="21"/>
                <w:highlight w:val="none"/>
              </w:rPr>
              <w:t>技术培训</w:t>
            </w:r>
          </w:p>
        </w:tc>
        <w:tc>
          <w:tcPr>
            <w:tcW w:w="5343" w:type="dxa"/>
            <w:noWrap w:val="0"/>
            <w:vAlign w:val="center"/>
          </w:tcPr>
          <w:p>
            <w:pPr>
              <w:adjustRightInd w:val="0"/>
              <w:rPr>
                <w:rFonts w:hint="eastAsia"/>
                <w:szCs w:val="21"/>
                <w:highlight w:val="none"/>
                <w:lang w:val="en-US" w:eastAsia="zh-CN"/>
              </w:rPr>
            </w:pPr>
            <w:r>
              <w:rPr>
                <w:rFonts w:hint="eastAsia"/>
                <w:szCs w:val="21"/>
                <w:highlight w:val="none"/>
              </w:rPr>
              <w:t>结合本项目采购需求，对投标人的培训时间</w:t>
            </w:r>
            <w:r>
              <w:rPr>
                <w:rFonts w:hint="eastAsia"/>
                <w:szCs w:val="21"/>
                <w:highlight w:val="none"/>
                <w:lang w:val="en-US" w:eastAsia="zh-CN"/>
              </w:rPr>
              <w:t>、内容、培训措施进行评审：</w:t>
            </w:r>
          </w:p>
          <w:p>
            <w:pPr>
              <w:adjustRightInd w:val="0"/>
              <w:rPr>
                <w:rFonts w:hint="eastAsia" w:ascii="宋体" w:hAnsi="宋体" w:eastAsia="宋体" w:cs="宋体"/>
                <w:color w:val="auto"/>
                <w:kern w:val="2"/>
                <w:sz w:val="21"/>
                <w:szCs w:val="21"/>
                <w:lang w:val="zh-CN" w:eastAsia="zh-CN" w:bidi="ar-SA"/>
              </w:rPr>
            </w:pPr>
            <w:r>
              <w:rPr>
                <w:rFonts w:hint="eastAsia"/>
                <w:szCs w:val="21"/>
                <w:highlight w:val="none"/>
              </w:rPr>
              <w:t>培训时间计划完善，培训内容丰富</w:t>
            </w:r>
            <w:r>
              <w:rPr>
                <w:rFonts w:hint="eastAsia"/>
                <w:szCs w:val="21"/>
                <w:highlight w:val="none"/>
                <w:lang w:val="en-US" w:eastAsia="zh-CN"/>
              </w:rPr>
              <w:t>多彩</w:t>
            </w:r>
            <w:r>
              <w:rPr>
                <w:rFonts w:hint="eastAsia"/>
                <w:szCs w:val="21"/>
                <w:highlight w:val="none"/>
                <w:lang w:eastAsia="zh-CN"/>
              </w:rPr>
              <w:t>，</w:t>
            </w:r>
            <w:r>
              <w:rPr>
                <w:rFonts w:hint="eastAsia"/>
                <w:szCs w:val="21"/>
                <w:highlight w:val="none"/>
              </w:rPr>
              <w:t>培训措施科学合理、操作性强得</w:t>
            </w:r>
            <w:r>
              <w:rPr>
                <w:rFonts w:hint="eastAsia"/>
                <w:szCs w:val="21"/>
                <w:highlight w:val="none"/>
                <w:lang w:val="en-US" w:eastAsia="zh-CN"/>
              </w:rPr>
              <w:t>4</w:t>
            </w:r>
            <w:r>
              <w:rPr>
                <w:rFonts w:hint="eastAsia"/>
                <w:szCs w:val="21"/>
                <w:highlight w:val="none"/>
              </w:rPr>
              <w:t>分；培训时间计划</w:t>
            </w:r>
            <w:r>
              <w:rPr>
                <w:rFonts w:hint="eastAsia"/>
                <w:szCs w:val="21"/>
                <w:highlight w:val="none"/>
                <w:lang w:val="en-US" w:eastAsia="zh-CN"/>
              </w:rPr>
              <w:t>及内容</w:t>
            </w:r>
            <w:r>
              <w:rPr>
                <w:rFonts w:hint="eastAsia"/>
                <w:szCs w:val="21"/>
                <w:highlight w:val="none"/>
              </w:rPr>
              <w:t>较完善，</w:t>
            </w:r>
            <w:r>
              <w:rPr>
                <w:rFonts w:hint="eastAsia"/>
                <w:szCs w:val="21"/>
                <w:highlight w:val="none"/>
                <w:lang w:val="en-US" w:eastAsia="zh-CN"/>
              </w:rPr>
              <w:t>培训措施</w:t>
            </w:r>
            <w:r>
              <w:rPr>
                <w:rFonts w:hint="eastAsia"/>
                <w:szCs w:val="21"/>
                <w:highlight w:val="none"/>
              </w:rPr>
              <w:t>基本合理得</w:t>
            </w:r>
            <w:r>
              <w:rPr>
                <w:rFonts w:hint="eastAsia"/>
                <w:szCs w:val="21"/>
                <w:highlight w:val="none"/>
                <w:lang w:val="en-US" w:eastAsia="zh-CN"/>
              </w:rPr>
              <w:t>2</w:t>
            </w:r>
            <w:r>
              <w:rPr>
                <w:rFonts w:hint="eastAsia"/>
                <w:szCs w:val="21"/>
                <w:highlight w:val="none"/>
              </w:rPr>
              <w:t>分；培训时间计划</w:t>
            </w:r>
            <w:r>
              <w:rPr>
                <w:rFonts w:hint="eastAsia"/>
                <w:szCs w:val="21"/>
                <w:highlight w:val="none"/>
                <w:lang w:val="en-US" w:eastAsia="zh-CN"/>
              </w:rPr>
              <w:t>及内容考虑不周全</w:t>
            </w:r>
            <w:r>
              <w:rPr>
                <w:rFonts w:hint="eastAsia"/>
                <w:szCs w:val="21"/>
                <w:highlight w:val="none"/>
                <w:lang w:eastAsia="zh-CN"/>
              </w:rPr>
              <w:t>，</w:t>
            </w:r>
            <w:r>
              <w:rPr>
                <w:rFonts w:hint="eastAsia"/>
                <w:szCs w:val="21"/>
                <w:highlight w:val="none"/>
                <w:lang w:val="en-US" w:eastAsia="zh-CN"/>
              </w:rPr>
              <w:t>需要完善方可实施的得</w:t>
            </w:r>
            <w:r>
              <w:rPr>
                <w:rFonts w:hint="eastAsia"/>
                <w:szCs w:val="21"/>
                <w:highlight w:val="none"/>
              </w:rPr>
              <w:t>1分；没有不得分</w:t>
            </w:r>
            <w:r>
              <w:rPr>
                <w:rFonts w:hint="eastAsia"/>
                <w:szCs w:val="21"/>
                <w:highlight w:val="none"/>
                <w:lang w:eastAsia="zh-CN"/>
              </w:rPr>
              <w:t>。</w:t>
            </w:r>
          </w:p>
        </w:tc>
        <w:tc>
          <w:tcPr>
            <w:tcW w:w="783" w:type="dxa"/>
            <w:noWrap w:val="0"/>
            <w:vAlign w:val="center"/>
          </w:tcPr>
          <w:p>
            <w:pPr>
              <w:autoSpaceDE w:val="0"/>
              <w:autoSpaceDN w:val="0"/>
              <w:adjustRightInd w:val="0"/>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adjustRightInd w:val="0"/>
              <w:jc w:val="center"/>
              <w:rPr>
                <w:rFonts w:hint="eastAsia" w:eastAsia="宋体"/>
                <w:color w:val="auto"/>
                <w:sz w:val="21"/>
                <w:szCs w:val="21"/>
                <w:highlight w:val="none"/>
              </w:rPr>
            </w:pPr>
            <w:r>
              <w:rPr>
                <w:rFonts w:hint="eastAsia" w:eastAsia="宋体"/>
                <w:color w:val="auto"/>
                <w:sz w:val="21"/>
                <w:szCs w:val="21"/>
                <w:highlight w:val="none"/>
              </w:rPr>
              <w:t>网络核心交换机</w:t>
            </w:r>
          </w:p>
        </w:tc>
        <w:tc>
          <w:tcPr>
            <w:tcW w:w="5343" w:type="dxa"/>
            <w:noWrap w:val="0"/>
            <w:vAlign w:val="center"/>
          </w:tcPr>
          <w:p>
            <w:pPr>
              <w:adjustRightInd w:val="0"/>
              <w:jc w:val="left"/>
              <w:rPr>
                <w:rFonts w:hint="eastAsia" w:eastAsia="宋体"/>
                <w:color w:val="auto"/>
                <w:sz w:val="21"/>
                <w:szCs w:val="21"/>
                <w:highlight w:val="none"/>
              </w:rPr>
            </w:pPr>
            <w:r>
              <w:rPr>
                <w:rFonts w:hint="eastAsia" w:eastAsia="宋体"/>
                <w:color w:val="auto"/>
                <w:sz w:val="21"/>
                <w:szCs w:val="21"/>
                <w:highlight w:val="none"/>
              </w:rPr>
              <w:t>投标产品的技术参数每有一项正偏离得1分，没有正偏离不得分，最高得</w:t>
            </w:r>
            <w:r>
              <w:rPr>
                <w:rFonts w:hint="eastAsia" w:eastAsia="宋体"/>
                <w:color w:val="auto"/>
                <w:sz w:val="21"/>
                <w:szCs w:val="21"/>
                <w:highlight w:val="none"/>
                <w:lang w:val="en-US" w:eastAsia="zh-CN"/>
              </w:rPr>
              <w:t>4</w:t>
            </w:r>
            <w:r>
              <w:rPr>
                <w:rFonts w:hint="eastAsia" w:eastAsia="宋体"/>
                <w:color w:val="auto"/>
                <w:sz w:val="21"/>
                <w:szCs w:val="21"/>
                <w:highlight w:val="none"/>
              </w:rPr>
              <w:t>分。</w:t>
            </w:r>
          </w:p>
          <w:p>
            <w:pPr>
              <w:adjustRightInd w:val="0"/>
              <w:jc w:val="left"/>
              <w:rPr>
                <w:rFonts w:hint="eastAsia" w:eastAsia="宋体"/>
                <w:color w:val="auto"/>
                <w:sz w:val="21"/>
                <w:szCs w:val="21"/>
                <w:highlight w:val="none"/>
                <w:lang w:val="en-US" w:eastAsia="zh-CN"/>
              </w:rPr>
            </w:pPr>
            <w:r>
              <w:rPr>
                <w:rFonts w:hint="eastAsia" w:eastAsia="宋体"/>
                <w:color w:val="auto"/>
                <w:sz w:val="21"/>
                <w:szCs w:val="21"/>
                <w:highlight w:val="none"/>
              </w:rPr>
              <w:t>（投标文件中</w:t>
            </w:r>
            <w:r>
              <w:rPr>
                <w:rFonts w:hint="eastAsia" w:eastAsia="宋体"/>
                <w:color w:val="auto"/>
                <w:sz w:val="21"/>
                <w:szCs w:val="21"/>
                <w:highlight w:val="none"/>
                <w:lang w:val="en-US" w:eastAsia="zh-CN"/>
              </w:rPr>
              <w:t>提供</w:t>
            </w:r>
            <w:r>
              <w:rPr>
                <w:rFonts w:hint="eastAsia" w:eastAsia="宋体"/>
                <w:color w:val="auto"/>
                <w:sz w:val="21"/>
                <w:szCs w:val="21"/>
                <w:highlight w:val="none"/>
              </w:rPr>
              <w:t>加盖制造商公章的具有检测资质的第三方检测机构出具的检测报告扫描件</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否则不予认定</w:t>
            </w:r>
            <w:r>
              <w:rPr>
                <w:rFonts w:hint="eastAsia" w:eastAsia="宋体"/>
                <w:color w:val="auto"/>
                <w:sz w:val="21"/>
                <w:szCs w:val="21"/>
                <w:highlight w:val="none"/>
              </w:rPr>
              <w:t>）</w:t>
            </w:r>
          </w:p>
        </w:tc>
        <w:tc>
          <w:tcPr>
            <w:tcW w:w="783" w:type="dxa"/>
            <w:noWrap w:val="0"/>
            <w:vAlign w:val="center"/>
          </w:tcPr>
          <w:p>
            <w:pPr>
              <w:autoSpaceDE w:val="0"/>
              <w:autoSpaceDN w:val="0"/>
              <w:adjustRightInd w:val="0"/>
              <w:spacing w:line="30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adjustRightInd w:val="0"/>
              <w:jc w:val="center"/>
              <w:rPr>
                <w:rFonts w:hint="eastAsia" w:eastAsia="宋体"/>
                <w:color w:val="auto"/>
                <w:sz w:val="21"/>
                <w:szCs w:val="21"/>
                <w:highlight w:val="none"/>
              </w:rPr>
            </w:pPr>
            <w:r>
              <w:rPr>
                <w:rFonts w:hint="eastAsia" w:eastAsia="宋体"/>
                <w:color w:val="auto"/>
                <w:sz w:val="21"/>
                <w:szCs w:val="21"/>
                <w:highlight w:val="none"/>
                <w:lang w:val="zh-CN"/>
              </w:rPr>
              <w:t>壁挂式</w:t>
            </w:r>
            <w:r>
              <w:rPr>
                <w:rFonts w:hint="eastAsia" w:eastAsia="宋体"/>
                <w:color w:val="auto"/>
                <w:sz w:val="21"/>
                <w:szCs w:val="21"/>
                <w:highlight w:val="none"/>
              </w:rPr>
              <w:t>IP</w:t>
            </w:r>
            <w:r>
              <w:rPr>
                <w:rFonts w:hint="eastAsia" w:eastAsia="宋体"/>
                <w:color w:val="auto"/>
                <w:sz w:val="21"/>
                <w:szCs w:val="21"/>
                <w:highlight w:val="none"/>
                <w:lang w:val="zh-CN"/>
              </w:rPr>
              <w:t>有源信息音箱</w:t>
            </w:r>
          </w:p>
        </w:tc>
        <w:tc>
          <w:tcPr>
            <w:tcW w:w="5343" w:type="dxa"/>
            <w:noWrap w:val="0"/>
            <w:vAlign w:val="center"/>
          </w:tcPr>
          <w:p>
            <w:pPr>
              <w:adjustRightInd w:val="0"/>
              <w:jc w:val="left"/>
              <w:rPr>
                <w:rFonts w:hint="eastAsia" w:eastAsia="宋体"/>
                <w:color w:val="auto"/>
                <w:sz w:val="21"/>
                <w:szCs w:val="21"/>
                <w:highlight w:val="none"/>
              </w:rPr>
            </w:pPr>
            <w:r>
              <w:rPr>
                <w:rFonts w:hint="eastAsia" w:eastAsia="宋体"/>
                <w:color w:val="auto"/>
                <w:sz w:val="21"/>
                <w:szCs w:val="21"/>
                <w:highlight w:val="none"/>
              </w:rPr>
              <w:t>投标产品的技术参数每有一项正偏离得</w:t>
            </w:r>
            <w:r>
              <w:rPr>
                <w:rFonts w:hint="eastAsia" w:eastAsia="宋体"/>
                <w:color w:val="auto"/>
                <w:sz w:val="21"/>
                <w:szCs w:val="21"/>
                <w:highlight w:val="none"/>
                <w:lang w:val="en-US" w:eastAsia="zh-CN"/>
              </w:rPr>
              <w:t>1</w:t>
            </w:r>
            <w:r>
              <w:rPr>
                <w:rFonts w:hint="eastAsia" w:eastAsia="宋体"/>
                <w:color w:val="auto"/>
                <w:sz w:val="21"/>
                <w:szCs w:val="21"/>
                <w:highlight w:val="none"/>
              </w:rPr>
              <w:t>分，没有正偏离不得分，最高得</w:t>
            </w:r>
            <w:r>
              <w:rPr>
                <w:rFonts w:hint="eastAsia" w:eastAsia="宋体"/>
                <w:color w:val="auto"/>
                <w:sz w:val="21"/>
                <w:szCs w:val="21"/>
                <w:highlight w:val="none"/>
                <w:lang w:val="en-US" w:eastAsia="zh-CN"/>
              </w:rPr>
              <w:t>3</w:t>
            </w:r>
            <w:r>
              <w:rPr>
                <w:rFonts w:hint="eastAsia" w:eastAsia="宋体"/>
                <w:color w:val="auto"/>
                <w:sz w:val="21"/>
                <w:szCs w:val="21"/>
                <w:highlight w:val="none"/>
              </w:rPr>
              <w:t>分。</w:t>
            </w:r>
          </w:p>
          <w:p>
            <w:pPr>
              <w:adjustRightInd w:val="0"/>
              <w:jc w:val="left"/>
              <w:rPr>
                <w:rFonts w:hint="eastAsia" w:eastAsia="宋体"/>
                <w:color w:val="auto"/>
                <w:sz w:val="21"/>
                <w:szCs w:val="21"/>
                <w:highlight w:val="none"/>
              </w:rPr>
            </w:pPr>
            <w:r>
              <w:rPr>
                <w:rFonts w:hint="eastAsia" w:eastAsia="宋体"/>
                <w:color w:val="auto"/>
                <w:sz w:val="21"/>
                <w:szCs w:val="21"/>
                <w:highlight w:val="none"/>
              </w:rPr>
              <w:t>（投标文件中</w:t>
            </w:r>
            <w:r>
              <w:rPr>
                <w:rFonts w:hint="eastAsia" w:eastAsia="宋体"/>
                <w:color w:val="auto"/>
                <w:sz w:val="21"/>
                <w:szCs w:val="21"/>
                <w:highlight w:val="none"/>
                <w:lang w:val="en-US" w:eastAsia="zh-CN"/>
              </w:rPr>
              <w:t>提供</w:t>
            </w:r>
            <w:r>
              <w:rPr>
                <w:rFonts w:hint="eastAsia" w:eastAsia="宋体"/>
                <w:color w:val="auto"/>
                <w:sz w:val="21"/>
                <w:szCs w:val="21"/>
                <w:highlight w:val="none"/>
              </w:rPr>
              <w:t>加盖制造商公章的具有检测资质的第三方检测机构出具的检测报告扫描件</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否则不予认定</w:t>
            </w:r>
            <w:r>
              <w:rPr>
                <w:rFonts w:hint="eastAsia" w:eastAsia="宋体"/>
                <w:color w:val="auto"/>
                <w:sz w:val="21"/>
                <w:szCs w:val="21"/>
                <w:highlight w:val="none"/>
              </w:rPr>
              <w:t>）</w:t>
            </w:r>
          </w:p>
        </w:tc>
        <w:tc>
          <w:tcPr>
            <w:tcW w:w="783" w:type="dxa"/>
            <w:noWrap w:val="0"/>
            <w:vAlign w:val="center"/>
          </w:tcPr>
          <w:p>
            <w:pPr>
              <w:autoSpaceDE w:val="0"/>
              <w:autoSpaceDN w:val="0"/>
              <w:adjustRightInd w:val="0"/>
              <w:spacing w:line="30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896" w:type="dxa"/>
            <w:vMerge w:val="continue"/>
            <w:noWrap w:val="0"/>
            <w:vAlign w:val="center"/>
          </w:tcPr>
          <w:p>
            <w:pPr>
              <w:adjustRightInd w:val="0"/>
              <w:snapToGrid w:val="0"/>
              <w:spacing w:before="36" w:beforeLines="15" w:line="276" w:lineRule="auto"/>
              <w:jc w:val="center"/>
              <w:rPr>
                <w:rFonts w:ascii="宋体" w:hAnsi="宋体"/>
                <w:color w:val="auto"/>
                <w:szCs w:val="21"/>
              </w:rPr>
            </w:pPr>
          </w:p>
        </w:tc>
        <w:tc>
          <w:tcPr>
            <w:tcW w:w="1896" w:type="dxa"/>
            <w:noWrap w:val="0"/>
            <w:vAlign w:val="center"/>
          </w:tcPr>
          <w:p>
            <w:pPr>
              <w:adjustRightInd w:val="0"/>
              <w:jc w:val="center"/>
              <w:rPr>
                <w:rFonts w:hint="eastAsia" w:eastAsia="宋体"/>
                <w:color w:val="auto"/>
                <w:sz w:val="21"/>
                <w:szCs w:val="21"/>
                <w:highlight w:val="none"/>
              </w:rPr>
            </w:pPr>
            <w:r>
              <w:rPr>
                <w:rFonts w:hint="eastAsia" w:eastAsia="宋体"/>
                <w:color w:val="auto"/>
                <w:sz w:val="21"/>
                <w:szCs w:val="21"/>
                <w:highlight w:val="none"/>
              </w:rPr>
              <w:t>吸顶AP</w:t>
            </w:r>
          </w:p>
        </w:tc>
        <w:tc>
          <w:tcPr>
            <w:tcW w:w="5343" w:type="dxa"/>
            <w:noWrap w:val="0"/>
            <w:vAlign w:val="center"/>
          </w:tcPr>
          <w:p>
            <w:pPr>
              <w:adjustRightInd w:val="0"/>
              <w:jc w:val="left"/>
              <w:rPr>
                <w:rFonts w:hint="eastAsia" w:eastAsia="宋体"/>
                <w:color w:val="auto"/>
                <w:sz w:val="21"/>
                <w:szCs w:val="21"/>
                <w:highlight w:val="none"/>
              </w:rPr>
            </w:pPr>
            <w:r>
              <w:rPr>
                <w:rFonts w:hint="eastAsia" w:eastAsia="宋体"/>
                <w:color w:val="auto"/>
                <w:sz w:val="21"/>
                <w:szCs w:val="21"/>
                <w:highlight w:val="none"/>
              </w:rPr>
              <w:t>投标产品的技术参数每有一项正偏离得1分，没有正偏离不得分，最高得</w:t>
            </w:r>
            <w:r>
              <w:rPr>
                <w:rFonts w:hint="eastAsia" w:eastAsia="宋体"/>
                <w:color w:val="auto"/>
                <w:sz w:val="21"/>
                <w:szCs w:val="21"/>
                <w:highlight w:val="none"/>
                <w:lang w:val="en-US" w:eastAsia="zh-CN"/>
              </w:rPr>
              <w:t>3</w:t>
            </w:r>
            <w:r>
              <w:rPr>
                <w:rFonts w:hint="eastAsia" w:eastAsia="宋体"/>
                <w:color w:val="auto"/>
                <w:sz w:val="21"/>
                <w:szCs w:val="21"/>
                <w:highlight w:val="none"/>
              </w:rPr>
              <w:t>分。</w:t>
            </w:r>
          </w:p>
          <w:p>
            <w:pPr>
              <w:adjustRightInd w:val="0"/>
              <w:jc w:val="left"/>
              <w:rPr>
                <w:rFonts w:hint="eastAsia" w:eastAsia="宋体"/>
                <w:color w:val="auto"/>
                <w:sz w:val="21"/>
                <w:szCs w:val="21"/>
                <w:highlight w:val="none"/>
                <w:lang w:val="zh-CN"/>
              </w:rPr>
            </w:pPr>
            <w:r>
              <w:rPr>
                <w:rFonts w:hint="eastAsia" w:eastAsia="宋体"/>
                <w:color w:val="auto"/>
                <w:sz w:val="21"/>
                <w:szCs w:val="21"/>
                <w:highlight w:val="none"/>
              </w:rPr>
              <w:t>（投标文件中</w:t>
            </w:r>
            <w:r>
              <w:rPr>
                <w:rFonts w:hint="eastAsia" w:eastAsia="宋体"/>
                <w:color w:val="auto"/>
                <w:sz w:val="21"/>
                <w:szCs w:val="21"/>
                <w:highlight w:val="none"/>
                <w:lang w:val="en-US" w:eastAsia="zh-CN"/>
              </w:rPr>
              <w:t>提供</w:t>
            </w:r>
            <w:r>
              <w:rPr>
                <w:rFonts w:hint="eastAsia" w:eastAsia="宋体"/>
                <w:color w:val="auto"/>
                <w:sz w:val="21"/>
                <w:szCs w:val="21"/>
                <w:highlight w:val="none"/>
              </w:rPr>
              <w:t>加盖制造商公章的具有检测资质的第三方检测机构出具的检测报告扫描件</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否则不予认定</w:t>
            </w:r>
            <w:r>
              <w:rPr>
                <w:rFonts w:hint="eastAsia" w:eastAsia="宋体"/>
                <w:color w:val="auto"/>
                <w:sz w:val="21"/>
                <w:szCs w:val="21"/>
                <w:highlight w:val="none"/>
              </w:rPr>
              <w:t>）</w:t>
            </w:r>
          </w:p>
        </w:tc>
        <w:tc>
          <w:tcPr>
            <w:tcW w:w="783" w:type="dxa"/>
            <w:noWrap w:val="0"/>
            <w:vAlign w:val="center"/>
          </w:tcPr>
          <w:p>
            <w:pPr>
              <w:autoSpaceDE w:val="0"/>
              <w:autoSpaceDN w:val="0"/>
              <w:adjustRightInd w:val="0"/>
              <w:spacing w:line="3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8135" w:type="dxa"/>
            <w:gridSpan w:val="3"/>
            <w:noWrap w:val="0"/>
            <w:vAlign w:val="center"/>
          </w:tcPr>
          <w:p>
            <w:pPr>
              <w:adjustRightInd w:val="0"/>
              <w:snapToGrid w:val="0"/>
              <w:spacing w:before="36" w:beforeLines="15" w:line="276" w:lineRule="auto"/>
              <w:jc w:val="center"/>
              <w:rPr>
                <w:rFonts w:ascii="宋体" w:hAnsi="宋体"/>
                <w:color w:val="auto"/>
                <w:szCs w:val="21"/>
              </w:rPr>
            </w:pPr>
            <w:r>
              <w:rPr>
                <w:rFonts w:hint="eastAsia" w:ascii="宋体" w:hAnsi="宋体"/>
                <w:color w:val="auto"/>
                <w:szCs w:val="21"/>
              </w:rPr>
              <w:t>合计</w:t>
            </w:r>
          </w:p>
        </w:tc>
        <w:tc>
          <w:tcPr>
            <w:tcW w:w="783" w:type="dxa"/>
            <w:noWrap w:val="0"/>
            <w:vAlign w:val="center"/>
          </w:tcPr>
          <w:p>
            <w:pPr>
              <w:adjustRightInd w:val="0"/>
              <w:snapToGrid w:val="0"/>
              <w:spacing w:before="36" w:beforeLines="15" w:line="276" w:lineRule="auto"/>
              <w:jc w:val="center"/>
              <w:rPr>
                <w:rFonts w:hint="eastAsia" w:ascii="宋体" w:hAnsi="宋体"/>
                <w:color w:val="auto"/>
                <w:szCs w:val="21"/>
              </w:rPr>
            </w:pPr>
            <w:r>
              <w:rPr>
                <w:rFonts w:hint="eastAsia" w:ascii="宋体" w:hAnsi="宋体"/>
                <w:color w:val="auto"/>
                <w:szCs w:val="21"/>
              </w:rPr>
              <w:t>100分</w:t>
            </w:r>
          </w:p>
        </w:tc>
      </w:tr>
    </w:tbl>
    <w:p>
      <w:pPr>
        <w:pStyle w:val="2"/>
        <w:widowControl w:val="0"/>
        <w:numPr>
          <w:ilvl w:val="0"/>
          <w:numId w:val="0"/>
        </w:numPr>
        <w:spacing w:line="360" w:lineRule="auto"/>
        <w:jc w:val="both"/>
        <w:rPr>
          <w:color w:val="auto"/>
        </w:rPr>
      </w:pPr>
    </w:p>
    <w:p>
      <w:pPr>
        <w:autoSpaceDN w:val="0"/>
        <w:adjustRightInd w:val="0"/>
        <w:snapToGrid w:val="0"/>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 xml:space="preserve"> (四) 说  明</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评标委员会对满足招标文件实质性要求的投标文件，按照本章规定的评分标准进行打分，并按得分由高到低顺序推荐中标候选人，或根据采购人授权直接确定中标人，但投标报价低于其成本的除外。综合评分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firstLineChars="200"/>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1"/>
        <w:rPr>
          <w:color w:val="auto"/>
          <w:highlight w:val="none"/>
        </w:rPr>
      </w:pPr>
      <w:r>
        <w:rPr>
          <w:rFonts w:hint="eastAsia"/>
          <w:color w:val="auto"/>
          <w:highlight w:val="none"/>
        </w:rPr>
        <w:t>本项目核心品牌为</w:t>
      </w:r>
      <w:r>
        <w:rPr>
          <w:rFonts w:hint="eastAsia"/>
          <w:color w:val="auto"/>
          <w:highlight w:val="none"/>
          <w:lang w:val="en-US" w:eastAsia="zh-CN"/>
        </w:rPr>
        <w:t xml:space="preserve"> 网络核心交换机、</w:t>
      </w:r>
      <w:r>
        <w:rPr>
          <w:rFonts w:hint="eastAsia" w:eastAsia="宋体"/>
          <w:color w:val="auto"/>
          <w:sz w:val="21"/>
          <w:szCs w:val="21"/>
          <w:highlight w:val="none"/>
          <w:lang w:val="zh-CN"/>
        </w:rPr>
        <w:t>壁挂式</w:t>
      </w:r>
      <w:r>
        <w:rPr>
          <w:rFonts w:hint="eastAsia" w:eastAsia="宋体"/>
          <w:color w:val="auto"/>
          <w:sz w:val="21"/>
          <w:szCs w:val="21"/>
          <w:highlight w:val="none"/>
        </w:rPr>
        <w:t>IP</w:t>
      </w:r>
      <w:r>
        <w:rPr>
          <w:rFonts w:hint="eastAsia" w:eastAsia="宋体"/>
          <w:color w:val="auto"/>
          <w:sz w:val="21"/>
          <w:szCs w:val="21"/>
          <w:highlight w:val="none"/>
          <w:lang w:val="zh-CN"/>
        </w:rPr>
        <w:t>有源信息音箱</w:t>
      </w:r>
      <w:r>
        <w:rPr>
          <w:rFonts w:hint="eastAsia"/>
          <w:color w:val="auto"/>
          <w:sz w:val="21"/>
          <w:szCs w:val="21"/>
          <w:highlight w:val="none"/>
          <w:lang w:val="zh-CN"/>
        </w:rPr>
        <w:t>、</w:t>
      </w:r>
      <w:r>
        <w:rPr>
          <w:rFonts w:hint="eastAsia" w:eastAsia="宋体"/>
          <w:color w:val="auto"/>
          <w:sz w:val="21"/>
          <w:szCs w:val="21"/>
          <w:highlight w:val="none"/>
        </w:rPr>
        <w:t>吸顶AP</w:t>
      </w:r>
      <w:r>
        <w:rPr>
          <w:rFonts w:hint="eastAsia"/>
          <w:color w:val="auto"/>
          <w:highlight w:val="none"/>
        </w:rPr>
        <w:t>。</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2、本办法未列内容，不作为本次评审依据。</w:t>
      </w:r>
    </w:p>
    <w:p>
      <w:pPr>
        <w:autoSpaceDN w:val="0"/>
        <w:adjustRightInd w:val="0"/>
        <w:snapToGrid w:val="0"/>
        <w:spacing w:line="360" w:lineRule="auto"/>
        <w:ind w:firstLine="420" w:firstLineChars="200"/>
        <w:rPr>
          <w:rFonts w:cs="宋体" w:asciiTheme="majorEastAsia" w:hAnsiTheme="majorEastAsia" w:eastAsiaTheme="majorEastAsia"/>
          <w:color w:val="auto"/>
          <w:szCs w:val="21"/>
          <w:lang w:val="zh-CN"/>
        </w:rPr>
      </w:pPr>
      <w:r>
        <w:rPr>
          <w:rFonts w:hint="eastAsia" w:cs="宋体" w:asciiTheme="majorEastAsia" w:hAnsiTheme="majorEastAsia" w:eastAsiaTheme="majorEastAsia"/>
          <w:color w:val="auto"/>
          <w:szCs w:val="21"/>
          <w:lang w:val="zh-CN"/>
        </w:rPr>
        <w:t>纳入节能产品政府采购清单的投标产品及纳入</w:t>
      </w:r>
      <w:r>
        <w:rPr>
          <w:rFonts w:hint="eastAsia" w:cs="宋体" w:asciiTheme="majorEastAsia" w:hAnsiTheme="majorEastAsia" w:eastAsiaTheme="majorEastAsia"/>
          <w:color w:val="auto"/>
          <w:szCs w:val="21"/>
        </w:rPr>
        <w:t>环境标志产品政府采购品目清单</w:t>
      </w:r>
      <w:r>
        <w:rPr>
          <w:rFonts w:hint="eastAsia" w:cs="宋体" w:asciiTheme="majorEastAsia" w:hAnsiTheme="majorEastAsia" w:eastAsiaTheme="majorEastAsia"/>
          <w:color w:val="auto"/>
          <w:szCs w:val="21"/>
          <w:lang w:val="zh-CN"/>
        </w:rPr>
        <w:t>的投标产品的证明材料：</w:t>
      </w:r>
    </w:p>
    <w:tbl>
      <w:tblPr>
        <w:tblStyle w:val="23"/>
        <w:tblW w:w="90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7"/>
        <w:gridCol w:w="1533"/>
        <w:gridCol w:w="1732"/>
        <w:gridCol w:w="1333"/>
        <w:gridCol w:w="1935"/>
        <w:gridCol w:w="11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1427"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hint="default" w:cs="Arial"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产品名称</w:t>
            </w:r>
          </w:p>
        </w:tc>
        <w:tc>
          <w:tcPr>
            <w:tcW w:w="1533"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hint="default" w:cs="Arial"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lang w:val="en-US" w:eastAsia="zh-CN"/>
              </w:rPr>
              <w:t>规格型号</w:t>
            </w:r>
          </w:p>
        </w:tc>
        <w:tc>
          <w:tcPr>
            <w:tcW w:w="1732"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cs="Arial"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是否纳入节能产品政府采购清单的投标产品</w:t>
            </w:r>
          </w:p>
        </w:tc>
        <w:tc>
          <w:tcPr>
            <w:tcW w:w="1333"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cs="Arial"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金额（元）</w:t>
            </w:r>
          </w:p>
        </w:tc>
        <w:tc>
          <w:tcPr>
            <w:tcW w:w="1935"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cs="Arial"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是否环境标志产品政府采购品目清单的投标产品</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center"/>
              <w:rPr>
                <w:rFonts w:cs="Arial" w:asciiTheme="majorEastAsia" w:hAnsiTheme="majorEastAsia" w:eastAsiaTheme="majorEastAsia"/>
                <w:color w:val="auto"/>
                <w:szCs w:val="21"/>
                <w:lang w:val="zh-CN"/>
              </w:rPr>
            </w:pPr>
            <w:r>
              <w:rPr>
                <w:rFonts w:hint="eastAsia" w:asciiTheme="majorEastAsia" w:hAnsiTheme="majorEastAsia" w:eastAsiaTheme="majorEastAsia"/>
                <w:color w:val="auto"/>
                <w:szCs w:val="21"/>
                <w:lang w:val="zh-CN"/>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5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7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3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935"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1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5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7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3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935"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1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5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7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3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935"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1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27"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r>
              <w:rPr>
                <w:rFonts w:hint="eastAsia" w:asciiTheme="majorEastAsia" w:hAnsiTheme="majorEastAsia" w:eastAsiaTheme="majorEastAsia"/>
                <w:color w:val="auto"/>
                <w:szCs w:val="21"/>
              </w:rPr>
              <w:t>合计</w:t>
            </w:r>
          </w:p>
        </w:tc>
        <w:tc>
          <w:tcPr>
            <w:tcW w:w="15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7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333"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r>
              <w:rPr>
                <w:rFonts w:hint="eastAsia" w:asciiTheme="majorEastAsia" w:hAnsiTheme="majorEastAsia" w:eastAsiaTheme="majorEastAsia"/>
                <w:color w:val="auto"/>
                <w:szCs w:val="21"/>
              </w:rPr>
              <w:t>元</w:t>
            </w:r>
          </w:p>
        </w:tc>
        <w:tc>
          <w:tcPr>
            <w:tcW w:w="1935"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p>
        </w:tc>
        <w:tc>
          <w:tcPr>
            <w:tcW w:w="1132"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cs="Arial" w:asciiTheme="majorEastAsia" w:hAnsiTheme="majorEastAsia" w:eastAsiaTheme="majorEastAsia"/>
                <w:color w:val="auto"/>
                <w:szCs w:val="21"/>
              </w:rPr>
            </w:pPr>
            <w:r>
              <w:rPr>
                <w:rFonts w:hint="eastAsia" w:asciiTheme="majorEastAsia" w:hAnsiTheme="majorEastAsia" w:eastAsiaTheme="majorEastAsia"/>
                <w:color w:val="auto"/>
                <w:szCs w:val="21"/>
              </w:rPr>
              <w:t>元</w:t>
            </w:r>
          </w:p>
        </w:tc>
      </w:tr>
    </w:tbl>
    <w:p>
      <w:pPr>
        <w:numPr>
          <w:ilvl w:val="0"/>
          <w:numId w:val="6"/>
        </w:numPr>
        <w:autoSpaceDE w:val="0"/>
        <w:autoSpaceDN w:val="0"/>
        <w:adjustRightInd w:val="0"/>
        <w:spacing w:line="360" w:lineRule="auto"/>
        <w:ind w:firstLine="359" w:firstLineChars="171"/>
        <w:jc w:val="left"/>
        <w:rPr>
          <w:rFonts w:hint="eastAsia" w:asciiTheme="majorEastAsia" w:hAnsiTheme="majorEastAsia" w:eastAsiaTheme="majorEastAsia"/>
          <w:color w:val="auto"/>
          <w:szCs w:val="21"/>
        </w:rPr>
      </w:pPr>
      <w:r>
        <w:rPr>
          <w:rFonts w:hint="eastAsia" w:asciiTheme="majorEastAsia" w:hAnsiTheme="majorEastAsia" w:eastAsiaTheme="majorEastAsia"/>
          <w:b w:val="0"/>
          <w:bCs w:val="0"/>
          <w:color w:val="auto"/>
          <w:szCs w:val="21"/>
        </w:rPr>
        <w:t>对于列入财政部、国家环保总局发布的环境标志产品实施品目清单的产品，</w:t>
      </w:r>
      <w:r>
        <w:rPr>
          <w:rFonts w:hint="eastAsia" w:ascii="宋体" w:hAnsi="宋体" w:eastAsia="宋体" w:cs="宋体"/>
          <w:b w:val="0"/>
          <w:bCs w:val="0"/>
          <w:szCs w:val="21"/>
          <w:highlight w:val="none"/>
        </w:rPr>
        <w:t>对该项目产品价</w:t>
      </w:r>
      <w:r>
        <w:rPr>
          <w:rFonts w:hint="eastAsia" w:ascii="宋体" w:hAnsi="宋体" w:eastAsia="宋体" w:cs="宋体"/>
          <w:szCs w:val="21"/>
          <w:highlight w:val="none"/>
        </w:rPr>
        <w:t>格给予3％的价格扣除</w:t>
      </w:r>
      <w:r>
        <w:rPr>
          <w:rFonts w:hint="eastAsia" w:asciiTheme="majorEastAsia" w:hAnsiTheme="majorEastAsia" w:eastAsiaTheme="majorEastAsia"/>
          <w:color w:val="auto"/>
          <w:szCs w:val="21"/>
        </w:rPr>
        <w:t>。</w:t>
      </w:r>
    </w:p>
    <w:p>
      <w:pPr>
        <w:numPr>
          <w:ilvl w:val="0"/>
          <w:numId w:val="6"/>
        </w:numPr>
        <w:autoSpaceDE w:val="0"/>
        <w:autoSpaceDN w:val="0"/>
        <w:adjustRightInd w:val="0"/>
        <w:spacing w:line="360" w:lineRule="auto"/>
        <w:ind w:firstLine="359" w:firstLineChars="171"/>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对于列入财政部、国家发改委发布的政府采购节能产品实施品目清单的产品，但不属于国家强制采购的产品，</w:t>
      </w:r>
      <w:r>
        <w:rPr>
          <w:rFonts w:hint="eastAsia" w:ascii="宋体" w:hAnsi="宋体" w:eastAsia="宋体" w:cs="宋体"/>
          <w:szCs w:val="21"/>
          <w:highlight w:val="none"/>
        </w:rPr>
        <w:t>对该项目产品价格给予3％的价格扣除</w:t>
      </w:r>
      <w:r>
        <w:rPr>
          <w:rFonts w:hint="eastAsia" w:asciiTheme="majorEastAsia" w:hAnsiTheme="majorEastAsia" w:eastAsiaTheme="majorEastAsia"/>
          <w:color w:val="auto"/>
          <w:szCs w:val="21"/>
        </w:rPr>
        <w:t>。</w:t>
      </w:r>
    </w:p>
    <w:p>
      <w:pPr>
        <w:numPr>
          <w:ilvl w:val="0"/>
          <w:numId w:val="6"/>
        </w:numPr>
        <w:autoSpaceDE w:val="0"/>
        <w:autoSpaceDN w:val="0"/>
        <w:adjustRightInd w:val="0"/>
        <w:spacing w:line="360" w:lineRule="auto"/>
        <w:ind w:left="0" w:leftChars="0" w:firstLine="359" w:firstLineChars="171"/>
        <w:jc w:val="left"/>
        <w:rPr>
          <w:rFonts w:hint="eastAsia" w:cs="Times New Roman" w:asciiTheme="majorEastAsia" w:hAnsiTheme="majorEastAsia" w:eastAsiaTheme="majorEastAsia"/>
          <w:b w:val="0"/>
          <w:color w:val="auto"/>
          <w:kern w:val="2"/>
          <w:sz w:val="21"/>
          <w:szCs w:val="21"/>
          <w:lang w:val="en-US" w:eastAsia="zh-CN" w:bidi="ar-SA"/>
        </w:rPr>
      </w:pPr>
      <w:r>
        <w:rPr>
          <w:rFonts w:hint="eastAsia" w:asciiTheme="majorEastAsia" w:hAnsiTheme="majorEastAsia" w:eastAsiaTheme="majorEastAsia"/>
          <w:color w:val="auto"/>
          <w:szCs w:val="21"/>
        </w:rPr>
        <w:t>产品同时属于政府采购节能产品、环境标志产品实施品目清单范围内且获得合格认证证书的，将上述规定的价格扣除比例叠加后计算价格扣除。（投标人须在投标文件中提供国家确定的认证机构出具的、处于有效期之内的节能产品、环境标志产品认证证书及中国政府采购网（www.ccgp.gov.cn）节能产品、环境标志产品查询截图打印件），投标人应分别列出及标准明确。</w:t>
      </w:r>
    </w:p>
    <w:p>
      <w:pPr>
        <w:numPr>
          <w:ilvl w:val="0"/>
          <w:numId w:val="6"/>
        </w:numPr>
        <w:autoSpaceDE w:val="0"/>
        <w:autoSpaceDN w:val="0"/>
        <w:adjustRightInd w:val="0"/>
        <w:spacing w:line="360" w:lineRule="auto"/>
        <w:ind w:left="0" w:leftChars="0" w:firstLine="361" w:firstLineChars="171"/>
        <w:jc w:val="left"/>
        <w:rPr>
          <w:rFonts w:hint="eastAsia" w:cs="Times New Roman" w:asciiTheme="majorEastAsia" w:hAnsiTheme="majorEastAsia" w:eastAsiaTheme="majorEastAsia"/>
          <w:b/>
          <w:bCs/>
          <w:color w:val="auto"/>
          <w:kern w:val="2"/>
          <w:sz w:val="21"/>
          <w:szCs w:val="21"/>
          <w:lang w:val="en-US" w:eastAsia="zh-CN" w:bidi="ar-SA"/>
        </w:rPr>
      </w:pPr>
      <w:r>
        <w:rPr>
          <w:rFonts w:hint="eastAsia" w:cs="Times New Roman" w:asciiTheme="majorEastAsia" w:hAnsiTheme="majorEastAsia" w:eastAsiaTheme="majorEastAsia"/>
          <w:b/>
          <w:bCs/>
          <w:color w:val="auto"/>
          <w:kern w:val="2"/>
          <w:sz w:val="21"/>
          <w:szCs w:val="21"/>
          <w:lang w:val="en-US" w:eastAsia="zh-CN" w:bidi="ar-SA"/>
        </w:rPr>
        <w:t>如投标产品</w:t>
      </w:r>
      <w:r>
        <w:rPr>
          <w:rFonts w:hint="eastAsia" w:cs="Times New Roman" w:asciiTheme="majorEastAsia" w:hAnsiTheme="majorEastAsia" w:eastAsiaTheme="majorEastAsia"/>
          <w:b/>
          <w:bCs/>
          <w:color w:val="auto"/>
          <w:kern w:val="2"/>
          <w:sz w:val="21"/>
          <w:szCs w:val="21"/>
          <w:lang w:val="zh-CN" w:eastAsia="zh-CN" w:bidi="ar-SA"/>
        </w:rPr>
        <w:t>纳入节能产品政府采购清单的投标产品及纳入</w:t>
      </w:r>
      <w:r>
        <w:rPr>
          <w:rFonts w:hint="eastAsia" w:cs="Times New Roman" w:asciiTheme="majorEastAsia" w:hAnsiTheme="majorEastAsia" w:eastAsiaTheme="majorEastAsia"/>
          <w:b/>
          <w:bCs/>
          <w:color w:val="auto"/>
          <w:kern w:val="2"/>
          <w:sz w:val="21"/>
          <w:szCs w:val="21"/>
          <w:lang w:val="en-US" w:eastAsia="zh-CN" w:bidi="ar-SA"/>
        </w:rPr>
        <w:t>环境标志产品政府采购品目清单</w:t>
      </w:r>
      <w:r>
        <w:rPr>
          <w:rFonts w:hint="eastAsia" w:cs="Times New Roman" w:asciiTheme="majorEastAsia" w:hAnsiTheme="majorEastAsia" w:eastAsiaTheme="majorEastAsia"/>
          <w:b/>
          <w:bCs/>
          <w:color w:val="auto"/>
          <w:kern w:val="2"/>
          <w:sz w:val="21"/>
          <w:szCs w:val="21"/>
          <w:lang w:val="zh-CN" w:eastAsia="zh-CN" w:bidi="ar-SA"/>
        </w:rPr>
        <w:t>的投标产品应在投标文件格式“五、投标报价表”后附此表，并明确标注。</w:t>
      </w:r>
    </w:p>
    <w:p>
      <w:pPr>
        <w:autoSpaceDN w:val="0"/>
        <w:adjustRightInd w:val="0"/>
        <w:snapToGrid w:val="0"/>
        <w:spacing w:line="360" w:lineRule="auto"/>
        <w:ind w:firstLine="42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Cs w:val="21"/>
        </w:rPr>
        <w:t>投标报价评审表：</w:t>
      </w:r>
    </w:p>
    <w:tbl>
      <w:tblPr>
        <w:tblStyle w:val="23"/>
        <w:tblW w:w="91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1"/>
        <w:gridCol w:w="855"/>
        <w:gridCol w:w="1005"/>
        <w:gridCol w:w="1176"/>
        <w:gridCol w:w="1058"/>
        <w:gridCol w:w="1090"/>
        <w:gridCol w:w="1207"/>
        <w:gridCol w:w="1083"/>
        <w:gridCol w:w="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9" w:hRule="atLeast"/>
          <w:jc w:val="center"/>
        </w:trPr>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序号</w:t>
            </w:r>
          </w:p>
        </w:tc>
        <w:tc>
          <w:tcPr>
            <w:tcW w:w="855" w:type="dxa"/>
            <w:vMerge w:val="restart"/>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投标人</w:t>
            </w:r>
          </w:p>
        </w:tc>
        <w:tc>
          <w:tcPr>
            <w:tcW w:w="1005" w:type="dxa"/>
            <w:vMerge w:val="restart"/>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投标报价</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r>
              <w:rPr>
                <w:rFonts w:hint="eastAsia" w:asciiTheme="majorEastAsia" w:hAnsiTheme="majorEastAsia" w:eastAsiaTheme="majorEastAsia"/>
                <w:color w:val="auto"/>
                <w:szCs w:val="21"/>
              </w:rPr>
              <w:t>纠正计算错误</w:t>
            </w:r>
          </w:p>
        </w:tc>
        <w:tc>
          <w:tcPr>
            <w:tcW w:w="1090"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小微企业价格优惠</w:t>
            </w:r>
          </w:p>
        </w:tc>
        <w:tc>
          <w:tcPr>
            <w:tcW w:w="1207"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监狱企业价格优惠</w:t>
            </w:r>
          </w:p>
        </w:tc>
        <w:tc>
          <w:tcPr>
            <w:tcW w:w="1083" w:type="dxa"/>
            <w:vMerge w:val="restart"/>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是否低于成本</w:t>
            </w:r>
          </w:p>
        </w:tc>
        <w:tc>
          <w:tcPr>
            <w:tcW w:w="971" w:type="dxa"/>
            <w:vMerge w:val="restart"/>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参与评标价格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atLeast"/>
          <w:jc w:val="center"/>
        </w:trPr>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1176"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增加（十）</w:t>
            </w:r>
          </w:p>
        </w:tc>
        <w:tc>
          <w:tcPr>
            <w:tcW w:w="1058"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减少（一）</w:t>
            </w:r>
          </w:p>
        </w:tc>
        <w:tc>
          <w:tcPr>
            <w:tcW w:w="1090"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扣除10%</w:t>
            </w:r>
          </w:p>
        </w:tc>
        <w:tc>
          <w:tcPr>
            <w:tcW w:w="1207"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0" w:firstLineChars="0"/>
              <w:rPr>
                <w:rFonts w:asciiTheme="majorEastAsia" w:hAnsiTheme="majorEastAsia" w:eastAsiaTheme="majorEastAsia"/>
                <w:b/>
                <w:bCs/>
                <w:color w:val="auto"/>
                <w:sz w:val="32"/>
                <w:szCs w:val="32"/>
              </w:rPr>
            </w:pPr>
            <w:r>
              <w:rPr>
                <w:rFonts w:hint="eastAsia" w:asciiTheme="majorEastAsia" w:hAnsiTheme="majorEastAsia" w:eastAsiaTheme="majorEastAsia"/>
                <w:color w:val="auto"/>
                <w:szCs w:val="21"/>
              </w:rPr>
              <w:t>扣除10%</w:t>
            </w: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05"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176"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58"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90"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207"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83"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971"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855"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05"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176"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58"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90"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207" w:type="dxa"/>
            <w:tcBorders>
              <w:top w:val="single" w:color="auto" w:sz="4" w:space="0"/>
              <w:left w:val="single" w:color="auto" w:sz="4" w:space="0"/>
              <w:bottom w:val="single" w:color="auto" w:sz="4" w:space="0"/>
              <w:right w:val="single" w:color="auto" w:sz="4" w:space="0"/>
            </w:tcBorders>
            <w:noWrap/>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1083"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c>
          <w:tcPr>
            <w:tcW w:w="971" w:type="dxa"/>
            <w:tcBorders>
              <w:top w:val="single" w:color="auto" w:sz="4" w:space="0"/>
              <w:left w:val="single" w:color="auto" w:sz="4" w:space="0"/>
              <w:bottom w:val="single" w:color="auto" w:sz="4" w:space="0"/>
              <w:right w:val="single" w:color="auto" w:sz="4" w:space="0"/>
            </w:tcBorders>
            <w:noWrap/>
            <w:vAlign w:val="center"/>
          </w:tcPr>
          <w:p>
            <w:pPr>
              <w:pStyle w:val="7"/>
              <w:autoSpaceDN w:val="0"/>
              <w:adjustRightInd w:val="0"/>
              <w:snapToGrid w:val="0"/>
              <w:spacing w:line="360" w:lineRule="auto"/>
              <w:ind w:firstLine="420"/>
              <w:rPr>
                <w:rFonts w:asciiTheme="majorEastAsia" w:hAnsiTheme="majorEastAsia" w:eastAsiaTheme="majorEastAsia"/>
                <w:color w:val="auto"/>
                <w:szCs w:val="21"/>
              </w:rPr>
            </w:pPr>
          </w:p>
        </w:tc>
      </w:tr>
    </w:tbl>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投标报价有算术错误的，评标委员会按以下原则对投标报价进行修正，修正的价格经投标人书面确认后具有约束力。投标人不接受修正价格的，评标委员会应当否决其投标。</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（1）投标文件中的大写金额与小写金额不一致的，以大写金额为准；</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（2）总价金额与依据单价计算出的结果不一致的，以单价金额为准修正总价，但单价金额小数点有明显错误的除外。</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评标委员会在评审时，价格分加分：</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（1）根据财库</w:t>
      </w:r>
      <w:r>
        <w:rPr>
          <w:rFonts w:hint="eastAsia" w:cs="宋体" w:asciiTheme="majorEastAsia" w:hAnsiTheme="majorEastAsia" w:eastAsiaTheme="majorEastAsia"/>
          <w:bCs/>
          <w:color w:val="auto"/>
          <w:szCs w:val="21"/>
        </w:rPr>
        <w:t>[2020]46</w:t>
      </w:r>
      <w:r>
        <w:rPr>
          <w:rFonts w:hint="eastAsia" w:cs="宋体" w:asciiTheme="majorEastAsia" w:hAnsiTheme="majorEastAsia" w:eastAsiaTheme="majorEastAsia"/>
          <w:color w:val="auto"/>
          <w:szCs w:val="21"/>
        </w:rPr>
        <w:t>号、财库〔2022〕19号文件规定，对小型和微型企业的投标报价给予10%的价格扣除，并按照扣除后的价格参加评审。</w:t>
      </w:r>
      <w:r>
        <w:rPr>
          <w:rFonts w:hint="eastAsia" w:cs="宋体" w:asciiTheme="majorEastAsia" w:hAnsiTheme="majorEastAsia" w:eastAsiaTheme="majorEastAsia"/>
          <w:color w:val="auto"/>
          <w:szCs w:val="21"/>
          <w:lang w:val="zh-CN"/>
        </w:rPr>
        <w:t>但参加本次采购活动的中小企业应当提供本办法规定的《中小企业声明函》。</w:t>
      </w:r>
      <w:r>
        <w:rPr>
          <w:rFonts w:hint="eastAsia" w:cs="宋体" w:asciiTheme="majorEastAsia" w:hAnsiTheme="majorEastAsia" w:eastAsiaTheme="majorEastAsia"/>
          <w:color w:val="auto"/>
          <w:szCs w:val="21"/>
          <w:lang w:val="zh-CN" w:eastAsia="zh-CN"/>
        </w:rPr>
        <w:t>在货物采购项目中，供应商提供的货物既有中小企业制造货物，也有大型企业制造货物的，不享受本办法规定的中小企业扶持政策。</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财政部司法部关于政府采购支持监狱企业发展有关问题的通知》文件规定，在政府采购活动中，监狱企业视同小型、微型企业，享受预留份额、评审中价格扣除等政府采购促进中小企业发展的政府采购政策。对监狱企业的投标报价给予10%的价格扣除，并按照扣除后的价格参加评审。</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价格扣除的依据：第（1）条提供中小企业声明函原件，第（2）条应当提供由省级以上监狱管理局、戒毒管理局(含新疆生产建设兵团)出具的属于监狱企业的证明文件原件。第（1）条与第（2）条政策不能叠加扣除。</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（4）中小企业认定标准：工信部联企业【2011】300号</w:t>
      </w:r>
    </w:p>
    <w:p>
      <w:pPr>
        <w:widowControl/>
        <w:jc w:val="left"/>
        <w:rPr>
          <w:rFonts w:asciiTheme="majorEastAsia" w:hAnsiTheme="majorEastAsia" w:eastAsiaTheme="majorEastAsia"/>
          <w:bCs/>
          <w:color w:val="auto"/>
          <w:sz w:val="28"/>
          <w:szCs w:val="28"/>
        </w:rPr>
      </w:pPr>
      <w:r>
        <w:rPr>
          <w:rFonts w:asciiTheme="majorEastAsia" w:hAnsiTheme="majorEastAsia" w:eastAsiaTheme="majorEastAsia"/>
          <w:bCs/>
          <w:color w:val="auto"/>
          <w:sz w:val="28"/>
          <w:szCs w:val="28"/>
        </w:rPr>
        <w:br w:type="page"/>
      </w:r>
    </w:p>
    <w:p>
      <w:pPr>
        <w:autoSpaceDN w:val="0"/>
        <w:adjustRightInd w:val="0"/>
        <w:snapToGrid w:val="0"/>
        <w:spacing w:before="312" w:line="360" w:lineRule="auto"/>
        <w:jc w:val="center"/>
        <w:rPr>
          <w:rFonts w:asciiTheme="majorEastAsia" w:hAnsiTheme="majorEastAsia" w:eastAsiaTheme="majorEastAsia"/>
          <w:color w:val="auto"/>
          <w:sz w:val="28"/>
          <w:szCs w:val="28"/>
        </w:rPr>
      </w:pPr>
      <w:r>
        <w:rPr>
          <w:rFonts w:hint="eastAsia" w:asciiTheme="majorEastAsia" w:hAnsiTheme="majorEastAsia" w:eastAsiaTheme="majorEastAsia"/>
          <w:bCs/>
          <w:color w:val="auto"/>
          <w:sz w:val="28"/>
          <w:szCs w:val="28"/>
        </w:rPr>
        <w:t>附件：</w:t>
      </w:r>
      <w:bookmarkStart w:id="81" w:name="_Toc63327628"/>
      <w:r>
        <w:rPr>
          <w:rFonts w:hint="eastAsia" w:asciiTheme="majorEastAsia" w:hAnsiTheme="majorEastAsia" w:eastAsiaTheme="majorEastAsia"/>
          <w:color w:val="auto"/>
          <w:sz w:val="28"/>
          <w:szCs w:val="28"/>
        </w:rPr>
        <w:t>关于印发《政府采购促进中小企业发展管理办法》的通知</w:t>
      </w:r>
      <w:bookmarkEnd w:id="81"/>
    </w:p>
    <w:p>
      <w:pPr>
        <w:autoSpaceDN w:val="0"/>
        <w:adjustRightInd w:val="0"/>
        <w:snapToGrid w:val="0"/>
        <w:spacing w:before="312" w:line="360" w:lineRule="auto"/>
        <w:jc w:val="center"/>
        <w:rPr>
          <w:rFonts w:cs="Arial"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财库[2020]46号</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各中央预算单位办公厅（室），各省、自治区、直辖市、计划单列市财政厅（局）、工业和信息化主管部门，新疆生产建设兵团财政局、工业和信息化主管部门：</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附件：政府采购促进中小企业发展管理办法。</w:t>
      </w:r>
    </w:p>
    <w:p>
      <w:pPr>
        <w:autoSpaceDN w:val="0"/>
        <w:adjustRightInd w:val="0"/>
        <w:snapToGrid w:val="0"/>
        <w:spacing w:before="312" w:line="360" w:lineRule="auto"/>
        <w:jc w:val="right"/>
        <w:rPr>
          <w:rFonts w:asciiTheme="majorEastAsia" w:hAnsiTheme="majorEastAsia" w:eastAsiaTheme="majorEastAsia"/>
          <w:color w:val="auto"/>
          <w:szCs w:val="21"/>
        </w:rPr>
      </w:pPr>
      <w:r>
        <w:rPr>
          <w:rFonts w:hint="eastAsia" w:asciiTheme="majorEastAsia" w:hAnsiTheme="majorEastAsia" w:eastAsiaTheme="majorEastAsia"/>
          <w:color w:val="auto"/>
          <w:szCs w:val="21"/>
        </w:rPr>
        <w:t>财  政  部</w:t>
      </w:r>
    </w:p>
    <w:p>
      <w:pPr>
        <w:autoSpaceDN w:val="0"/>
        <w:adjustRightInd w:val="0"/>
        <w:snapToGrid w:val="0"/>
        <w:spacing w:before="312" w:line="360" w:lineRule="auto"/>
        <w:jc w:val="right"/>
        <w:rPr>
          <w:rFonts w:asciiTheme="majorEastAsia" w:hAnsiTheme="majorEastAsia" w:eastAsiaTheme="majorEastAsia"/>
          <w:color w:val="auto"/>
          <w:szCs w:val="21"/>
        </w:rPr>
      </w:pPr>
      <w:r>
        <w:rPr>
          <w:rFonts w:hint="eastAsia" w:asciiTheme="majorEastAsia" w:hAnsiTheme="majorEastAsia" w:eastAsiaTheme="majorEastAsia"/>
          <w:color w:val="auto"/>
          <w:szCs w:val="21"/>
        </w:rPr>
        <w:t>工业和信息化部</w:t>
      </w:r>
    </w:p>
    <w:p>
      <w:pPr>
        <w:autoSpaceDN w:val="0"/>
        <w:adjustRightInd w:val="0"/>
        <w:snapToGrid w:val="0"/>
        <w:spacing w:before="312" w:line="360" w:lineRule="auto"/>
        <w:jc w:val="right"/>
        <w:rPr>
          <w:rFonts w:asciiTheme="majorEastAsia" w:hAnsiTheme="majorEastAsia" w:eastAsiaTheme="majorEastAsia"/>
          <w:color w:val="auto"/>
          <w:szCs w:val="21"/>
        </w:rPr>
      </w:pPr>
      <w:r>
        <w:rPr>
          <w:rFonts w:hint="eastAsia" w:asciiTheme="majorEastAsia" w:hAnsiTheme="majorEastAsia" w:eastAsiaTheme="majorEastAsia"/>
          <w:color w:val="auto"/>
          <w:szCs w:val="21"/>
        </w:rPr>
        <w:t>2020年12月18日</w:t>
      </w:r>
    </w:p>
    <w:p>
      <w:pPr>
        <w:pStyle w:val="7"/>
        <w:autoSpaceDN w:val="0"/>
        <w:adjustRightInd w:val="0"/>
        <w:snapToGrid w:val="0"/>
        <w:spacing w:line="360" w:lineRule="auto"/>
        <w:ind w:firstLine="560"/>
        <w:rPr>
          <w:rFonts w:cs="Arial" w:asciiTheme="majorEastAsia" w:hAnsiTheme="majorEastAsia" w:eastAsiaTheme="majorEastAsia"/>
          <w:bCs/>
          <w:color w:val="auto"/>
          <w:sz w:val="28"/>
          <w:szCs w:val="28"/>
        </w:rPr>
      </w:pPr>
    </w:p>
    <w:p>
      <w:pPr>
        <w:pStyle w:val="7"/>
        <w:autoSpaceDN w:val="0"/>
        <w:adjustRightInd w:val="0"/>
        <w:snapToGrid w:val="0"/>
        <w:spacing w:line="360" w:lineRule="auto"/>
        <w:ind w:firstLine="560"/>
        <w:jc w:val="center"/>
        <w:rPr>
          <w:rFonts w:cs="宋体" w:asciiTheme="majorEastAsia" w:hAnsiTheme="majorEastAsia" w:eastAsiaTheme="majorEastAsia"/>
          <w:color w:val="auto"/>
          <w:szCs w:val="21"/>
        </w:rPr>
      </w:pPr>
      <w:bookmarkStart w:id="82" w:name="_Toc63327629"/>
      <w:r>
        <w:rPr>
          <w:rFonts w:cs="Arial" w:asciiTheme="majorEastAsia" w:hAnsiTheme="majorEastAsia" w:eastAsiaTheme="majorEastAsia"/>
          <w:color w:val="auto"/>
          <w:sz w:val="28"/>
          <w:szCs w:val="28"/>
        </w:rPr>
        <w:br w:type="page"/>
      </w:r>
      <w:r>
        <w:rPr>
          <w:rFonts w:hint="eastAsia" w:cs="宋体" w:asciiTheme="majorEastAsia" w:hAnsiTheme="majorEastAsia" w:eastAsiaTheme="majorEastAsia"/>
          <w:color w:val="auto"/>
          <w:szCs w:val="21"/>
        </w:rPr>
        <w:t>政府采购促进中小企业发展管理办法</w:t>
      </w:r>
      <w:bookmarkEnd w:id="82"/>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第一条　</w:t>
      </w:r>
      <w:r>
        <w:rPr>
          <w:rFonts w:hint="eastAsia" w:asciiTheme="majorEastAsia" w:hAnsiTheme="majorEastAsia" w:eastAsiaTheme="majorEastAsia"/>
          <w:color w:val="auto"/>
          <w:spacing w:val="7"/>
          <w:sz w:val="21"/>
          <w:szCs w:val="21"/>
        </w:rPr>
        <w:t>为了发挥政府采购的政策功能，促进中小企业健康发展，根据《中华人民共和国政府采购法》、《中华人民共和国中小企业促进法》等有关法律法规，制定本办法。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第二条　</w:t>
      </w:r>
      <w:r>
        <w:rPr>
          <w:rFonts w:hint="eastAsia" w:asciiTheme="majorEastAsia" w:hAnsiTheme="majorEastAsia" w:eastAsiaTheme="majorEastAsia"/>
          <w:color w:val="auto"/>
          <w:spacing w:val="7"/>
          <w:sz w:val="21"/>
          <w:szCs w:val="21"/>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符合中小企业划分标准的个体工商户，在政府采购活动中视同中小企业。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第三条　</w:t>
      </w:r>
      <w:r>
        <w:rPr>
          <w:rFonts w:hint="eastAsia" w:asciiTheme="majorEastAsia" w:hAnsiTheme="majorEastAsia" w:eastAsiaTheme="majorEastAsia"/>
          <w:color w:val="auto"/>
          <w:spacing w:val="7"/>
          <w:sz w:val="21"/>
          <w:szCs w:val="21"/>
        </w:rPr>
        <w:t>采购人在政府采购活动中应当通过加强采购需求管理，落实预留采购份额、价格评审优惠、优先采购等措施，提高中小企业在政府采购中的份额，支持中小企业发展。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第四条　</w:t>
      </w:r>
      <w:r>
        <w:rPr>
          <w:rFonts w:hint="eastAsia" w:asciiTheme="majorEastAsia" w:hAnsiTheme="majorEastAsia" w:eastAsiaTheme="majorEastAsia"/>
          <w:color w:val="auto"/>
          <w:spacing w:val="7"/>
          <w:sz w:val="21"/>
          <w:szCs w:val="21"/>
        </w:rPr>
        <w:t>在政府采购活动中，供应商提供的货物、工程或者服务符合下列情形的，享受本办法规定的中小企业扶持政策：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（一）在货物采购项目中，货物由中小企业制造，即货物由中小企业生产且使用该中小企业商号或者注册商标；</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（二）在工程采购项目中，工程由中小企业承建，即工程施工单位为中小企业；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（三）在服务采购项目中，服务由中小企业承接，即提供服务的人员为中小企业依照《中华人民共和国劳动合同法》订立劳动合同的从业人员。</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在货物采购项目中，供应商提供的货物既有中小企业制造货物，也有大型企业制造货物的，不享受本办法规定的中小企业扶持政策。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以联合体形式参加政府采购活动，联合体各方均为中小企业的，联合体视同中小企业。其中，联合体各方均为小微企业的，联合体视同小微企业。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第五条　</w:t>
      </w:r>
      <w:r>
        <w:rPr>
          <w:rFonts w:hint="eastAsia" w:asciiTheme="majorEastAsia" w:hAnsiTheme="majorEastAsia" w:eastAsiaTheme="majorEastAsia"/>
          <w:color w:val="auto"/>
          <w:spacing w:val="7"/>
          <w:sz w:val="21"/>
          <w:szCs w:val="21"/>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第六条</w:t>
      </w:r>
      <w:r>
        <w:rPr>
          <w:rFonts w:hint="eastAsia" w:asciiTheme="majorEastAsia" w:hAnsiTheme="majorEastAsia" w:eastAsiaTheme="majorEastAsia"/>
          <w:color w:val="auto"/>
          <w:spacing w:val="7"/>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符合下列情形之一的，可不专门面向中小企业预留采购份额：</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（一）法律法规和国家有关政策明确规定优先或者应当面向事业单位、社会组织等非企业主体采购的；</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（二）因确需使用不可替代的专利、专有技术，基础设施限制，或者提供特定公共服务等原因，只能从中小企业之外的供应商处采购的；</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（三）按照本办法规定预留采购份额无法确保充分供应、充分竞争，或者存在可能影响政府采购目标实现的情形；</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（四）框架协议采购项目；</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（五）省级以上人民政府财政部门规定的其他情形。</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除上述情形外，其他均为适宜由中小企业提供的情形。</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第七条　</w:t>
      </w:r>
      <w:r>
        <w:rPr>
          <w:rFonts w:hint="eastAsia" w:asciiTheme="majorEastAsia" w:hAnsiTheme="majorEastAsia" w:eastAsiaTheme="majorEastAsia"/>
          <w:color w:val="auto"/>
          <w:spacing w:val="7"/>
          <w:sz w:val="21"/>
          <w:szCs w:val="21"/>
        </w:rPr>
        <w:t>采购限额标准以上，200万元以下的货物和服务采购项目、400万元以下的工程采购项目，适宜由中小企业提供的，采购人应当专门面向中小企业采购。</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第八条</w:t>
      </w:r>
      <w:r>
        <w:rPr>
          <w:rFonts w:hint="eastAsia" w:asciiTheme="majorEastAsia" w:hAnsiTheme="majorEastAsia" w:eastAsiaTheme="majorEastAsia"/>
          <w:color w:val="auto"/>
          <w:spacing w:val="7"/>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（一）将采购项目整体或者设置采购包专门面向中小企业采购；</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（二）要求供应商以联合体形式参加采购活动，且联合体中小企业承担的部分达到一定比例；</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（三）要求获得采购合同的供应商将采购项目中的一定比例分包给一家或者多家中小企业。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组成联合体或者接受分包合同的中小企业与联合体内其他企业、分包企业之间不得存在直接控股、管理关系。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第九条　</w:t>
      </w:r>
      <w:r>
        <w:rPr>
          <w:rFonts w:hint="eastAsia" w:asciiTheme="majorEastAsia" w:hAnsiTheme="majorEastAsia" w:eastAsiaTheme="majorEastAsia"/>
          <w:color w:val="auto"/>
          <w:spacing w:val="7"/>
          <w:sz w:val="21"/>
          <w:szCs w:val="21"/>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第十条　</w:t>
      </w:r>
      <w:r>
        <w:rPr>
          <w:rFonts w:hint="eastAsia" w:asciiTheme="majorEastAsia" w:hAnsiTheme="majorEastAsia" w:eastAsiaTheme="majorEastAsia"/>
          <w:color w:val="auto"/>
          <w:spacing w:val="7"/>
          <w:sz w:val="21"/>
          <w:szCs w:val="21"/>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第十一条　</w:t>
      </w:r>
      <w:r>
        <w:rPr>
          <w:rFonts w:hint="eastAsia" w:asciiTheme="majorEastAsia" w:hAnsiTheme="majorEastAsia" w:eastAsiaTheme="majorEastAsia"/>
          <w:color w:val="auto"/>
          <w:spacing w:val="7"/>
          <w:sz w:val="21"/>
          <w:szCs w:val="21"/>
        </w:rPr>
        <w:t>中小企业参加政府采购活动，应当出具本办法规定的《中小企业声明函》（附1），否则不得享受相关中小企业扶持政策。任何单位和个人不得要求供应商提供《中小企业声明函》之外的中小企业身份证明文件。</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pacing w:val="7"/>
          <w:sz w:val="21"/>
          <w:szCs w:val="21"/>
        </w:rPr>
      </w:pPr>
      <w:r>
        <w:rPr>
          <w:rStyle w:val="26"/>
          <w:rFonts w:hint="eastAsia" w:cs="宋体" w:asciiTheme="majorEastAsia" w:hAnsiTheme="majorEastAsia" w:eastAsiaTheme="majorEastAsia"/>
          <w:color w:val="auto"/>
          <w:spacing w:val="7"/>
          <w:sz w:val="21"/>
          <w:szCs w:val="21"/>
        </w:rPr>
        <w:t>第十二条　</w:t>
      </w:r>
      <w:r>
        <w:rPr>
          <w:rFonts w:hint="eastAsia" w:asciiTheme="majorEastAsia" w:hAnsiTheme="majorEastAsia" w:eastAsiaTheme="majorEastAsia"/>
          <w:color w:val="auto"/>
          <w:spacing w:val="7"/>
          <w:sz w:val="21"/>
          <w:szCs w:val="21"/>
        </w:rPr>
        <w:t>采购项目涉及中小企业采购的，采购文件应当明确以下内容：</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pacing w:val="7"/>
          <w:sz w:val="21"/>
          <w:szCs w:val="21"/>
        </w:rPr>
      </w:pPr>
      <w:r>
        <w:rPr>
          <w:rFonts w:hint="eastAsia" w:asciiTheme="majorEastAsia" w:hAnsiTheme="majorEastAsia" w:eastAsiaTheme="majorEastAsia"/>
          <w:color w:val="auto"/>
          <w:spacing w:val="7"/>
          <w:sz w:val="21"/>
          <w:szCs w:val="21"/>
        </w:rPr>
        <w:t>（一）预留份额的采购项目或者采购包，明确该项目或相关采购包专门面向中小企业采购，以及相关标的及预算金额；</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（二）要求以联合体形式参加或者合同分包的，明确联合协议或者分包意向协议中中小企业合同金额应当达到的比例，并作为供应商资格条件；</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（三）非预留份额的采购项目或者采购包，明确有关价格扣除比例或者价格分加分比例；</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（四）规定依据本办法规定享受扶持政策获得政府采购合同的，小微企业不得将合同分包给大中型企业，中型企业不得将合同分包给大型企业；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（五）采购人认为具备相关条件的，明确对中小企业在资金支付期限、预付款比例等方面的优惠措施；</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（六）明确采购标的对应的中小企业划分标准所属行业；</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（七）法律法规和省级以上人民政府财政部门规定的其他事项。</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第十三条　</w:t>
      </w:r>
      <w:r>
        <w:rPr>
          <w:rFonts w:hint="eastAsia" w:asciiTheme="majorEastAsia" w:hAnsiTheme="majorEastAsia" w:eastAsiaTheme="majorEastAsia"/>
          <w:color w:val="auto"/>
          <w:spacing w:val="7"/>
          <w:sz w:val="21"/>
          <w:szCs w:val="21"/>
        </w:rPr>
        <w:t>中标、成交供应商享受本办法规定的中小企业扶持政策的，采购人、采购代理机构应当随中标、成交结果公开中标、成交供应商的《中小企业声明函》。</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适用招标投标法的政府采购工程建设项目，应当在公示中标候选人时公开中标候选人的《中小企业声明函》。</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第十四条</w:t>
      </w:r>
      <w:r>
        <w:rPr>
          <w:rFonts w:hint="eastAsia" w:asciiTheme="majorEastAsia" w:hAnsiTheme="majorEastAsia" w:eastAsiaTheme="majorEastAsia"/>
          <w:color w:val="auto"/>
          <w:spacing w:val="7"/>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第十五条　</w:t>
      </w:r>
      <w:r>
        <w:rPr>
          <w:rFonts w:hint="eastAsia" w:asciiTheme="majorEastAsia" w:hAnsiTheme="majorEastAsia" w:eastAsiaTheme="majorEastAsia"/>
          <w:color w:val="auto"/>
          <w:spacing w:val="7"/>
          <w:sz w:val="21"/>
          <w:szCs w:val="21"/>
        </w:rPr>
        <w:t>鼓励各地区、各部门在采购活动中允许中小企业引入信用担保手段，为中小企业在投标（响应）保证、履约保证等方面提供专业化服务。鼓励中小企业依法合规通过政府采购合同融资。</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第十六条　</w:t>
      </w:r>
      <w:r>
        <w:rPr>
          <w:rFonts w:hint="eastAsia" w:asciiTheme="majorEastAsia" w:hAnsiTheme="majorEastAsia" w:eastAsiaTheme="majorEastAsia"/>
          <w:color w:val="auto"/>
          <w:spacing w:val="7"/>
          <w:sz w:val="21"/>
          <w:szCs w:val="21"/>
        </w:rPr>
        <w:t>政府采购监督检查、投诉处理及政府采购行政处罚中对中小企业的认定，由货物制造商或者工程、服务供应商注册登记所在地的县级以上人民政府中小企业主管部门负责。</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中小企业主管部门应当在收到财政部门或者有关招标投标行政监督部门关于协助开展中小企业认定函后10个工作日内做出书面答复。</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第十七条　</w:t>
      </w:r>
      <w:r>
        <w:rPr>
          <w:rFonts w:hint="eastAsia" w:asciiTheme="majorEastAsia" w:hAnsiTheme="majorEastAsia" w:eastAsiaTheme="majorEastAsia"/>
          <w:color w:val="auto"/>
          <w:spacing w:val="7"/>
          <w:sz w:val="21"/>
          <w:szCs w:val="21"/>
        </w:rPr>
        <w:t>各地区、各部门应当对涉及中小企业采购的预算项目实施全过程绩效管理，合理设置绩效目标和指标，落实扶持中小企业有关政策要求，定期开展绩效监控和评价，强化绩效评价结果应用。</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第十八条　</w:t>
      </w:r>
      <w:r>
        <w:rPr>
          <w:rFonts w:hint="eastAsia" w:asciiTheme="majorEastAsia" w:hAnsiTheme="majorEastAsia" w:eastAsiaTheme="majorEastAsia"/>
          <w:color w:val="auto"/>
          <w:spacing w:val="7"/>
          <w:sz w:val="21"/>
          <w:szCs w:val="21"/>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第十九条</w:t>
      </w:r>
      <w:r>
        <w:rPr>
          <w:rFonts w:hint="eastAsia" w:asciiTheme="majorEastAsia" w:hAnsiTheme="majorEastAsia" w:eastAsiaTheme="majorEastAsia"/>
          <w:color w:val="auto"/>
          <w:spacing w:val="7"/>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第二十条</w:t>
      </w:r>
      <w:r>
        <w:rPr>
          <w:rFonts w:hint="eastAsia" w:asciiTheme="majorEastAsia" w:hAnsiTheme="majorEastAsia" w:eastAsiaTheme="majorEastAsia"/>
          <w:color w:val="auto"/>
          <w:spacing w:val="7"/>
          <w:sz w:val="21"/>
          <w:szCs w:val="21"/>
        </w:rPr>
        <w:t>　供应商按照本办法规定提供声明函内容不实的，属于提供虚假材料谋取中标、成交，依照《中华人民共和国政府采购法》等国家有关规定追究相应责任。</w:t>
      </w:r>
    </w:p>
    <w:p>
      <w:pPr>
        <w:pStyle w:val="18"/>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第二十一条　</w:t>
      </w:r>
      <w:r>
        <w:rPr>
          <w:rFonts w:hint="eastAsia" w:asciiTheme="majorEastAsia" w:hAnsiTheme="majorEastAsia" w:eastAsiaTheme="majorEastAsia"/>
          <w:color w:val="auto"/>
          <w:spacing w:val="7"/>
          <w:sz w:val="21"/>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第二十二条</w:t>
      </w:r>
      <w:r>
        <w:rPr>
          <w:rFonts w:hint="eastAsia" w:asciiTheme="majorEastAsia" w:hAnsiTheme="majorEastAsia" w:eastAsiaTheme="majorEastAsia"/>
          <w:color w:val="auto"/>
          <w:spacing w:val="7"/>
          <w:sz w:val="21"/>
          <w:szCs w:val="21"/>
        </w:rPr>
        <w:t>　对外援助项目、国家相关资格或者资质管理制度另有规定的项目，不适用本办法。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第二十三条　</w:t>
      </w:r>
      <w:r>
        <w:rPr>
          <w:rFonts w:hint="eastAsia" w:asciiTheme="majorEastAsia" w:hAnsiTheme="majorEastAsia" w:eastAsiaTheme="majorEastAsia"/>
          <w:color w:val="auto"/>
          <w:spacing w:val="7"/>
          <w:sz w:val="21"/>
          <w:szCs w:val="21"/>
        </w:rPr>
        <w:t>关于视同中小企业的其他主体的政府采购扶持政策，由财政部会同有关部门另行规定。</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第二十四条</w:t>
      </w:r>
      <w:r>
        <w:rPr>
          <w:rFonts w:hint="eastAsia" w:asciiTheme="majorEastAsia" w:hAnsiTheme="majorEastAsia" w:eastAsiaTheme="majorEastAsia"/>
          <w:color w:val="auto"/>
          <w:spacing w:val="7"/>
          <w:sz w:val="21"/>
          <w:szCs w:val="21"/>
        </w:rPr>
        <w:t>　省级财政部门可以会同中小企业主管部门根据本办法的规定制定具体实施办法。</w:t>
      </w:r>
    </w:p>
    <w:p>
      <w:pPr>
        <w:pStyle w:val="18"/>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第二十五条</w:t>
      </w:r>
      <w:r>
        <w:rPr>
          <w:rFonts w:hint="eastAsia" w:asciiTheme="majorEastAsia" w:hAnsiTheme="majorEastAsia" w:eastAsiaTheme="majorEastAsia"/>
          <w:color w:val="auto"/>
          <w:spacing w:val="7"/>
          <w:sz w:val="21"/>
          <w:szCs w:val="21"/>
        </w:rPr>
        <w:t>　本办法自2021年1月1日起施行。《财政部工业和信息化部关于印发〈政府采购促进中小企业发展暂行办法〉的通知》（财库﹝2011﹞181号）同时废止。</w:t>
      </w:r>
    </w:p>
    <w:p>
      <w:pPr>
        <w:pStyle w:val="18"/>
        <w:autoSpaceDN w:val="0"/>
        <w:adjustRightInd w:val="0"/>
        <w:snapToGrid w:val="0"/>
        <w:spacing w:before="0" w:beforeAutospacing="0" w:after="0" w:afterAutospacing="0" w:line="360" w:lineRule="auto"/>
        <w:jc w:val="both"/>
        <w:rPr>
          <w:rFonts w:asciiTheme="majorEastAsia" w:hAnsiTheme="majorEastAsia" w:eastAsiaTheme="majorEastAsia"/>
          <w:color w:val="auto"/>
          <w:sz w:val="21"/>
          <w:szCs w:val="21"/>
        </w:rPr>
      </w:pPr>
      <w:r>
        <w:rPr>
          <w:rStyle w:val="26"/>
          <w:rFonts w:hint="eastAsia" w:cs="宋体" w:asciiTheme="majorEastAsia" w:hAnsiTheme="majorEastAsia" w:eastAsiaTheme="majorEastAsia"/>
          <w:color w:val="auto"/>
          <w:spacing w:val="7"/>
          <w:sz w:val="21"/>
          <w:szCs w:val="21"/>
        </w:rPr>
        <w:t>附：</w:t>
      </w:r>
    </w:p>
    <w:p>
      <w:pPr>
        <w:pStyle w:val="18"/>
        <w:autoSpaceDN w:val="0"/>
        <w:adjustRightInd w:val="0"/>
        <w:snapToGrid w:val="0"/>
        <w:spacing w:before="0" w:beforeAutospacing="0" w:after="0" w:afterAutospacing="0" w:line="360" w:lineRule="auto"/>
        <w:jc w:val="both"/>
        <w:rPr>
          <w:rFonts w:asciiTheme="majorEastAsia" w:hAnsiTheme="majorEastAsia" w:eastAsiaTheme="majorEastAsia"/>
          <w:color w:val="auto"/>
          <w:sz w:val="21"/>
          <w:szCs w:val="21"/>
        </w:rPr>
      </w:pPr>
      <w:r>
        <w:rPr>
          <w:rFonts w:hint="eastAsia" w:asciiTheme="majorEastAsia" w:hAnsiTheme="majorEastAsia" w:eastAsiaTheme="majorEastAsia"/>
          <w:color w:val="auto"/>
          <w:spacing w:val="7"/>
          <w:sz w:val="21"/>
          <w:szCs w:val="21"/>
        </w:rPr>
        <w:t>1.中小企业声明函</w:t>
      </w:r>
    </w:p>
    <w:p>
      <w:pPr>
        <w:autoSpaceDN w:val="0"/>
        <w:adjustRightInd w:val="0"/>
        <w:snapToGrid w:val="0"/>
        <w:spacing w:line="360" w:lineRule="auto"/>
        <w:ind w:firstLine="448" w:firstLineChars="200"/>
        <w:rPr>
          <w:rFonts w:cs="宋体" w:asciiTheme="majorEastAsia" w:hAnsiTheme="majorEastAsia" w:eastAsiaTheme="majorEastAsia"/>
          <w:color w:val="auto"/>
          <w:spacing w:val="7"/>
          <w:szCs w:val="21"/>
        </w:rPr>
      </w:pPr>
      <w:r>
        <w:rPr>
          <w:rFonts w:hint="eastAsia" w:cs="宋体" w:asciiTheme="majorEastAsia" w:hAnsiTheme="majorEastAsia" w:eastAsiaTheme="majorEastAsia"/>
          <w:color w:val="auto"/>
          <w:spacing w:val="7"/>
          <w:szCs w:val="21"/>
        </w:rPr>
        <w:t>2.面向中小企业预留项目执行情况公告</w:t>
      </w: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3"/>
        <w:keepNext w:val="0"/>
        <w:keepLines w:val="0"/>
        <w:autoSpaceDN w:val="0"/>
        <w:adjustRightInd w:val="0"/>
        <w:snapToGrid w:val="0"/>
        <w:spacing w:before="162" w:line="360" w:lineRule="auto"/>
        <w:rPr>
          <w:rFonts w:cs="宋体" w:asciiTheme="majorEastAsia" w:hAnsiTheme="majorEastAsia" w:eastAsiaTheme="majorEastAsia"/>
          <w:b w:val="0"/>
          <w:bCs w:val="0"/>
          <w:color w:val="auto"/>
          <w:sz w:val="21"/>
          <w:szCs w:val="21"/>
        </w:rPr>
      </w:pPr>
      <w:bookmarkStart w:id="83" w:name="_Toc12886"/>
      <w:bookmarkStart w:id="84" w:name="_Toc63327630"/>
      <w:bookmarkStart w:id="85" w:name="_Toc77167164"/>
      <w:r>
        <w:rPr>
          <w:rFonts w:hint="eastAsia" w:cs="宋体" w:asciiTheme="majorEastAsia" w:hAnsiTheme="majorEastAsia" w:eastAsiaTheme="majorEastAsia"/>
          <w:b w:val="0"/>
          <w:bCs w:val="0"/>
          <w:color w:val="auto"/>
          <w:sz w:val="21"/>
          <w:szCs w:val="21"/>
        </w:rPr>
        <w:t>附1</w:t>
      </w:r>
      <w:bookmarkEnd w:id="83"/>
      <w:bookmarkEnd w:id="84"/>
      <w:bookmarkEnd w:id="85"/>
    </w:p>
    <w:p>
      <w:pPr>
        <w:autoSpaceDN w:val="0"/>
        <w:adjustRightInd w:val="0"/>
        <w:snapToGrid w:val="0"/>
        <w:spacing w:line="360" w:lineRule="auto"/>
        <w:jc w:val="center"/>
        <w:rPr>
          <w:rFonts w:cs="宋体" w:asciiTheme="majorEastAsia" w:hAnsiTheme="majorEastAsia" w:eastAsiaTheme="majorEastAsia"/>
          <w:b/>
          <w:bCs/>
          <w:color w:val="auto"/>
          <w:szCs w:val="21"/>
        </w:rPr>
      </w:pPr>
      <w:r>
        <w:rPr>
          <w:rFonts w:hint="eastAsia" w:cs="宋体" w:asciiTheme="majorEastAsia" w:hAnsiTheme="majorEastAsia" w:eastAsiaTheme="majorEastAsia"/>
          <w:b/>
          <w:bCs/>
          <w:color w:val="auto"/>
          <w:szCs w:val="21"/>
        </w:rPr>
        <w:t>中小企业声明函（货物）</w:t>
      </w:r>
    </w:p>
    <w:p>
      <w:p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本公司（联合体）郑重声明，根据《政府采购促进中小 企业发展管理办法》（财库﹝2020﹞46 号）的规定，本公司 （联合体）参加</w:t>
      </w:r>
      <w:r>
        <w:rPr>
          <w:rFonts w:hint="eastAsia" w:cs="宋体" w:asciiTheme="majorEastAsia" w:hAnsiTheme="majorEastAsia" w:eastAsiaTheme="majorEastAsia"/>
          <w:color w:val="auto"/>
          <w:szCs w:val="21"/>
          <w:u w:val="single"/>
        </w:rPr>
        <w:t>（单位名称）</w:t>
      </w:r>
      <w:r>
        <w:rPr>
          <w:rFonts w:hint="eastAsia" w:cs="宋体" w:asciiTheme="majorEastAsia" w:hAnsiTheme="majorEastAsia" w:eastAsiaTheme="majorEastAsia"/>
          <w:color w:val="auto"/>
          <w:szCs w:val="21"/>
        </w:rPr>
        <w:t>的</w:t>
      </w:r>
      <w:r>
        <w:rPr>
          <w:rFonts w:hint="eastAsia" w:cs="宋体" w:asciiTheme="majorEastAsia" w:hAnsiTheme="majorEastAsia" w:eastAsiaTheme="majorEastAsia"/>
          <w:color w:val="auto"/>
          <w:szCs w:val="21"/>
          <w:u w:val="single"/>
        </w:rPr>
        <w:t>（项目名称）</w:t>
      </w:r>
      <w:r>
        <w:rPr>
          <w:rFonts w:hint="eastAsia" w:cs="宋体" w:asciiTheme="majorEastAsia" w:hAnsiTheme="majorEastAsia" w:eastAsiaTheme="majorEastAsia"/>
          <w:color w:val="auto"/>
          <w:szCs w:val="21"/>
        </w:rPr>
        <w:t>采购活动，提供的货物全部由符合政策要求的中小企业制造。相关企业 （含联合体中的中小企业、签订分包意向协议的中小企业） 的具体情况如下：</w:t>
      </w:r>
    </w:p>
    <w:p>
      <w:pPr>
        <w:numPr>
          <w:ilvl w:val="0"/>
          <w:numId w:val="7"/>
        </w:num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u w:val="single"/>
        </w:rPr>
        <w:t>（标的名称）</w:t>
      </w:r>
      <w:r>
        <w:rPr>
          <w:rFonts w:hint="eastAsia" w:cs="宋体" w:asciiTheme="majorEastAsia" w:hAnsiTheme="majorEastAsia" w:eastAsiaTheme="majorEastAsia"/>
          <w:color w:val="auto"/>
          <w:szCs w:val="21"/>
        </w:rPr>
        <w:t xml:space="preserve"> ，属于</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行业；制造商为</w:t>
      </w:r>
      <w:r>
        <w:rPr>
          <w:rFonts w:hint="eastAsia" w:cs="宋体" w:asciiTheme="majorEastAsia" w:hAnsiTheme="majorEastAsia" w:eastAsiaTheme="majorEastAsia"/>
          <w:color w:val="auto"/>
          <w:szCs w:val="21"/>
          <w:u w:val="single"/>
        </w:rPr>
        <w:t>（企业名称）</w:t>
      </w:r>
      <w:r>
        <w:rPr>
          <w:rFonts w:hint="eastAsia" w:cs="宋体" w:asciiTheme="majorEastAsia" w:hAnsiTheme="majorEastAsia" w:eastAsiaTheme="majorEastAsia"/>
          <w:color w:val="auto"/>
          <w:szCs w:val="21"/>
        </w:rPr>
        <w:t>，从业人员</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人，营业收入为</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万元，资产总额为</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万元①，属于</w:t>
      </w:r>
      <w:r>
        <w:rPr>
          <w:rFonts w:hint="eastAsia" w:cs="宋体" w:asciiTheme="majorEastAsia" w:hAnsiTheme="majorEastAsia" w:eastAsiaTheme="majorEastAsia"/>
          <w:color w:val="auto"/>
          <w:szCs w:val="21"/>
          <w:u w:val="single"/>
        </w:rPr>
        <w:t>（中型企业、小 型企业、微型企业）</w:t>
      </w:r>
      <w:r>
        <w:rPr>
          <w:rFonts w:hint="eastAsia" w:cs="宋体" w:asciiTheme="majorEastAsia" w:hAnsiTheme="majorEastAsia" w:eastAsiaTheme="majorEastAsia"/>
          <w:color w:val="auto"/>
          <w:szCs w:val="21"/>
        </w:rPr>
        <w:t xml:space="preserve">； </w:t>
      </w:r>
    </w:p>
    <w:p>
      <w:pPr>
        <w:numPr>
          <w:ilvl w:val="0"/>
          <w:numId w:val="7"/>
        </w:num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u w:val="single"/>
        </w:rPr>
        <w:t>（标的名称）</w:t>
      </w:r>
      <w:r>
        <w:rPr>
          <w:rFonts w:hint="eastAsia" w:cs="宋体" w:asciiTheme="majorEastAsia" w:hAnsiTheme="majorEastAsia" w:eastAsiaTheme="majorEastAsia"/>
          <w:color w:val="auto"/>
          <w:szCs w:val="21"/>
        </w:rPr>
        <w:t xml:space="preserve"> ，属于</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行业；制造商为</w:t>
      </w:r>
      <w:r>
        <w:rPr>
          <w:rFonts w:hint="eastAsia" w:cs="宋体" w:asciiTheme="majorEastAsia" w:hAnsiTheme="majorEastAsia" w:eastAsiaTheme="majorEastAsia"/>
          <w:color w:val="auto"/>
          <w:szCs w:val="21"/>
          <w:u w:val="single"/>
        </w:rPr>
        <w:t>（企业名称）</w:t>
      </w:r>
      <w:r>
        <w:rPr>
          <w:rFonts w:hint="eastAsia" w:cs="宋体" w:asciiTheme="majorEastAsia" w:hAnsiTheme="majorEastAsia" w:eastAsiaTheme="majorEastAsia"/>
          <w:color w:val="auto"/>
          <w:szCs w:val="21"/>
        </w:rPr>
        <w:t>，从业人员</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人，营业收入为</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万元，资产总额为</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万元，属于</w:t>
      </w:r>
      <w:r>
        <w:rPr>
          <w:rFonts w:hint="eastAsia" w:cs="宋体" w:asciiTheme="majorEastAsia" w:hAnsiTheme="majorEastAsia" w:eastAsiaTheme="majorEastAsia"/>
          <w:color w:val="auto"/>
          <w:szCs w:val="21"/>
          <w:u w:val="single"/>
        </w:rPr>
        <w:t>（中型企业、小型 企业、微型企业）</w:t>
      </w:r>
      <w:r>
        <w:rPr>
          <w:rFonts w:hint="eastAsia" w:cs="宋体" w:asciiTheme="majorEastAsia" w:hAnsiTheme="majorEastAsia" w:eastAsiaTheme="majorEastAsia"/>
          <w:color w:val="auto"/>
          <w:szCs w:val="21"/>
        </w:rPr>
        <w:t>；</w:t>
      </w:r>
    </w:p>
    <w:p>
      <w:pPr>
        <w:autoSpaceDN w:val="0"/>
        <w:adjustRightInd w:val="0"/>
        <w:snapToGrid w:val="0"/>
        <w:spacing w:line="360" w:lineRule="auto"/>
        <w:ind w:left="630" w:left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 </w:t>
      </w:r>
    </w:p>
    <w:p>
      <w:p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以上企业，不属于大企业的分支机构，不存在控股股东 为大企业的情形，也不存在与大企业的负责人为同一人的情形。 </w:t>
      </w:r>
    </w:p>
    <w:p>
      <w:p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本企业对上述声明内容的真实性负责。如有虚假，将依 法承担相应责任。 </w:t>
      </w:r>
    </w:p>
    <w:p>
      <w:pPr>
        <w:autoSpaceDN w:val="0"/>
        <w:adjustRightInd w:val="0"/>
        <w:snapToGrid w:val="0"/>
        <w:spacing w:line="360" w:lineRule="auto"/>
        <w:ind w:firstLine="630" w:firstLineChars="300"/>
        <w:jc w:val="center"/>
        <w:rPr>
          <w:rFonts w:cs="宋体" w:asciiTheme="majorEastAsia" w:hAnsiTheme="majorEastAsia" w:eastAsiaTheme="majorEastAsia"/>
          <w:color w:val="auto"/>
          <w:szCs w:val="21"/>
        </w:rPr>
      </w:pPr>
    </w:p>
    <w:p>
      <w:pPr>
        <w:autoSpaceDN w:val="0"/>
        <w:adjustRightInd w:val="0"/>
        <w:snapToGrid w:val="0"/>
        <w:spacing w:line="360" w:lineRule="auto"/>
        <w:ind w:firstLine="630" w:firstLineChars="300"/>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企业名称（盖章）：</w:t>
      </w:r>
    </w:p>
    <w:p>
      <w:pPr>
        <w:pStyle w:val="21"/>
        <w:autoSpaceDN w:val="0"/>
        <w:adjustRightInd w:val="0"/>
        <w:snapToGrid w:val="0"/>
        <w:spacing w:line="360" w:lineRule="auto"/>
        <w:ind w:left="336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日 期：</w:t>
      </w: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注：1、本项目行业划分为：</w:t>
      </w:r>
      <w:r>
        <w:rPr>
          <w:rFonts w:hint="eastAsia" w:cs="宋体" w:asciiTheme="majorEastAsia" w:hAnsiTheme="majorEastAsia" w:eastAsiaTheme="majorEastAsia"/>
          <w:b/>
          <w:bCs w:val="0"/>
          <w:color w:val="auto"/>
          <w:szCs w:val="21"/>
        </w:rPr>
        <w:t>工业。</w:t>
      </w: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 xml:space="preserve">    2、须按照产品进行填写。</w:t>
      </w:r>
    </w:p>
    <w:p>
      <w:pPr>
        <w:pStyle w:val="7"/>
        <w:autoSpaceDN w:val="0"/>
        <w:adjustRightInd w:val="0"/>
        <w:snapToGrid w:val="0"/>
        <w:spacing w:line="360" w:lineRule="auto"/>
        <w:ind w:firstLine="420"/>
        <w:jc w:val="left"/>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br w:type="page"/>
      </w:r>
      <w:r>
        <w:rPr>
          <w:rFonts w:hint="eastAsia" w:cs="宋体" w:asciiTheme="majorEastAsia" w:hAnsiTheme="majorEastAsia" w:eastAsiaTheme="majorEastAsia"/>
          <w:bCs/>
          <w:color w:val="auto"/>
          <w:szCs w:val="21"/>
        </w:rPr>
        <w:t>中小企业划型标准规定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一、根据《中华人民共和国中小企业促进法》和《国务院关于进一步促进中小企业发展的若干意见》(国发〔2009〕36号)，制定本规定。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二、中小企业划分为中型、小型、微型三种类型，具体标准根据企业从业人员、营业收入、资产总额等指标，结合行业特点制定。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四、各行业划型标准为：</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（一）农、林、牧、渔业。营业收入20000万元以下的为中小微型企业。其中，营业收入500万元及以上的为中型企业，营业收入50万元及以上的为小型企业，营业收入50万元以下的为微型企业。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（十六）其他未列明行业。从业人员300人以下的为中小微型企业。其中，从业人员100人及以上的为中型企业；从业人员10人及以上的为小型企业；从业人员10人以下的为微型企业。</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五、企业类型的划分以统计部门的统计数据为依据。</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六、本规定适用于在中华人民共和国境内依法设立的各类所有制和各种组织形式的企业。个体工商户和本规定以外的行业，参照本规定进行划型。</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七、本规定的中型企业标准上限即为大型企业标准的下限，国家统计部门据此制定大中小微型企业的统计分类。国务院有关部门据此进行相关数据分析，不得制定与本规定不一致的企业划型标准。</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八、本规定由工业和信息化部、国家统计局会同有关部门根据《国民经济行业分类》修订情况和企业发展变化情况适时修订。</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lang w:val="zh-CN"/>
        </w:rPr>
      </w:pPr>
      <w:r>
        <w:rPr>
          <w:rFonts w:hint="eastAsia" w:cs="宋体" w:asciiTheme="majorEastAsia" w:hAnsiTheme="majorEastAsia" w:eastAsiaTheme="majorEastAsia"/>
          <w:bCs/>
          <w:color w:val="auto"/>
          <w:szCs w:val="21"/>
          <w:lang w:val="zh-CN"/>
        </w:rPr>
        <w:t>九、本规定由工业和信息化部、国家统计局会同有关部门负责解释。</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bCs/>
          <w:color w:val="auto"/>
          <w:szCs w:val="21"/>
          <w:lang w:val="zh-CN"/>
        </w:rPr>
        <w:t>十、本规定自发布之日起执行，原国家经贸委、原国家计委、财政部和国家统计局2003年颁布的《中小企业标准暂行规定》同时废止。</w:t>
      </w:r>
    </w:p>
    <w:p>
      <w:pPr>
        <w:autoSpaceDN w:val="0"/>
        <w:adjustRightInd w:val="0"/>
        <w:snapToGrid w:val="0"/>
        <w:spacing w:line="360" w:lineRule="auto"/>
        <w:rPr>
          <w:rFonts w:cs="宋体" w:asciiTheme="majorEastAsia" w:hAnsiTheme="majorEastAsia" w:eastAsiaTheme="majorEastAsia"/>
          <w:color w:val="auto"/>
          <w:szCs w:val="21"/>
        </w:rPr>
        <w:sectPr>
          <w:footerReference r:id="rId3" w:type="default"/>
          <w:pgSz w:w="11906" w:h="16838"/>
          <w:pgMar w:top="1418" w:right="1418" w:bottom="1418" w:left="1701" w:header="851" w:footer="851" w:gutter="0"/>
          <w:pgNumType w:start="1"/>
          <w:cols w:space="720" w:num="1"/>
          <w:docGrid w:linePitch="312" w:charSpace="0"/>
        </w:sectPr>
      </w:pPr>
      <w:r>
        <w:rPr>
          <w:rFonts w:hint="eastAsia" w:cs="宋体" w:asciiTheme="majorEastAsia" w:hAnsiTheme="majorEastAsia" w:eastAsiaTheme="majorEastAsia"/>
          <w:color w:val="auto"/>
          <w:szCs w:val="21"/>
        </w:rPr>
        <w:br w:type="page"/>
      </w:r>
    </w:p>
    <w:p>
      <w:pPr>
        <w:pStyle w:val="2"/>
        <w:rPr>
          <w:rFonts w:asciiTheme="majorEastAsia" w:hAnsiTheme="majorEastAsia" w:eastAsiaTheme="majorEastAsia"/>
          <w:color w:val="auto"/>
        </w:rPr>
      </w:pPr>
    </w:p>
    <w:p>
      <w:pPr>
        <w:pStyle w:val="3"/>
        <w:autoSpaceDN w:val="0"/>
        <w:adjustRightInd w:val="0"/>
        <w:snapToGrid w:val="0"/>
        <w:spacing w:before="0" w:after="0" w:line="360" w:lineRule="auto"/>
        <w:jc w:val="center"/>
        <w:rPr>
          <w:rFonts w:asciiTheme="majorEastAsia" w:hAnsiTheme="majorEastAsia" w:eastAsiaTheme="majorEastAsia"/>
          <w:color w:val="auto"/>
        </w:rPr>
      </w:pPr>
      <w:bookmarkStart w:id="86" w:name="_Toc30695"/>
      <w:bookmarkStart w:id="87" w:name="_Toc48760974"/>
      <w:r>
        <w:rPr>
          <w:rFonts w:hint="eastAsia" w:asciiTheme="majorEastAsia" w:hAnsiTheme="majorEastAsia" w:eastAsiaTheme="majorEastAsia"/>
          <w:color w:val="auto"/>
        </w:rPr>
        <w:t>第四部分</w:t>
      </w:r>
      <w:r>
        <w:rPr>
          <w:rFonts w:asciiTheme="majorEastAsia" w:hAnsiTheme="majorEastAsia" w:eastAsiaTheme="majorEastAsia"/>
          <w:color w:val="auto"/>
        </w:rPr>
        <w:t xml:space="preserve">  </w:t>
      </w:r>
      <w:r>
        <w:rPr>
          <w:rFonts w:hint="eastAsia" w:asciiTheme="majorEastAsia" w:hAnsiTheme="majorEastAsia" w:eastAsiaTheme="majorEastAsia"/>
          <w:color w:val="auto"/>
        </w:rPr>
        <w:t>采购需求</w:t>
      </w:r>
      <w:bookmarkEnd w:id="86"/>
      <w:bookmarkEnd w:id="87"/>
    </w:p>
    <w:p>
      <w:pPr>
        <w:keepNext w:val="0"/>
        <w:keepLines w:val="0"/>
        <w:pageBreakBefore w:val="0"/>
        <w:widowControl w:val="0"/>
        <w:kinsoku/>
        <w:wordWrap/>
        <w:overflowPunct/>
        <w:topLinePunct w:val="0"/>
        <w:autoSpaceDE/>
        <w:autoSpaceDN/>
        <w:bidi w:val="0"/>
        <w:adjustRightInd/>
        <w:snapToGrid/>
        <w:ind w:right="0" w:rightChars="0"/>
        <w:jc w:val="center"/>
        <w:textAlignment w:val="auto"/>
        <w:rPr>
          <w:sz w:val="32"/>
          <w:szCs w:val="32"/>
        </w:rPr>
      </w:pPr>
      <w:bookmarkStart w:id="88" w:name="_第五部分__"/>
      <w:bookmarkEnd w:id="88"/>
      <w:r>
        <w:rPr>
          <w:rFonts w:hint="eastAsia"/>
          <w:sz w:val="32"/>
          <w:szCs w:val="32"/>
        </w:rPr>
        <w:t>长春新区教育局北辰学校数字化校园网络及校园广播设备采购项目</w:t>
      </w:r>
    </w:p>
    <w:tbl>
      <w:tblPr>
        <w:tblStyle w:val="23"/>
        <w:tblW w:w="4997" w:type="pct"/>
        <w:tblInd w:w="0" w:type="dxa"/>
        <w:tblLayout w:type="autofit"/>
        <w:tblCellMar>
          <w:top w:w="15" w:type="dxa"/>
          <w:left w:w="15" w:type="dxa"/>
          <w:bottom w:w="15" w:type="dxa"/>
          <w:right w:w="15" w:type="dxa"/>
        </w:tblCellMar>
      </w:tblPr>
      <w:tblGrid>
        <w:gridCol w:w="521"/>
        <w:gridCol w:w="725"/>
        <w:gridCol w:w="6773"/>
        <w:gridCol w:w="448"/>
        <w:gridCol w:w="345"/>
      </w:tblGrid>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序号</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货物名称</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参数</w:t>
            </w:r>
          </w:p>
        </w:tc>
        <w:tc>
          <w:tcPr>
            <w:tcW w:w="2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单位</w:t>
            </w:r>
          </w:p>
        </w:tc>
        <w:tc>
          <w:tcPr>
            <w:tcW w:w="1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数量</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网络广播系统主机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1、≥6U高度标准机柜式设计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2、≥15.6″全高清触摸屏幕</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3、≥4个COM接口，≥3路MIC输入口，≥8路USB接口（≥4个USB：USB3.0，≥4个USB：USB2.0），≥2路RJ45接口，≥1路VGA接口，≥1路DVI-D视频接口，≥1路PS/2接口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4、不低于6×4音频矩阵功能：≥6路线路输入接口，每1路线路输入有两个编组按键发送到任意编组混音（提供满足技术参数的证明材料）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5、音量、音调调节：≥9个音量调节旋钮，≥9组（18个）高低音调节旋钮（提供满足技术参数的证明材料）</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6、CPU：I5</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7、固态硬盘容量：≥512G</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8、内存：≥DDR4/16GB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9、≥2组线路输出接口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10、紧急按钮：面板带≥1个可以编程的紧急按键</w:t>
            </w:r>
          </w:p>
        </w:tc>
        <w:tc>
          <w:tcPr>
            <w:tcW w:w="25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网络广播主控软件</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1、管理功能：网络广播系统控制的核心软件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2、软件互联：无需互联网静态IP地址即可与IP广播管理平台主控软件互联</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3、注册方式以USB加密狗硬件注册方式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4、自动音乐打铃，作息时间表季节调整；自动预开电源，播放结束自动关闭</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5、考试模式：与应急保障主机配合实现双重保障，或通过服务器将预设节目推送到SD卡，实现断网情况下也能本地广播（提供满足技术参数的证明材料）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6、LED显示推送：以手动或自动的方式实时、定时发布文本信息（提供满足技术参数的证明材料）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7、一键巡检：可以在30秒内快速检查所有网络音箱的声音品质是否符合播音要求，自动以警示图标形式显示故障终端，可保存所有终端的检测数据，作为核查依据（提供满足技术参数的证明材料）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8、画面监控：支持同时监控≥5个视频终端的画面，支持对任意指定视频终端的视频录制、存储</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前置放大器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1、≤2U标准机柜式设计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2、输入通道≥13路：常规话筒输入（TRS6.35）：≥5路， 紧急话筒输入（TRS6.35）：≥2路，消防信号输入（TRS6.35）：≥1路，立体声标准线路输入（RCA）：≥5组，消防控制接口（工业接线端子）：≥2组；输出通道≥4路： TRS6.35≥3路，RCA≥1路（提供满足技术参数的证明材料）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3、≥5路话筒输入的每1路都带48V幻象功能，由拨码开关单独控制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4、≥20个音调调节旋钮，分别调节≥5路线路输入，≥5路话筒输入的高音和低音（提供满足技术参数的证明材料）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5、带钟声提示功能，且钟声音量可调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6、在高压1.5KV下冲击60S无损坏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7、应急话筒启控阀值：5mV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8、信噪比：≥80dB</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播放机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1、标准机架式超薄1U设计，配置机架安装挂件，黑色机箱，铝合金面板。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2、音频输出：立体声（R/L），5.1声道，同轴，光纤。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3、支持断电记忆续播功能、选时及循环播放功能、电子相册功能。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4、超强的纠错能力，电子抗震技术让播放更流畅 ，高清视频输出HDMI（支持1080P）绝佳画质。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5、USB播放功能支持WAV、MP3等各种无损格式。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6、具有蓝牙接收功能、FM收音功能，</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壁挂式IP有源信息音箱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1、专业一体化壁挂式设计，木质箱体</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2、内置嵌入式网络语音解码模块，启动时间≤1秒</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3、带本地线路输入≥1组，音量可调；话筒输入≥1路，音量可调；≥1路线路输出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4、带≥9.5″LED显示屏（提供满足技术参数的证明材料）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5、具有受控的24V输出接口（提供满足技术参数的证明材料）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6、带音频应急保障功能（提供满足技术参数的证明材料）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7、网络接入口：≥1×RJ45</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8、信息发布屏：≥128×16点阵，≥9.5″LED</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网络寻呼话筒</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1、桌面话筒式设计，≥7″LCD液晶显示屏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2、支持双向对讲功能：双向终端之间实现两两双向对讲，一键接收求助、对讲功能,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3、支持1路本地线路输入，1路音频辅助输出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4、网络接口：标准RJ45</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5、内置扬声器，输出阻抗/功率：8Ω/3W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6、信噪比：≥80dB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7、采样率：8K～48KHz，音频格式：Mp3</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8、总谐波失真：≤1%</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会议话筒</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1、带音乐前奏音功能，提前吸引听者注意；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2、金属外壳设计，可有效屏蔽射频干扰</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3、换能方式：电容式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4、指向性：心型指向</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网络报警器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1、≤2U标准机柜式设计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2、≥16路报警信号输入（短路信号、DC24V可选）</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3、≥4路220V外部电源控制口，输出总功率≤1000W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4、网络接口通讯，通过软件可实现任意报警方式组合，可实现相邻区域报警（N±1）、全区报警、单区报警、任意指定某几区联动报警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5、拥有外控电源指示灯和报警信号指示灯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6、通信接口：RJ45</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7、通信协议：TCP/IP</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网络电源控制器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1、≤2U标准机柜式设计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2、≥16路电源输出。时序开关控制，顺序开启，反序关闭</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3、根据任务需求自动打开和关闭，实现无人化自动值守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4、时序间隔时间：≤1秒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5、16路电源总电流：≥40A</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网络音箱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1、专业一体化壁挂式设计，木质箱体</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2、内置嵌入式网络语音解码模块，启动时间≤1秒</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3、双色灯光同步指示（双色灯光指示输出接口，可实现声光同步输出，同步报警）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4、支持远程固件升级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5、网络接入口：RJ45×≥1路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6、USB接口：≥1路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7、支持巡检模块，可以实现终端远程故障诊断，在机房通过远程巡检快速判断：音箱的工作状态是否正常、高低音喇叭单元工作是否正常、音质是否正常</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8、支持信息推送功能，系统崩溃或网络瘫痪后，也可以独立执行定时任务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9、D类数字功放功率：≥2×15W/8Ω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网络音箱副箱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1、额定功率：≥15W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2、额定阻抗：≥8Ω</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3、频率范围：100Hz-16KHz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4、灵敏度：88dB±3dB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5、单元规格：≥4寸宽频音扬声器*1、≥2寸高音扬声器 *1</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吸顶音箱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1、塑料盆架，弹簧压片系统</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2、额定功率：≥6W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4、频率响应：不低于100Hz～15KHz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5、灵敏度：≥93dB</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198</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壁挂音箱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1、木质音箱，外饰PVC皮</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2、采用二单元二分频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3、安装方式为壁挂式安装</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5、额定功率：≥10W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6、频率响应：不低于100Hz～16KHz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7、灵敏度：≥90dB</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室内声柱</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1、室内音柱箱体采用优质中纤板，白色，配金属网罩，外形小巧美观。</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2、额定功率：≥40W。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4、频率范围：140Hz-20KHz（±10%）。</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5、灵敏度：89dB±3dB。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6、喇叭单元：3"×4。</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室外声柱1</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1、外观美观，产品外壳主要采用铝质材料，网罩采用不锈钢钢网，抗腐蚀经久耐用。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3、额定功率：≥30W。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4、最大声压级：104dB±1dB。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5、喇叭单元：LF：5"×2；HF：1"吋高音。</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室外声柱2</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1、壳体和网罩均采用铝合金加工而成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3、额定功率：≥50W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4、频率响应：不低于100Hz～18KHz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5、灵敏度：≥91dB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6、最大声压级：≥108dB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7、单元配置：LF：≥4"×4；HF：≥3"×1号角高音</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室外声柱3</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1、外壳采用铝合金材料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2、表面防水防锈处理工艺，全天候设计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3、选用防水单元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4、额定功率：≥80W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5、输入电压：≥100V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6、灵敏度：≥90dB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7、单元配置：LF：≥5.25"×4，HF：≥3"×1</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IP解码功放1</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1、D类数字功率放大器;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2、内置网络模块，实现网络解码功能;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3、优先级切换功能：可以自主选择网络优先或网络和本地信号混音输出;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4、具有1路录音输出;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5、RS485远程监控。通过广播管理系统主机可监控功放的工作模式、工作温度、输出电平、保护状态、工作电流等工作状态;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6、额定输出电压：≥100V;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7、定压输出功率：≥150W;</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IP解码功放2</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1、D类数字功率放大器;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2、内置网络模块，实现网络解码功能;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3、优先级切换功能：可以自主选择网络优先或网络和本地信号混音输出。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4、具有1路录音输出;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5、RS485远程监控。通过广播管理系统主机可监控功放的工作模式、工作温度、输出电平、保护状态、工作电流等工作状态;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6、额定输出电压：≥100V;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7、定压输出功率：≥350W;</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数字定压功放</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1、D类数字功率放大器;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2、RS485远程监控;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3、可选配插卡式网络模块，让功放成为IP网络功放，整机设计采用插槽式设计理念，即插即用;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4、输出功率：≥500W（100V定压输出）;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5、频率响应：80Hz-16KHz ±2dB；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6、信噪比：≥90dB（A计权）；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7、输入灵敏度：775mV±50mV；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8、总谐波失真：80Hz-16KHz&lt;1%；</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数字定压功率放大器1</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1、≤2U标准机柜式设计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2、采用D类功放和谐振软开关电源，无输出变压器设计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3、可选配插卡式网络模块，让功放成为IP网络功放，整机设计采用插卡式设计理念，即插即用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4、输入接口：不低于TRS6.35×1个，不低于XLR×1组；输出接口：不低于100V×1个；控制口：不低于Phoeni×2Pin，配合主备切换器，实现主备功放的自动切换</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5、频响类型选择：拨动开关≥1组，可以选择默认和宽频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6、频率响应：不低于100Hz～16KHz，+2dB，-5dB（默认）；不低于60Hz～16KHz，±2dB（宽频）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7、输出功率：≥700W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8、额定输出电压：100V±5V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9、信噪比：≥90dB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10、输入阻抗：≥7.5KΩ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数字定压功率放大器2</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1、≤2U标准机柜式设计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2、采用D类功放和谐振软开关电源，无输出变压器设计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3、可选配插卡式网络模块，让功放成为IP网络功放，整机设计采用插卡式设计理念，即插即用（提供满足技术参数的证明材料）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4、输入接口：不低于TRS6.35×1个，不低于XLR×1组；输出接口：不低于100V×1个；控制口：不低于Phoeni×2Pin，配合主备切换器，实现主备功放的自动切换（提供满足技术参数的证明材料）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5、频响类型选择：拨动开关≥1组，可以选择默认和宽频（提供满足技术参数的证明材料）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6、频率响应：不低于100Hz～16KHz，+2dB，-5dB（默认）；不低于60Hz～16KHz，±2dB（宽频）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7、输出功率：≥1100W（提供满足技术参数的证明材料）</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8、额定输出电压：100V±5V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9、信噪比：≥90dB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10、输入阻抗：≥7.5KΩ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网络模块</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1、插卡式设计，具有硬件音频解码功能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2、RJ45接口：≥1路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3、带有24V信号和短路信号报警输入接口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4、采样率：8K～48KHz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5、传输速率：10/100Mbps</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室外终端解码器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1、专业机柜式安装设计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2、内置≥1路网络硬件音频解码模块，支持TCP/IP、UDP、IGMP(组播)协议，实现网络化传输16位CD音质的音频信号</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3、支持任务网络远程打开功放，无任务自动待机，本地播音功放自动打开，本地信号停止功放可以自动进入待机状态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4、输入通道：话筒输入（TRS）：≥1路，线路输入（RCA）：≥2路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5、输出通道：线路输出（RCA）：≥2路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6、网络接口：网络输入（RJ45）：≥1路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7、报警输入接口：24V报警信号输入：≥1路，短路输入：≥1路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8、USB功能：USB接口：≥1路，可用于U盘本地播放</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9、短路输出：短路输出：≥1路，可实现外部设备联动控制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10、优先级切换功能：可以自主选择网络信号优先或网络和本地信号混音输出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11、消防强切：支持四线制和三线制消防强切，内置24V强切电源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12、智能控制的功放电源接口：≥1路，额定功率：≥1760W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13、输入灵敏度：线路：-10±2dB，话筒：-36±3dB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14、音频输出电平：0 dB（775±1 mV）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15、音频位率：8Kbps～320 Kbps自适应</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16、支持协议：ARP、UDP、TCP/IP、IGMP、IGMP(组播)协议</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无线话筒</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1、采用天线分集式接收及数字导音，杂音锁定双重静音控制，接收距离远，消除接收断音及不稳的缺失。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2、载波频段: UHF530-690.000MHZ（常规：640.000MHZ-690.000MHZ）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3、单机频带宽度 : ≥50 MHz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4、单机频道数量：≥2000个</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5、指向性频响曲线：300-2000Hz≤-8dB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6、综合T.H.D. :&lt;0.5%@1kHz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7、频率响应 : 65Hz-15kHz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8、天线：≥50Ω/TNC，支持天线环路输出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9、发射器拾音头：电容式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10、发射器供电方式：两节AA电池</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网络电源时序器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1、可控电源路数：8路；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2、时序通道：默认1秒（可通过上位机修改，最大96秒）；</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3、通道额定输出电流：10A；</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4、整机额定总输出电流：25A</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天线分配器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1、采用超高动态低杂讯元件与超宽频微带线路设计，具有超低内调失真及损耗的特性，提供多频道接收系统同时使用时能排除混频干扰</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2、天线输入连接座具有供应天线放大器的电源，可直接连接具有天线放大器的延长天线及内建放大器的天线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3、提供≥4台宽频多频道接收机共用1对天线， 第2台分配器同时级联或宽频多频道接收机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4、提供≥4路12V DC电源输出，为≥4台无线接收机提供电源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5、载波范围为500MHz～850MHz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6、电源输出：12V/1.2A DC</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有源对数周期天线</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1、专业用UHF频段外接延长对数天线，频宽范围500MHz～850MHz</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2、内建可调增益放大器以及衰减器，可调整增益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3、步进增益：总增益量：0～18dB±2dB，步进量：±1dB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4、步进衰减：总衰减量：0～9dB±2dB，步进量：±1dB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5、天线阻抗：50Ω</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6、天线增益：3～5dB</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广播网线</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六类室内非屏蔽网线，305米/箱</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箱</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广播汇聚交换机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1、交换容量≥880Gbps，包转发率≥426Mpps</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2、固化1000M SFP光接口≥24个，复用的10/100/1000M电口≥8个，1G/10G SFP+光口≥8个</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3、设备可提供1个业务扩展槽，支持100G端口扩展 </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4、为保证设备在受到外界机械碰撞时能够正常运行，要求所投交换机IK防护测试级别至少达到IK05 </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5、支持RIPv2，OSPFv2/v3，BGP4/4+，IS-ISv4/v6</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6、支持特有的CPU保护策略，对发往CPU的数据流，进行流区分和优先级队列分级处理，并根据需要实施带宽限速，充分保护CPU不被非法流量占用、恶意攻击和资源消耗</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7、支持基础网络保护策略，限制用户向网络中发送ARP报文、ICMP请求报文、DHCP请求报文的数率，对超过限速阈值的报文进行丢弃处理，能够识别攻击行为，对有攻击行为的用户进行隔离</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8、支持硬件层级双boot，采用两个FLASH芯片存储boot软件（系统引导程序），实现硬件级boot冗余备份，避免因FLASH芯片故障导致交换机无法启动；</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9、配置双电源；</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广播交换机1</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1、交换容量≥336Gbps，转发性能≥51Mpps</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2、固化10/100/1000M以太网端口≥24，SFP非复用口≥4个</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3、要求所投设备MAC地址≥16K</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4、支持IPv4和IPv6的静态路由、RIP/RIPng、OSPFv2/OSPFv3等三层路由协议</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5、支持1对1、1对多、多对1和基于流的本地、远程镜像；且支持RSPAN和ERSPAN</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6、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广播交换机2</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8个10/100/1000M电口，交换容量：16Gbps，包转发：1.48m，MAC地址：4k，外置DC9V/600ma电源</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广播光模块</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color w:val="000000"/>
                <w:sz w:val="21"/>
                <w:szCs w:val="21"/>
              </w:rPr>
              <w:t>千兆单模，1310nm，10km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同轴线</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50欧同轴线缆</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米</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广播机柜</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网门，宽600*深600*高1200</w:t>
            </w:r>
            <w:r>
              <w:rPr>
                <w:rFonts w:hint="eastAsia" w:ascii="宋体" w:hAnsi="宋体" w:eastAsia="宋体" w:cs="宋体"/>
                <w:kern w:val="0"/>
                <w:sz w:val="21"/>
                <w:szCs w:val="21"/>
              </w:rPr>
              <w:t>mm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出口网关</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1.支持千兆电口≥8个，千兆光口≥4个</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2.标准1U机箱，多核非X86架构</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3.硬盘容量≥1T，硬盘支持可插拔更换</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4.支持1+1冗余电源</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5.支持内存≥8GB</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6.为保证在多条外网线路情况下带宽的合理分配使用，设备必须支持多链路负载均衡，负载均衡可基于带宽等多种方式</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7.支持行为审计功能，支持外发文件、外发信息、虚拟身份审计，能够在设备上查询到详细信息</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8.支持状态检测防火墙，支持TCP/UDP/ICMP/IP分片包等报文过滤</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9.支持防攻击：支持防land攻击、防 Teardrop 攻击、防 Smurf 攻击、防异常TCP Flag 攻击、防Ping of Death 攻击、防SYN Flood 攻击、防UDP Flood 攻击、防ICMP Flood 攻击、防Fraggle攻击、防超长ICMP报文攻击、防Winnuke攻击、防ARP Flood报文攻击等</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10.支持IPSec VPN，并提供350路免费Ipsec VPN接入授权</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11.支持流量识别保障功能：能够精确识别网络应用，保障关键业务的系统带宽，具备完善的应用协议库，协议识别数量≥3500种</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 xml:space="preserve">12.支持对无线AP进行管理，可自动发现接入AP，默认可管理AP数量为32个，最大可扩容至128个； </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13.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进而实现DHCP无感知准入控制</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14.支持智能DNS，无需内部服务器做任何修改情况下，为外网用户提供一个与该用户相同运营商的链路对内访问</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防火墙</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千兆电口数量≥8个；千兆光口数量≥2个；万兆光口数量≥4个；2个扩展槽</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支持并实配可插拔1TB企业级硬盘</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支持扩展热插拔冗余电源</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三层网络吞吐最大可支持10Gbps ；IPS吞吐量最大可支持2.3Gbps</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最大并发连接≥100万；每秒新建连接≥5万，最大可支持新建连接≥10万</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支持报文示踪，分析和追踪设备中各个安全业务模块对报文的处理过程，通过查看报文示踪记录的详细信息，有利于管理员对网络故障的快速排查和定位</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支持路由模式、透明模式、混合模式</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支持快速上线向导功能，指导配置人员完成快速入网、模式选择、网络配置、连通性检查、授权导入等必要上线步骤</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支持对HTTP、TCP、UDP、DNS、TLS等常用协议及应用的攻击检测和防御</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支持HTTP、FTP、POP3、SMTP协议病毒过滤，支持2层以上的文件压缩</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支持整体呈现内对内、内对外、外对内的攻击统计，图示化呈现攻击的方向和区域；可选级别、刷新频率、周期、攻击类型；TOP攻击源、被攻击主机、新增攻击源、新增攻击端口、攻击趋势图等</w:t>
            </w:r>
          </w:p>
          <w:p>
            <w:pPr>
              <w:widowControl/>
              <w:numPr>
                <w:ilvl w:val="0"/>
                <w:numId w:val="8"/>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支持策略模拟功能，可提供一个虚拟的策略空间来对运行创建的模拟策略，模拟策略不会对真实业务流量产生影响 ，但可以把模拟策略的执行结果与现有的真实策略的不同的处置动作进行对比展现，方便用户判断模拟策略是否会对重要业务产生不良影响，如模拟策略符合用户需求，可一键转化为真实策略</w:t>
            </w:r>
          </w:p>
          <w:p>
            <w:pPr>
              <w:widowControl/>
              <w:numPr>
                <w:ilvl w:val="0"/>
                <w:numId w:val="8"/>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支持自动扫描用户网内资产，自动识别资产端口和协议启用情况，结合用户资产信息生成推荐的安全防护策略</w:t>
            </w:r>
          </w:p>
          <w:p>
            <w:pPr>
              <w:widowControl/>
              <w:numPr>
                <w:ilvl w:val="0"/>
                <w:numId w:val="8"/>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支持策略配置向导功能，运维人员可通过向导流程完成地址对象创建、策略创建、策略模拟运行、策略执行等必要配置步骤</w:t>
            </w:r>
          </w:p>
          <w:p>
            <w:pPr>
              <w:widowControl/>
              <w:numPr>
                <w:ilvl w:val="0"/>
                <w:numId w:val="8"/>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支持显示策略来源、首次创建时间、源安全区域、源地址、目的安全区域、目的地址、服务、应用、首次匹配时间、命中次数统计</w:t>
            </w:r>
          </w:p>
          <w:p>
            <w:pPr>
              <w:widowControl/>
              <w:numPr>
                <w:ilvl w:val="0"/>
                <w:numId w:val="8"/>
              </w:numPr>
              <w:jc w:val="left"/>
              <w:textAlignment w:val="center"/>
              <w:rPr>
                <w:rFonts w:hint="eastAsia" w:ascii="宋体" w:hAnsi="宋体" w:eastAsia="宋体" w:cs="宋体"/>
                <w:sz w:val="21"/>
                <w:szCs w:val="21"/>
              </w:rPr>
            </w:pPr>
            <w:r>
              <w:rPr>
                <w:rFonts w:hint="eastAsia" w:ascii="宋体" w:hAnsi="宋体" w:eastAsia="宋体" w:cs="宋体"/>
                <w:sz w:val="21"/>
                <w:szCs w:val="21"/>
              </w:rPr>
              <w:t>配置三年入侵防御、防病毒、应用识别特征库升级服务</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网络核心交换机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交换容量≥86.4Tbps，包转发率≥ 11610Mpps</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主控引擎与业务板卡完全物理分离, 采用全分布式转发处理架构，独立主控引擎插槽≥2个，独立业务插槽数≥6个</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支持硬件健康状态可视化。设备支持硬件健康状态可视化，可以对风扇状态、电源、温度、板载电压进行监控，尤其是在日常巡查中发现电压异常前兆，可及时处理，避免出现电压异常宕机</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 xml:space="preserve"> 风扇框冗余设计， 且为保证设备散热效果和可靠性，要求设备支持模块化风扇框，可热插拔，当单个风扇框发生故障时，有其他风扇正常运行，保证设备散热，要求独立风扇框个数&gt;=2</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为提高设备面板空间利用率，要求采用高密度端口设计，所投产品单张业务卡最大可用物理端口≥52个</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表项要求：MAC≥1M，FIB≥3M，ARP≥256K</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支持虚拟化技术，可将2台物理设备虚拟化为1台逻辑设备，虚拟组内设备具备统一的二层及三层转发表项，统一的管理界面，并可实现跨设备链路聚合</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支持VXLAN二三层分布式网关，支持EVPN，支持VXLAN双活</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支持VXLAN二三层分布式网关，支持EVPN，支持VXLAN双活</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支持IPv6过渡技术，IPv4/IPv6双栈、6over4隧道、4 over6隧道</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支持IPv6 DHCP SERVER、IPv6 DHCP Relay、DHCP Snooping</w:t>
            </w:r>
          </w:p>
          <w:p>
            <w:pPr>
              <w:widowControl/>
              <w:numPr>
                <w:ilvl w:val="0"/>
                <w:numId w:val="9"/>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支持专门针对CPU保护机制的CPP功能，可将送CPU的报文，如ARP报文的速率进行限制，使CPU的使用率降低到15%以内，保障了CPU安全</w:t>
            </w:r>
          </w:p>
          <w:p>
            <w:pPr>
              <w:widowControl/>
              <w:numPr>
                <w:ilvl w:val="0"/>
                <w:numId w:val="9"/>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出厂预置极简光管理软件和业务模板，免安装，极速部署；除了可以实现对网络的业务规划，还可以对接入的交换机实现即插即用、零配置上线、智能零替换以及光链路故障监测预警功能</w:t>
            </w:r>
          </w:p>
          <w:p>
            <w:pPr>
              <w:widowControl/>
              <w:numPr>
                <w:ilvl w:val="0"/>
                <w:numId w:val="9"/>
              </w:numPr>
              <w:jc w:val="left"/>
              <w:textAlignment w:val="center"/>
              <w:rPr>
                <w:rFonts w:hint="eastAsia" w:ascii="宋体" w:hAnsi="宋体" w:eastAsia="宋体" w:cs="宋体"/>
                <w:sz w:val="21"/>
                <w:szCs w:val="21"/>
              </w:rPr>
            </w:pPr>
            <w:r>
              <w:rPr>
                <w:rFonts w:hint="eastAsia" w:ascii="宋体" w:hAnsi="宋体" w:eastAsia="宋体" w:cs="宋体"/>
                <w:sz w:val="21"/>
                <w:szCs w:val="21"/>
              </w:rPr>
              <w:t>实配双主控、双电源，千兆电口≥24，千兆光口≥8，万兆光口≥8</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网络管理平台</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采用纯B/S架构，用户无需安装客户端，通过标准浏览器就能完成对系统的访问</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支持通过WEB浏览器实现网管系统自身服务的重启、关闭；监控服务器自身的CPU、内存、网卡状态；支持在网页上获取系统运行日志</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支持将网管自身的告警、收到的SYSLOG、TRAP转发到客户的系统中</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能够通过模块化、组件化方式，实现对网络中的路由器、交换机、防火墙、WLAN等有线无线一体化管理</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支持无线网络业务 ，便于未来有线无线网络设备统一化管理和监测</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图形化显示设备的真实物理面板及线卡、端口信息，且支持在面板页面直接对设备进行操作</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支持定时自动抓取设备的配置文件，同步到管理组件服务器，对每次采集内容都可与上一次采集到配置文件进行比对，出现偏差可邮件通知管理员</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自动发现网络中的二、三层网络设备，可以自动构成网络拓扑图</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可以通过指定IP段范围、设备选择等方式，显示“网络拓扑”的自定义拓扑视图，且在每一个视图中只能看到与该视图定义相匹配的设备</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设备运行状态发生变化和触发告警时，拓扑图中的相应结点能够及时更改为醒目颜色</w:t>
            </w:r>
          </w:p>
          <w:p>
            <w:pPr>
              <w:widowControl/>
              <w:numPr>
                <w:ilvl w:val="0"/>
                <w:numId w:val="10"/>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为了保障用户前期的投资，要求支持与身份管理平台注册对接，实现查询在线用户列表，包括用户名、IP地址、MAC地址等功能</w:t>
            </w:r>
          </w:p>
          <w:p>
            <w:pPr>
              <w:widowControl/>
              <w:numPr>
                <w:ilvl w:val="0"/>
                <w:numId w:val="10"/>
              </w:numPr>
              <w:jc w:val="left"/>
              <w:textAlignment w:val="center"/>
              <w:rPr>
                <w:rFonts w:hint="eastAsia" w:ascii="宋体" w:hAnsi="宋体" w:eastAsia="宋体" w:cs="宋体"/>
                <w:sz w:val="21"/>
                <w:szCs w:val="21"/>
              </w:rPr>
            </w:pPr>
            <w:r>
              <w:rPr>
                <w:rFonts w:hint="eastAsia" w:ascii="宋体" w:hAnsi="宋体" w:eastAsia="宋体" w:cs="宋体"/>
                <w:sz w:val="21"/>
                <w:szCs w:val="21"/>
              </w:rPr>
              <w:t>配置设备管理授权≥65个</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无线认证管理平台</w:t>
            </w:r>
          </w:p>
        </w:tc>
        <w:tc>
          <w:tcPr>
            <w:tcW w:w="3842" w:type="pct"/>
            <w:tcBorders>
              <w:top w:val="single" w:color="000000" w:sz="4" w:space="0"/>
              <w:left w:val="single" w:color="000000" w:sz="4" w:space="0"/>
              <w:bottom w:val="single" w:color="000000" w:sz="4" w:space="0"/>
              <w:right w:val="single" w:color="000000" w:sz="4" w:space="0"/>
            </w:tcBorders>
            <w:vAlign w:val="center"/>
          </w:tcPr>
          <w:p>
            <w:pPr>
              <w:numPr>
                <w:ilvl w:val="0"/>
                <w:numId w:val="11"/>
              </w:numPr>
              <w:rPr>
                <w:rFonts w:hint="eastAsia" w:ascii="宋体" w:hAnsi="宋体" w:eastAsia="宋体" w:cs="宋体"/>
                <w:sz w:val="21"/>
                <w:szCs w:val="21"/>
              </w:rPr>
            </w:pPr>
            <w:r>
              <w:rPr>
                <w:rFonts w:hint="eastAsia" w:ascii="宋体" w:hAnsi="宋体" w:eastAsia="宋体" w:cs="宋体"/>
                <w:sz w:val="21"/>
                <w:szCs w:val="21"/>
              </w:rPr>
              <w:t>产品外形:1U机框式。内存:2G。硬盘:1000GB。 提供配套硬件安装环境,无需用户单独采购数据库</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为满足多种应用场景接入安全需求，用户准入方式应支持有线的用户名密码认证、无线的用户名密码认证 和证书认证等多种认证方式</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支持已认证的用户使用自己的智能手机为访客终端扫描二维码进行访客入网接入认证授权，支持只有授权指定的用户组才能为访客做二维码授权，且在认证系统后台有访客与授权访客开户的用户账号绑定</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支持与第三方Radius联动，将认证信息转发给第三方Radius服务器进行认证，即实现统一身份源</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支持</w:t>
            </w:r>
            <w:r>
              <w:rPr>
                <w:rFonts w:hint="eastAsia" w:ascii="宋体" w:hAnsi="宋体" w:eastAsia="宋体" w:cs="宋体"/>
                <w:color w:val="000000" w:themeColor="text1"/>
                <w:sz w:val="21"/>
                <w:szCs w:val="21"/>
                <w14:textFill>
                  <w14:solidFill>
                    <w14:schemeClr w14:val="tx1"/>
                  </w14:solidFill>
                </w14:textFill>
              </w:rPr>
              <w:t>与WindowsAD域联动，实现与WindowsAD的整合认证，一次登陆完成802.1X认证和WindowsAD认证</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支持与数据库SQL SERVER、MySQL、ORACLE、DB2、PostgreSQL对接</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支持对在线用户进行管理，可下发实时和离线短消息、查看在线用户、下发实时和离线修复程序、强制在线用户下线以及重认证、实时进程信息获取以及远程协助的功能</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支持禁止已认证用户给未认证用户提供代理服务；禁止已认证用户启用拨号服务，进行非法外连；支持设置用户密码输错的次数上限，防暴力破解</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为了简化认证过程,支持认证页面合并,包括但不限于普通用户、短信、二维码、微信web认证合并</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为避免无规律账号不易记忆,支持用户采用昵称代替用户名认证</w:t>
            </w:r>
          </w:p>
          <w:p>
            <w:pPr>
              <w:numPr>
                <w:ilvl w:val="0"/>
                <w:numId w:val="1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为保障密码安全性,支持首次登陆账号激活，并强制修改密码。首次进行认证时，强制要求用户设置密保：手机号、邮箱账号、私密问答作为密保凭据任选其一</w:t>
            </w:r>
          </w:p>
          <w:p>
            <w:pPr>
              <w:pStyle w:val="2"/>
              <w:numPr>
                <w:ilvl w:val="0"/>
                <w:numId w:val="0"/>
              </w:numPr>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12.配置用户接入授权≥500个</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无线控制器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固化千兆电口数≥8；固化千兆光口数≥2个</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802.11转发性能≥8G</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为保障无线网络的可靠性，单台设备最大可配置AP数目≥2048</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设备可配置AP的本地数据转发技术模式，即可根据网络的SSID和用户VLAN的规划，决定数据是否需要全部经过无线AC转发或直接进入有线网络进行本地交换，从而更好的适应未来无线网络更高流量传输的要求</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AC设备多账户分权管理功能，实现一台物理AC设备或多台物理AC设备虚拟成一台AC设备后，均能受多账户管理，各账户分别管理不同的无线信息</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为避免显示设备被抢占，设备应支持 airplay 投影防串流功能，实现正在投影的终端结束投影之前，其他终端无法抢占投影服务</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支持AC分级功能，中心AC可对分支AC起到备份作用，中心AC可以统一监控各个分支AC的运行状态、AP和用户信息，中心AC可以统一对分支AC进行软件升级，分支AC可以共享中心AC的AP容量License</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设备应支持 802.11R快速漫游，提升漫游体验</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支持实时频谱防护,可视化射频干扰源对无线局域网的性能的影响</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无线控制器具备ARP攻击防护功能。当网络中存在STA端的ARP攻击时，无线控制器能够抑制ARP报文的持续泛洪</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为保障设备受到外部机械碰撞仍可以保持结构完整、功能完备，要求所投无线控制器符合国标GB/T 20138-2006即《电器设备外壳对外界机械碰撞的防护等级（IK代码）》标准，至少达到防护等级IK07。</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对墙面 AP可支持的容量翻倍</w:t>
            </w:r>
          </w:p>
          <w:p>
            <w:pPr>
              <w:widowControl/>
              <w:numPr>
                <w:ilvl w:val="0"/>
                <w:numId w:val="12"/>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实配无线管理授权≥288个</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POE接入交换机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交换容量≥336Gbps，转发性能≥51Mpps</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固化10/100/1000M以太网端口≥24，SFP非复用口≥4个</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要求所投设备MAC地址≥16K</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≥24个电口支持POE和POE+远程供电，整机POE功率输出≥370W</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支持IPv4和IPv6的静态路由、RIP/RIPng、OSPFv2/OSPFv3等三层路由协议</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支持1对1、1对多、多对1和基于流的本地、远程镜像；且支持RSPAN和ERSPAN</w:t>
            </w:r>
          </w:p>
          <w:p>
            <w:pPr>
              <w:widowControl/>
              <w:numPr>
                <w:ilvl w:val="0"/>
                <w:numId w:val="13"/>
              </w:numPr>
              <w:jc w:val="left"/>
              <w:textAlignment w:val="center"/>
              <w:rPr>
                <w:rFonts w:hint="eastAsia" w:ascii="宋体" w:hAnsi="宋体" w:eastAsia="宋体" w:cs="宋体"/>
                <w:sz w:val="21"/>
                <w:szCs w:val="21"/>
              </w:rPr>
            </w:pPr>
            <w:r>
              <w:rPr>
                <w:rFonts w:hint="eastAsia" w:ascii="宋体" w:hAnsi="宋体" w:eastAsia="宋体" w:cs="宋体"/>
                <w:sz w:val="21"/>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34</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接入交换机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4"/>
              </w:numPr>
              <w:jc w:val="left"/>
              <w:textAlignment w:val="center"/>
              <w:rPr>
                <w:rFonts w:hint="eastAsia" w:ascii="宋体" w:hAnsi="宋体" w:eastAsia="宋体" w:cs="宋体"/>
                <w:sz w:val="21"/>
                <w:szCs w:val="21"/>
              </w:rPr>
            </w:pPr>
            <w:r>
              <w:rPr>
                <w:rFonts w:hint="eastAsia" w:ascii="宋体" w:hAnsi="宋体" w:eastAsia="宋体" w:cs="宋体"/>
                <w:sz w:val="21"/>
                <w:szCs w:val="21"/>
              </w:rPr>
              <w:t>交换容量≥336Gbps，转发性能≥51Mpps</w:t>
            </w:r>
          </w:p>
          <w:p>
            <w:pPr>
              <w:widowControl/>
              <w:numPr>
                <w:ilvl w:val="0"/>
                <w:numId w:val="14"/>
              </w:numPr>
              <w:jc w:val="left"/>
              <w:textAlignment w:val="center"/>
              <w:rPr>
                <w:rFonts w:hint="eastAsia" w:ascii="宋体" w:hAnsi="宋体" w:eastAsia="宋体" w:cs="宋体"/>
                <w:sz w:val="21"/>
                <w:szCs w:val="21"/>
              </w:rPr>
            </w:pPr>
            <w:r>
              <w:rPr>
                <w:rFonts w:hint="eastAsia" w:ascii="宋体" w:hAnsi="宋体" w:eastAsia="宋体" w:cs="宋体"/>
                <w:sz w:val="21"/>
                <w:szCs w:val="21"/>
              </w:rPr>
              <w:t>固化10/100/1000M以太网端口≥24，SFP非复用口≥4个</w:t>
            </w:r>
          </w:p>
          <w:p>
            <w:pPr>
              <w:widowControl/>
              <w:numPr>
                <w:ilvl w:val="0"/>
                <w:numId w:val="14"/>
              </w:numPr>
              <w:jc w:val="left"/>
              <w:textAlignment w:val="center"/>
              <w:rPr>
                <w:rFonts w:hint="eastAsia" w:ascii="宋体" w:hAnsi="宋体" w:eastAsia="宋体" w:cs="宋体"/>
                <w:sz w:val="21"/>
                <w:szCs w:val="21"/>
              </w:rPr>
            </w:pPr>
            <w:r>
              <w:rPr>
                <w:rFonts w:hint="eastAsia" w:ascii="宋体" w:hAnsi="宋体" w:eastAsia="宋体" w:cs="宋体"/>
                <w:sz w:val="21"/>
                <w:szCs w:val="21"/>
              </w:rPr>
              <w:t>要求所投设备MAC地址≥16K</w:t>
            </w:r>
          </w:p>
          <w:p>
            <w:pPr>
              <w:widowControl/>
              <w:numPr>
                <w:ilvl w:val="0"/>
                <w:numId w:val="14"/>
              </w:numPr>
              <w:jc w:val="left"/>
              <w:textAlignment w:val="center"/>
              <w:rPr>
                <w:rFonts w:hint="eastAsia" w:ascii="宋体" w:hAnsi="宋体" w:eastAsia="宋体" w:cs="宋体"/>
                <w:color w:val="000000"/>
                <w:sz w:val="21"/>
                <w:szCs w:val="21"/>
              </w:rPr>
            </w:pPr>
            <w:r>
              <w:rPr>
                <w:rFonts w:hint="eastAsia" w:ascii="宋体" w:hAnsi="宋体" w:eastAsia="宋体" w:cs="宋体"/>
                <w:sz w:val="21"/>
                <w:szCs w:val="21"/>
              </w:rPr>
              <w:t>支持IPv4和IPv6的静态路由、RIP/RIPng、OSPFv2/OSPFv3等三层路由协议</w:t>
            </w:r>
          </w:p>
          <w:p>
            <w:pPr>
              <w:widowControl/>
              <w:numPr>
                <w:ilvl w:val="0"/>
                <w:numId w:val="14"/>
              </w:numPr>
              <w:jc w:val="left"/>
              <w:textAlignment w:val="center"/>
              <w:rPr>
                <w:rFonts w:hint="eastAsia" w:ascii="宋体" w:hAnsi="宋体" w:eastAsia="宋体" w:cs="宋体"/>
                <w:color w:val="000000"/>
                <w:sz w:val="21"/>
                <w:szCs w:val="21"/>
              </w:rPr>
            </w:pPr>
            <w:r>
              <w:rPr>
                <w:rFonts w:hint="eastAsia" w:ascii="宋体" w:hAnsi="宋体" w:eastAsia="宋体" w:cs="宋体"/>
                <w:sz w:val="21"/>
                <w:szCs w:val="21"/>
              </w:rPr>
              <w:t>支持1对1、1对多、多对1和基于流的本地、远程镜像；且支持RSPAN和ERSPAN</w:t>
            </w:r>
          </w:p>
          <w:p>
            <w:pPr>
              <w:widowControl/>
              <w:numPr>
                <w:ilvl w:val="0"/>
                <w:numId w:val="14"/>
              </w:numPr>
              <w:jc w:val="left"/>
              <w:textAlignment w:val="center"/>
              <w:rPr>
                <w:rFonts w:hint="eastAsia" w:ascii="宋体" w:hAnsi="宋体" w:eastAsia="宋体" w:cs="宋体"/>
                <w:color w:val="000000"/>
                <w:sz w:val="21"/>
                <w:szCs w:val="21"/>
              </w:rPr>
            </w:pPr>
            <w:r>
              <w:rPr>
                <w:rFonts w:hint="eastAsia" w:ascii="宋体" w:hAnsi="宋体" w:eastAsia="宋体" w:cs="宋体"/>
                <w:sz w:val="21"/>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汇聚交换机</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交换容量≥880Gbps，包转发率≥426Mpps</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固化1000M SFP光接口≥24个，复用的10/100/1000M电口≥8个，1G/10G SFP+光口≥8个</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设备可提供1个业务扩展槽，支持100G端口扩展</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为保证设备在受到外界机械碰撞时能够正常运行，要求所投交换机IK防护测试级别至少达到IK05</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支持RIPv2，OSPFv2/v3，BGP4/4+，IS-ISv4/v6</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支持特有的CPU保护策略，对发往CPU的数据流，进行流区分和优先级队列分级处理，并根据需要实施带宽限速，充分保护CPU不被非法流量占用、恶意攻击和资源消耗</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支持基础网络保护策略，限制用户向网络中发送ARP报文、ICMP请求报文、DHCP请求报文的数率，对超过限速阈值的报文进行丢弃处理，能够识别攻击行为，对有攻击行为的用户进行隔离</w:t>
            </w:r>
          </w:p>
          <w:p>
            <w:pPr>
              <w:widowControl/>
              <w:numPr>
                <w:ilvl w:val="0"/>
                <w:numId w:val="15"/>
              </w:numPr>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支持硬件层级双boot，采用两个FLASH芯片存储boot软件（系统引导程序），实现硬件级boot冗余备份，避免因FLASH芯片故障导致交换机无法启动； </w:t>
            </w:r>
          </w:p>
          <w:p>
            <w:pPr>
              <w:widowControl/>
              <w:numPr>
                <w:ilvl w:val="0"/>
                <w:numId w:val="15"/>
              </w:numPr>
              <w:jc w:val="left"/>
              <w:textAlignment w:val="center"/>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配置双电源、万兆单模光模块1对</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吸顶AP</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1.支持802.11ax标准</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2.采用双路双频设计，一个2.4GHz射频卡，一个5GHz射频卡</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3.整机4条空间流,最大无线速率≥2.97Gbps</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4.至少支持1个1G以太网端口、1个2.5GSFP光口</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5.支持内置蓝牙5.1</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6.支持PoE/本地DC48V电源两种供电模式</w:t>
            </w:r>
          </w:p>
          <w:p>
            <w:pPr>
              <w:widowControl/>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7.为了降低辐射对人体带来的潜在危害，保证设备电磁辐射对人体安全，所投产品要求满足Council Recommendation 1999/519/EC Annex II 的相关要求， SAR值不高于2.0W/kg</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8.由于AP部署在开放环境中，为保障设备受到外部机械碰撞仍可以保持结构完整、功能完备，要求所投室内无线接入点符合国标GB/T 20138-2006即《电器设备外壳对外界机械碰撞的防护等级（IK代码）》标准，至少达到防护等级IK08</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268</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室外AP</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支持标准的802.11ac协议,采用双路双频设计，可同时工作在802.11a/n/ac/ax和802.11b/g/n/ac/ax模式</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天线设计：为提高设备防护等级，防止水雾侵蚀，设备采用内置天线设计，无外置天线口；</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内置天线规格：内置全向天线 2.4G&amp;5.8G</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支持4条空间流,2.4GHz单频最大接入速率0.575Gbps,5.8GHz单频最大接入速率1.2Gbps，整机最大提供2.4Gbps的无线接入速率。</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避雷方式：网口和天线口均内置避雷器，满足6KV防雷要求，不需外加防雷器</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提供1个RJ45 console管理口；≥1个SFP上联光口；≥1个10/100/1000Base-T以太网上联接口与SFP复用，支持PoE受电</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为确保安装施工标准及后期维护方便，所有接口（网口、console口、光口等）均为标准原生接口，不接受非标转接方案。</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为防止因好奇而产生的故意破坏，产品外观因符合业界通用形态，不得采用球形、橄榄形等奇特的外观设计</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防护等级：IP68.</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支持标准的802.3af/802.3at协议进行PoE供电，整机功耗小于12.95w</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支持胖/瘦AP两种工作模式的切换，在瘦AP工作模式时，AP与控制器之间采用国际标准的CAPWAP协议通信</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能与安全计费管理系统联动，实现准入认证和计费的功能</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为增强无线网络可靠性，支持当AC宕机时，AP切换为智能转发模式继续传输数据，保证无线用户正常使用，要求提供技术白皮书证明，保留测试权利 </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支持IPv6技术，包括IPv6报文透传 ,IPv6终端接入认证，保留测试权利</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为便于后期的管理，要求无线接入点须和网络管理系统进行联动，可以通过网管软件进行配置和拓扑发现，并能进行状态监测和告警</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千兆单模光模块</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千兆单模，1310nm，10km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网络管理平台服务器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1U机架服务器，导轨套件</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配置1颗CPU, ≥2.8GHz,  4C/4T,</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配置8GB DDR4, 3200MT/s</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配置1块1TB SATA桌面级硬盘</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支持RAID 0,1,5集成阵列卡</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最高可配2个PCIe 第四代插槽</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支持SD卡数量≥2，SD卡可组成RAID 1级别</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主板集成2端口千兆网络卡</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配置450W白金级有线电源</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配置远程管理卡模块，配置独立的管理口，可提供远程管理功能，支持远程虚拟介质。服务器内置配置管理工具，集成在系统内，可通过单访问点提供“立即启动”，是部署操作系统以及内置驱动程序安装、固件更新、硬件配置和问题诊断程序的一站式中心；提供服务器管理软件：主板内部集成可管理存储空间，集成管理软件及驱动，可实现在线升级，提供快速无盘布署和管理功能；单界面即可完成所有管理服务的管理软件；支持BMC，IPMI 2.0, Redfish</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42机柜1</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网门，宽600*深1000*高2000</w:t>
            </w:r>
            <w:r>
              <w:rPr>
                <w:rFonts w:hint="eastAsia" w:ascii="宋体" w:hAnsi="宋体" w:eastAsia="宋体" w:cs="宋体"/>
                <w:kern w:val="0"/>
                <w:sz w:val="21"/>
                <w:szCs w:val="21"/>
              </w:rPr>
              <w:t>mm，含角钢支架，尺寸根据现场实际环境定制</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42机柜2</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网门，宽600*深800*高2000</w:t>
            </w:r>
            <w:r>
              <w:rPr>
                <w:rFonts w:hint="eastAsia" w:ascii="宋体" w:hAnsi="宋体" w:eastAsia="宋体" w:cs="宋体"/>
                <w:kern w:val="0"/>
                <w:sz w:val="21"/>
                <w:szCs w:val="21"/>
              </w:rPr>
              <w:t>mm，含角钢支架，尺寸根据现场实际环境定制</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32U机柜</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网门，宽600*深600*高1600</w:t>
            </w:r>
            <w:r>
              <w:rPr>
                <w:rFonts w:hint="eastAsia" w:ascii="宋体" w:hAnsi="宋体" w:eastAsia="宋体" w:cs="宋体"/>
                <w:kern w:val="0"/>
                <w:sz w:val="21"/>
                <w:szCs w:val="21"/>
              </w:rPr>
              <w:t>mm，含金属底座，尺寸为</w:t>
            </w:r>
            <w:r>
              <w:rPr>
                <w:rFonts w:hint="eastAsia" w:ascii="宋体" w:hAnsi="宋体" w:eastAsia="宋体" w:cs="宋体"/>
                <w:color w:val="000000"/>
                <w:kern w:val="0"/>
                <w:sz w:val="21"/>
                <w:szCs w:val="21"/>
              </w:rPr>
              <w:t>宽600*深600*高500</w:t>
            </w:r>
            <w:r>
              <w:rPr>
                <w:rFonts w:hint="eastAsia" w:ascii="宋体" w:hAnsi="宋体" w:eastAsia="宋体" w:cs="宋体"/>
                <w:kern w:val="0"/>
                <w:sz w:val="21"/>
                <w:szCs w:val="21"/>
              </w:rPr>
              <w:t>mm；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光纤熔接盒</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24口光纤熔接盒，FC接口</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53</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法兰</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FC-FC接口光纤法兰盘。</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960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54</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尾纤</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1.接口：FC；</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2.长度：1.5m；</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3.插芯材料：陶瓷；</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4.插损：小于0.3dB；</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5.工作温度：-40℃～70℃；</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6.工作波长：1310nm～1550nm；</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7.抗拉强度：≥45kg；</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8.光缆外径：2.0mm～3.0mm。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条</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960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跳线</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1.接口：FC-LC；</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2.长度：3m；</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3.插芯材料：陶瓷；</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4.插损：小于0.3dB；</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5.工作温度：-40℃～70℃；</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6.工作波长：1310nm～1550nm；</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7.抗拉强度：≥45kg；</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8.光缆外径：2.0mm～3.0mm。</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条</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56</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110配线架</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25对配线架</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40</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57</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PDU</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8位10APDU</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35</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58</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理线架</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1U标准金属理线架</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59</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机房空调</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3P冷暖空调</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灭火器</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3KG手提式二氧化碳灭火器</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灭火种类B/C/E</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工作压力1.2mpa</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喷射时间≥8秒</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使用温度0℃~+55℃</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喷射距离≥2米</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保质期5年</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61</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线材辅料</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系统施工配套线材及辅料：</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包含但不限于水晶头，卡钉，直接，三通，弯管器，胀塞自攻钉，黑色防水绝缘胶带，线槽，机柜螺丝，燕尾钉，色带，软管，扎带，铜鼻子，钢钉，开口器，螺丝，钢线，连接线，音箱挂件，插排，理线架等；</w:t>
            </w:r>
          </w:p>
          <w:p>
            <w:pPr>
              <w:widowControl/>
              <w:jc w:val="left"/>
              <w:rPr>
                <w:rFonts w:hint="eastAsia" w:ascii="宋体" w:hAnsi="宋体" w:eastAsia="宋体" w:cs="宋体"/>
                <w:sz w:val="21"/>
                <w:szCs w:val="21"/>
              </w:rPr>
            </w:pPr>
            <w:r>
              <w:rPr>
                <w:rFonts w:hint="eastAsia" w:ascii="宋体" w:hAnsi="宋体" w:eastAsia="宋体" w:cs="宋体"/>
                <w:kern w:val="0"/>
                <w:sz w:val="21"/>
                <w:szCs w:val="21"/>
              </w:rPr>
              <w:t>包含设备安装过程中与布线施工方对接所需线材；</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r>
        <w:tblPrEx>
          <w:tblCellMar>
            <w:top w:w="15" w:type="dxa"/>
            <w:left w:w="15" w:type="dxa"/>
            <w:bottom w:w="15" w:type="dxa"/>
            <w:right w:w="15" w:type="dxa"/>
          </w:tblCellMar>
        </w:tblPrEx>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62</w:t>
            </w:r>
          </w:p>
        </w:tc>
        <w:tc>
          <w:tcPr>
            <w:tcW w:w="41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系统集成</w:t>
            </w:r>
          </w:p>
        </w:tc>
        <w:tc>
          <w:tcPr>
            <w:tcW w:w="384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整体弱电施工，包含：</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1.弱电机房及分控机柜设备安装；</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2.有线网络设备安装；</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3.无线网络设备安装；</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4.广播系统设备安装；</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5.光纤熔接、端接； </w:t>
            </w:r>
          </w:p>
          <w:p>
            <w:pPr>
              <w:pStyle w:val="2"/>
              <w:numPr>
                <w:ilvl w:val="0"/>
                <w:numId w:val="0"/>
              </w:numPr>
              <w:spacing w:line="240" w:lineRule="auto"/>
              <w:rPr>
                <w:rFonts w:hint="eastAsia" w:ascii="宋体" w:hAnsi="宋体" w:eastAsia="宋体" w:cs="宋体"/>
                <w:sz w:val="21"/>
                <w:szCs w:val="21"/>
              </w:rPr>
            </w:pPr>
            <w:r>
              <w:rPr>
                <w:rFonts w:hint="eastAsia" w:ascii="宋体" w:hAnsi="宋体" w:eastAsia="宋体" w:cs="宋体"/>
                <w:kern w:val="0"/>
                <w:sz w:val="21"/>
                <w:szCs w:val="21"/>
              </w:rPr>
              <w:t>6.系统整体调试；</w:t>
            </w:r>
          </w:p>
        </w:tc>
        <w:tc>
          <w:tcPr>
            <w:tcW w:w="2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c>
          <w:tcPr>
            <w:tcW w:w="1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r>
    </w:tbl>
    <w:p>
      <w:pPr>
        <w:pStyle w:val="2"/>
        <w:numPr>
          <w:ilvl w:val="0"/>
          <w:numId w:val="0"/>
        </w:numPr>
      </w:pPr>
      <w:r>
        <w:rPr>
          <w:rFonts w:hint="eastAsia" w:hAnsi="宋体" w:eastAsiaTheme="minorEastAsia"/>
          <w:szCs w:val="24"/>
          <w:lang w:val="en-US" w:eastAsia="zh-CN"/>
        </w:rPr>
        <w:t>备注：</w:t>
      </w:r>
      <w:r>
        <w:rPr>
          <w:rFonts w:hint="eastAsia" w:hAnsi="宋体" w:eastAsiaTheme="minorEastAsia"/>
          <w:szCs w:val="24"/>
        </w:rPr>
        <w:t>有线网络全校覆盖万兆骨干千兆到桌面，无线网络全校覆盖高于或等WIFI6标准，广播全校覆盖为数字广播。</w:t>
      </w:r>
    </w:p>
    <w:p>
      <w:pPr>
        <w:rPr>
          <w:rFonts w:asciiTheme="majorEastAsia" w:hAnsiTheme="majorEastAsia" w:eastAsiaTheme="majorEastAsia"/>
          <w:color w:val="auto"/>
        </w:rPr>
      </w:pPr>
    </w:p>
    <w:p/>
    <w:p>
      <w:pPr>
        <w:pStyle w:val="19"/>
      </w:pPr>
    </w:p>
    <w:p>
      <w:pPr>
        <w:pStyle w:val="2"/>
        <w:numPr>
          <w:ilvl w:val="0"/>
          <w:numId w:val="0"/>
        </w:numPr>
        <w:ind w:left="540" w:leftChars="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1.交货期：接到供货指令后30</w:t>
      </w:r>
      <w:r>
        <w:rPr>
          <w:rFonts w:hint="eastAsia" w:asciiTheme="majorEastAsia" w:hAnsiTheme="majorEastAsia" w:eastAsiaTheme="majorEastAsia"/>
          <w:color w:val="auto"/>
        </w:rPr>
        <w:t>日内完成供货、安装、调试</w:t>
      </w:r>
      <w:r>
        <w:rPr>
          <w:rFonts w:hint="eastAsia" w:asciiTheme="majorEastAsia" w:hAnsiTheme="majorEastAsia" w:eastAsiaTheme="majorEastAsia"/>
          <w:color w:val="auto"/>
          <w:lang w:eastAsia="zh-CN"/>
        </w:rPr>
        <w:t>。</w:t>
      </w:r>
    </w:p>
    <w:p>
      <w:pPr>
        <w:pStyle w:val="2"/>
        <w:numPr>
          <w:ilvl w:val="0"/>
          <w:numId w:val="0"/>
        </w:numPr>
        <w:ind w:left="540" w:leftChars="0"/>
        <w:rPr>
          <w:rFonts w:hint="eastAsia" w:asciiTheme="majorEastAsia" w:hAnsiTheme="majorEastAsia" w:eastAsiaTheme="majorEastAsia"/>
          <w:color w:val="auto"/>
        </w:rPr>
      </w:pPr>
      <w:r>
        <w:rPr>
          <w:rFonts w:hint="eastAsia" w:asciiTheme="majorEastAsia" w:hAnsiTheme="majorEastAsia" w:eastAsiaTheme="majorEastAsia"/>
          <w:color w:val="auto"/>
        </w:rPr>
        <w:t>2.交货地点</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lang w:val="en-US" w:eastAsia="zh-CN"/>
        </w:rPr>
        <w:t>甲</w:t>
      </w:r>
      <w:r>
        <w:rPr>
          <w:rFonts w:hint="eastAsia" w:asciiTheme="majorEastAsia" w:hAnsiTheme="majorEastAsia" w:eastAsiaTheme="majorEastAsia"/>
          <w:color w:val="auto"/>
        </w:rPr>
        <w:t>方指定地点，送货上门服务。</w:t>
      </w:r>
    </w:p>
    <w:p>
      <w:pPr>
        <w:pStyle w:val="2"/>
        <w:numPr>
          <w:ilvl w:val="0"/>
          <w:numId w:val="0"/>
        </w:numPr>
        <w:ind w:left="540" w:leftChars="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3.</w:t>
      </w:r>
      <w:r>
        <w:rPr>
          <w:rFonts w:hint="eastAsia" w:asciiTheme="majorEastAsia" w:hAnsiTheme="majorEastAsia" w:eastAsiaTheme="majorEastAsia"/>
          <w:color w:val="auto"/>
        </w:rPr>
        <w:t>质保</w:t>
      </w:r>
      <w:r>
        <w:rPr>
          <w:rFonts w:hint="eastAsia" w:asciiTheme="majorEastAsia" w:hAnsiTheme="majorEastAsia" w:eastAsiaTheme="majorEastAsia"/>
          <w:color w:val="auto"/>
          <w:lang w:val="en-US" w:eastAsia="zh-CN"/>
        </w:rPr>
        <w:t>维保</w:t>
      </w:r>
      <w:r>
        <w:rPr>
          <w:rFonts w:hint="eastAsia" w:asciiTheme="majorEastAsia" w:hAnsiTheme="majorEastAsia" w:eastAsiaTheme="majorEastAsia"/>
          <w:color w:val="auto"/>
        </w:rPr>
        <w:t>期</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设备自验收之日起</w:t>
      </w:r>
      <w:r>
        <w:rPr>
          <w:rFonts w:hint="eastAsia" w:asciiTheme="majorEastAsia" w:hAnsiTheme="majorEastAsia" w:eastAsiaTheme="majorEastAsia"/>
          <w:color w:val="auto"/>
          <w:lang w:val="en-US" w:eastAsia="zh-CN"/>
        </w:rPr>
        <w:t>4</w:t>
      </w:r>
      <w:r>
        <w:rPr>
          <w:rFonts w:hint="eastAsia" w:asciiTheme="majorEastAsia" w:hAnsiTheme="majorEastAsia" w:eastAsiaTheme="majorEastAsia"/>
          <w:color w:val="auto"/>
        </w:rPr>
        <w:t>年内为</w:t>
      </w:r>
      <w:r>
        <w:rPr>
          <w:rFonts w:hint="eastAsia" w:asciiTheme="majorEastAsia" w:hAnsiTheme="majorEastAsia" w:eastAsiaTheme="majorEastAsia"/>
          <w:color w:val="auto"/>
          <w:lang w:val="en-US" w:eastAsia="zh-CN"/>
        </w:rPr>
        <w:t>维</w:t>
      </w:r>
      <w:r>
        <w:rPr>
          <w:rFonts w:hint="eastAsia" w:asciiTheme="majorEastAsia" w:hAnsiTheme="majorEastAsia" w:eastAsiaTheme="majorEastAsia"/>
          <w:color w:val="auto"/>
        </w:rPr>
        <w:t>保期</w:t>
      </w:r>
      <w:r>
        <w:rPr>
          <w:rFonts w:hint="eastAsia" w:asciiTheme="majorEastAsia" w:hAnsiTheme="majorEastAsia" w:eastAsiaTheme="majorEastAsia"/>
          <w:color w:val="auto"/>
          <w:lang w:val="en-US" w:eastAsia="zh-CN"/>
        </w:rPr>
        <w:t>其中第1年为质保期，质保维保期所有软硬件服务均免费</w:t>
      </w:r>
      <w:r>
        <w:rPr>
          <w:rFonts w:hint="eastAsia" w:asciiTheme="majorEastAsia" w:hAnsiTheme="majorEastAsia" w:eastAsiaTheme="majorEastAsia"/>
          <w:color w:val="auto"/>
          <w:lang w:eastAsia="zh-CN"/>
        </w:rPr>
        <w:t>。</w:t>
      </w:r>
    </w:p>
    <w:p>
      <w:pPr>
        <w:pStyle w:val="2"/>
        <w:numPr>
          <w:ilvl w:val="0"/>
          <w:numId w:val="0"/>
        </w:numPr>
        <w:ind w:left="540" w:leftChars="0"/>
        <w:rPr>
          <w:rFonts w:hint="eastAsia" w:asciiTheme="majorEastAsia" w:hAnsiTheme="majorEastAsia" w:eastAsiaTheme="majorEastAsia"/>
          <w:color w:val="auto"/>
          <w:lang w:eastAsia="zh-CN"/>
        </w:rPr>
      </w:pPr>
      <w:r>
        <w:rPr>
          <w:rFonts w:hint="eastAsia" w:asciiTheme="majorEastAsia" w:hAnsiTheme="majorEastAsia" w:eastAsiaTheme="majorEastAsia"/>
          <w:color w:val="auto"/>
          <w:lang w:val="en-US" w:eastAsia="zh-CN"/>
        </w:rPr>
        <w:t>4.</w:t>
      </w:r>
      <w:r>
        <w:rPr>
          <w:rFonts w:hint="eastAsia" w:asciiTheme="majorEastAsia" w:hAnsiTheme="majorEastAsia" w:eastAsiaTheme="majorEastAsia"/>
          <w:color w:val="auto"/>
        </w:rPr>
        <w:t>付款方式</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设备货物配送、安装、调试完毕</w:t>
      </w:r>
      <w:r>
        <w:rPr>
          <w:rFonts w:hint="eastAsia" w:asciiTheme="majorEastAsia" w:hAnsiTheme="majorEastAsia" w:eastAsiaTheme="majorEastAsia"/>
          <w:color w:val="auto"/>
          <w:lang w:val="en-US" w:eastAsia="zh-CN"/>
        </w:rPr>
        <w:t>且</w:t>
      </w:r>
      <w:r>
        <w:rPr>
          <w:rFonts w:hint="eastAsia" w:asciiTheme="majorEastAsia" w:hAnsiTheme="majorEastAsia" w:eastAsiaTheme="majorEastAsia"/>
          <w:color w:val="auto"/>
        </w:rPr>
        <w:t>验收合格</w:t>
      </w:r>
      <w:r>
        <w:rPr>
          <w:rFonts w:hint="eastAsia" w:asciiTheme="majorEastAsia" w:hAnsiTheme="majorEastAsia" w:eastAsiaTheme="majorEastAsia"/>
          <w:color w:val="auto"/>
          <w:lang w:val="en-US" w:eastAsia="zh-CN"/>
        </w:rPr>
        <w:t>，</w:t>
      </w:r>
      <w:r>
        <w:rPr>
          <w:rFonts w:hint="eastAsia" w:asciiTheme="majorEastAsia" w:hAnsiTheme="majorEastAsia" w:eastAsiaTheme="majorEastAsia"/>
          <w:color w:val="auto"/>
        </w:rPr>
        <w:t>学校（或实际项目实施单位）使用测试无问题后甲方向乙方支付合同总价款9</w:t>
      </w:r>
      <w:r>
        <w:rPr>
          <w:rFonts w:hint="eastAsia" w:asciiTheme="majorEastAsia" w:hAnsiTheme="majorEastAsia" w:eastAsiaTheme="majorEastAsia"/>
          <w:color w:val="auto"/>
          <w:lang w:val="en-US" w:eastAsia="zh-CN"/>
        </w:rPr>
        <w:t>0</w:t>
      </w:r>
      <w:r>
        <w:rPr>
          <w:rFonts w:hint="eastAsia" w:asciiTheme="majorEastAsia" w:hAnsiTheme="majorEastAsia" w:eastAsiaTheme="majorEastAsia"/>
          <w:color w:val="auto"/>
        </w:rPr>
        <w:t>%，剩余合同金额</w:t>
      </w:r>
      <w:r>
        <w:rPr>
          <w:rFonts w:hint="eastAsia" w:asciiTheme="majorEastAsia" w:hAnsiTheme="majorEastAsia" w:eastAsiaTheme="majorEastAsia"/>
          <w:color w:val="auto"/>
          <w:lang w:val="en-US" w:eastAsia="zh-CN"/>
        </w:rPr>
        <w:t>10</w:t>
      </w:r>
      <w:r>
        <w:rPr>
          <w:rFonts w:hint="eastAsia" w:asciiTheme="majorEastAsia" w:hAnsiTheme="majorEastAsia" w:eastAsiaTheme="majorEastAsia"/>
          <w:color w:val="auto"/>
        </w:rPr>
        <w:t>%账款扣作质保金</w:t>
      </w: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设备自验收之日起</w:t>
      </w:r>
      <w:r>
        <w:rPr>
          <w:rFonts w:hint="eastAsia" w:asciiTheme="majorEastAsia" w:hAnsiTheme="majorEastAsia" w:eastAsiaTheme="majorEastAsia"/>
          <w:color w:val="auto"/>
          <w:lang w:val="en-US" w:eastAsia="zh-CN"/>
        </w:rPr>
        <w:t>1年</w:t>
      </w:r>
      <w:r>
        <w:rPr>
          <w:rFonts w:hint="eastAsia" w:asciiTheme="majorEastAsia" w:hAnsiTheme="majorEastAsia" w:eastAsiaTheme="majorEastAsia"/>
          <w:color w:val="auto"/>
        </w:rPr>
        <w:t>后</w:t>
      </w:r>
      <w:r>
        <w:rPr>
          <w:rFonts w:hint="eastAsia" w:asciiTheme="majorEastAsia" w:hAnsiTheme="majorEastAsia" w:eastAsiaTheme="majorEastAsia"/>
          <w:color w:val="auto"/>
          <w:lang w:val="en-US" w:eastAsia="zh-CN"/>
        </w:rPr>
        <w:t>即质保期结束后</w:t>
      </w:r>
      <w:r>
        <w:rPr>
          <w:rFonts w:hint="eastAsia" w:asciiTheme="majorEastAsia" w:hAnsiTheme="majorEastAsia" w:eastAsiaTheme="majorEastAsia"/>
          <w:color w:val="auto"/>
        </w:rPr>
        <w:t>无质量问题支付。</w:t>
      </w:r>
    </w:p>
    <w:p>
      <w:pPr>
        <w:pStyle w:val="2"/>
        <w:numPr>
          <w:ilvl w:val="0"/>
          <w:numId w:val="0"/>
        </w:numPr>
        <w:ind w:left="540" w:leftChars="0"/>
        <w:rPr>
          <w:rFonts w:asciiTheme="majorEastAsia" w:hAnsiTheme="majorEastAsia" w:eastAsiaTheme="majorEastAsia"/>
          <w:color w:val="auto"/>
        </w:rPr>
      </w:pPr>
    </w:p>
    <w:bookmarkEnd w:id="0"/>
    <w:bookmarkEnd w:id="1"/>
    <w:bookmarkEnd w:id="2"/>
    <w:p>
      <w:pPr>
        <w:rPr>
          <w:rFonts w:hint="eastAsia" w:cs="宋体" w:asciiTheme="majorEastAsia" w:hAnsiTheme="majorEastAsia" w:eastAsiaTheme="majorEastAsia"/>
          <w:color w:val="auto"/>
        </w:rPr>
      </w:pPr>
      <w:bookmarkStart w:id="89" w:name="_Toc2135"/>
      <w:bookmarkStart w:id="90" w:name="_Toc502304490"/>
      <w:bookmarkStart w:id="91" w:name="_Toc144974834"/>
      <w:bookmarkStart w:id="92" w:name="_Toc247085855"/>
      <w:bookmarkStart w:id="93" w:name="_Toc246997083"/>
      <w:bookmarkStart w:id="94" w:name="_Toc152045772"/>
      <w:bookmarkStart w:id="95" w:name="_Toc152042554"/>
      <w:bookmarkStart w:id="96" w:name="_Toc179632789"/>
      <w:bookmarkStart w:id="97" w:name="_Toc246996340"/>
      <w:r>
        <w:rPr>
          <w:rFonts w:hint="eastAsia" w:cs="宋体" w:asciiTheme="majorEastAsia" w:hAnsiTheme="majorEastAsia" w:eastAsiaTheme="majorEastAsia"/>
          <w:color w:val="auto"/>
        </w:rPr>
        <w:br w:type="page"/>
      </w:r>
    </w:p>
    <w:p>
      <w:pPr>
        <w:pStyle w:val="3"/>
        <w:autoSpaceDN w:val="0"/>
        <w:adjustRightInd w:val="0"/>
        <w:snapToGrid w:val="0"/>
        <w:spacing w:line="360" w:lineRule="auto"/>
        <w:jc w:val="center"/>
        <w:rPr>
          <w:rFonts w:cs="宋体" w:asciiTheme="majorEastAsia" w:hAnsiTheme="majorEastAsia" w:eastAsiaTheme="majorEastAsia"/>
          <w:color w:val="auto"/>
        </w:rPr>
      </w:pPr>
      <w:r>
        <w:rPr>
          <w:rFonts w:hint="eastAsia" w:cs="宋体" w:asciiTheme="majorEastAsia" w:hAnsiTheme="majorEastAsia" w:eastAsiaTheme="majorEastAsia"/>
          <w:color w:val="auto"/>
        </w:rPr>
        <w:t>第五部分 合同条款及格式</w:t>
      </w:r>
      <w:bookmarkEnd w:id="89"/>
      <w:bookmarkEnd w:id="90"/>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w:t>
      </w:r>
      <w:bookmarkEnd w:id="91"/>
      <w:bookmarkEnd w:id="92"/>
      <w:bookmarkEnd w:id="93"/>
      <w:bookmarkEnd w:id="94"/>
      <w:bookmarkEnd w:id="95"/>
      <w:bookmarkEnd w:id="96"/>
      <w:bookmarkEnd w:id="97"/>
      <w:bookmarkStart w:id="98" w:name="_Toc502304491"/>
    </w:p>
    <w:p>
      <w:pPr>
        <w:autoSpaceDN w:val="0"/>
        <w:adjustRightInd w:val="0"/>
        <w:snapToGrid w:val="0"/>
        <w:spacing w:line="360" w:lineRule="auto"/>
        <w:jc w:val="center"/>
        <w:rPr>
          <w:rFonts w:cs="宋体" w:asciiTheme="majorEastAsia" w:hAnsiTheme="majorEastAsia" w:eastAsiaTheme="majorEastAsia"/>
          <w:b/>
          <w:bCs/>
          <w:color w:val="auto"/>
          <w:sz w:val="32"/>
          <w:szCs w:val="32"/>
        </w:rPr>
      </w:pPr>
    </w:p>
    <w:p>
      <w:pPr>
        <w:autoSpaceDN w:val="0"/>
        <w:adjustRightInd w:val="0"/>
        <w:snapToGrid w:val="0"/>
        <w:spacing w:line="360" w:lineRule="auto"/>
        <w:jc w:val="center"/>
        <w:rPr>
          <w:rFonts w:cs="宋体" w:asciiTheme="majorEastAsia" w:hAnsiTheme="majorEastAsia" w:eastAsiaTheme="majorEastAsia"/>
          <w:b/>
          <w:bCs/>
          <w:color w:val="auto"/>
          <w:sz w:val="32"/>
          <w:szCs w:val="32"/>
        </w:rPr>
      </w:pPr>
    </w:p>
    <w:p>
      <w:pPr>
        <w:autoSpaceDN w:val="0"/>
        <w:adjustRightInd w:val="0"/>
        <w:snapToGrid w:val="0"/>
        <w:spacing w:line="360" w:lineRule="auto"/>
        <w:jc w:val="center"/>
        <w:rPr>
          <w:rFonts w:cs="宋体" w:asciiTheme="majorEastAsia" w:hAnsiTheme="majorEastAsia" w:eastAsiaTheme="majorEastAsia"/>
          <w:b/>
          <w:bCs/>
          <w:color w:val="auto"/>
          <w:sz w:val="32"/>
          <w:szCs w:val="32"/>
        </w:rPr>
      </w:pPr>
      <w:r>
        <w:rPr>
          <w:rFonts w:hint="eastAsia" w:cs="宋体" w:asciiTheme="majorEastAsia" w:hAnsiTheme="majorEastAsia" w:eastAsiaTheme="majorEastAsia"/>
          <w:b/>
          <w:bCs/>
          <w:color w:val="auto"/>
          <w:sz w:val="32"/>
          <w:szCs w:val="32"/>
        </w:rPr>
        <w:t>政府采购合同</w:t>
      </w:r>
    </w:p>
    <w:p>
      <w:pPr>
        <w:autoSpaceDN w:val="0"/>
        <w:adjustRightInd w:val="0"/>
        <w:snapToGrid w:val="0"/>
        <w:spacing w:line="360" w:lineRule="auto"/>
        <w:jc w:val="center"/>
        <w:rPr>
          <w:rFonts w:cs="宋体" w:asciiTheme="majorEastAsia" w:hAnsiTheme="majorEastAsia" w:eastAsiaTheme="majorEastAsia"/>
          <w:b/>
          <w:bCs/>
          <w:color w:val="auto"/>
          <w:szCs w:val="21"/>
        </w:rPr>
      </w:pPr>
    </w:p>
    <w:p>
      <w:pPr>
        <w:autoSpaceDN w:val="0"/>
        <w:adjustRightInd w:val="0"/>
        <w:snapToGrid w:val="0"/>
        <w:spacing w:line="360" w:lineRule="auto"/>
        <w:jc w:val="center"/>
        <w:rPr>
          <w:rFonts w:cs="宋体" w:asciiTheme="majorEastAsia" w:hAnsiTheme="majorEastAsia" w:eastAsiaTheme="majorEastAsia"/>
          <w:b/>
          <w:bCs/>
          <w:color w:val="auto"/>
          <w:szCs w:val="21"/>
        </w:rPr>
      </w:pPr>
    </w:p>
    <w:p>
      <w:pPr>
        <w:autoSpaceDN w:val="0"/>
        <w:adjustRightInd w:val="0"/>
        <w:snapToGrid w:val="0"/>
        <w:spacing w:line="360" w:lineRule="auto"/>
        <w:jc w:val="center"/>
        <w:rPr>
          <w:rFonts w:cs="宋体" w:asciiTheme="majorEastAsia" w:hAnsiTheme="majorEastAsia" w:eastAsiaTheme="majorEastAsia"/>
          <w:b/>
          <w:bCs/>
          <w:color w:val="auto"/>
          <w:szCs w:val="21"/>
        </w:rPr>
      </w:pPr>
    </w:p>
    <w:p>
      <w:pPr>
        <w:autoSpaceDN w:val="0"/>
        <w:adjustRightInd w:val="0"/>
        <w:snapToGrid w:val="0"/>
        <w:spacing w:line="360" w:lineRule="auto"/>
        <w:jc w:val="center"/>
        <w:rPr>
          <w:rFonts w:cs="宋体" w:asciiTheme="majorEastAsia" w:hAnsiTheme="majorEastAsia" w:eastAsiaTheme="majorEastAsia"/>
          <w:b/>
          <w:bCs/>
          <w:color w:val="auto"/>
          <w:szCs w:val="21"/>
        </w:rPr>
      </w:pPr>
    </w:p>
    <w:p>
      <w:pPr>
        <w:autoSpaceDN w:val="0"/>
        <w:adjustRightInd w:val="0"/>
        <w:snapToGrid w:val="0"/>
        <w:spacing w:line="360" w:lineRule="auto"/>
        <w:jc w:val="center"/>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pStyle w:val="21"/>
        <w:autoSpaceDN w:val="0"/>
        <w:adjustRightInd w:val="0"/>
        <w:snapToGrid w:val="0"/>
        <w:spacing w:line="360" w:lineRule="auto"/>
        <w:rPr>
          <w:rFonts w:cs="宋体" w:asciiTheme="majorEastAsia" w:hAnsiTheme="majorEastAsia" w:eastAsiaTheme="majorEastAsia"/>
          <w:b/>
          <w:bCs/>
          <w:color w:val="auto"/>
          <w:szCs w:val="21"/>
        </w:rPr>
      </w:pPr>
    </w:p>
    <w:p>
      <w:pPr>
        <w:autoSpaceDN w:val="0"/>
        <w:adjustRightInd w:val="0"/>
        <w:snapToGrid w:val="0"/>
        <w:spacing w:line="360" w:lineRule="auto"/>
        <w:ind w:firstLine="420" w:firstLineChars="200"/>
        <w:rPr>
          <w:rFonts w:cs="宋体" w:asciiTheme="majorEastAsia" w:hAnsiTheme="majorEastAsia" w:eastAsiaTheme="majorEastAsia"/>
          <w:color w:val="auto"/>
          <w:szCs w:val="21"/>
          <w:u w:val="single"/>
        </w:rPr>
      </w:pPr>
      <w:r>
        <w:rPr>
          <w:rFonts w:hint="eastAsia" w:cs="宋体" w:asciiTheme="majorEastAsia" w:hAnsiTheme="majorEastAsia" w:eastAsiaTheme="majorEastAsia"/>
          <w:color w:val="auto"/>
          <w:szCs w:val="21"/>
        </w:rPr>
        <w:t>采购人：</w:t>
      </w:r>
      <w:r>
        <w:rPr>
          <w:rFonts w:hint="eastAsia" w:cs="宋体" w:asciiTheme="majorEastAsia" w:hAnsiTheme="majorEastAsia" w:eastAsiaTheme="majorEastAsia"/>
          <w:color w:val="auto"/>
          <w:szCs w:val="21"/>
          <w:u w:val="single"/>
        </w:rPr>
        <w:t xml:space="preserve">                                       </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供应商：</w:t>
      </w:r>
      <w:r>
        <w:rPr>
          <w:rFonts w:hint="eastAsia" w:cs="宋体" w:asciiTheme="majorEastAsia" w:hAnsiTheme="majorEastAsia" w:eastAsiaTheme="majorEastAsia"/>
          <w:color w:val="auto"/>
          <w:szCs w:val="21"/>
          <w:u w:val="single"/>
        </w:rPr>
        <w:t xml:space="preserve">                                       </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ind w:left="2100"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签订时间：      年    月    日</w:t>
      </w:r>
    </w:p>
    <w:p>
      <w:pPr>
        <w:pStyle w:val="21"/>
        <w:autoSpaceDN w:val="0"/>
        <w:adjustRightInd w:val="0"/>
        <w:snapToGrid w:val="0"/>
        <w:spacing w:line="360" w:lineRule="auto"/>
        <w:rPr>
          <w:rFonts w:cs="宋体" w:asciiTheme="majorEastAsia" w:hAnsiTheme="majorEastAsia" w:eastAsiaTheme="majorEastAsia"/>
          <w:color w:val="auto"/>
          <w:szCs w:val="21"/>
        </w:rPr>
      </w:pPr>
    </w:p>
    <w:p>
      <w:pPr>
        <w:rPr>
          <w:rFonts w:hint="eastAsia"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br w:type="page"/>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甲方：</w:t>
      </w:r>
      <w:r>
        <w:rPr>
          <w:rFonts w:hint="eastAsia" w:cs="宋体" w:asciiTheme="majorEastAsia" w:hAnsiTheme="majorEastAsia" w:eastAsiaTheme="majorEastAsia"/>
          <w:bCs/>
          <w:color w:val="auto"/>
          <w:szCs w:val="21"/>
          <w:u w:val="single"/>
        </w:rPr>
        <w:t xml:space="preserve">                            </w:t>
      </w:r>
      <w:r>
        <w:rPr>
          <w:rFonts w:hint="eastAsia" w:cs="宋体" w:asciiTheme="majorEastAsia" w:hAnsiTheme="majorEastAsia" w:eastAsiaTheme="majorEastAsia"/>
          <w:bCs/>
          <w:color w:val="auto"/>
          <w:szCs w:val="21"/>
        </w:rPr>
        <w:t xml:space="preserve">  </w:t>
      </w:r>
    </w:p>
    <w:p>
      <w:pPr>
        <w:autoSpaceDN w:val="0"/>
        <w:adjustRightInd w:val="0"/>
        <w:snapToGrid w:val="0"/>
        <w:spacing w:line="360" w:lineRule="auto"/>
        <w:ind w:firstLine="420" w:firstLineChars="200"/>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乙方：</w:t>
      </w:r>
      <w:r>
        <w:rPr>
          <w:rFonts w:hint="eastAsia" w:cs="宋体" w:asciiTheme="majorEastAsia" w:hAnsiTheme="majorEastAsia" w:eastAsiaTheme="majorEastAsia"/>
          <w:bCs/>
          <w:color w:val="auto"/>
          <w:szCs w:val="21"/>
          <w:u w:val="single"/>
        </w:rPr>
        <w:t xml:space="preserve">                             </w:t>
      </w:r>
    </w:p>
    <w:p>
      <w:pPr>
        <w:autoSpaceDN w:val="0"/>
        <w:adjustRightInd w:val="0"/>
        <w:snapToGrid w:val="0"/>
        <w:spacing w:line="360" w:lineRule="auto"/>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项目经批准采用公开招标采购方式，确定将采购合同授予乙方。为进一步明确双方的责任，确保合同的顺利履行，根据《中华人民共和国</w:t>
      </w:r>
      <w:r>
        <w:rPr>
          <w:rFonts w:hint="eastAsia" w:cs="宋体" w:asciiTheme="majorEastAsia" w:hAnsiTheme="majorEastAsia" w:eastAsiaTheme="majorEastAsia"/>
          <w:bCs/>
          <w:color w:val="auto"/>
          <w:szCs w:val="21"/>
          <w:lang w:val="en-US" w:eastAsia="zh-CN"/>
        </w:rPr>
        <w:t>民典</w:t>
      </w:r>
      <w:r>
        <w:rPr>
          <w:rFonts w:hint="eastAsia" w:cs="宋体" w:asciiTheme="majorEastAsia" w:hAnsiTheme="majorEastAsia" w:eastAsiaTheme="majorEastAsia"/>
          <w:bCs/>
          <w:color w:val="auto"/>
          <w:szCs w:val="21"/>
        </w:rPr>
        <w:t>法》之规定，经甲乙双方充分协商，就乙方为</w:t>
      </w:r>
      <w:r>
        <w:rPr>
          <w:rFonts w:hint="eastAsia" w:cs="宋体" w:asciiTheme="majorEastAsia" w:hAnsiTheme="majorEastAsia" w:eastAsiaTheme="majorEastAsia"/>
          <w:bCs/>
          <w:color w:val="auto"/>
          <w:szCs w:val="21"/>
          <w:u w:val="single"/>
        </w:rPr>
        <w:t xml:space="preserve">                      </w:t>
      </w:r>
      <w:r>
        <w:rPr>
          <w:rFonts w:hint="eastAsia" w:cs="宋体" w:asciiTheme="majorEastAsia" w:hAnsiTheme="majorEastAsia" w:eastAsiaTheme="majorEastAsia"/>
          <w:bCs/>
          <w:color w:val="auto"/>
          <w:szCs w:val="21"/>
        </w:rPr>
        <w:t>项目达成如下合同，以便共同遵守。</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第一条  合同标的乙方根据甲方需求提供下列货物，货物名称、规格及数量，备件、易损件和专用工具等（详见《供货一览表》）。</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第二条  合同总金额</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大写：</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元。</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本合同项下货物总金额：￥</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元。</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分项价款在《供货一览表》中有明确规定。</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合同总价款包括货物、软件、标准附件、备品备件、专用工具、图纸资料、技术服务，包装、运输、装卸、保险、税金，货到就位以及安装、调试、培训、保修等验收合格之前和质保期内的售后服务一切税金和费用。</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本合同执行期间合同总价款不变。</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第三条  权利和质量保证</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1.乙方应保证甲方在使用该货物或其任何一部分时不受第三方提出侵犯其专利权、版权、商标权或其他权利的起诉。一旦出现侵权，索赔或诉讼，乙方应承担全部责任。</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2.乙方保证货物是全新的、未使用过的，完全符合国家规范及甲乙双方确认的投标文件、本合同关于货物数量、质量的要求。货物符合实行国家“三包”规定的，应执行“三包”规定。</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本项目质保期</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年，保修期</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年。</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3.乙方提交的货物应符合投标文件中所记载的详细配置、技术参数、参数及性能，并应附有此类货物完整、详细的技术资料和说明文件。</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乙方提交的货物必须按照招标采购文件的要求和中标人投标文件的承诺，以约定标准进行制造、安装；经政府采购管理部门批准采购的进口产品应执行原产地国家有关部门最新颁布的相应正式标准并提供国家商检、海关报关等手续。</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5.乙方应保证将货物按照国家或专业标准包装、确保货物安全无损运抵合同规定的交货地点，并进行安装、试运行。</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6、乙方保证货物不存在危及人身及财产安全的产品缺陷，否则应承担全部法律责任。</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第四条  付款方式</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1.本合同项下所有款项均以人民币支付。</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2.乙方向甲方提交下列文件材料，经甲方审核无误后支付采购资金：</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（1）经甲方确认的发票；</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（2）经甲乙双方确认签署的《验收报告》（或按项目进度阶段性《验收报告》）；</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（3）其他材料。</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3.款项的支付进度以招标采购文件的有关规定为准。如招标采购文件未作特别规定，则付款进度应符合如下约定：</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货到初验合格后支付至合同总价的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％，货到安装调试合格后支付至合同总价的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％，运行正常后支付至合同总价的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％，余款</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％作为质量保证金于货物或系统运行满</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月（年）后，并经甲乙双方复验合格后的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个工作日内付清。</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第五条  履约保证金</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1.乙方在签订本合同之日，向甲方提交合同履约保证金</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元</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（履约保证金的数额不得超过政府采购合同金额的2%）。</w:t>
      </w:r>
    </w:p>
    <w:p>
      <w:pPr>
        <w:autoSpaceDN w:val="0"/>
        <w:adjustRightInd w:val="0"/>
        <w:snapToGrid w:val="0"/>
        <w:spacing w:line="360" w:lineRule="auto"/>
        <w:ind w:firstLine="420" w:firstLineChars="200"/>
        <w:rPr>
          <w:rFonts w:cs="宋体" w:asciiTheme="majorEastAsia" w:hAnsiTheme="majorEastAsia" w:eastAsiaTheme="majorEastAsia"/>
          <w:strike/>
          <w:color w:val="auto"/>
          <w:szCs w:val="21"/>
        </w:rPr>
      </w:pPr>
      <w:r>
        <w:rPr>
          <w:rFonts w:hint="eastAsia" w:cs="宋体" w:asciiTheme="majorEastAsia" w:hAnsiTheme="majorEastAsia" w:eastAsiaTheme="majorEastAsia"/>
          <w:color w:val="auto"/>
          <w:szCs w:val="21"/>
        </w:rPr>
        <w:t>2.履约保证金有效期为甲乙双方最终验收后1个月内。到期后，甲方向乙方无息退还。</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3.如乙方未能履行、或未能完全履行合同规定的义务，甲方有权从履约保证金中取得补偿。履约保证金扣除甲方应得的补偿后的余额在合同期满后 </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天内无息退还乙方。</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第六条  交货和验收</w:t>
      </w:r>
    </w:p>
    <w:p>
      <w:pPr>
        <w:autoSpaceDN w:val="0"/>
        <w:adjustRightInd w:val="0"/>
        <w:snapToGrid w:val="0"/>
        <w:spacing w:line="360" w:lineRule="auto"/>
        <w:ind w:firstLine="420" w:firstLineChars="200"/>
        <w:rPr>
          <w:rFonts w:cs="宋体" w:asciiTheme="majorEastAsia" w:hAnsiTheme="majorEastAsia" w:eastAsiaTheme="majorEastAsia"/>
          <w:color w:val="auto"/>
          <w:szCs w:val="21"/>
          <w:u w:val="single"/>
        </w:rPr>
      </w:pPr>
      <w:r>
        <w:rPr>
          <w:rFonts w:hint="eastAsia" w:cs="宋体" w:asciiTheme="majorEastAsia" w:hAnsiTheme="majorEastAsia" w:eastAsiaTheme="majorEastAsia"/>
          <w:color w:val="auto"/>
          <w:szCs w:val="21"/>
        </w:rPr>
        <w:t xml:space="preserve">1.交货时间： </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w:t>
      </w:r>
    </w:p>
    <w:p>
      <w:p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交货地点： </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w:t>
      </w:r>
    </w:p>
    <w:p>
      <w:pPr>
        <w:autoSpaceDN w:val="0"/>
        <w:adjustRightInd w:val="0"/>
        <w:snapToGrid w:val="0"/>
        <w:spacing w:line="360" w:lineRule="auto"/>
        <w:ind w:firstLine="630" w:firstLineChars="3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安装调试时间： </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w:t>
      </w:r>
    </w:p>
    <w:p>
      <w:pPr>
        <w:pStyle w:val="12"/>
        <w:tabs>
          <w:tab w:val="left" w:pos="0"/>
        </w:tabs>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 乙方应对提供的货物作出全面自查和整理，并列出清单，作为甲方验收和使用的技术条件依据，清单应随提供的验收资料交给甲方。</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3.乙方提供的货物应包括本合同“第一条 合同文件”规定的全部货物及其附（辅）件、资料。</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4.甲方应当在到货后的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署《验收报告》。</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5.需要乙方对货物（包括软件）或系统进行安装调试的，甲乙双方应在货物安装调试完毕后的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a.重新调试直至合格为止；</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b.要求乙方对货物进行免费更换，然后重新调试直至合格为止。</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甲方因乙方原因所产生的所有费用均由乙方负担。</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6.验收合格的，由双方共同签署《验收报告》。</w:t>
      </w:r>
    </w:p>
    <w:p>
      <w:pPr>
        <w:autoSpaceDN w:val="0"/>
        <w:adjustRightInd w:val="0"/>
        <w:snapToGrid w:val="0"/>
        <w:spacing w:line="360" w:lineRule="auto"/>
        <w:ind w:firstLine="482"/>
        <w:textAlignment w:val="baseline"/>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7.甲方可以视项目规模或复杂情况聘请专业人员参与验收，大型或复杂项目，以及特种货物应当邀请国家认可的第三方质量检测机构参与验收。</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8.货物验收包括：货物包装是否完好，产地生产厂家名称、品牌、型号、规格、数量、外观质量、配置、内在质量，以及调试运行是否达到“第一条合同文件”规定的效果。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9.货物达不到本合同“第一条合同文件”规定的数量、质量要求和运行效果，甲方有权拒收，并可以解除合同；由此引起甲方损失及赔偿责任由乙方承担。</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10.如果合同双方对《验收报告》有分歧，双方须于出现分歧后</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天内给对方书面声明，以陈述己方的理由及要求，并附有关证据。分歧应通过协商解决。</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第七条  项目管理服务</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乙方应指定不少于一人全权全程负责本项目的商务服务，以及货物安装、调试、咨询、培训和售后等技术服务工作。</w:t>
      </w:r>
    </w:p>
    <w:p>
      <w:pPr>
        <w:autoSpaceDN w:val="0"/>
        <w:adjustRightInd w:val="0"/>
        <w:snapToGrid w:val="0"/>
        <w:spacing w:line="360" w:lineRule="auto"/>
        <w:ind w:firstLine="481"/>
        <w:textAlignment w:val="baseline"/>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项目负责人姓名： </w:t>
      </w:r>
      <w:r>
        <w:rPr>
          <w:rFonts w:hint="eastAsia" w:cs="宋体" w:asciiTheme="majorEastAsia" w:hAnsiTheme="majorEastAsia" w:eastAsiaTheme="majorEastAsia"/>
          <w:color w:val="auto"/>
          <w:szCs w:val="21"/>
          <w:u w:val="single" w:color="000000"/>
        </w:rPr>
        <w:t xml:space="preserve">              </w:t>
      </w:r>
      <w:r>
        <w:rPr>
          <w:rFonts w:hint="eastAsia" w:cs="宋体" w:asciiTheme="majorEastAsia" w:hAnsiTheme="majorEastAsia" w:eastAsiaTheme="majorEastAsia"/>
          <w:color w:val="auto"/>
          <w:szCs w:val="21"/>
        </w:rPr>
        <w:t>； 联系电话：</w:t>
      </w:r>
      <w:r>
        <w:rPr>
          <w:rFonts w:hint="eastAsia" w:cs="宋体" w:asciiTheme="majorEastAsia" w:hAnsiTheme="majorEastAsia" w:eastAsiaTheme="majorEastAsia"/>
          <w:color w:val="auto"/>
          <w:szCs w:val="21"/>
          <w:u w:val="single" w:color="000000"/>
        </w:rPr>
        <w:t xml:space="preserve">                      </w:t>
      </w:r>
      <w:r>
        <w:rPr>
          <w:rFonts w:hint="eastAsia" w:cs="宋体" w:asciiTheme="majorEastAsia" w:hAnsiTheme="majorEastAsia" w:eastAsiaTheme="majorEastAsia"/>
          <w:color w:val="auto"/>
          <w:szCs w:val="21"/>
        </w:rPr>
        <w:t>。</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第八条  售后服务</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1.质量保证期为自货物通过最终验收之日起</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个月。若国家有明确规定的质量保证期高于此质量保证期的，执行国家规定。</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2.在货物质保期内，乙方应对由于设计、工艺、质量（含环保节能要求）、材料和的缺陷而发生的任何不足或故障负责，并解决存在的问题。</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3.对不符合本合同第四条规定要求的货物应立即进行调换，调换本身并不影响甲方就其损失向乙方索赔的权利。</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4.货物安装调试完成后，乙方应继续向甲方提供良好的技术支持。应当由专门队伍从事此项工作，并提供全天候的热线技术支持服务，应当对甲方所反映的任何问题在</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日（小时）之内做出及时响应，在</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日（小时）之内赶到现场实地解决问题。若问题、故障在检修</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工作日（小时）后仍无法解决，乙方应在</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日（小时）内免费提供不低于故障货物规格型号档次的备用货物供甲方使用，直至故障货物修复。</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5.乙方应当建立健全售后服务体系，确保货物正常运行。乙方应当遵守甲方的有关管理制度、操作规程。对于乙方违规操作造成甲方损失的，由乙方按照本合同第十二条的约定承担赔偿责任。</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6.乙方应负责货物及主要部件、配件维修更换。质保期内，乙方对货物（人为故意损坏除外）提供全免费保修或免费更换；质保期后，收取维修成本费（备品备件乙方应以投标文件承诺的优惠价格提供）。</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第九条  分包</w:t>
      </w:r>
    </w:p>
    <w:p>
      <w:pPr>
        <w:autoSpaceDN w:val="0"/>
        <w:adjustRightInd w:val="0"/>
        <w:snapToGrid w:val="0"/>
        <w:spacing w:line="360" w:lineRule="auto"/>
        <w:ind w:firstLine="420" w:firstLineChars="200"/>
        <w:rPr>
          <w:rFonts w:cs="宋体" w:asciiTheme="majorEastAsia" w:hAnsiTheme="majorEastAsia" w:eastAsiaTheme="majorEastAsia"/>
          <w:strike/>
          <w:color w:val="auto"/>
          <w:szCs w:val="21"/>
        </w:rPr>
      </w:pPr>
      <w:r>
        <w:rPr>
          <w:rFonts w:hint="eastAsia" w:cs="宋体" w:asciiTheme="majorEastAsia" w:hAnsiTheme="majorEastAsia" w:eastAsiaTheme="majorEastAsia"/>
          <w:color w:val="auto"/>
          <w:szCs w:val="21"/>
        </w:rPr>
        <w:t>除招标采购文件事先说明、且经甲方事先书面同意外，乙方不得分包其应履行的合同义务。</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第十条  合同的生效</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1.本合同经甲乙双方授权代表签订并加盖公章或合同专用章后生效。</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2.生效后，除《政府采购法》第49条、第50条第二款规定的情形外，甲乙双方不得擅自变更、中止或终止合同。</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第十一条  违约责任</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1.乙方所交付的货物不符合本合同规定的，甲方有权拒收，乙方在得到甲方通知之日起</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个工作日内采取补救措施，逾期仍未采取有效措施的，甲方有权要求乙方赔偿因此造成的损失或扣留履约保证金；同时乙方应向甲方支付合同总价</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％的违约金。</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2.甲方无正当理由拒收货物、拒付货款的，甲方应向乙方偿付拒付货款</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％的违约金。</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3.乙方无正当理由逾期交付货物的，每逾期1天，乙方向甲方偿付逾期交货部分货款总额的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‰的违约金。如乙方逾期交货达</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天，甲方有权解除合同，甲方解除合同的通知自到达乙方时生效。在此情况下，乙方给甲方造成的实际损失高于违约金的，对高出违约金的部分乙方应予以赔偿。</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4.甲方未按合同规定的期限向乙方支付货款的，每逾期1天甲方向乙方偿付欠款总额的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‰违约金，但累计违约金总额不超过欠款总额的</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5.在乙方承诺的或国家规定的质量保证期内（取两者中最长的期限），如经乙方两次维修，货物仍不能达到合同约定的质量标准、运行效果的，甲方有权要求乙方更换为全新合格货物并按本条第1款处理，同时，乙方还须赔偿甲方因此遭受的损失。</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6.其它未尽事宜，以《合同法》和《政府采购法》等有关法律法规规定为准，无相关规定的，双方协商解决。</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第十二条  不可抗力</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甲、乙方中任何一方，因不可抗力不能按时或完全履行合同的，应及时通知对方，并在</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个工作日内提供相应证明。未履行完合同部分是否继续履行、如何履行等问题，可由双方初步协商，并向主管部门和政府采购管理部门报告。确定为不可抗力原因造成的损失，免予承担责任。</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第十三条  争议的解决方式</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1.因货物的质量问题发生争议的，应当邀请国家认可的质量检测机构对货物质量进行鉴定。货物符合标准的，鉴定费由甲方承担；货物不符合质量标准的，鉴定费由乙方承担。</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2.在解释或者执行本合同的过程中发生争议时，双方应通过协商方式解决。</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3.经协商不能解决的争议，双方可选择以下第</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种方式解决：</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①向长春市有管辖权的法院提起诉讼；</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②向长春市仲裁委员会提出仲裁。</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4.在法院审理和仲裁期间，除有争议部分外，本合同其他部分可以履行的仍应按合同条款继续履行。</w:t>
      </w:r>
    </w:p>
    <w:p>
      <w:pPr>
        <w:autoSpaceDN w:val="0"/>
        <w:adjustRightInd w:val="0"/>
        <w:snapToGrid w:val="0"/>
        <w:spacing w:line="360" w:lineRule="auto"/>
        <w:ind w:left="482"/>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第十五条  其他</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符合《政府采购法》第49条规定的，经双方协商，办理政府采购手续后，可签订补充合同，所签订的补充合同与本合同具有同等法律效力。</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本合同一式</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份，甲、乙双方各执</w:t>
      </w:r>
      <w:r>
        <w:rPr>
          <w:rFonts w:hint="eastAsia" w:cs="宋体" w:asciiTheme="majorEastAsia" w:hAnsiTheme="majorEastAsia" w:eastAsiaTheme="majorEastAsia"/>
          <w:color w:val="auto"/>
          <w:szCs w:val="21"/>
          <w:u w:val="single"/>
        </w:rPr>
        <w:t xml:space="preserve">    </w:t>
      </w:r>
      <w:r>
        <w:rPr>
          <w:rFonts w:hint="eastAsia" w:cs="宋体" w:asciiTheme="majorEastAsia" w:hAnsiTheme="majorEastAsia" w:eastAsiaTheme="majorEastAsia"/>
          <w:color w:val="auto"/>
          <w:szCs w:val="21"/>
        </w:rPr>
        <w:t>份。</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p>
    <w:p>
      <w:pPr>
        <w:pStyle w:val="21"/>
        <w:autoSpaceDN w:val="0"/>
        <w:spacing w:line="360" w:lineRule="auto"/>
        <w:rPr>
          <w:rFonts w:cs="宋体" w:asciiTheme="majorEastAsia" w:hAnsiTheme="majorEastAsia" w:eastAsiaTheme="majorEastAsia"/>
          <w:color w:val="auto"/>
          <w:szCs w:val="21"/>
        </w:rPr>
      </w:pPr>
    </w:p>
    <w:p>
      <w:pPr>
        <w:pStyle w:val="21"/>
        <w:autoSpaceDN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   方：                        乙   方：</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名称：（盖章）                    名称：（盖章）</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地址：                           地址：</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法定代表人（签字）：              法定代表人（签字）：</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授权代表（签字）：                授权代表（签字）：</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开户银行：                       开户银行：</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银行</w:t>
      </w:r>
      <w:r>
        <w:rPr>
          <w:rFonts w:hint="eastAsia" w:cs="宋体" w:asciiTheme="majorEastAsia" w:hAnsiTheme="majorEastAsia" w:eastAsiaTheme="majorEastAsia"/>
          <w:color w:val="auto"/>
          <w:szCs w:val="21"/>
          <w:lang w:eastAsia="zh-CN"/>
        </w:rPr>
        <w:t>账</w:t>
      </w:r>
      <w:r>
        <w:rPr>
          <w:rFonts w:hint="eastAsia" w:cs="宋体" w:asciiTheme="majorEastAsia" w:hAnsiTheme="majorEastAsia" w:eastAsiaTheme="majorEastAsia"/>
          <w:color w:val="auto"/>
          <w:szCs w:val="21"/>
        </w:rPr>
        <w:t>号：                       银行</w:t>
      </w:r>
      <w:r>
        <w:rPr>
          <w:rFonts w:hint="eastAsia" w:cs="宋体" w:asciiTheme="majorEastAsia" w:hAnsiTheme="majorEastAsia" w:eastAsiaTheme="majorEastAsia"/>
          <w:color w:val="auto"/>
          <w:szCs w:val="21"/>
          <w:lang w:eastAsia="zh-CN"/>
        </w:rPr>
        <w:t>账</w:t>
      </w:r>
      <w:r>
        <w:rPr>
          <w:rFonts w:hint="eastAsia" w:cs="宋体" w:asciiTheme="majorEastAsia" w:hAnsiTheme="majorEastAsia" w:eastAsiaTheme="majorEastAsia"/>
          <w:color w:val="auto"/>
          <w:szCs w:val="21"/>
        </w:rPr>
        <w:t>号：</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合同法律审核（盖章）：</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时  间：         年     月     日</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bookmarkStart w:id="99" w:name="_Toc310580633"/>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特别说明：</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1.本范本根据《政府采购法》、《合同法》等法律法规制定。具体项目的采购合同条款，在本范本框架内由甲乙双方协商一致签订。空格处划横线。</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2.收款单位名称应与本合同乙方单位名称、项目中标单位名称、开具发票单位名称相一致。</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3.甲方（采购单位）应盖本单位公章（不允许盖内设科室章），乙方应盖单位公章或合同专用章，合同双方应盖骑缝章。</w:t>
      </w:r>
    </w:p>
    <w:p>
      <w:pPr>
        <w:autoSpaceDN w:val="0"/>
        <w:adjustRightInd w:val="0"/>
        <w:snapToGrid w:val="0"/>
        <w:spacing w:line="360" w:lineRule="auto"/>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4. 除涉密项目外，根据《政府采购法实施条例》第50条规定：采购人应当自政府采购合同签订之日起2个工作日内，将政府采购合同在省级以上人民政府财政部门指定的媒体上公告。</w:t>
      </w:r>
    </w:p>
    <w:bookmarkEnd w:id="99"/>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asciiTheme="majorEastAsia" w:hAnsiTheme="majorEastAsia" w:eastAsiaTheme="majorEastAsia"/>
          <w:color w:val="auto"/>
          <w:sz w:val="32"/>
          <w:szCs w:val="32"/>
        </w:rPr>
      </w:pPr>
    </w:p>
    <w:p>
      <w:pPr>
        <w:autoSpaceDN w:val="0"/>
        <w:adjustRightInd w:val="0"/>
        <w:snapToGrid w:val="0"/>
        <w:spacing w:line="360" w:lineRule="auto"/>
        <w:rPr>
          <w:rFonts w:asciiTheme="majorEastAsia" w:hAnsiTheme="majorEastAsia" w:eastAsiaTheme="majorEastAsia"/>
          <w:color w:val="auto"/>
          <w:sz w:val="32"/>
          <w:szCs w:val="32"/>
        </w:rPr>
      </w:pPr>
    </w:p>
    <w:p>
      <w:pPr>
        <w:pStyle w:val="2"/>
        <w:numPr>
          <w:ilvl w:val="0"/>
          <w:numId w:val="0"/>
        </w:numPr>
        <w:rPr>
          <w:rFonts w:asciiTheme="majorEastAsia" w:hAnsiTheme="majorEastAsia" w:eastAsiaTheme="majorEastAsia"/>
          <w:color w:val="auto"/>
          <w:sz w:val="32"/>
          <w:szCs w:val="32"/>
        </w:rPr>
      </w:pPr>
    </w:p>
    <w:p>
      <w:pPr>
        <w:pStyle w:val="2"/>
        <w:numPr>
          <w:ilvl w:val="0"/>
          <w:numId w:val="0"/>
        </w:numPr>
        <w:rPr>
          <w:rFonts w:asciiTheme="majorEastAsia" w:hAnsiTheme="majorEastAsia" w:eastAsiaTheme="majorEastAsia"/>
          <w:color w:val="auto"/>
          <w:sz w:val="32"/>
          <w:szCs w:val="32"/>
        </w:rPr>
      </w:pPr>
    </w:p>
    <w:p>
      <w:pPr>
        <w:autoSpaceDN w:val="0"/>
        <w:adjustRightInd w:val="0"/>
        <w:snapToGrid w:val="0"/>
        <w:spacing w:line="360" w:lineRule="auto"/>
        <w:rPr>
          <w:rFonts w:asciiTheme="majorEastAsia" w:hAnsiTheme="majorEastAsia" w:eastAsiaTheme="majorEastAsia"/>
          <w:color w:val="auto"/>
          <w:sz w:val="32"/>
          <w:szCs w:val="32"/>
        </w:rPr>
      </w:pPr>
    </w:p>
    <w:p>
      <w:pPr>
        <w:autoSpaceDN w:val="0"/>
        <w:adjustRightInd w:val="0"/>
        <w:snapToGrid w:val="0"/>
        <w:spacing w:line="360" w:lineRule="auto"/>
        <w:rPr>
          <w:rFonts w:cs="宋体" w:asciiTheme="majorEastAsia" w:hAnsiTheme="majorEastAsia" w:eastAsiaTheme="majorEastAsia"/>
          <w:b/>
          <w:bCs/>
          <w:color w:val="auto"/>
          <w:szCs w:val="21"/>
        </w:rPr>
      </w:pPr>
      <w:r>
        <w:rPr>
          <w:rFonts w:hint="eastAsia" w:cs="宋体" w:asciiTheme="majorEastAsia" w:hAnsiTheme="majorEastAsia" w:eastAsiaTheme="majorEastAsia"/>
          <w:b/>
          <w:bCs/>
          <w:color w:val="auto"/>
          <w:szCs w:val="21"/>
        </w:rPr>
        <w:t>附件</w:t>
      </w:r>
    </w:p>
    <w:p>
      <w:pPr>
        <w:autoSpaceDN w:val="0"/>
        <w:adjustRightInd w:val="0"/>
        <w:snapToGrid w:val="0"/>
        <w:spacing w:line="360" w:lineRule="auto"/>
        <w:jc w:val="center"/>
        <w:rPr>
          <w:rFonts w:cs="宋体" w:asciiTheme="majorEastAsia" w:hAnsiTheme="majorEastAsia" w:eastAsiaTheme="majorEastAsia"/>
          <w:b/>
          <w:bCs/>
          <w:color w:val="auto"/>
          <w:sz w:val="32"/>
          <w:szCs w:val="32"/>
        </w:rPr>
      </w:pPr>
      <w:r>
        <w:rPr>
          <w:rFonts w:hint="eastAsia" w:cs="宋体" w:asciiTheme="majorEastAsia" w:hAnsiTheme="majorEastAsia" w:eastAsiaTheme="majorEastAsia"/>
          <w:b/>
          <w:bCs/>
          <w:color w:val="auto"/>
          <w:sz w:val="32"/>
          <w:szCs w:val="32"/>
        </w:rPr>
        <w:t>供货明细项目一览表</w:t>
      </w:r>
    </w:p>
    <w:p>
      <w:pPr>
        <w:autoSpaceDN w:val="0"/>
        <w:adjustRightInd w:val="0"/>
        <w:snapToGrid w:val="0"/>
        <w:spacing w:line="360" w:lineRule="auto"/>
        <w:ind w:firstLine="315" w:firstLineChars="150"/>
        <w:jc w:val="center"/>
        <w:rPr>
          <w:rFonts w:cs="宋体" w:asciiTheme="majorEastAsia" w:hAnsiTheme="majorEastAsia" w:eastAsiaTheme="majorEastAsia"/>
          <w:color w:val="auto"/>
          <w:szCs w:val="21"/>
        </w:rPr>
      </w:pPr>
    </w:p>
    <w:tbl>
      <w:tblPr>
        <w:tblStyle w:val="23"/>
        <w:tblW w:w="99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87"/>
        <w:gridCol w:w="3063"/>
        <w:gridCol w:w="548"/>
        <w:gridCol w:w="548"/>
        <w:gridCol w:w="986"/>
        <w:gridCol w:w="1043"/>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序号</w:t>
            </w:r>
          </w:p>
        </w:tc>
        <w:tc>
          <w:tcPr>
            <w:tcW w:w="1487"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货物名称</w:t>
            </w:r>
          </w:p>
        </w:tc>
        <w:tc>
          <w:tcPr>
            <w:tcW w:w="3063"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品牌型号规格及</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主要技术参数</w:t>
            </w:r>
          </w:p>
        </w:tc>
        <w:tc>
          <w:tcPr>
            <w:tcW w:w="548"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计量单 </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位</w:t>
            </w:r>
          </w:p>
        </w:tc>
        <w:tc>
          <w:tcPr>
            <w:tcW w:w="548"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数 </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量</w:t>
            </w:r>
          </w:p>
        </w:tc>
        <w:tc>
          <w:tcPr>
            <w:tcW w:w="986"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单 价</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（元）</w:t>
            </w:r>
          </w:p>
        </w:tc>
        <w:tc>
          <w:tcPr>
            <w:tcW w:w="1043"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总 价</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（元）</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产地生产</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厂商名称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（视明细项目加行）</w:t>
            </w: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备品备件</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易损件</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专用工具价</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安装调试费</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运输至最终目的运费及保险费等</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技术服务费（含培训等）费</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其他</w:t>
            </w:r>
          </w:p>
        </w:tc>
        <w:tc>
          <w:tcPr>
            <w:tcW w:w="104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911" w:type="dxa"/>
            <w:gridSpan w:val="8"/>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大写：                                                合同价：                 元</w:t>
            </w:r>
          </w:p>
        </w:tc>
      </w:tr>
    </w:tbl>
    <w:p>
      <w:pPr>
        <w:autoSpaceDN w:val="0"/>
        <w:adjustRightInd w:val="0"/>
        <w:snapToGrid w:val="0"/>
        <w:spacing w:line="360" w:lineRule="auto"/>
        <w:jc w:val="center"/>
        <w:rPr>
          <w:rFonts w:asciiTheme="majorEastAsia" w:hAnsiTheme="majorEastAsia" w:eastAsiaTheme="majorEastAsia"/>
          <w:color w:val="auto"/>
          <w:sz w:val="44"/>
          <w:szCs w:val="44"/>
        </w:rPr>
      </w:pPr>
    </w:p>
    <w:p>
      <w:pPr>
        <w:autoSpaceDN w:val="0"/>
        <w:adjustRightInd w:val="0"/>
        <w:snapToGrid w:val="0"/>
        <w:spacing w:line="360" w:lineRule="auto"/>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货物类项目验收报告</w:t>
      </w:r>
    </w:p>
    <w:p>
      <w:pPr>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（本样式适用于简单安装或无须安装即可使用的政府采购货物项目）</w:t>
      </w:r>
    </w:p>
    <w:p>
      <w:pPr>
        <w:autoSpaceDN w:val="0"/>
        <w:adjustRightInd w:val="0"/>
        <w:snapToGrid w:val="0"/>
        <w:spacing w:line="360" w:lineRule="auto"/>
        <w:rPr>
          <w:rFonts w:asciiTheme="majorEastAsia" w:hAnsiTheme="majorEastAsia" w:eastAsiaTheme="majorEastAsia"/>
          <w:color w:val="auto"/>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254"/>
        <w:gridCol w:w="44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720" w:type="dxa"/>
            <w:gridSpan w:val="2"/>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25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到货时间         年    月    日</w:t>
            </w:r>
          </w:p>
        </w:tc>
        <w:tc>
          <w:tcPr>
            <w:tcW w:w="446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开箱验货时间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开箱随机资料  1.出厂合格证（  ）份       2.技术说明书（  ）份</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3.使用说明书（  ）份       4.电子文件  （  ）份</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5.装箱单    （  ）份       6.其他      （  ）份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2"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甲方意见（对货物数量、质量、安全等乙方履约情况的</w:t>
            </w:r>
            <w:r>
              <w:rPr>
                <w:rFonts w:hint="eastAsia" w:cs="宋体" w:asciiTheme="majorEastAsia" w:hAnsiTheme="majorEastAsia" w:eastAsiaTheme="majorEastAsia"/>
                <w:b/>
                <w:bCs/>
                <w:color w:val="auto"/>
                <w:szCs w:val="21"/>
              </w:rPr>
              <w:t>逐项</w:t>
            </w:r>
            <w:r>
              <w:rPr>
                <w:rFonts w:hint="eastAsia" w:cs="宋体" w:asciiTheme="majorEastAsia" w:hAnsiTheme="majorEastAsia" w:eastAsiaTheme="majorEastAsia"/>
                <w:color w:val="auto"/>
                <w:szCs w:val="21"/>
              </w:rPr>
              <w:t>评价，存在问题及解决问题的要求等）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3"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乙方针对存在问题及解决问题的采取措施的承诺：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9" w:hRule="atLeast"/>
          <w:jc w:val="center"/>
        </w:trPr>
        <w:tc>
          <w:tcPr>
            <w:tcW w:w="4254"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甲方名称（盖章）：</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甲方代表签字：</w:t>
            </w:r>
          </w:p>
          <w:p>
            <w:pPr>
              <w:autoSpaceDN w:val="0"/>
              <w:adjustRightInd w:val="0"/>
              <w:snapToGrid w:val="0"/>
              <w:spacing w:line="360" w:lineRule="auto"/>
              <w:rPr>
                <w:rFonts w:cs="宋体" w:asciiTheme="majorEastAsia" w:hAnsiTheme="majorEastAsia" w:eastAsiaTheme="majorEastAsia"/>
                <w:color w:val="auto"/>
                <w:szCs w:val="21"/>
              </w:rPr>
            </w:pPr>
          </w:p>
          <w:p>
            <w:pPr>
              <w:wordWrap w:val="0"/>
              <w:autoSpaceDN w:val="0"/>
              <w:adjustRightInd w:val="0"/>
              <w:snapToGrid w:val="0"/>
              <w:spacing w:line="360" w:lineRule="auto"/>
              <w:jc w:val="right"/>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年   月   日</w:t>
            </w:r>
          </w:p>
        </w:tc>
        <w:tc>
          <w:tcPr>
            <w:tcW w:w="4466"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乙方名称（盖章）：</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乙方代表签字：</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jc w:val="right"/>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年   月   日</w:t>
            </w:r>
          </w:p>
        </w:tc>
      </w:tr>
    </w:tbl>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说明：本报告一式两份，甲、乙方各</w:t>
      </w:r>
      <w:r>
        <w:rPr>
          <w:rFonts w:hint="eastAsia" w:asciiTheme="majorEastAsia" w:hAnsiTheme="majorEastAsia" w:eastAsiaTheme="majorEastAsia"/>
          <w:color w:val="auto"/>
          <w:szCs w:val="21"/>
          <w:u w:val="single"/>
        </w:rPr>
        <w:t xml:space="preserve">    </w:t>
      </w:r>
      <w:r>
        <w:rPr>
          <w:rFonts w:hint="eastAsia" w:asciiTheme="majorEastAsia" w:hAnsiTheme="majorEastAsia" w:eastAsiaTheme="majorEastAsia"/>
          <w:color w:val="auto"/>
          <w:szCs w:val="21"/>
        </w:rPr>
        <w:t>份，内容较多的可另附详细验收报告。</w:t>
      </w:r>
    </w:p>
    <w:p>
      <w:pPr>
        <w:autoSpaceDN w:val="0"/>
        <w:adjustRightInd w:val="0"/>
        <w:snapToGrid w:val="0"/>
        <w:spacing w:line="360" w:lineRule="auto"/>
        <w:jc w:val="center"/>
        <w:rPr>
          <w:rFonts w:asciiTheme="majorEastAsia" w:hAnsiTheme="majorEastAsia" w:eastAsiaTheme="majorEastAsia"/>
          <w:color w:val="auto"/>
          <w:sz w:val="44"/>
          <w:szCs w:val="44"/>
        </w:rPr>
      </w:pPr>
    </w:p>
    <w:p>
      <w:pPr>
        <w:autoSpaceDN w:val="0"/>
        <w:adjustRightInd w:val="0"/>
        <w:snapToGrid w:val="0"/>
        <w:spacing w:line="360" w:lineRule="auto"/>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货物类项目验收报告</w:t>
      </w:r>
    </w:p>
    <w:p>
      <w:pPr>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（本样式适用于需安装试运行方可验收的政府采购货物项目）</w:t>
      </w:r>
    </w:p>
    <w:p>
      <w:pPr>
        <w:autoSpaceDN w:val="0"/>
        <w:adjustRightInd w:val="0"/>
        <w:snapToGrid w:val="0"/>
        <w:spacing w:line="360" w:lineRule="auto"/>
        <w:rPr>
          <w:rFonts w:asciiTheme="majorEastAsia" w:hAnsiTheme="majorEastAsia" w:eastAsiaTheme="majorEastAsia"/>
          <w:color w:val="auto"/>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394"/>
        <w:gridCol w:w="4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720" w:type="dxa"/>
            <w:gridSpan w:val="2"/>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39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到货时间           年    月    日</w:t>
            </w:r>
          </w:p>
        </w:tc>
        <w:tc>
          <w:tcPr>
            <w:tcW w:w="432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初验时间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39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中验时间           年    月    日</w:t>
            </w:r>
          </w:p>
        </w:tc>
        <w:tc>
          <w:tcPr>
            <w:tcW w:w="432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终验时间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开箱随机资料  1.出厂合格证（  ）份       2.技术说明书（  ）份</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3.使用说明书（  ）份       4.电子文件  （  ）份</w:t>
            </w: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              5.装箱单    （  ）份       6.其他      （  ）份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8"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甲方意见（对货物数量、质量、安装、运行、安全等履约情况的逐项评价，存在问题及解决问题的要求等）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8720" w:type="dxa"/>
            <w:gridSpan w:val="2"/>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乙方针对存在问题及解决问题的采取措施的承诺：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7" w:hRule="atLeast"/>
          <w:jc w:val="center"/>
        </w:trPr>
        <w:tc>
          <w:tcPr>
            <w:tcW w:w="4394"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甲方名称（盖章）：</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甲方代表签字：</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wordWrap w:val="0"/>
              <w:autoSpaceDN w:val="0"/>
              <w:adjustRightInd w:val="0"/>
              <w:snapToGrid w:val="0"/>
              <w:spacing w:line="360" w:lineRule="auto"/>
              <w:jc w:val="right"/>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年   月   日</w:t>
            </w:r>
          </w:p>
        </w:tc>
        <w:tc>
          <w:tcPr>
            <w:tcW w:w="4326"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乙方名称（盖章）：</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乙方代表签字：</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jc w:val="right"/>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年   月   日</w:t>
            </w:r>
          </w:p>
        </w:tc>
      </w:tr>
    </w:tbl>
    <w:p>
      <w:pPr>
        <w:autoSpaceDN w:val="0"/>
        <w:adjustRightInd w:val="0"/>
        <w:snapToGrid w:val="0"/>
        <w:spacing w:line="360" w:lineRule="auto"/>
        <w:rPr>
          <w:rFonts w:asciiTheme="majorEastAsia" w:hAnsiTheme="majorEastAsia" w:eastAsiaTheme="majorEastAsia"/>
          <w:color w:val="auto"/>
          <w:szCs w:val="21"/>
        </w:rPr>
      </w:pPr>
      <w:r>
        <w:rPr>
          <w:rFonts w:hint="eastAsia" w:asciiTheme="majorEastAsia" w:hAnsiTheme="majorEastAsia" w:eastAsiaTheme="majorEastAsia"/>
          <w:color w:val="auto"/>
          <w:szCs w:val="21"/>
        </w:rPr>
        <w:t>说明：1.验收时使用的逐项评价清单，可参照合同范本的《供货明细项目一览表》；</w:t>
      </w:r>
    </w:p>
    <w:p>
      <w:pPr>
        <w:autoSpaceDN w:val="0"/>
        <w:adjustRightInd w:val="0"/>
        <w:snapToGrid w:val="0"/>
        <w:spacing w:line="360" w:lineRule="auto"/>
        <w:ind w:firstLine="630" w:firstLineChars="300"/>
        <w:rPr>
          <w:rFonts w:asciiTheme="majorEastAsia" w:hAnsiTheme="majorEastAsia" w:eastAsiaTheme="majorEastAsia"/>
          <w:color w:val="auto"/>
          <w:szCs w:val="21"/>
        </w:rPr>
      </w:pPr>
      <w:r>
        <w:rPr>
          <w:rFonts w:hint="eastAsia" w:asciiTheme="majorEastAsia" w:hAnsiTheme="majorEastAsia" w:eastAsiaTheme="majorEastAsia"/>
          <w:color w:val="auto"/>
          <w:szCs w:val="21"/>
        </w:rPr>
        <w:t>2.本报告一式两份，甲、乙方各</w:t>
      </w:r>
      <w:r>
        <w:rPr>
          <w:rFonts w:hint="eastAsia" w:asciiTheme="majorEastAsia" w:hAnsiTheme="majorEastAsia" w:eastAsiaTheme="majorEastAsia"/>
          <w:color w:val="auto"/>
          <w:szCs w:val="21"/>
          <w:u w:val="single"/>
        </w:rPr>
        <w:t xml:space="preserve">    </w:t>
      </w:r>
      <w:r>
        <w:rPr>
          <w:rFonts w:hint="eastAsia" w:asciiTheme="majorEastAsia" w:hAnsiTheme="majorEastAsia" w:eastAsiaTheme="majorEastAsia"/>
          <w:color w:val="auto"/>
          <w:szCs w:val="21"/>
        </w:rPr>
        <w:t>份，内容较多的可另附详细验收报告。</w:t>
      </w:r>
    </w:p>
    <w:p>
      <w:pPr>
        <w:widowControl/>
        <w:spacing w:line="360" w:lineRule="auto"/>
        <w:jc w:val="left"/>
        <w:rPr>
          <w:rFonts w:cs="宋体" w:asciiTheme="majorEastAsia" w:hAnsiTheme="majorEastAsia" w:eastAsiaTheme="majorEastAsia"/>
          <w:color w:val="auto"/>
          <w:kern w:val="0"/>
          <w:sz w:val="24"/>
        </w:rPr>
        <w:sectPr>
          <w:pgSz w:w="11906" w:h="16838"/>
          <w:pgMar w:top="1418" w:right="1418" w:bottom="1418" w:left="1701" w:header="851" w:footer="851" w:gutter="0"/>
          <w:cols w:space="720" w:num="1"/>
          <w:docGrid w:linePitch="312" w:charSpace="0"/>
        </w:sectPr>
      </w:pPr>
    </w:p>
    <w:p>
      <w:pPr>
        <w:autoSpaceDN w:val="0"/>
        <w:adjustRightInd w:val="0"/>
        <w:snapToGrid w:val="0"/>
        <w:spacing w:line="360" w:lineRule="auto"/>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p>
    <w:p>
      <w:pPr>
        <w:autoSpaceDN w:val="0"/>
        <w:adjustRightInd w:val="0"/>
        <w:snapToGrid w:val="0"/>
        <w:spacing w:line="360" w:lineRule="auto"/>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货物项目验收明细一览表</w:t>
      </w:r>
    </w:p>
    <w:tbl>
      <w:tblPr>
        <w:tblStyle w:val="23"/>
        <w:tblW w:w="134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87"/>
        <w:gridCol w:w="3063"/>
        <w:gridCol w:w="548"/>
        <w:gridCol w:w="548"/>
        <w:gridCol w:w="986"/>
        <w:gridCol w:w="1440"/>
        <w:gridCol w:w="908"/>
        <w:gridCol w:w="1041"/>
        <w:gridCol w:w="2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序号</w:t>
            </w:r>
          </w:p>
        </w:tc>
        <w:tc>
          <w:tcPr>
            <w:tcW w:w="1487"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货物名称</w:t>
            </w:r>
          </w:p>
        </w:tc>
        <w:tc>
          <w:tcPr>
            <w:tcW w:w="3063"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品牌型号规格及</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主要技术参数</w:t>
            </w:r>
          </w:p>
        </w:tc>
        <w:tc>
          <w:tcPr>
            <w:tcW w:w="548"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计量单 </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位</w:t>
            </w:r>
          </w:p>
        </w:tc>
        <w:tc>
          <w:tcPr>
            <w:tcW w:w="548"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 xml:space="preserve">数 </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量</w:t>
            </w:r>
          </w:p>
        </w:tc>
        <w:tc>
          <w:tcPr>
            <w:tcW w:w="986"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金额</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（元）</w:t>
            </w:r>
          </w:p>
        </w:tc>
        <w:tc>
          <w:tcPr>
            <w:tcW w:w="1440"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产地生产</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厂商名称</w:t>
            </w:r>
          </w:p>
        </w:tc>
        <w:tc>
          <w:tcPr>
            <w:tcW w:w="908"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供应商</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提交</w:t>
            </w:r>
          </w:p>
        </w:tc>
        <w:tc>
          <w:tcPr>
            <w:tcW w:w="1041"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采购单</w:t>
            </w:r>
          </w:p>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位确认</w:t>
            </w:r>
          </w:p>
        </w:tc>
        <w:tc>
          <w:tcPr>
            <w:tcW w:w="2634" w:type="dxa"/>
            <w:tcBorders>
              <w:top w:val="single" w:color="auto" w:sz="4" w:space="0"/>
              <w:left w:val="single" w:color="auto" w:sz="4" w:space="0"/>
              <w:bottom w:val="single" w:color="auto" w:sz="4" w:space="0"/>
              <w:right w:val="single" w:color="auto" w:sz="4" w:space="0"/>
            </w:tcBorders>
            <w:vAlign w:val="center"/>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存在问题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（视明细项目增减行）</w:t>
            </w: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306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4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8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备品备件</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易损件</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专用工具价</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安装调试费</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运输至最终目的运费及保险费等</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技术服务费（含培训等）费</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96"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487"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5145" w:type="dxa"/>
            <w:gridSpan w:val="4"/>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其他</w:t>
            </w:r>
          </w:p>
        </w:tc>
        <w:tc>
          <w:tcPr>
            <w:tcW w:w="144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9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1041"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c>
          <w:tcPr>
            <w:tcW w:w="2634"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p>
        </w:tc>
      </w:tr>
    </w:tbl>
    <w:p>
      <w:pPr>
        <w:widowControl/>
        <w:spacing w:line="360" w:lineRule="auto"/>
        <w:jc w:val="left"/>
        <w:rPr>
          <w:rFonts w:cs="宋体" w:asciiTheme="majorEastAsia" w:hAnsiTheme="majorEastAsia" w:eastAsiaTheme="majorEastAsia"/>
          <w:color w:val="auto"/>
          <w:kern w:val="0"/>
          <w:sz w:val="24"/>
        </w:rPr>
        <w:sectPr>
          <w:pgSz w:w="16838" w:h="11906" w:orient="landscape"/>
          <w:pgMar w:top="1418" w:right="1418" w:bottom="1418" w:left="1701" w:header="851" w:footer="851" w:gutter="0"/>
          <w:cols w:space="720" w:num="1"/>
          <w:docGrid w:linePitch="312" w:charSpace="0"/>
        </w:sectPr>
      </w:pPr>
    </w:p>
    <w:p>
      <w:pPr>
        <w:autoSpaceDN w:val="0"/>
        <w:adjustRightInd w:val="0"/>
        <w:snapToGrid w:val="0"/>
        <w:spacing w:line="360" w:lineRule="auto"/>
        <w:jc w:val="center"/>
        <w:outlineLvl w:val="0"/>
        <w:rPr>
          <w:rFonts w:cs="宋体" w:asciiTheme="majorEastAsia" w:hAnsiTheme="majorEastAsia" w:eastAsiaTheme="majorEastAsia"/>
          <w:color w:val="auto"/>
          <w:szCs w:val="21"/>
        </w:rPr>
      </w:pPr>
      <w:bookmarkStart w:id="100" w:name="_Toc9933"/>
      <w:r>
        <w:rPr>
          <w:rFonts w:hint="eastAsia" w:cs="宋体" w:asciiTheme="majorEastAsia" w:hAnsiTheme="majorEastAsia" w:eastAsiaTheme="majorEastAsia"/>
          <w:b/>
          <w:bCs/>
          <w:color w:val="auto"/>
          <w:kern w:val="44"/>
          <w:sz w:val="44"/>
          <w:szCs w:val="44"/>
        </w:rPr>
        <w:t>第</w:t>
      </w:r>
      <w:r>
        <w:rPr>
          <w:rFonts w:hint="eastAsia" w:cs="宋体" w:asciiTheme="majorEastAsia" w:hAnsiTheme="majorEastAsia" w:eastAsiaTheme="majorEastAsia"/>
          <w:b/>
          <w:bCs/>
          <w:color w:val="auto"/>
          <w:kern w:val="44"/>
          <w:sz w:val="44"/>
          <w:szCs w:val="44"/>
          <w:lang w:val="en-US" w:eastAsia="zh-CN"/>
        </w:rPr>
        <w:t>六</w:t>
      </w:r>
      <w:r>
        <w:rPr>
          <w:rFonts w:hint="eastAsia" w:cs="宋体" w:asciiTheme="majorEastAsia" w:hAnsiTheme="majorEastAsia" w:eastAsiaTheme="majorEastAsia"/>
          <w:b/>
          <w:bCs/>
          <w:color w:val="auto"/>
          <w:kern w:val="44"/>
          <w:sz w:val="44"/>
          <w:szCs w:val="44"/>
        </w:rPr>
        <w:t xml:space="preserve">部分  </w:t>
      </w:r>
      <w:bookmarkEnd w:id="98"/>
      <w:r>
        <w:rPr>
          <w:rFonts w:hint="eastAsia" w:cs="宋体" w:asciiTheme="majorEastAsia" w:hAnsiTheme="majorEastAsia" w:eastAsiaTheme="majorEastAsia"/>
          <w:b/>
          <w:bCs/>
          <w:color w:val="auto"/>
          <w:kern w:val="44"/>
          <w:sz w:val="44"/>
          <w:szCs w:val="44"/>
        </w:rPr>
        <w:t>投标文件格式</w:t>
      </w:r>
      <w:bookmarkEnd w:id="100"/>
    </w:p>
    <w:p>
      <w:pPr>
        <w:autoSpaceDN w:val="0"/>
        <w:adjustRightInd w:val="0"/>
        <w:snapToGrid w:val="0"/>
        <w:spacing w:line="360" w:lineRule="auto"/>
        <w:rPr>
          <w:rFonts w:cs="宋体" w:asciiTheme="majorEastAsia" w:hAnsiTheme="majorEastAsia" w:eastAsiaTheme="majorEastAsia"/>
          <w:color w:val="auto"/>
          <w:szCs w:val="21"/>
        </w:rPr>
      </w:pPr>
      <w:bookmarkStart w:id="101" w:name="_Toc179632806"/>
      <w:bookmarkStart w:id="102" w:name="_Toc246996354"/>
      <w:bookmarkStart w:id="103" w:name="_Toc144974855"/>
      <w:bookmarkStart w:id="104" w:name="_Toc152042575"/>
      <w:bookmarkStart w:id="105" w:name="_Toc152045786"/>
      <w:bookmarkStart w:id="106" w:name="_Toc246997097"/>
      <w:bookmarkStart w:id="107" w:name="_Toc247085872"/>
    </w:p>
    <w:p>
      <w:pPr>
        <w:autoSpaceDN w:val="0"/>
        <w:adjustRightInd w:val="0"/>
        <w:snapToGrid w:val="0"/>
        <w:spacing w:line="360" w:lineRule="auto"/>
        <w:rPr>
          <w:rFonts w:cs="宋体" w:asciiTheme="majorEastAsia" w:hAnsiTheme="majorEastAsia" w:eastAsiaTheme="majorEastAsia"/>
          <w:color w:val="auto"/>
          <w:sz w:val="24"/>
        </w:rPr>
      </w:pPr>
    </w:p>
    <w:p>
      <w:pPr>
        <w:spacing w:line="300" w:lineRule="auto"/>
        <w:jc w:val="center"/>
        <w:rPr>
          <w:rFonts w:hint="eastAsia" w:ascii="宋体" w:hAnsi="宋体"/>
          <w:color w:val="auto"/>
          <w:sz w:val="20"/>
          <w:szCs w:val="20"/>
        </w:rPr>
      </w:pPr>
      <w:r>
        <w:rPr>
          <w:rFonts w:hint="eastAsia" w:ascii="宋体" w:hAnsi="宋体"/>
          <w:color w:val="auto"/>
          <w:sz w:val="28"/>
          <w:szCs w:val="28"/>
          <w:u w:val="single"/>
        </w:rPr>
        <w:t xml:space="preserve">                </w:t>
      </w:r>
      <w:r>
        <w:rPr>
          <w:rFonts w:ascii="宋体" w:hAnsi="宋体"/>
          <w:color w:val="auto"/>
          <w:sz w:val="28"/>
          <w:szCs w:val="28"/>
        </w:rPr>
        <w:t>（项目名称）</w:t>
      </w:r>
    </w:p>
    <w:p>
      <w:pPr>
        <w:spacing w:line="300" w:lineRule="auto"/>
        <w:rPr>
          <w:rFonts w:hint="eastAsia" w:ascii="宋体" w:hAnsi="宋体"/>
          <w:color w:val="auto"/>
          <w:sz w:val="20"/>
          <w:szCs w:val="20"/>
        </w:rPr>
      </w:pPr>
    </w:p>
    <w:p>
      <w:pPr>
        <w:spacing w:line="300" w:lineRule="auto"/>
        <w:rPr>
          <w:rFonts w:hint="eastAsia" w:ascii="宋体" w:hAnsi="宋体"/>
          <w:color w:val="auto"/>
          <w:sz w:val="20"/>
          <w:szCs w:val="20"/>
        </w:rPr>
      </w:pPr>
    </w:p>
    <w:p>
      <w:pPr>
        <w:spacing w:line="300" w:lineRule="auto"/>
        <w:jc w:val="center"/>
        <w:rPr>
          <w:rFonts w:ascii="宋体" w:hAnsi="宋体"/>
          <w:color w:val="auto"/>
          <w:sz w:val="44"/>
          <w:szCs w:val="44"/>
        </w:rPr>
      </w:pPr>
      <w:r>
        <w:rPr>
          <w:rFonts w:ascii="宋体" w:hAnsi="宋体"/>
          <w:color w:val="auto"/>
          <w:sz w:val="44"/>
          <w:szCs w:val="44"/>
        </w:rPr>
        <w:t>投  标  文  件</w:t>
      </w:r>
    </w:p>
    <w:p>
      <w:pPr>
        <w:spacing w:line="300" w:lineRule="auto"/>
        <w:rPr>
          <w:rFonts w:ascii="宋体" w:hAnsi="宋体"/>
          <w:color w:val="auto"/>
          <w:sz w:val="28"/>
          <w:szCs w:val="28"/>
        </w:rPr>
      </w:pPr>
    </w:p>
    <w:p>
      <w:pPr>
        <w:spacing w:line="300" w:lineRule="auto"/>
        <w:rPr>
          <w:rFonts w:ascii="宋体" w:hAnsi="宋体"/>
          <w:color w:val="auto"/>
          <w:sz w:val="28"/>
          <w:szCs w:val="28"/>
        </w:rPr>
      </w:pPr>
    </w:p>
    <w:p>
      <w:pPr>
        <w:jc w:val="center"/>
        <w:rPr>
          <w:rFonts w:hint="eastAsia" w:ascii="宋体" w:hAnsi="宋体"/>
          <w:color w:val="auto"/>
          <w:sz w:val="28"/>
          <w:szCs w:val="28"/>
        </w:rPr>
      </w:pPr>
      <w:r>
        <w:rPr>
          <w:rFonts w:hint="eastAsia" w:ascii="宋体" w:hAnsi="宋体"/>
          <w:color w:val="auto"/>
          <w:sz w:val="28"/>
          <w:szCs w:val="28"/>
        </w:rPr>
        <w:t>（正/副本）</w:t>
      </w:r>
    </w:p>
    <w:p>
      <w:pPr>
        <w:jc w:val="center"/>
        <w:rPr>
          <w:rFonts w:hint="eastAsia" w:ascii="宋体" w:hAnsi="宋体"/>
          <w:color w:val="auto"/>
          <w:sz w:val="28"/>
          <w:szCs w:val="28"/>
        </w:rPr>
      </w:pPr>
      <w:r>
        <w:rPr>
          <w:rFonts w:hint="eastAsia" w:ascii="宋体" w:hAnsi="宋体"/>
          <w:color w:val="auto"/>
          <w:sz w:val="28"/>
          <w:szCs w:val="28"/>
        </w:rPr>
        <w:t>招标项目编号：</w:t>
      </w:r>
    </w:p>
    <w:p>
      <w:pPr>
        <w:spacing w:line="300" w:lineRule="auto"/>
        <w:rPr>
          <w:rFonts w:ascii="宋体" w:hAnsi="宋体"/>
          <w:color w:val="auto"/>
          <w:sz w:val="28"/>
          <w:szCs w:val="28"/>
        </w:rPr>
      </w:pPr>
    </w:p>
    <w:p>
      <w:pPr>
        <w:spacing w:line="300" w:lineRule="auto"/>
        <w:rPr>
          <w:rFonts w:ascii="宋体" w:hAnsi="宋体"/>
          <w:color w:val="auto"/>
          <w:sz w:val="28"/>
          <w:szCs w:val="28"/>
        </w:rPr>
      </w:pPr>
    </w:p>
    <w:p>
      <w:pPr>
        <w:spacing w:line="300" w:lineRule="auto"/>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pStyle w:val="2"/>
        <w:widowControl w:val="0"/>
        <w:numPr>
          <w:ilvl w:val="0"/>
          <w:numId w:val="0"/>
        </w:numPr>
        <w:spacing w:line="360" w:lineRule="auto"/>
        <w:jc w:val="both"/>
        <w:rPr>
          <w:rFonts w:ascii="宋体" w:hAnsi="宋体"/>
          <w:color w:val="auto"/>
          <w:sz w:val="28"/>
          <w:szCs w:val="28"/>
        </w:rPr>
      </w:pPr>
    </w:p>
    <w:p>
      <w:pPr>
        <w:spacing w:line="300" w:lineRule="auto"/>
        <w:rPr>
          <w:rFonts w:ascii="宋体" w:hAnsi="宋体"/>
          <w:color w:val="auto"/>
          <w:sz w:val="28"/>
          <w:szCs w:val="28"/>
        </w:rPr>
      </w:pPr>
    </w:p>
    <w:p>
      <w:pPr>
        <w:spacing w:line="300" w:lineRule="auto"/>
        <w:rPr>
          <w:rFonts w:ascii="宋体" w:hAnsi="宋体"/>
          <w:color w:val="auto"/>
          <w:sz w:val="28"/>
          <w:szCs w:val="28"/>
        </w:rPr>
      </w:pPr>
    </w:p>
    <w:p>
      <w:pPr>
        <w:spacing w:line="300" w:lineRule="auto"/>
        <w:rPr>
          <w:rFonts w:ascii="宋体" w:hAnsi="宋体"/>
          <w:color w:val="auto"/>
          <w:sz w:val="28"/>
          <w:szCs w:val="28"/>
        </w:rPr>
      </w:pPr>
    </w:p>
    <w:p>
      <w:pPr>
        <w:spacing w:line="300" w:lineRule="auto"/>
        <w:rPr>
          <w:rFonts w:ascii="宋体" w:hAnsi="宋体"/>
          <w:color w:val="auto"/>
          <w:sz w:val="28"/>
          <w:szCs w:val="28"/>
        </w:rPr>
      </w:pPr>
    </w:p>
    <w:p>
      <w:pPr>
        <w:spacing w:line="300" w:lineRule="auto"/>
        <w:jc w:val="center"/>
        <w:rPr>
          <w:rFonts w:ascii="宋体" w:hAnsi="宋体"/>
          <w:color w:val="auto"/>
          <w:sz w:val="28"/>
          <w:szCs w:val="28"/>
          <w:u w:val="single"/>
        </w:rPr>
      </w:pPr>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p>
    <w:p>
      <w:pPr>
        <w:spacing w:line="300" w:lineRule="auto"/>
        <w:jc w:val="center"/>
        <w:rPr>
          <w:rFonts w:ascii="宋体" w:hAnsi="宋体"/>
          <w:color w:val="auto"/>
          <w:sz w:val="28"/>
          <w:szCs w:val="28"/>
        </w:rPr>
      </w:pPr>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r>
        <w:rPr>
          <w:rFonts w:hint="eastAsia" w:ascii="宋体" w:hAnsi="宋体"/>
          <w:color w:val="auto"/>
          <w:sz w:val="28"/>
          <w:szCs w:val="28"/>
        </w:rPr>
        <w:t>或盖章</w:t>
      </w:r>
      <w:r>
        <w:rPr>
          <w:rFonts w:ascii="宋体" w:hAnsi="宋体"/>
          <w:color w:val="auto"/>
          <w:sz w:val="28"/>
          <w:szCs w:val="28"/>
        </w:rPr>
        <w:t>）</w:t>
      </w:r>
    </w:p>
    <w:p>
      <w:pPr>
        <w:spacing w:line="300" w:lineRule="auto"/>
        <w:jc w:val="center"/>
        <w:rPr>
          <w:rFonts w:ascii="宋体" w:hAnsi="宋体"/>
          <w:color w:val="auto"/>
          <w:sz w:val="28"/>
          <w:szCs w:val="28"/>
        </w:rPr>
      </w:pPr>
      <w:r>
        <w:rPr>
          <w:rFonts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p>
    <w:p>
      <w:pPr>
        <w:spacing w:line="300" w:lineRule="auto"/>
        <w:jc w:val="center"/>
        <w:rPr>
          <w:rFonts w:ascii="宋体" w:hAnsi="宋体"/>
          <w:color w:val="auto"/>
        </w:rPr>
      </w:pPr>
      <w:r>
        <w:rPr>
          <w:rFonts w:ascii="宋体" w:hAnsi="宋体"/>
          <w:color w:val="auto"/>
          <w:sz w:val="20"/>
          <w:szCs w:val="20"/>
        </w:rPr>
        <w:br w:type="page"/>
      </w:r>
      <w:bookmarkStart w:id="108" w:name="_Toc351644310"/>
      <w:bookmarkStart w:id="109" w:name="_Toc350070692"/>
    </w:p>
    <w:p>
      <w:pPr>
        <w:pStyle w:val="4"/>
        <w:spacing w:before="0" w:after="0" w:line="300" w:lineRule="auto"/>
        <w:jc w:val="center"/>
        <w:rPr>
          <w:rFonts w:hint="eastAsia" w:ascii="宋体" w:hAnsi="宋体" w:eastAsia="宋体"/>
          <w:color w:val="auto"/>
        </w:rPr>
      </w:pPr>
      <w:bookmarkStart w:id="110" w:name="_Toc409424342"/>
      <w:bookmarkStart w:id="111" w:name="_Toc468267480"/>
      <w:bookmarkStart w:id="112" w:name="_Toc409424403"/>
      <w:r>
        <w:rPr>
          <w:rFonts w:hint="eastAsia" w:ascii="宋体" w:hAnsi="宋体" w:eastAsia="宋体"/>
          <w:color w:val="auto"/>
        </w:rPr>
        <w:t>目    录</w:t>
      </w:r>
      <w:bookmarkEnd w:id="108"/>
      <w:bookmarkEnd w:id="109"/>
      <w:bookmarkEnd w:id="110"/>
      <w:bookmarkEnd w:id="111"/>
      <w:bookmarkEnd w:id="112"/>
    </w:p>
    <w:p>
      <w:pPr>
        <w:spacing w:line="300" w:lineRule="auto"/>
        <w:rPr>
          <w:rFonts w:ascii="宋体" w:hAnsi="宋体"/>
          <w:color w:val="auto"/>
        </w:rPr>
      </w:pPr>
    </w:p>
    <w:p>
      <w:pPr>
        <w:snapToGrid w:val="0"/>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格式自拟</w:t>
      </w:r>
    </w:p>
    <w:p>
      <w:pPr>
        <w:spacing w:line="360" w:lineRule="auto"/>
        <w:rPr>
          <w:rFonts w:ascii="宋体" w:hAnsi="宋体"/>
          <w:color w:val="auto"/>
          <w:sz w:val="20"/>
          <w:szCs w:val="20"/>
        </w:rPr>
      </w:pPr>
      <w:r>
        <w:rPr>
          <w:rFonts w:ascii="宋体" w:hAnsi="宋体"/>
          <w:color w:val="auto"/>
        </w:rPr>
        <w:br w:type="page"/>
      </w:r>
    </w:p>
    <w:p>
      <w:pPr>
        <w:pStyle w:val="4"/>
        <w:spacing w:before="0" w:after="0" w:line="300" w:lineRule="auto"/>
        <w:jc w:val="center"/>
        <w:rPr>
          <w:rFonts w:hint="eastAsia" w:ascii="宋体" w:hAnsi="宋体" w:eastAsia="宋体"/>
          <w:color w:val="auto"/>
        </w:rPr>
      </w:pPr>
      <w:bookmarkStart w:id="113" w:name="_Toc350070693"/>
      <w:bookmarkStart w:id="114" w:name="_Toc351644311"/>
      <w:bookmarkStart w:id="115" w:name="_Toc409424343"/>
      <w:bookmarkStart w:id="116" w:name="_Toc468267481"/>
      <w:bookmarkStart w:id="117" w:name="_Toc409424404"/>
      <w:r>
        <w:rPr>
          <w:rFonts w:ascii="宋体" w:hAnsi="宋体" w:eastAsia="宋体"/>
          <w:color w:val="auto"/>
        </w:rPr>
        <w:t>一、投标函及投标函附录</w:t>
      </w:r>
      <w:bookmarkEnd w:id="113"/>
      <w:bookmarkEnd w:id="114"/>
      <w:bookmarkEnd w:id="115"/>
      <w:bookmarkEnd w:id="116"/>
      <w:bookmarkEnd w:id="117"/>
    </w:p>
    <w:p>
      <w:pPr>
        <w:pStyle w:val="5"/>
        <w:spacing w:before="0" w:after="0" w:line="300" w:lineRule="auto"/>
        <w:jc w:val="center"/>
        <w:rPr>
          <w:rFonts w:hint="eastAsia" w:ascii="宋体" w:hAnsi="宋体"/>
          <w:color w:val="auto"/>
        </w:rPr>
      </w:pPr>
      <w:bookmarkStart w:id="118" w:name="_Toc468267482"/>
      <w:bookmarkStart w:id="119" w:name="_Toc409424405"/>
      <w:bookmarkStart w:id="120" w:name="_Toc409424344"/>
      <w:bookmarkStart w:id="121" w:name="_Toc350070694"/>
      <w:bookmarkStart w:id="122" w:name="_Toc351644312"/>
      <w:r>
        <w:rPr>
          <w:rFonts w:ascii="宋体" w:hAnsi="宋体"/>
          <w:color w:val="auto"/>
        </w:rPr>
        <w:t>（一）投标函</w:t>
      </w:r>
      <w:bookmarkEnd w:id="118"/>
      <w:bookmarkEnd w:id="119"/>
      <w:bookmarkEnd w:id="120"/>
      <w:bookmarkEnd w:id="121"/>
      <w:bookmarkEnd w:id="122"/>
    </w:p>
    <w:p>
      <w:pPr>
        <w:spacing w:line="300" w:lineRule="auto"/>
        <w:rPr>
          <w:rFonts w:ascii="宋体" w:hAnsi="宋体"/>
          <w:color w:val="auto"/>
          <w:szCs w:val="21"/>
        </w:rPr>
      </w:pPr>
      <w:r>
        <w:rPr>
          <w:rFonts w:ascii="宋体" w:hAnsi="宋体"/>
          <w:color w:val="auto"/>
          <w:szCs w:val="21"/>
          <w:u w:val="single"/>
        </w:rPr>
        <w:t xml:space="preserve">                        </w:t>
      </w:r>
      <w:r>
        <w:rPr>
          <w:rFonts w:ascii="宋体" w:hAnsi="宋体"/>
          <w:color w:val="auto"/>
          <w:szCs w:val="21"/>
        </w:rPr>
        <w:t>（采购人名称）：</w:t>
      </w:r>
    </w:p>
    <w:p>
      <w:pPr>
        <w:spacing w:line="300" w:lineRule="auto"/>
        <w:rPr>
          <w:rFonts w:ascii="宋体" w:hAnsi="宋体"/>
          <w:color w:val="auto"/>
          <w:szCs w:val="21"/>
        </w:rPr>
      </w:pPr>
    </w:p>
    <w:p>
      <w:pPr>
        <w:spacing w:line="300" w:lineRule="auto"/>
        <w:ind w:firstLine="420" w:firstLineChars="200"/>
        <w:rPr>
          <w:rFonts w:ascii="宋体" w:hAnsi="宋体"/>
          <w:color w:val="auto"/>
          <w:szCs w:val="21"/>
        </w:rPr>
      </w:pPr>
      <w:r>
        <w:rPr>
          <w:rFonts w:ascii="宋体" w:hAnsi="宋体"/>
          <w:color w:val="auto"/>
          <w:szCs w:val="21"/>
        </w:rPr>
        <w:t>1．我方已仔细研究了</w:t>
      </w:r>
      <w:r>
        <w:rPr>
          <w:rFonts w:ascii="宋体" w:hAnsi="宋体"/>
          <w:color w:val="auto"/>
          <w:szCs w:val="21"/>
          <w:u w:val="single"/>
        </w:rPr>
        <w:t xml:space="preserve">    </w:t>
      </w:r>
      <w:r>
        <w:rPr>
          <w:rFonts w:hint="eastAsia" w:ascii="宋体" w:hAnsi="宋体"/>
          <w:color w:val="auto"/>
          <w:szCs w:val="21"/>
          <w:u w:val="single"/>
        </w:rPr>
        <w:t xml:space="preserve">    项目  </w:t>
      </w:r>
      <w:r>
        <w:rPr>
          <w:rFonts w:ascii="宋体" w:hAnsi="宋体"/>
          <w:color w:val="auto"/>
          <w:szCs w:val="21"/>
          <w:u w:val="single"/>
        </w:rPr>
        <w:t xml:space="preserve">     </w:t>
      </w:r>
      <w:r>
        <w:rPr>
          <w:rFonts w:ascii="宋体" w:hAnsi="宋体"/>
          <w:color w:val="auto"/>
          <w:szCs w:val="21"/>
        </w:rPr>
        <w:t>招标文件的全部内容，愿意以人民币（大写）</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lang w:val="en-US" w:eastAsia="zh-CN"/>
        </w:rPr>
        <w:t>元</w:t>
      </w:r>
      <w:r>
        <w:rPr>
          <w:rFonts w:ascii="宋体" w:hAnsi="宋体"/>
          <w:color w:val="auto"/>
          <w:szCs w:val="21"/>
        </w:rPr>
        <w:t>）的</w:t>
      </w:r>
      <w:r>
        <w:rPr>
          <w:rFonts w:hint="eastAsia" w:ascii="宋体" w:hAnsi="宋体"/>
          <w:color w:val="auto"/>
          <w:szCs w:val="21"/>
        </w:rPr>
        <w:t>价格</w:t>
      </w:r>
      <w:r>
        <w:rPr>
          <w:rFonts w:ascii="宋体" w:hAnsi="宋体"/>
          <w:color w:val="auto"/>
          <w:szCs w:val="21"/>
        </w:rPr>
        <w:t>投标，</w:t>
      </w:r>
      <w:r>
        <w:rPr>
          <w:rFonts w:hint="eastAsia" w:ascii="宋体" w:hAnsi="宋体"/>
          <w:color w:val="auto"/>
          <w:szCs w:val="21"/>
        </w:rPr>
        <w:t>供货期</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按合同约定实施和完成承包</w:t>
      </w:r>
      <w:r>
        <w:rPr>
          <w:rFonts w:hint="eastAsia" w:ascii="宋体" w:hAnsi="宋体"/>
          <w:color w:val="auto"/>
          <w:szCs w:val="21"/>
        </w:rPr>
        <w:t>项目</w:t>
      </w:r>
      <w:r>
        <w:rPr>
          <w:rFonts w:ascii="宋体" w:hAnsi="宋体"/>
          <w:color w:val="auto"/>
          <w:szCs w:val="21"/>
        </w:rPr>
        <w:t>，质量达到</w:t>
      </w:r>
      <w:r>
        <w:rPr>
          <w:rFonts w:ascii="宋体" w:hAnsi="宋体"/>
          <w:color w:val="auto"/>
          <w:szCs w:val="21"/>
          <w:u w:val="single"/>
        </w:rPr>
        <w:t xml:space="preserve">           </w:t>
      </w:r>
      <w:r>
        <w:rPr>
          <w:rFonts w:hint="eastAsia" w:ascii="宋体" w:hAnsi="宋体"/>
          <w:color w:val="auto"/>
          <w:szCs w:val="21"/>
          <w:u w:val="none"/>
          <w:lang w:eastAsia="zh-CN"/>
        </w:rPr>
        <w:t>，</w:t>
      </w:r>
      <w:r>
        <w:rPr>
          <w:rFonts w:hint="eastAsia" w:ascii="宋体" w:hAnsi="宋体"/>
          <w:color w:val="auto"/>
          <w:szCs w:val="21"/>
          <w:u w:val="none"/>
          <w:lang w:val="en-US" w:eastAsia="zh-CN"/>
        </w:rPr>
        <w:t>质保期：</w:t>
      </w:r>
      <w:r>
        <w:rPr>
          <w:rFonts w:hint="eastAsia" w:ascii="宋体" w:hAnsi="宋体"/>
          <w:color w:val="auto"/>
          <w:szCs w:val="21"/>
          <w:u w:val="single"/>
          <w:lang w:val="en-US" w:eastAsia="zh-CN"/>
        </w:rPr>
        <w:t xml:space="preserve">        </w:t>
      </w:r>
      <w:r>
        <w:rPr>
          <w:rFonts w:ascii="宋体" w:hAnsi="宋体"/>
          <w:color w:val="auto"/>
          <w:szCs w:val="21"/>
        </w:rPr>
        <w:t>。</w:t>
      </w:r>
    </w:p>
    <w:p>
      <w:pPr>
        <w:spacing w:line="300" w:lineRule="auto"/>
        <w:ind w:firstLine="420" w:firstLineChars="200"/>
        <w:rPr>
          <w:rFonts w:hint="eastAsia" w:ascii="宋体" w:hAnsi="宋体"/>
          <w:color w:val="auto"/>
          <w:szCs w:val="21"/>
        </w:rPr>
      </w:pPr>
      <w:r>
        <w:rPr>
          <w:rFonts w:ascii="宋体" w:hAnsi="宋体"/>
          <w:color w:val="auto"/>
          <w:szCs w:val="21"/>
        </w:rPr>
        <w:t>2．我方承诺在</w:t>
      </w:r>
      <w:r>
        <w:rPr>
          <w:rFonts w:hint="eastAsia" w:ascii="宋体" w:hAnsi="宋体"/>
          <w:color w:val="auto"/>
          <w:szCs w:val="21"/>
        </w:rPr>
        <w:t>招标文件规定的</w:t>
      </w:r>
      <w:r>
        <w:rPr>
          <w:rFonts w:ascii="宋体" w:hAnsi="宋体"/>
          <w:color w:val="auto"/>
          <w:szCs w:val="21"/>
        </w:rPr>
        <w:t>投标有效期内不修改、撤销投标文件。</w:t>
      </w:r>
    </w:p>
    <w:p>
      <w:pPr>
        <w:spacing w:line="300" w:lineRule="auto"/>
        <w:ind w:firstLine="420" w:firstLineChars="200"/>
        <w:rPr>
          <w:rFonts w:ascii="宋体" w:hAnsi="宋体"/>
          <w:color w:val="auto"/>
          <w:szCs w:val="21"/>
        </w:rPr>
      </w:pPr>
      <w:r>
        <w:rPr>
          <w:rFonts w:ascii="宋体" w:hAnsi="宋体"/>
          <w:color w:val="auto"/>
          <w:szCs w:val="21"/>
        </w:rPr>
        <w:t>3．随同本投标函提交投标保证金一份，金额为人民币（大写）</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300" w:lineRule="auto"/>
        <w:ind w:firstLine="420" w:firstLineChars="200"/>
        <w:rPr>
          <w:rFonts w:ascii="宋体" w:hAnsi="宋体"/>
          <w:color w:val="auto"/>
          <w:szCs w:val="21"/>
        </w:rPr>
      </w:pPr>
      <w:r>
        <w:rPr>
          <w:rFonts w:ascii="宋体" w:hAnsi="宋体"/>
          <w:color w:val="auto"/>
          <w:szCs w:val="21"/>
        </w:rPr>
        <w:t>4．如我方中标：</w:t>
      </w:r>
    </w:p>
    <w:p>
      <w:pPr>
        <w:spacing w:line="300" w:lineRule="auto"/>
        <w:ind w:firstLine="718" w:firstLineChars="342"/>
        <w:rPr>
          <w:rFonts w:ascii="宋体" w:hAnsi="宋体"/>
          <w:color w:val="auto"/>
          <w:szCs w:val="21"/>
        </w:rPr>
      </w:pPr>
      <w:r>
        <w:rPr>
          <w:rFonts w:ascii="宋体" w:hAnsi="宋体"/>
          <w:color w:val="auto"/>
          <w:szCs w:val="21"/>
        </w:rPr>
        <w:t>（1）我方承诺在收到中标通知书后，在中标通知书规定的期限内与你方签订合同。</w:t>
      </w:r>
    </w:p>
    <w:p>
      <w:pPr>
        <w:spacing w:line="300" w:lineRule="auto"/>
        <w:ind w:firstLine="718" w:firstLineChars="342"/>
        <w:rPr>
          <w:rFonts w:hint="eastAsia" w:ascii="宋体" w:hAnsi="宋体"/>
          <w:color w:val="auto"/>
          <w:szCs w:val="21"/>
        </w:rPr>
      </w:pPr>
      <w:r>
        <w:rPr>
          <w:rFonts w:ascii="宋体" w:hAnsi="宋体"/>
          <w:color w:val="auto"/>
          <w:szCs w:val="21"/>
        </w:rPr>
        <w:t>（2）随同本投标函递交的投标函</w:t>
      </w:r>
      <w:r>
        <w:rPr>
          <w:rFonts w:hint="eastAsia" w:ascii="宋体" w:hAnsi="宋体"/>
          <w:color w:val="auto"/>
          <w:szCs w:val="21"/>
        </w:rPr>
        <w:t xml:space="preserve"> </w:t>
      </w:r>
      <w:r>
        <w:rPr>
          <w:rFonts w:ascii="宋体" w:hAnsi="宋体"/>
          <w:color w:val="auto"/>
          <w:szCs w:val="21"/>
        </w:rPr>
        <w:t>附录属于合同文件的组成部分。</w:t>
      </w:r>
    </w:p>
    <w:p>
      <w:pPr>
        <w:spacing w:line="300" w:lineRule="auto"/>
        <w:ind w:firstLine="718" w:firstLineChars="342"/>
        <w:rPr>
          <w:rFonts w:ascii="宋体" w:hAnsi="宋体"/>
          <w:color w:val="auto"/>
          <w:szCs w:val="21"/>
        </w:rPr>
      </w:pPr>
      <w:r>
        <w:rPr>
          <w:rFonts w:hint="eastAsia" w:ascii="宋体" w:hAnsi="宋体"/>
          <w:color w:val="auto"/>
          <w:szCs w:val="21"/>
        </w:rPr>
        <w:t>（3）</w:t>
      </w:r>
      <w:r>
        <w:rPr>
          <w:rFonts w:ascii="宋体" w:hAnsi="宋体"/>
          <w:color w:val="auto"/>
          <w:szCs w:val="21"/>
        </w:rPr>
        <w:t>我方承诺在合同约定的期限内完成并移交全部合同</w:t>
      </w:r>
      <w:r>
        <w:rPr>
          <w:rFonts w:hint="eastAsia" w:ascii="宋体" w:hAnsi="宋体"/>
          <w:color w:val="auto"/>
          <w:szCs w:val="21"/>
        </w:rPr>
        <w:t>项目</w:t>
      </w:r>
      <w:r>
        <w:rPr>
          <w:rFonts w:ascii="宋体" w:hAnsi="宋体"/>
          <w:color w:val="auto"/>
          <w:szCs w:val="21"/>
        </w:rPr>
        <w:t>。</w:t>
      </w:r>
    </w:p>
    <w:p>
      <w:pPr>
        <w:spacing w:line="300" w:lineRule="auto"/>
        <w:ind w:firstLine="420" w:firstLineChars="200"/>
        <w:rPr>
          <w:rFonts w:hint="eastAsia" w:ascii="宋体" w:hAnsi="宋体"/>
          <w:color w:val="auto"/>
          <w:szCs w:val="21"/>
        </w:rPr>
      </w:pPr>
      <w:r>
        <w:rPr>
          <w:rFonts w:ascii="宋体" w:hAnsi="宋体"/>
          <w:color w:val="auto"/>
          <w:szCs w:val="21"/>
        </w:rPr>
        <w:t>5．</w:t>
      </w:r>
      <w:r>
        <w:rPr>
          <w:rFonts w:hint="eastAsia" w:ascii="宋体" w:hAnsi="宋体"/>
          <w:color w:val="auto"/>
        </w:rPr>
        <w:t>我方在此声明，所递交的投标文件及有关资料内容完整、真实和准确，且不存在第二章“投标人须知”第1.4.2项和第1.4.3项规定的任何一种情形。</w:t>
      </w:r>
    </w:p>
    <w:p>
      <w:pPr>
        <w:spacing w:line="300" w:lineRule="auto"/>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其他</w:t>
      </w:r>
      <w:r>
        <w:rPr>
          <w:rFonts w:ascii="宋体" w:hAnsi="宋体"/>
          <w:color w:val="auto"/>
          <w:szCs w:val="21"/>
        </w:rPr>
        <w:t>补充说明）。</w:t>
      </w:r>
    </w:p>
    <w:p>
      <w:pPr>
        <w:spacing w:line="300" w:lineRule="auto"/>
        <w:rPr>
          <w:rFonts w:ascii="宋体" w:hAnsi="宋体"/>
          <w:color w:val="auto"/>
          <w:szCs w:val="21"/>
        </w:rPr>
      </w:pPr>
    </w:p>
    <w:p>
      <w:pPr>
        <w:spacing w:line="300" w:lineRule="auto"/>
        <w:ind w:firstLine="3675" w:firstLineChars="1750"/>
        <w:rPr>
          <w:rFonts w:ascii="宋体" w:hAnsi="宋体"/>
          <w:color w:val="auto"/>
          <w:szCs w:val="21"/>
        </w:rPr>
      </w:pPr>
      <w:r>
        <w:rPr>
          <w:rFonts w:ascii="宋体" w:hAnsi="宋体"/>
          <w:color w:val="auto"/>
          <w:szCs w:val="21"/>
        </w:rPr>
        <w:t>投 标 人：</w:t>
      </w:r>
      <w:r>
        <w:rPr>
          <w:rFonts w:ascii="宋体" w:hAnsi="宋体"/>
          <w:color w:val="auto"/>
          <w:szCs w:val="21"/>
          <w:u w:val="single"/>
        </w:rPr>
        <w:t xml:space="preserve">                      </w:t>
      </w:r>
      <w:r>
        <w:rPr>
          <w:rFonts w:ascii="宋体" w:hAnsi="宋体"/>
          <w:color w:val="auto"/>
          <w:szCs w:val="21"/>
        </w:rPr>
        <w:t>（盖单位章）</w:t>
      </w:r>
    </w:p>
    <w:p>
      <w:pPr>
        <w:spacing w:line="300" w:lineRule="auto"/>
        <w:ind w:firstLine="3675" w:firstLineChars="1750"/>
        <w:rPr>
          <w:rFonts w:ascii="宋体" w:hAnsi="宋体"/>
          <w:color w:val="auto"/>
          <w:szCs w:val="21"/>
        </w:rPr>
      </w:pPr>
      <w:r>
        <w:rPr>
          <w:rFonts w:ascii="宋体" w:hAnsi="宋体"/>
          <w:color w:val="auto"/>
          <w:szCs w:val="21"/>
        </w:rPr>
        <w:t>法定代表人或其委托代理人：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（签字）</w:t>
      </w:r>
    </w:p>
    <w:p>
      <w:pPr>
        <w:spacing w:line="300" w:lineRule="auto"/>
        <w:ind w:firstLine="3675" w:firstLineChars="1750"/>
        <w:rPr>
          <w:rFonts w:hint="eastAsia" w:ascii="宋体" w:hAnsi="宋体"/>
          <w:color w:val="auto"/>
          <w:szCs w:val="21"/>
        </w:rPr>
      </w:pPr>
      <w:r>
        <w:rPr>
          <w:rFonts w:ascii="宋体" w:hAnsi="宋体"/>
          <w:color w:val="auto"/>
          <w:szCs w:val="21"/>
        </w:rPr>
        <w:t>地址：</w:t>
      </w:r>
      <w:r>
        <w:rPr>
          <w:rFonts w:ascii="宋体" w:hAnsi="宋体"/>
          <w:color w:val="auto"/>
          <w:szCs w:val="21"/>
          <w:u w:val="single"/>
        </w:rPr>
        <w:t xml:space="preserve">                                     </w:t>
      </w:r>
    </w:p>
    <w:p>
      <w:pPr>
        <w:spacing w:line="300" w:lineRule="auto"/>
        <w:ind w:firstLine="3675" w:firstLineChars="1750"/>
        <w:rPr>
          <w:rFonts w:ascii="宋体" w:hAnsi="宋体"/>
          <w:color w:val="auto"/>
          <w:szCs w:val="21"/>
        </w:rPr>
      </w:pPr>
      <w:r>
        <w:rPr>
          <w:rFonts w:ascii="宋体" w:hAnsi="宋体"/>
          <w:color w:val="auto"/>
          <w:szCs w:val="21"/>
        </w:rPr>
        <w:t>网址：</w:t>
      </w:r>
      <w:r>
        <w:rPr>
          <w:rFonts w:ascii="宋体" w:hAnsi="宋体"/>
          <w:color w:val="auto"/>
          <w:szCs w:val="21"/>
          <w:u w:val="single"/>
        </w:rPr>
        <w:t xml:space="preserve">                                     </w:t>
      </w:r>
    </w:p>
    <w:p>
      <w:pPr>
        <w:spacing w:line="300" w:lineRule="auto"/>
        <w:ind w:firstLine="3675" w:firstLineChars="1750"/>
        <w:rPr>
          <w:rFonts w:hint="eastAsia" w:ascii="宋体" w:hAnsi="宋体"/>
          <w:color w:val="auto"/>
          <w:szCs w:val="21"/>
        </w:rPr>
      </w:pPr>
      <w:r>
        <w:rPr>
          <w:rFonts w:ascii="宋体" w:hAnsi="宋体"/>
          <w:color w:val="auto"/>
          <w:szCs w:val="21"/>
        </w:rPr>
        <w:t>电话：</w:t>
      </w:r>
      <w:r>
        <w:rPr>
          <w:rFonts w:ascii="宋体" w:hAnsi="宋体"/>
          <w:color w:val="auto"/>
          <w:szCs w:val="21"/>
          <w:u w:val="single"/>
        </w:rPr>
        <w:t xml:space="preserve">                                     </w:t>
      </w:r>
    </w:p>
    <w:p>
      <w:pPr>
        <w:spacing w:line="300" w:lineRule="auto"/>
        <w:ind w:firstLine="3675" w:firstLineChars="1750"/>
        <w:rPr>
          <w:rFonts w:hint="eastAsia" w:ascii="宋体" w:hAnsi="宋体"/>
          <w:color w:val="auto"/>
          <w:szCs w:val="21"/>
        </w:rPr>
      </w:pPr>
      <w:r>
        <w:rPr>
          <w:rFonts w:ascii="宋体" w:hAnsi="宋体"/>
          <w:color w:val="auto"/>
          <w:szCs w:val="21"/>
        </w:rPr>
        <w:t>传真：</w:t>
      </w:r>
      <w:r>
        <w:rPr>
          <w:rFonts w:ascii="宋体" w:hAnsi="宋体"/>
          <w:color w:val="auto"/>
          <w:szCs w:val="21"/>
          <w:u w:val="single"/>
        </w:rPr>
        <w:t xml:space="preserve">                                     </w:t>
      </w:r>
    </w:p>
    <w:p>
      <w:pPr>
        <w:spacing w:line="300" w:lineRule="auto"/>
        <w:ind w:firstLine="3675" w:firstLineChars="1750"/>
        <w:rPr>
          <w:rFonts w:hint="eastAsia" w:ascii="宋体" w:hAnsi="宋体"/>
          <w:color w:val="auto"/>
          <w:szCs w:val="21"/>
        </w:rPr>
      </w:pPr>
      <w:r>
        <w:rPr>
          <w:rFonts w:ascii="宋体" w:hAnsi="宋体"/>
          <w:color w:val="auto"/>
          <w:szCs w:val="21"/>
        </w:rPr>
        <w:t>邮政编码：</w:t>
      </w:r>
      <w:r>
        <w:rPr>
          <w:rFonts w:ascii="宋体" w:hAnsi="宋体"/>
          <w:color w:val="auto"/>
          <w:szCs w:val="21"/>
          <w:u w:val="single"/>
        </w:rPr>
        <w:t xml:space="preserve">                                 </w:t>
      </w:r>
    </w:p>
    <w:p>
      <w:pPr>
        <w:spacing w:line="300" w:lineRule="auto"/>
        <w:ind w:firstLine="5040" w:firstLineChars="2400"/>
        <w:rPr>
          <w:rFonts w:ascii="宋体" w:hAnsi="宋体"/>
          <w:color w:val="auto"/>
          <w:szCs w:val="21"/>
        </w:rPr>
      </w:pPr>
      <w:r>
        <w:rPr>
          <w:rFonts w:hint="eastAsia" w:ascii="宋体" w:hAnsi="宋体"/>
          <w:color w:val="auto"/>
          <w:szCs w:val="21"/>
          <w:u w:val="single"/>
        </w:rPr>
        <w:t xml:space="preserve">        </w:t>
      </w:r>
      <w:r>
        <w:rPr>
          <w:rFonts w:ascii="宋体" w:hAnsi="宋体"/>
          <w:color w:val="auto"/>
          <w:szCs w:val="21"/>
        </w:rPr>
        <w:t>年</w:t>
      </w:r>
      <w:r>
        <w:rPr>
          <w:rFonts w:hint="eastAsia" w:ascii="宋体" w:hAnsi="宋体"/>
          <w:color w:val="auto"/>
          <w:szCs w:val="21"/>
          <w:u w:val="single"/>
        </w:rPr>
        <w:t xml:space="preserve">        </w:t>
      </w:r>
      <w:r>
        <w:rPr>
          <w:rFonts w:ascii="宋体" w:hAnsi="宋体"/>
          <w:color w:val="auto"/>
          <w:szCs w:val="21"/>
        </w:rPr>
        <w:t>月</w:t>
      </w:r>
      <w:r>
        <w:rPr>
          <w:rFonts w:hint="eastAsia" w:ascii="宋体" w:hAnsi="宋体"/>
          <w:color w:val="auto"/>
          <w:szCs w:val="21"/>
          <w:u w:val="single"/>
        </w:rPr>
        <w:t xml:space="preserve">        </w:t>
      </w:r>
      <w:r>
        <w:rPr>
          <w:rFonts w:ascii="宋体" w:hAnsi="宋体"/>
          <w:color w:val="auto"/>
          <w:szCs w:val="21"/>
        </w:rPr>
        <w:t>日</w:t>
      </w:r>
    </w:p>
    <w:p>
      <w:pPr>
        <w:spacing w:line="300" w:lineRule="auto"/>
        <w:rPr>
          <w:rFonts w:ascii="宋体" w:hAnsi="宋体"/>
          <w:color w:val="auto"/>
          <w:szCs w:val="21"/>
        </w:rPr>
      </w:pPr>
    </w:p>
    <w:p>
      <w:pPr>
        <w:spacing w:line="300" w:lineRule="auto"/>
        <w:rPr>
          <w:rFonts w:ascii="宋体" w:hAnsi="宋体"/>
          <w:color w:val="auto"/>
          <w:sz w:val="20"/>
          <w:szCs w:val="20"/>
        </w:rPr>
      </w:pPr>
      <w:r>
        <w:rPr>
          <w:rFonts w:ascii="宋体" w:hAnsi="宋体"/>
          <w:color w:val="auto"/>
          <w:sz w:val="20"/>
          <w:szCs w:val="20"/>
        </w:rPr>
        <w:br w:type="page"/>
      </w:r>
    </w:p>
    <w:p>
      <w:pPr>
        <w:pStyle w:val="5"/>
        <w:spacing w:before="0" w:after="0" w:line="300" w:lineRule="auto"/>
        <w:jc w:val="center"/>
        <w:rPr>
          <w:rFonts w:ascii="宋体" w:hAnsi="宋体"/>
          <w:color w:val="auto"/>
        </w:rPr>
      </w:pPr>
      <w:bookmarkStart w:id="123" w:name="_Toc409424406"/>
      <w:bookmarkStart w:id="124" w:name="_Toc468267483"/>
      <w:bookmarkStart w:id="125" w:name="_Toc409424345"/>
      <w:bookmarkStart w:id="126" w:name="_Toc350070695"/>
      <w:bookmarkStart w:id="127" w:name="_Toc351644313"/>
      <w:r>
        <w:rPr>
          <w:rFonts w:ascii="宋体" w:hAnsi="宋体"/>
          <w:color w:val="auto"/>
        </w:rPr>
        <w:t>（二）投标函附录</w:t>
      </w:r>
      <w:bookmarkEnd w:id="123"/>
      <w:bookmarkEnd w:id="124"/>
      <w:bookmarkEnd w:id="125"/>
      <w:bookmarkEnd w:id="126"/>
      <w:bookmarkEnd w:id="127"/>
    </w:p>
    <w:p>
      <w:pPr>
        <w:spacing w:line="300" w:lineRule="auto"/>
        <w:rPr>
          <w:rFonts w:ascii="宋体" w:hAnsi="宋体"/>
          <w:color w:val="auto"/>
          <w:sz w:val="20"/>
          <w:szCs w:val="20"/>
        </w:rPr>
      </w:pP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468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ascii="宋体" w:hAnsi="宋体"/>
                <w:b/>
                <w:color w:val="auto"/>
                <w:szCs w:val="21"/>
              </w:rPr>
            </w:pPr>
            <w:r>
              <w:rPr>
                <w:rFonts w:ascii="宋体" w:hAnsi="宋体"/>
                <w:b/>
                <w:color w:val="auto"/>
                <w:szCs w:val="21"/>
              </w:rPr>
              <w:t>序号</w:t>
            </w:r>
          </w:p>
        </w:tc>
        <w:tc>
          <w:tcPr>
            <w:tcW w:w="2337" w:type="dxa"/>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条款名称</w:t>
            </w:r>
          </w:p>
        </w:tc>
        <w:tc>
          <w:tcPr>
            <w:tcW w:w="4681" w:type="dxa"/>
            <w:noWrap w:val="0"/>
            <w:vAlign w:val="center"/>
          </w:tcPr>
          <w:p>
            <w:pPr>
              <w:spacing w:line="300" w:lineRule="auto"/>
              <w:jc w:val="center"/>
              <w:rPr>
                <w:rFonts w:ascii="宋体" w:hAnsi="宋体"/>
                <w:b/>
                <w:color w:val="auto"/>
                <w:szCs w:val="21"/>
              </w:rPr>
            </w:pPr>
            <w:r>
              <w:rPr>
                <w:rFonts w:hint="eastAsia" w:ascii="宋体" w:hAnsi="宋体"/>
                <w:b/>
                <w:color w:val="auto"/>
                <w:szCs w:val="21"/>
              </w:rPr>
              <w:t>约定</w:t>
            </w:r>
            <w:r>
              <w:rPr>
                <w:rFonts w:ascii="宋体" w:hAnsi="宋体"/>
                <w:b/>
                <w:color w:val="auto"/>
                <w:szCs w:val="21"/>
              </w:rPr>
              <w:t>内容</w:t>
            </w:r>
          </w:p>
        </w:tc>
        <w:tc>
          <w:tcPr>
            <w:tcW w:w="1620" w:type="dxa"/>
            <w:noWrap w:val="0"/>
            <w:vAlign w:val="center"/>
          </w:tcPr>
          <w:p>
            <w:pPr>
              <w:spacing w:line="300" w:lineRule="auto"/>
              <w:jc w:val="center"/>
              <w:rPr>
                <w:rFonts w:ascii="宋体" w:hAnsi="宋体"/>
                <w:b/>
                <w:color w:val="auto"/>
                <w:szCs w:val="21"/>
              </w:rPr>
            </w:pPr>
            <w:r>
              <w:rPr>
                <w:rFonts w:hint="eastAsia" w:ascii="宋体" w:hAnsi="宋体"/>
                <w:b/>
                <w:color w:val="auto"/>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1</w:t>
            </w:r>
          </w:p>
        </w:tc>
        <w:tc>
          <w:tcPr>
            <w:tcW w:w="2337" w:type="dxa"/>
            <w:noWrap w:val="0"/>
            <w:vAlign w:val="center"/>
          </w:tcPr>
          <w:p>
            <w:pPr>
              <w:spacing w:line="300" w:lineRule="auto"/>
              <w:jc w:val="center"/>
              <w:rPr>
                <w:rFonts w:ascii="宋体" w:hAnsi="宋体"/>
                <w:color w:val="auto"/>
                <w:szCs w:val="21"/>
              </w:rPr>
            </w:pPr>
            <w:r>
              <w:rPr>
                <w:rFonts w:hint="eastAsia" w:ascii="宋体" w:hAnsi="宋体"/>
                <w:color w:val="auto"/>
                <w:szCs w:val="21"/>
              </w:rPr>
              <w:t>供货期</w:t>
            </w:r>
          </w:p>
        </w:tc>
        <w:tc>
          <w:tcPr>
            <w:tcW w:w="4681" w:type="dxa"/>
            <w:noWrap w:val="0"/>
            <w:vAlign w:val="center"/>
          </w:tcPr>
          <w:p>
            <w:pPr>
              <w:spacing w:line="300" w:lineRule="auto"/>
              <w:rPr>
                <w:rFonts w:ascii="宋体" w:hAnsi="宋体"/>
                <w:color w:val="auto"/>
                <w:szCs w:val="21"/>
                <w:u w:val="single"/>
              </w:rPr>
            </w:pP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w:t>
            </w:r>
          </w:p>
        </w:tc>
        <w:tc>
          <w:tcPr>
            <w:tcW w:w="2337" w:type="dxa"/>
            <w:noWrap w:val="0"/>
            <w:vAlign w:val="center"/>
          </w:tcPr>
          <w:p>
            <w:pPr>
              <w:spacing w:line="300" w:lineRule="auto"/>
              <w:jc w:val="center"/>
              <w:rPr>
                <w:rFonts w:hint="eastAsia" w:ascii="宋体" w:hAnsi="宋体"/>
                <w:color w:val="auto"/>
                <w:szCs w:val="21"/>
              </w:rPr>
            </w:pPr>
            <w:r>
              <w:rPr>
                <w:rFonts w:ascii="宋体" w:hAnsi="宋体"/>
                <w:color w:val="auto"/>
                <w:szCs w:val="21"/>
              </w:rPr>
              <w:t>投标内容</w:t>
            </w:r>
          </w:p>
        </w:tc>
        <w:tc>
          <w:tcPr>
            <w:tcW w:w="4681" w:type="dxa"/>
            <w:noWrap w:val="0"/>
            <w:vAlign w:val="center"/>
          </w:tcPr>
          <w:p>
            <w:pPr>
              <w:spacing w:line="300" w:lineRule="auto"/>
              <w:rPr>
                <w:rFonts w:ascii="宋体" w:hAnsi="宋体"/>
                <w:color w:val="auto"/>
                <w:szCs w:val="21"/>
                <w:u w:val="single"/>
              </w:rPr>
            </w:pP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3</w:t>
            </w:r>
          </w:p>
        </w:tc>
        <w:tc>
          <w:tcPr>
            <w:tcW w:w="2337" w:type="dxa"/>
            <w:noWrap w:val="0"/>
            <w:vAlign w:val="center"/>
          </w:tcPr>
          <w:p>
            <w:pPr>
              <w:autoSpaceDE w:val="0"/>
              <w:autoSpaceDN w:val="0"/>
              <w:adjustRightInd w:val="0"/>
              <w:spacing w:line="300" w:lineRule="auto"/>
              <w:jc w:val="center"/>
              <w:rPr>
                <w:rFonts w:hint="eastAsia" w:ascii="宋体" w:hAnsi="宋体" w:cs="仿宋_GB2312"/>
                <w:color w:val="auto"/>
                <w:kern w:val="0"/>
                <w:szCs w:val="21"/>
              </w:rPr>
            </w:pPr>
            <w:r>
              <w:rPr>
                <w:rFonts w:hint="eastAsia" w:ascii="宋体" w:hAnsi="宋体" w:cs="仿宋_GB2312"/>
                <w:color w:val="auto"/>
                <w:kern w:val="0"/>
                <w:szCs w:val="21"/>
              </w:rPr>
              <w:t>投标有效期</w:t>
            </w:r>
          </w:p>
        </w:tc>
        <w:tc>
          <w:tcPr>
            <w:tcW w:w="4681" w:type="dxa"/>
            <w:noWrap w:val="0"/>
            <w:vAlign w:val="center"/>
          </w:tcPr>
          <w:p>
            <w:pPr>
              <w:autoSpaceDE w:val="0"/>
              <w:autoSpaceDN w:val="0"/>
              <w:adjustRightInd w:val="0"/>
              <w:spacing w:line="300" w:lineRule="auto"/>
              <w:rPr>
                <w:rFonts w:hint="eastAsia" w:ascii="宋体" w:hAnsi="宋体" w:cs="仿宋_GB2312"/>
                <w:color w:val="auto"/>
                <w:kern w:val="0"/>
                <w:szCs w:val="21"/>
              </w:rPr>
            </w:pPr>
            <w:r>
              <w:rPr>
                <w:rFonts w:hint="eastAsia" w:ascii="宋体" w:hAnsi="宋体" w:cs="仿宋_GB2312"/>
                <w:color w:val="auto"/>
                <w:kern w:val="0"/>
                <w:szCs w:val="21"/>
              </w:rPr>
              <w:t>90天</w:t>
            </w: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4</w:t>
            </w:r>
          </w:p>
        </w:tc>
        <w:tc>
          <w:tcPr>
            <w:tcW w:w="2337" w:type="dxa"/>
            <w:noWrap w:val="0"/>
            <w:vAlign w:val="center"/>
          </w:tcPr>
          <w:p>
            <w:pPr>
              <w:autoSpaceDE w:val="0"/>
              <w:autoSpaceDN w:val="0"/>
              <w:adjustRightInd w:val="0"/>
              <w:spacing w:line="300" w:lineRule="auto"/>
              <w:jc w:val="center"/>
              <w:rPr>
                <w:rFonts w:hint="eastAsia" w:ascii="宋体" w:hAnsi="宋体" w:cs="仿宋_GB2312"/>
                <w:color w:val="auto"/>
                <w:kern w:val="0"/>
                <w:szCs w:val="21"/>
              </w:rPr>
            </w:pPr>
            <w:r>
              <w:rPr>
                <w:rFonts w:ascii="宋体" w:hAnsi="宋体"/>
                <w:color w:val="auto"/>
                <w:szCs w:val="21"/>
              </w:rPr>
              <w:t>权利义务</w:t>
            </w:r>
          </w:p>
        </w:tc>
        <w:tc>
          <w:tcPr>
            <w:tcW w:w="4681" w:type="dxa"/>
            <w:noWrap w:val="0"/>
            <w:vAlign w:val="center"/>
          </w:tcPr>
          <w:p>
            <w:pPr>
              <w:autoSpaceDE w:val="0"/>
              <w:autoSpaceDN w:val="0"/>
              <w:adjustRightInd w:val="0"/>
              <w:spacing w:line="300" w:lineRule="auto"/>
              <w:rPr>
                <w:rFonts w:hint="eastAsia" w:ascii="宋体" w:hAnsi="宋体" w:cs="仿宋_GB2312"/>
                <w:color w:val="auto"/>
                <w:kern w:val="0"/>
                <w:szCs w:val="21"/>
              </w:rPr>
            </w:pPr>
            <w:r>
              <w:rPr>
                <w:rFonts w:hint="eastAsia" w:ascii="宋体" w:hAnsi="宋体" w:cs="宋体"/>
                <w:bCs/>
                <w:color w:val="auto"/>
                <w:szCs w:val="21"/>
                <w:lang w:val="zh-CN"/>
              </w:rPr>
              <w:t>符合第四章“合同条款”规定</w:t>
            </w: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5</w:t>
            </w:r>
          </w:p>
        </w:tc>
        <w:tc>
          <w:tcPr>
            <w:tcW w:w="2337" w:type="dxa"/>
            <w:noWrap w:val="0"/>
            <w:vAlign w:val="center"/>
          </w:tcPr>
          <w:p>
            <w:pPr>
              <w:autoSpaceDE w:val="0"/>
              <w:autoSpaceDN w:val="0"/>
              <w:adjustRightInd w:val="0"/>
              <w:spacing w:line="300" w:lineRule="auto"/>
              <w:jc w:val="center"/>
              <w:rPr>
                <w:rFonts w:ascii="宋体" w:hAnsi="宋体"/>
                <w:color w:val="auto"/>
                <w:szCs w:val="21"/>
              </w:rPr>
            </w:pPr>
            <w:r>
              <w:rPr>
                <w:rFonts w:hint="eastAsia" w:ascii="宋体" w:hAnsi="宋体"/>
                <w:color w:val="auto"/>
                <w:szCs w:val="21"/>
              </w:rPr>
              <w:t>质保期</w:t>
            </w:r>
          </w:p>
        </w:tc>
        <w:tc>
          <w:tcPr>
            <w:tcW w:w="4681" w:type="dxa"/>
            <w:noWrap w:val="0"/>
            <w:vAlign w:val="center"/>
          </w:tcPr>
          <w:p>
            <w:pPr>
              <w:autoSpaceDE w:val="0"/>
              <w:autoSpaceDN w:val="0"/>
              <w:adjustRightInd w:val="0"/>
              <w:spacing w:line="300" w:lineRule="auto"/>
              <w:rPr>
                <w:rFonts w:hint="eastAsia" w:ascii="宋体" w:hAnsi="宋体" w:cs="宋体"/>
                <w:bCs/>
                <w:color w:val="auto"/>
                <w:szCs w:val="21"/>
                <w:lang w:val="zh-CN"/>
              </w:rPr>
            </w:pP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6</w:t>
            </w:r>
          </w:p>
        </w:tc>
        <w:tc>
          <w:tcPr>
            <w:tcW w:w="2337" w:type="dxa"/>
            <w:noWrap w:val="0"/>
            <w:vAlign w:val="center"/>
          </w:tcPr>
          <w:p>
            <w:pPr>
              <w:autoSpaceDE w:val="0"/>
              <w:autoSpaceDN w:val="0"/>
              <w:adjustRightInd w:val="0"/>
              <w:spacing w:line="300" w:lineRule="auto"/>
              <w:jc w:val="center"/>
              <w:rPr>
                <w:rFonts w:hint="eastAsia" w:ascii="宋体" w:hAnsi="宋体"/>
                <w:color w:val="auto"/>
                <w:szCs w:val="21"/>
              </w:rPr>
            </w:pPr>
            <w:r>
              <w:rPr>
                <w:rFonts w:hint="eastAsia" w:ascii="宋体" w:hAnsi="宋体"/>
                <w:color w:val="auto"/>
                <w:szCs w:val="21"/>
              </w:rPr>
              <w:t>供货地点</w:t>
            </w:r>
          </w:p>
        </w:tc>
        <w:tc>
          <w:tcPr>
            <w:tcW w:w="4681" w:type="dxa"/>
            <w:noWrap w:val="0"/>
            <w:vAlign w:val="center"/>
          </w:tcPr>
          <w:p>
            <w:pPr>
              <w:autoSpaceDE w:val="0"/>
              <w:autoSpaceDN w:val="0"/>
              <w:adjustRightInd w:val="0"/>
              <w:spacing w:line="300" w:lineRule="auto"/>
              <w:rPr>
                <w:rFonts w:hint="eastAsia" w:ascii="宋体" w:hAnsi="宋体" w:cs="宋体"/>
                <w:bCs/>
                <w:color w:val="auto"/>
                <w:szCs w:val="21"/>
                <w:lang w:val="zh-CN"/>
              </w:rPr>
            </w:pPr>
          </w:p>
        </w:tc>
        <w:tc>
          <w:tcPr>
            <w:tcW w:w="1620" w:type="dxa"/>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2337" w:type="dxa"/>
            <w:noWrap w:val="0"/>
            <w:vAlign w:val="center"/>
          </w:tcPr>
          <w:p>
            <w:pPr>
              <w:autoSpaceDE w:val="0"/>
              <w:autoSpaceDN w:val="0"/>
              <w:adjustRightInd w:val="0"/>
              <w:spacing w:line="300" w:lineRule="auto"/>
              <w:jc w:val="center"/>
              <w:rPr>
                <w:rFonts w:hint="default" w:ascii="宋体" w:hAnsi="宋体" w:eastAsia="宋体"/>
                <w:color w:val="auto"/>
                <w:szCs w:val="21"/>
                <w:lang w:val="en-US" w:eastAsia="zh-CN"/>
              </w:rPr>
            </w:pPr>
            <w:r>
              <w:rPr>
                <w:rFonts w:hint="eastAsia" w:ascii="宋体" w:hAnsi="宋体"/>
                <w:color w:val="auto"/>
                <w:szCs w:val="21"/>
                <w:lang w:val="en-US" w:eastAsia="zh-CN"/>
              </w:rPr>
              <w:t>......</w:t>
            </w:r>
          </w:p>
        </w:tc>
        <w:tc>
          <w:tcPr>
            <w:tcW w:w="4681" w:type="dxa"/>
            <w:noWrap w:val="0"/>
            <w:vAlign w:val="center"/>
          </w:tcPr>
          <w:p>
            <w:pPr>
              <w:autoSpaceDE w:val="0"/>
              <w:autoSpaceDN w:val="0"/>
              <w:adjustRightInd w:val="0"/>
              <w:spacing w:line="300" w:lineRule="auto"/>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w:t>
            </w:r>
          </w:p>
        </w:tc>
        <w:tc>
          <w:tcPr>
            <w:tcW w:w="1620" w:type="dxa"/>
            <w:noWrap w:val="0"/>
            <w:vAlign w:val="center"/>
          </w:tcPr>
          <w:p>
            <w:pPr>
              <w:spacing w:line="300" w:lineRule="auto"/>
              <w:jc w:val="center"/>
              <w:rPr>
                <w:rFonts w:ascii="宋体" w:hAnsi="宋体"/>
                <w:color w:val="auto"/>
                <w:szCs w:val="21"/>
              </w:rPr>
            </w:pPr>
          </w:p>
        </w:tc>
      </w:tr>
    </w:tbl>
    <w:p>
      <w:pPr>
        <w:spacing w:line="300" w:lineRule="auto"/>
        <w:ind w:left="840" w:leftChars="400" w:firstLine="2200" w:firstLineChars="1100"/>
        <w:rPr>
          <w:rFonts w:hint="eastAsia" w:ascii="宋体" w:hAnsi="宋体"/>
          <w:color w:val="auto"/>
          <w:sz w:val="20"/>
          <w:szCs w:val="20"/>
        </w:rPr>
      </w:pPr>
    </w:p>
    <w:p>
      <w:pPr>
        <w:pStyle w:val="4"/>
        <w:spacing w:before="0" w:after="0" w:line="300" w:lineRule="auto"/>
        <w:jc w:val="center"/>
        <w:rPr>
          <w:rFonts w:hint="eastAsia" w:ascii="宋体" w:hAnsi="宋体" w:eastAsia="宋体"/>
          <w:color w:val="auto"/>
        </w:rPr>
      </w:pPr>
      <w:r>
        <w:rPr>
          <w:rFonts w:ascii="宋体" w:hAnsi="宋体" w:eastAsia="宋体"/>
          <w:color w:val="auto"/>
          <w:sz w:val="20"/>
          <w:szCs w:val="20"/>
        </w:rPr>
        <w:br w:type="page"/>
      </w:r>
      <w:r>
        <w:rPr>
          <w:rFonts w:hint="eastAsia" w:ascii="宋体" w:hAnsi="宋体" w:eastAsia="宋体"/>
          <w:color w:val="auto"/>
        </w:rPr>
        <w:t xml:space="preserve"> </w:t>
      </w:r>
      <w:bookmarkStart w:id="128" w:name="_Toc468267484"/>
      <w:bookmarkStart w:id="129" w:name="_Toc351644314"/>
      <w:bookmarkStart w:id="130" w:name="_Toc409424407"/>
      <w:bookmarkStart w:id="131" w:name="_Toc409424346"/>
      <w:bookmarkStart w:id="132" w:name="_Toc350070696"/>
      <w:r>
        <w:rPr>
          <w:rFonts w:hint="eastAsia" w:ascii="宋体" w:hAnsi="宋体" w:eastAsia="宋体"/>
          <w:color w:val="auto"/>
        </w:rPr>
        <w:t>二</w:t>
      </w:r>
      <w:r>
        <w:rPr>
          <w:rFonts w:ascii="宋体" w:hAnsi="宋体" w:eastAsia="宋体"/>
          <w:color w:val="auto"/>
        </w:rPr>
        <w:t>、</w:t>
      </w:r>
      <w:r>
        <w:rPr>
          <w:rFonts w:hint="eastAsia" w:ascii="宋体" w:hAnsi="宋体" w:eastAsia="宋体"/>
          <w:color w:val="auto"/>
        </w:rPr>
        <w:t>开标一览表</w:t>
      </w:r>
      <w:bookmarkEnd w:id="128"/>
      <w:bookmarkEnd w:id="129"/>
      <w:bookmarkEnd w:id="130"/>
      <w:bookmarkEnd w:id="131"/>
      <w:bookmarkEnd w:id="132"/>
    </w:p>
    <w:p>
      <w:pPr>
        <w:spacing w:line="300" w:lineRule="auto"/>
        <w:ind w:left="-2" w:leftChars="-51" w:hanging="105" w:hangingChars="50"/>
        <w:rPr>
          <w:rFonts w:hint="eastAsia" w:ascii="宋体" w:hAnsi="宋体"/>
          <w:color w:val="auto"/>
          <w:szCs w:val="21"/>
          <w:u w:val="single"/>
        </w:rPr>
      </w:pPr>
      <w:r>
        <w:rPr>
          <w:rFonts w:hint="eastAsia" w:ascii="宋体" w:hAnsi="宋体"/>
          <w:color w:val="auto"/>
          <w:szCs w:val="21"/>
        </w:rPr>
        <w:t>项</w:t>
      </w:r>
      <w:r>
        <w:rPr>
          <w:rFonts w:ascii="宋体" w:hAnsi="宋体"/>
          <w:color w:val="auto"/>
          <w:szCs w:val="21"/>
        </w:rPr>
        <w:t xml:space="preserve"> </w:t>
      </w:r>
      <w:r>
        <w:rPr>
          <w:rFonts w:hint="eastAsia" w:ascii="宋体" w:hAnsi="宋体"/>
          <w:color w:val="auto"/>
          <w:szCs w:val="21"/>
        </w:rPr>
        <w:t>目</w:t>
      </w:r>
      <w:r>
        <w:rPr>
          <w:rFonts w:ascii="宋体" w:hAnsi="宋体"/>
          <w:color w:val="auto"/>
          <w:szCs w:val="21"/>
        </w:rPr>
        <w:t xml:space="preserve"> </w:t>
      </w:r>
      <w:r>
        <w:rPr>
          <w:rFonts w:hint="eastAsia" w:ascii="宋体" w:hAnsi="宋体"/>
          <w:color w:val="auto"/>
          <w:szCs w:val="21"/>
        </w:rPr>
        <w:t>名</w:t>
      </w:r>
      <w:r>
        <w:rPr>
          <w:rFonts w:ascii="宋体" w:hAnsi="宋体"/>
          <w:color w:val="auto"/>
          <w:szCs w:val="21"/>
        </w:rPr>
        <w:t xml:space="preserve"> </w:t>
      </w:r>
      <w:r>
        <w:rPr>
          <w:rFonts w:hint="eastAsia" w:ascii="宋体" w:hAnsi="宋体"/>
          <w:color w:val="auto"/>
          <w:szCs w:val="21"/>
        </w:rPr>
        <w:t>称</w:t>
      </w:r>
      <w:r>
        <w:rPr>
          <w:rFonts w:ascii="宋体" w:hAnsi="宋体"/>
          <w:color w:val="auto"/>
          <w:szCs w:val="21"/>
        </w:rPr>
        <w:t xml:space="preserve"> </w:t>
      </w:r>
      <w:r>
        <w:rPr>
          <w:rFonts w:hint="eastAsia" w:ascii="宋体" w:hAnsi="宋体"/>
          <w:color w:val="auto"/>
          <w:szCs w:val="21"/>
        </w:rPr>
        <w:t xml:space="preserve">：   </w:t>
      </w:r>
    </w:p>
    <w:p>
      <w:pPr>
        <w:spacing w:line="300" w:lineRule="auto"/>
        <w:ind w:left="-2" w:leftChars="-51" w:hanging="105" w:hangingChars="50"/>
        <w:rPr>
          <w:rFonts w:hint="eastAsia" w:ascii="宋体" w:hAnsi="宋体"/>
          <w:color w:val="auto"/>
          <w:szCs w:val="21"/>
        </w:rPr>
      </w:pPr>
      <w:r>
        <w:rPr>
          <w:rFonts w:hint="eastAsia" w:ascii="宋体" w:hAnsi="宋体"/>
          <w:color w:val="auto"/>
          <w:szCs w:val="21"/>
        </w:rPr>
        <w:t>招标项目编号：</w:t>
      </w:r>
    </w:p>
    <w:tbl>
      <w:tblPr>
        <w:tblStyle w:val="23"/>
        <w:tblW w:w="96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2696"/>
        <w:gridCol w:w="16"/>
        <w:gridCol w:w="1792"/>
        <w:gridCol w:w="8"/>
        <w:gridCol w:w="3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投标单位</w:t>
            </w:r>
          </w:p>
        </w:tc>
        <w:tc>
          <w:tcPr>
            <w:tcW w:w="79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投标报价</w:t>
            </w:r>
          </w:p>
        </w:tc>
        <w:tc>
          <w:tcPr>
            <w:tcW w:w="79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大写：       元（小写：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投标保证金</w:t>
            </w:r>
          </w:p>
          <w:p>
            <w:pPr>
              <w:spacing w:line="300" w:lineRule="auto"/>
              <w:jc w:val="center"/>
              <w:rPr>
                <w:rFonts w:hint="eastAsia" w:ascii="宋体" w:hAnsi="宋体"/>
                <w:color w:val="auto"/>
                <w:szCs w:val="21"/>
              </w:rPr>
            </w:pPr>
            <w:r>
              <w:rPr>
                <w:rFonts w:hint="eastAsia" w:ascii="宋体" w:hAnsi="宋体"/>
                <w:color w:val="auto"/>
                <w:szCs w:val="21"/>
              </w:rPr>
              <w:t>（有/无需缴纳）</w:t>
            </w:r>
          </w:p>
        </w:tc>
        <w:tc>
          <w:tcPr>
            <w:tcW w:w="27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质量标准</w:t>
            </w:r>
          </w:p>
        </w:tc>
        <w:tc>
          <w:tcPr>
            <w:tcW w:w="3430"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宋体" w:hAnsi="宋体" w:eastAsia="宋体"/>
                <w:color w:val="auto"/>
                <w:szCs w:val="21"/>
                <w:lang w:val="en-US" w:eastAsia="zh-CN"/>
              </w:rPr>
            </w:pPr>
            <w:r>
              <w:rPr>
                <w:rFonts w:hint="eastAsia" w:ascii="宋体" w:hAnsi="宋体"/>
                <w:color w:val="auto"/>
                <w:szCs w:val="21"/>
                <w:lang w:val="en-US" w:eastAsia="zh-CN"/>
              </w:rPr>
              <w:t>合同履行期限</w:t>
            </w:r>
          </w:p>
        </w:tc>
        <w:tc>
          <w:tcPr>
            <w:tcW w:w="79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Theme="majorEastAsia" w:hAnsiTheme="majorEastAsia" w:eastAsiaTheme="majorEastAsia"/>
                <w:color w:val="auto"/>
                <w:szCs w:val="21"/>
              </w:rPr>
              <w:t>质保期</w:t>
            </w:r>
          </w:p>
        </w:tc>
        <w:tc>
          <w:tcPr>
            <w:tcW w:w="79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3"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优惠条件</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服务承诺</w:t>
            </w:r>
          </w:p>
        </w:tc>
        <w:tc>
          <w:tcPr>
            <w:tcW w:w="343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备注</w:t>
            </w:r>
          </w:p>
        </w:tc>
        <w:tc>
          <w:tcPr>
            <w:tcW w:w="7942" w:type="dxa"/>
            <w:gridSpan w:val="5"/>
            <w:tcBorders>
              <w:top w:val="single" w:color="auto" w:sz="4" w:space="0"/>
              <w:left w:val="single" w:color="auto" w:sz="4" w:space="0"/>
              <w:bottom w:val="single" w:color="auto" w:sz="4" w:space="0"/>
              <w:right w:val="single" w:color="auto" w:sz="4" w:space="0"/>
            </w:tcBorders>
            <w:noWrap w:val="0"/>
            <w:vAlign w:val="top"/>
          </w:tcPr>
          <w:p>
            <w:pPr>
              <w:numPr>
                <w:ilvl w:val="0"/>
                <w:numId w:val="16"/>
              </w:numPr>
              <w:tabs>
                <w:tab w:val="left" w:pos="360"/>
              </w:tabs>
              <w:spacing w:line="300" w:lineRule="auto"/>
              <w:rPr>
                <w:rFonts w:ascii="宋体" w:hAnsi="宋体"/>
                <w:color w:val="auto"/>
                <w:szCs w:val="21"/>
              </w:rPr>
            </w:pPr>
            <w:r>
              <w:rPr>
                <w:rFonts w:hint="eastAsia" w:ascii="宋体" w:hAnsi="宋体"/>
                <w:color w:val="auto"/>
                <w:szCs w:val="21"/>
              </w:rPr>
              <w:t>本表只做唱标时使用，但本表的一切内容均具有法律效力，不得更改。</w:t>
            </w:r>
          </w:p>
          <w:p>
            <w:pPr>
              <w:numPr>
                <w:ilvl w:val="0"/>
                <w:numId w:val="16"/>
              </w:numPr>
              <w:tabs>
                <w:tab w:val="left" w:pos="360"/>
              </w:tabs>
              <w:spacing w:line="300" w:lineRule="auto"/>
              <w:rPr>
                <w:rFonts w:hint="eastAsia" w:ascii="宋体" w:hAnsi="宋体"/>
                <w:color w:val="auto"/>
                <w:szCs w:val="21"/>
              </w:rPr>
            </w:pPr>
            <w:r>
              <w:rPr>
                <w:rFonts w:hint="eastAsia" w:ascii="宋体" w:hAnsi="宋体"/>
                <w:color w:val="auto"/>
                <w:szCs w:val="21"/>
              </w:rPr>
              <w:t>填报的内容必须和投标文件及投标函中的内容一致。</w:t>
            </w:r>
          </w:p>
          <w:p>
            <w:pPr>
              <w:numPr>
                <w:ilvl w:val="0"/>
                <w:numId w:val="16"/>
              </w:numPr>
              <w:tabs>
                <w:tab w:val="left" w:pos="360"/>
              </w:tabs>
              <w:spacing w:line="300" w:lineRule="auto"/>
              <w:rPr>
                <w:rFonts w:ascii="宋体" w:hAnsi="宋体"/>
                <w:color w:val="auto"/>
                <w:szCs w:val="21"/>
              </w:rPr>
            </w:pPr>
            <w:r>
              <w:rPr>
                <w:rFonts w:hint="eastAsia" w:ascii="宋体" w:hAnsi="宋体"/>
                <w:color w:val="auto"/>
                <w:szCs w:val="21"/>
              </w:rPr>
              <w:t>投标报价为采购货物、运输、税金、利润等一切报价的总和。</w:t>
            </w:r>
          </w:p>
          <w:p>
            <w:pPr>
              <w:numPr>
                <w:ilvl w:val="0"/>
                <w:numId w:val="16"/>
              </w:numPr>
              <w:tabs>
                <w:tab w:val="left" w:pos="360"/>
              </w:tabs>
              <w:spacing w:line="300" w:lineRule="auto"/>
              <w:rPr>
                <w:rFonts w:ascii="宋体" w:hAnsi="宋体"/>
                <w:color w:val="auto"/>
                <w:szCs w:val="21"/>
              </w:rPr>
            </w:pPr>
            <w:r>
              <w:rPr>
                <w:rFonts w:hint="eastAsia" w:ascii="宋体" w:hAnsi="宋体"/>
                <w:color w:val="auto"/>
                <w:szCs w:val="21"/>
              </w:rPr>
              <w:t>优惠条件、服务承诺，详细内容必须在投标书中载明，如内容较多，本表只填写“有”“无”即可。</w:t>
            </w:r>
          </w:p>
          <w:p>
            <w:pPr>
              <w:numPr>
                <w:ilvl w:val="0"/>
                <w:numId w:val="16"/>
              </w:numPr>
              <w:tabs>
                <w:tab w:val="left" w:pos="360"/>
              </w:tabs>
              <w:spacing w:line="300" w:lineRule="auto"/>
              <w:rPr>
                <w:rFonts w:ascii="宋体" w:hAnsi="宋体"/>
                <w:b/>
                <w:color w:val="auto"/>
                <w:szCs w:val="21"/>
              </w:rPr>
            </w:pPr>
            <w:r>
              <w:rPr>
                <w:rFonts w:hint="eastAsia" w:ascii="宋体" w:hAnsi="宋体"/>
                <w:b/>
                <w:color w:val="auto"/>
                <w:szCs w:val="21"/>
              </w:rPr>
              <w:t>投标报价以元为单位，最多保留小数点后两位有效数字。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65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olor w:val="auto"/>
                <w:szCs w:val="21"/>
              </w:rPr>
            </w:pPr>
          </w:p>
          <w:p>
            <w:pPr>
              <w:spacing w:line="300" w:lineRule="auto"/>
              <w:rPr>
                <w:rFonts w:ascii="宋体" w:hAnsi="宋体"/>
                <w:color w:val="auto"/>
                <w:szCs w:val="21"/>
              </w:rPr>
            </w:pPr>
            <w:r>
              <w:rPr>
                <w:rFonts w:hint="eastAsia" w:ascii="宋体" w:hAnsi="宋体"/>
                <w:color w:val="auto"/>
                <w:szCs w:val="21"/>
              </w:rPr>
              <w:t>投标人：</w:t>
            </w:r>
            <w:r>
              <w:rPr>
                <w:rFonts w:ascii="宋体" w:hAnsi="宋体"/>
                <w:color w:val="auto"/>
                <w:szCs w:val="21"/>
              </w:rPr>
              <w:t xml:space="preserve">        </w:t>
            </w:r>
            <w:r>
              <w:rPr>
                <w:rFonts w:hint="eastAsia" w:ascii="宋体" w:hAnsi="宋体"/>
                <w:color w:val="auto"/>
                <w:szCs w:val="21"/>
              </w:rPr>
              <w:t>（盖章）</w:t>
            </w:r>
            <w:r>
              <w:rPr>
                <w:rFonts w:ascii="宋体" w:hAnsi="宋体"/>
                <w:color w:val="auto"/>
                <w:szCs w:val="21"/>
              </w:rPr>
              <w:t xml:space="preserve">                 </w:t>
            </w:r>
            <w:r>
              <w:rPr>
                <w:rFonts w:hint="eastAsia" w:ascii="宋体" w:hAnsi="宋体"/>
                <w:color w:val="auto"/>
                <w:szCs w:val="21"/>
              </w:rPr>
              <w:t>法定代表人或被授权人：</w:t>
            </w:r>
            <w:r>
              <w:rPr>
                <w:rFonts w:ascii="宋体" w:hAnsi="宋体"/>
                <w:color w:val="auto"/>
                <w:szCs w:val="21"/>
              </w:rPr>
              <w:t xml:space="preserve">          </w:t>
            </w:r>
            <w:r>
              <w:rPr>
                <w:rFonts w:hint="eastAsia" w:ascii="宋体" w:hAnsi="宋体"/>
                <w:color w:val="auto"/>
                <w:szCs w:val="21"/>
              </w:rPr>
              <w:t>（签字或盖章）</w:t>
            </w:r>
          </w:p>
          <w:p>
            <w:pPr>
              <w:spacing w:line="300" w:lineRule="auto"/>
              <w:rPr>
                <w:rFonts w:ascii="宋体" w:hAnsi="宋体"/>
                <w:color w:val="auto"/>
                <w:szCs w:val="21"/>
              </w:rPr>
            </w:pPr>
          </w:p>
        </w:tc>
      </w:tr>
    </w:tbl>
    <w:p>
      <w:pPr>
        <w:spacing w:line="300" w:lineRule="auto"/>
        <w:jc w:val="center"/>
        <w:rPr>
          <w:rFonts w:ascii="宋体" w:hAnsi="宋体"/>
          <w:color w:val="auto"/>
          <w:sz w:val="20"/>
          <w:szCs w:val="20"/>
        </w:rPr>
      </w:pPr>
      <w:r>
        <w:rPr>
          <w:rFonts w:ascii="宋体" w:hAnsi="宋体"/>
          <w:color w:val="auto"/>
          <w:sz w:val="20"/>
          <w:szCs w:val="20"/>
        </w:rPr>
        <w:br w:type="page"/>
      </w:r>
    </w:p>
    <w:p>
      <w:pPr>
        <w:pStyle w:val="4"/>
        <w:spacing w:before="0" w:after="0" w:line="300" w:lineRule="auto"/>
        <w:jc w:val="center"/>
        <w:rPr>
          <w:rFonts w:hint="eastAsia" w:ascii="宋体" w:hAnsi="宋体" w:eastAsia="宋体"/>
          <w:color w:val="auto"/>
        </w:rPr>
      </w:pPr>
      <w:bookmarkStart w:id="133" w:name="_Toc409424408"/>
      <w:bookmarkStart w:id="134" w:name="_Toc468267485"/>
      <w:bookmarkStart w:id="135" w:name="_Toc409424347"/>
      <w:bookmarkStart w:id="136" w:name="_Toc351644315"/>
      <w:bookmarkStart w:id="137" w:name="_Toc350070697"/>
      <w:r>
        <w:rPr>
          <w:rFonts w:hint="eastAsia" w:ascii="宋体" w:hAnsi="宋体" w:eastAsia="宋体"/>
          <w:color w:val="auto"/>
        </w:rPr>
        <w:t>三</w:t>
      </w:r>
      <w:r>
        <w:rPr>
          <w:rFonts w:ascii="宋体" w:hAnsi="宋体" w:eastAsia="宋体"/>
          <w:color w:val="auto"/>
        </w:rPr>
        <w:t>、</w:t>
      </w:r>
      <w:r>
        <w:rPr>
          <w:rFonts w:hint="eastAsia" w:ascii="宋体" w:hAnsi="宋体" w:eastAsia="宋体"/>
          <w:color w:val="auto"/>
        </w:rPr>
        <w:t>法定代表人身份证明或附有法定代表人身份证明的授权委托书</w:t>
      </w:r>
      <w:bookmarkEnd w:id="133"/>
      <w:bookmarkEnd w:id="134"/>
      <w:bookmarkEnd w:id="135"/>
    </w:p>
    <w:p>
      <w:pPr>
        <w:pStyle w:val="4"/>
        <w:spacing w:before="0" w:after="0" w:line="300" w:lineRule="auto"/>
        <w:jc w:val="center"/>
        <w:rPr>
          <w:rFonts w:ascii="宋体" w:hAnsi="宋体" w:eastAsia="宋体"/>
          <w:color w:val="auto"/>
        </w:rPr>
      </w:pPr>
      <w:bookmarkStart w:id="138" w:name="_Toc409424348"/>
      <w:bookmarkStart w:id="139" w:name="_Toc409424409"/>
      <w:bookmarkStart w:id="140" w:name="_Toc468267486"/>
      <w:r>
        <w:rPr>
          <w:rFonts w:hint="eastAsia" w:ascii="宋体" w:hAnsi="宋体" w:eastAsia="宋体"/>
          <w:color w:val="auto"/>
        </w:rPr>
        <w:t>（一）</w:t>
      </w:r>
      <w:r>
        <w:rPr>
          <w:rFonts w:ascii="宋体" w:hAnsi="宋体" w:eastAsia="宋体"/>
          <w:color w:val="auto"/>
        </w:rPr>
        <w:t>法定代表人身份证明</w:t>
      </w:r>
      <w:bookmarkEnd w:id="136"/>
      <w:bookmarkEnd w:id="137"/>
      <w:bookmarkEnd w:id="138"/>
      <w:bookmarkEnd w:id="139"/>
      <w:bookmarkEnd w:id="140"/>
    </w:p>
    <w:p>
      <w:pPr>
        <w:spacing w:line="300" w:lineRule="auto"/>
        <w:rPr>
          <w:rFonts w:ascii="宋体" w:hAnsi="宋体"/>
          <w:color w:val="auto"/>
          <w:sz w:val="20"/>
          <w:szCs w:val="20"/>
        </w:rPr>
      </w:pP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投标人名称：</w:t>
      </w:r>
      <w:r>
        <w:rPr>
          <w:rFonts w:ascii="宋体" w:hAnsi="宋体"/>
          <w:color w:val="auto"/>
          <w:szCs w:val="21"/>
          <w:u w:val="single"/>
        </w:rPr>
        <w:t xml:space="preserve">                            </w:t>
      </w:r>
      <w:r>
        <w:rPr>
          <w:rFonts w:ascii="宋体" w:hAnsi="宋体"/>
          <w:color w:val="auto"/>
          <w:szCs w:val="21"/>
        </w:rPr>
        <w:t xml:space="preserve"> </w:t>
      </w:r>
    </w:p>
    <w:p>
      <w:pPr>
        <w:spacing w:line="300" w:lineRule="auto"/>
        <w:rPr>
          <w:rFonts w:ascii="宋体" w:hAnsi="宋体"/>
          <w:color w:val="auto"/>
          <w:szCs w:val="21"/>
        </w:rPr>
      </w:pPr>
      <w:r>
        <w:rPr>
          <w:rFonts w:ascii="宋体" w:hAnsi="宋体"/>
          <w:color w:val="auto"/>
          <w:szCs w:val="21"/>
        </w:rPr>
        <w:t>单位性质：</w:t>
      </w:r>
      <w:r>
        <w:rPr>
          <w:rFonts w:ascii="宋体" w:hAnsi="宋体"/>
          <w:color w:val="auto"/>
          <w:szCs w:val="21"/>
          <w:u w:val="single"/>
        </w:rPr>
        <w:t xml:space="preserve">                               </w:t>
      </w:r>
      <w:r>
        <w:rPr>
          <w:rFonts w:ascii="宋体" w:hAnsi="宋体"/>
          <w:color w:val="auto"/>
          <w:szCs w:val="21"/>
        </w:rPr>
        <w:t xml:space="preserve"> </w:t>
      </w:r>
    </w:p>
    <w:p>
      <w:pPr>
        <w:spacing w:line="300" w:lineRule="auto"/>
        <w:rPr>
          <w:rFonts w:ascii="宋体" w:hAnsi="宋体"/>
          <w:color w:val="auto"/>
          <w:szCs w:val="21"/>
        </w:rPr>
      </w:pPr>
      <w:r>
        <w:rPr>
          <w:rFonts w:ascii="宋体" w:hAnsi="宋体"/>
          <w:color w:val="auto"/>
          <w:szCs w:val="21"/>
        </w:rPr>
        <w:t>地址：</w:t>
      </w:r>
      <w:r>
        <w:rPr>
          <w:rFonts w:ascii="宋体" w:hAnsi="宋体"/>
          <w:color w:val="auto"/>
          <w:szCs w:val="21"/>
          <w:u w:val="single"/>
        </w:rPr>
        <w:t xml:space="preserve">                                   </w:t>
      </w:r>
    </w:p>
    <w:p>
      <w:pPr>
        <w:spacing w:line="300" w:lineRule="auto"/>
        <w:rPr>
          <w:rFonts w:ascii="宋体" w:hAnsi="宋体"/>
          <w:color w:val="auto"/>
          <w:szCs w:val="21"/>
        </w:rPr>
      </w:pPr>
      <w:r>
        <w:rPr>
          <w:rFonts w:ascii="宋体" w:hAnsi="宋体"/>
          <w:color w:val="auto"/>
          <w:szCs w:val="21"/>
        </w:rPr>
        <w:t>成立时间：</w:t>
      </w: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日</w:t>
      </w:r>
    </w:p>
    <w:p>
      <w:pPr>
        <w:spacing w:line="300" w:lineRule="auto"/>
        <w:rPr>
          <w:rFonts w:ascii="宋体" w:hAnsi="宋体"/>
          <w:color w:val="auto"/>
          <w:szCs w:val="21"/>
        </w:rPr>
      </w:pPr>
      <w:r>
        <w:rPr>
          <w:rFonts w:ascii="宋体" w:hAnsi="宋体"/>
          <w:color w:val="auto"/>
          <w:szCs w:val="21"/>
        </w:rPr>
        <w:t>经营期限：</w:t>
      </w:r>
      <w:r>
        <w:rPr>
          <w:rFonts w:ascii="宋体" w:hAnsi="宋体"/>
          <w:color w:val="auto"/>
          <w:szCs w:val="21"/>
          <w:u w:val="single"/>
        </w:rPr>
        <w:t xml:space="preserve">                               </w:t>
      </w:r>
    </w:p>
    <w:p>
      <w:pPr>
        <w:spacing w:line="300" w:lineRule="auto"/>
        <w:rPr>
          <w:rFonts w:ascii="宋体" w:hAnsi="宋体"/>
          <w:color w:val="auto"/>
          <w:szCs w:val="21"/>
        </w:rPr>
      </w:pPr>
      <w:r>
        <w:rPr>
          <w:rFonts w:ascii="宋体" w:hAnsi="宋体"/>
          <w:color w:val="auto"/>
          <w:szCs w:val="21"/>
        </w:rPr>
        <w:t>姓名：</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 xml:space="preserve"> 性别：</w:t>
      </w:r>
      <w:r>
        <w:rPr>
          <w:rFonts w:ascii="宋体" w:hAnsi="宋体"/>
          <w:color w:val="auto"/>
          <w:szCs w:val="21"/>
          <w:u w:val="single"/>
        </w:rPr>
        <w:t xml:space="preserve">         </w:t>
      </w:r>
      <w:r>
        <w:rPr>
          <w:rFonts w:ascii="宋体" w:hAnsi="宋体"/>
          <w:color w:val="auto"/>
          <w:szCs w:val="21"/>
        </w:rPr>
        <w:t>年龄：</w:t>
      </w:r>
      <w:r>
        <w:rPr>
          <w:rFonts w:ascii="宋体" w:hAnsi="宋体"/>
          <w:color w:val="auto"/>
          <w:szCs w:val="21"/>
          <w:u w:val="single"/>
        </w:rPr>
        <w:t xml:space="preserve">        </w:t>
      </w:r>
      <w:r>
        <w:rPr>
          <w:rFonts w:ascii="宋体" w:hAnsi="宋体"/>
          <w:color w:val="auto"/>
          <w:szCs w:val="21"/>
        </w:rPr>
        <w:t>职务：</w:t>
      </w:r>
      <w:r>
        <w:rPr>
          <w:rFonts w:ascii="宋体" w:hAnsi="宋体"/>
          <w:color w:val="auto"/>
          <w:szCs w:val="21"/>
          <w:u w:val="single"/>
        </w:rPr>
        <w:t xml:space="preserve">        </w:t>
      </w:r>
    </w:p>
    <w:p>
      <w:pPr>
        <w:spacing w:line="300" w:lineRule="auto"/>
        <w:rPr>
          <w:rFonts w:ascii="宋体" w:hAnsi="宋体"/>
          <w:color w:val="auto"/>
          <w:szCs w:val="21"/>
        </w:rPr>
      </w:pPr>
      <w:r>
        <w:rPr>
          <w:rFonts w:ascii="宋体" w:hAnsi="宋体"/>
          <w:color w:val="auto"/>
          <w:szCs w:val="21"/>
        </w:rPr>
        <w:t>系</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投标人名称</w:t>
      </w:r>
      <w:r>
        <w:rPr>
          <w:rFonts w:hint="eastAsia" w:ascii="宋体" w:hAnsi="宋体"/>
          <w:color w:val="auto"/>
          <w:szCs w:val="21"/>
        </w:rPr>
        <w:t>）</w:t>
      </w:r>
      <w:r>
        <w:rPr>
          <w:rFonts w:ascii="宋体" w:hAnsi="宋体"/>
          <w:color w:val="auto"/>
          <w:szCs w:val="21"/>
        </w:rPr>
        <w:t>的法定代表人。</w:t>
      </w:r>
    </w:p>
    <w:p>
      <w:pPr>
        <w:spacing w:line="300" w:lineRule="auto"/>
        <w:ind w:firstLine="420" w:firstLineChars="200"/>
        <w:rPr>
          <w:rFonts w:ascii="宋体" w:hAnsi="宋体"/>
          <w:color w:val="auto"/>
          <w:szCs w:val="21"/>
        </w:rPr>
      </w:pPr>
      <w:r>
        <w:rPr>
          <w:rFonts w:ascii="宋体" w:hAnsi="宋体"/>
          <w:color w:val="auto"/>
          <w:szCs w:val="21"/>
        </w:rPr>
        <w:t>特此证明。</w:t>
      </w: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 xml:space="preserve">                          投标人：</w:t>
      </w:r>
      <w:r>
        <w:rPr>
          <w:rFonts w:ascii="宋体" w:hAnsi="宋体"/>
          <w:color w:val="auto"/>
          <w:szCs w:val="21"/>
          <w:u w:val="single"/>
        </w:rPr>
        <w:t xml:space="preserve">                 </w:t>
      </w:r>
      <w:r>
        <w:rPr>
          <w:rFonts w:ascii="宋体" w:hAnsi="宋体"/>
          <w:color w:val="auto"/>
          <w:szCs w:val="21"/>
        </w:rPr>
        <w:t>（盖单位章）</w:t>
      </w:r>
    </w:p>
    <w:p>
      <w:pPr>
        <w:spacing w:line="30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 xml:space="preserve">日           </w:t>
      </w:r>
    </w:p>
    <w:p>
      <w:pPr>
        <w:spacing w:line="300" w:lineRule="auto"/>
        <w:jc w:val="center"/>
        <w:rPr>
          <w:rFonts w:ascii="宋体" w:hAnsi="宋体"/>
          <w:color w:val="auto"/>
          <w:sz w:val="20"/>
          <w:szCs w:val="20"/>
        </w:rPr>
      </w:pPr>
      <w:r>
        <w:rPr>
          <w:rFonts w:ascii="宋体" w:hAnsi="宋体"/>
          <w:color w:val="auto"/>
          <w:sz w:val="20"/>
          <w:szCs w:val="20"/>
        </w:rPr>
        <w:br w:type="page"/>
      </w:r>
    </w:p>
    <w:p>
      <w:pPr>
        <w:pStyle w:val="4"/>
        <w:spacing w:before="0" w:after="0" w:line="300" w:lineRule="auto"/>
        <w:jc w:val="center"/>
        <w:rPr>
          <w:rFonts w:ascii="宋体" w:hAnsi="宋体" w:eastAsia="宋体"/>
          <w:color w:val="auto"/>
        </w:rPr>
      </w:pPr>
      <w:bookmarkStart w:id="141" w:name="_Toc468267487"/>
      <w:bookmarkStart w:id="142" w:name="_Toc409424349"/>
      <w:bookmarkStart w:id="143" w:name="_Toc350070698"/>
      <w:bookmarkStart w:id="144" w:name="_Toc409424410"/>
      <w:bookmarkStart w:id="145" w:name="_Toc351644316"/>
      <w:r>
        <w:rPr>
          <w:rFonts w:hint="eastAsia" w:ascii="宋体" w:hAnsi="宋体" w:eastAsia="宋体"/>
          <w:color w:val="auto"/>
        </w:rPr>
        <w:t>（二）</w:t>
      </w:r>
      <w:r>
        <w:rPr>
          <w:rFonts w:ascii="宋体" w:hAnsi="宋体" w:eastAsia="宋体"/>
          <w:color w:val="auto"/>
        </w:rPr>
        <w:t>授权委托书</w:t>
      </w:r>
      <w:bookmarkEnd w:id="141"/>
      <w:bookmarkEnd w:id="142"/>
      <w:bookmarkEnd w:id="143"/>
      <w:bookmarkEnd w:id="144"/>
      <w:bookmarkEnd w:id="145"/>
    </w:p>
    <w:p>
      <w:pPr>
        <w:spacing w:line="300" w:lineRule="auto"/>
        <w:rPr>
          <w:rFonts w:ascii="宋体" w:hAnsi="宋体"/>
          <w:color w:val="auto"/>
          <w:szCs w:val="21"/>
        </w:rPr>
      </w:pPr>
    </w:p>
    <w:p>
      <w:pPr>
        <w:topLinePunct/>
        <w:spacing w:line="300" w:lineRule="auto"/>
        <w:ind w:firstLine="420" w:firstLineChars="200"/>
        <w:rPr>
          <w:rFonts w:ascii="宋体" w:hAnsi="宋体"/>
          <w:color w:val="auto"/>
          <w:szCs w:val="21"/>
        </w:rPr>
      </w:pPr>
      <w:r>
        <w:rPr>
          <w:rFonts w:ascii="宋体" w:hAnsi="宋体"/>
          <w:color w:val="auto"/>
          <w:szCs w:val="21"/>
        </w:rPr>
        <w:t>本人</w:t>
      </w:r>
      <w:r>
        <w:rPr>
          <w:rFonts w:ascii="宋体" w:hAnsi="宋体"/>
          <w:color w:val="auto"/>
          <w:szCs w:val="21"/>
          <w:u w:val="single"/>
        </w:rPr>
        <w:t xml:space="preserve">       </w:t>
      </w:r>
      <w:r>
        <w:rPr>
          <w:rFonts w:ascii="宋体" w:hAnsi="宋体"/>
          <w:color w:val="auto"/>
          <w:szCs w:val="21"/>
        </w:rPr>
        <w:t>（姓名）系</w:t>
      </w:r>
      <w:r>
        <w:rPr>
          <w:rFonts w:ascii="宋体" w:hAnsi="宋体"/>
          <w:color w:val="auto"/>
          <w:szCs w:val="21"/>
          <w:u w:val="single"/>
        </w:rPr>
        <w:t xml:space="preserve">        </w:t>
      </w:r>
      <w:r>
        <w:rPr>
          <w:rFonts w:ascii="宋体" w:hAnsi="宋体"/>
          <w:color w:val="auto"/>
          <w:szCs w:val="21"/>
        </w:rPr>
        <w:t>（投标人名称）的法定代表人，现委托</w:t>
      </w:r>
      <w:r>
        <w:rPr>
          <w:rFonts w:ascii="宋体" w:hAnsi="宋体"/>
          <w:color w:val="auto"/>
          <w:szCs w:val="21"/>
          <w:u w:val="single"/>
        </w:rPr>
        <w:t xml:space="preserve">        </w:t>
      </w:r>
      <w:r>
        <w:rPr>
          <w:rFonts w:ascii="宋体" w:hAnsi="宋体"/>
          <w:color w:val="auto"/>
          <w:szCs w:val="21"/>
        </w:rPr>
        <w:t>（姓名）为我方代理人。代理人根据授权，以我方名义签署、澄清</w:t>
      </w:r>
      <w:r>
        <w:rPr>
          <w:rFonts w:hint="eastAsia" w:ascii="宋体" w:hAnsi="宋体"/>
          <w:color w:val="auto"/>
          <w:szCs w:val="21"/>
        </w:rPr>
        <w:t>、说明、补正</w:t>
      </w:r>
      <w:r>
        <w:rPr>
          <w:rFonts w:ascii="宋体" w:hAnsi="宋体"/>
          <w:color w:val="auto"/>
          <w:szCs w:val="21"/>
        </w:rPr>
        <w:t>、递交、撤回、修改</w:t>
      </w:r>
      <w:r>
        <w:rPr>
          <w:rFonts w:ascii="宋体" w:hAnsi="宋体"/>
          <w:color w:val="auto"/>
          <w:szCs w:val="21"/>
          <w:u w:val="single"/>
        </w:rPr>
        <w:t xml:space="preserve">           </w:t>
      </w:r>
      <w:r>
        <w:rPr>
          <w:rFonts w:ascii="宋体" w:hAnsi="宋体"/>
          <w:color w:val="auto"/>
          <w:szCs w:val="21"/>
        </w:rPr>
        <w:t>（项目名称）投标文件、签订合同和处理有关事宜，其法律后果由我方承担。</w:t>
      </w:r>
    </w:p>
    <w:p>
      <w:pPr>
        <w:spacing w:line="300" w:lineRule="auto"/>
        <w:rPr>
          <w:rFonts w:ascii="宋体" w:hAnsi="宋体"/>
          <w:color w:val="auto"/>
          <w:szCs w:val="21"/>
        </w:rPr>
      </w:pPr>
      <w:r>
        <w:rPr>
          <w:rFonts w:ascii="宋体" w:hAnsi="宋体"/>
          <w:color w:val="auto"/>
          <w:szCs w:val="21"/>
        </w:rPr>
        <w:t xml:space="preserve">    委托期限：</w:t>
      </w:r>
      <w:r>
        <w:rPr>
          <w:rFonts w:ascii="宋体" w:hAnsi="宋体"/>
          <w:color w:val="auto"/>
          <w:szCs w:val="21"/>
          <w:u w:val="single"/>
        </w:rPr>
        <w:t xml:space="preserve">             </w:t>
      </w:r>
      <w:r>
        <w:rPr>
          <w:rFonts w:hint="eastAsia" w:ascii="宋体" w:hAnsi="宋体"/>
          <w:color w:val="auto"/>
          <w:szCs w:val="21"/>
        </w:rPr>
        <w:t>。</w:t>
      </w:r>
    </w:p>
    <w:p>
      <w:pPr>
        <w:spacing w:line="300" w:lineRule="auto"/>
        <w:ind w:firstLine="420" w:firstLineChars="200"/>
        <w:rPr>
          <w:rFonts w:hint="eastAsia" w:ascii="宋体" w:hAnsi="宋体"/>
          <w:color w:val="auto"/>
          <w:szCs w:val="21"/>
        </w:rPr>
      </w:pPr>
      <w:r>
        <w:rPr>
          <w:rFonts w:ascii="宋体" w:hAnsi="宋体"/>
          <w:color w:val="auto"/>
          <w:szCs w:val="21"/>
        </w:rPr>
        <w:t>代理人无转委托权。</w:t>
      </w:r>
    </w:p>
    <w:p>
      <w:pPr>
        <w:spacing w:line="300" w:lineRule="auto"/>
        <w:ind w:firstLine="420" w:firstLineChars="200"/>
        <w:rPr>
          <w:rFonts w:hint="eastAsia" w:ascii="宋体" w:hAnsi="宋体"/>
          <w:color w:val="auto"/>
          <w:szCs w:val="21"/>
        </w:rPr>
      </w:pPr>
      <w:r>
        <w:rPr>
          <w:rFonts w:hint="eastAsia" w:ascii="宋体" w:hAnsi="宋体"/>
          <w:color w:val="auto"/>
          <w:szCs w:val="21"/>
        </w:rPr>
        <w:t>附：法定代表人及授权代理人身份证复印件</w:t>
      </w: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投标人：</w:t>
      </w:r>
      <w:r>
        <w:rPr>
          <w:rFonts w:ascii="宋体" w:hAnsi="宋体"/>
          <w:color w:val="auto"/>
          <w:szCs w:val="21"/>
          <w:u w:val="single"/>
        </w:rPr>
        <w:t xml:space="preserve">                               </w:t>
      </w:r>
      <w:r>
        <w:rPr>
          <w:rFonts w:ascii="宋体" w:hAnsi="宋体"/>
          <w:color w:val="auto"/>
          <w:szCs w:val="21"/>
        </w:rPr>
        <w:t>（盖单位章）</w:t>
      </w: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法定代表人：</w:t>
      </w:r>
      <w:r>
        <w:rPr>
          <w:rFonts w:ascii="宋体" w:hAnsi="宋体"/>
          <w:color w:val="auto"/>
          <w:szCs w:val="21"/>
          <w:u w:val="single"/>
        </w:rPr>
        <w:t xml:space="preserve">                               </w:t>
      </w:r>
      <w:r>
        <w:rPr>
          <w:rFonts w:ascii="宋体" w:hAnsi="宋体"/>
          <w:color w:val="auto"/>
          <w:szCs w:val="21"/>
        </w:rPr>
        <w:t>（签字）</w:t>
      </w: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身份证号码：</w:t>
      </w:r>
      <w:r>
        <w:rPr>
          <w:rFonts w:ascii="宋体" w:hAnsi="宋体"/>
          <w:color w:val="auto"/>
          <w:szCs w:val="21"/>
          <w:u w:val="single"/>
        </w:rPr>
        <w:t xml:space="preserve">                                     </w:t>
      </w: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委托代理人：</w:t>
      </w:r>
      <w:r>
        <w:rPr>
          <w:rFonts w:ascii="宋体" w:hAnsi="宋体"/>
          <w:color w:val="auto"/>
          <w:szCs w:val="21"/>
          <w:u w:val="single"/>
        </w:rPr>
        <w:t xml:space="preserve">                                   </w:t>
      </w:r>
      <w:r>
        <w:rPr>
          <w:rFonts w:ascii="宋体" w:hAnsi="宋体"/>
          <w:color w:val="auto"/>
          <w:szCs w:val="21"/>
        </w:rPr>
        <w:t xml:space="preserve">（签字） </w:t>
      </w:r>
    </w:p>
    <w:p>
      <w:pPr>
        <w:spacing w:line="300" w:lineRule="auto"/>
        <w:rPr>
          <w:rFonts w:ascii="宋体" w:hAnsi="宋体"/>
          <w:color w:val="auto"/>
          <w:szCs w:val="21"/>
        </w:rPr>
      </w:pPr>
    </w:p>
    <w:p>
      <w:pPr>
        <w:spacing w:line="300" w:lineRule="auto"/>
        <w:rPr>
          <w:rFonts w:ascii="宋体" w:hAnsi="宋体"/>
          <w:color w:val="auto"/>
          <w:szCs w:val="21"/>
        </w:rPr>
      </w:pPr>
      <w:r>
        <w:rPr>
          <w:rFonts w:ascii="宋体" w:hAnsi="宋体"/>
          <w:color w:val="auto"/>
          <w:szCs w:val="21"/>
        </w:rPr>
        <w:t>身份证号码：</w:t>
      </w:r>
      <w:r>
        <w:rPr>
          <w:rFonts w:ascii="宋体" w:hAnsi="宋体"/>
          <w:color w:val="auto"/>
          <w:szCs w:val="21"/>
          <w:u w:val="single"/>
        </w:rPr>
        <w:t xml:space="preserve">                                      </w:t>
      </w: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ind w:firstLine="2310" w:firstLineChars="1100"/>
        <w:rPr>
          <w:rFonts w:ascii="宋体" w:hAnsi="宋体"/>
          <w:color w:val="auto"/>
          <w:szCs w:val="21"/>
        </w:rPr>
      </w:pP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日</w:t>
      </w:r>
    </w:p>
    <w:p>
      <w:pPr>
        <w:spacing w:line="300" w:lineRule="auto"/>
        <w:rPr>
          <w:rFonts w:ascii="宋体" w:hAnsi="宋体"/>
          <w:color w:val="auto"/>
        </w:rPr>
      </w:pPr>
      <w:r>
        <w:rPr>
          <w:rFonts w:ascii="宋体" w:hAnsi="宋体"/>
          <w:color w:val="auto"/>
          <w:sz w:val="20"/>
          <w:szCs w:val="20"/>
        </w:rPr>
        <w:br w:type="page"/>
      </w:r>
    </w:p>
    <w:p>
      <w:pPr>
        <w:pStyle w:val="4"/>
        <w:spacing w:before="0" w:after="0" w:line="300" w:lineRule="auto"/>
        <w:jc w:val="center"/>
        <w:rPr>
          <w:rFonts w:ascii="宋体" w:hAnsi="宋体" w:eastAsia="宋体"/>
          <w:color w:val="auto"/>
        </w:rPr>
      </w:pPr>
      <w:bookmarkStart w:id="146" w:name="_Toc468267488"/>
      <w:bookmarkStart w:id="147" w:name="_Toc409424350"/>
      <w:bookmarkStart w:id="148" w:name="_Toc351644317"/>
      <w:bookmarkStart w:id="149" w:name="_Toc350070699"/>
      <w:bookmarkStart w:id="150" w:name="_Toc409424411"/>
      <w:r>
        <w:rPr>
          <w:rFonts w:hint="eastAsia" w:ascii="宋体" w:hAnsi="宋体" w:eastAsia="宋体"/>
          <w:color w:val="auto"/>
        </w:rPr>
        <w:t>四</w:t>
      </w:r>
      <w:r>
        <w:rPr>
          <w:rFonts w:ascii="宋体" w:hAnsi="宋体" w:eastAsia="宋体"/>
          <w:color w:val="auto"/>
        </w:rPr>
        <w:t>、投标保证金</w:t>
      </w:r>
      <w:bookmarkEnd w:id="146"/>
      <w:bookmarkEnd w:id="147"/>
      <w:bookmarkEnd w:id="148"/>
      <w:bookmarkEnd w:id="149"/>
      <w:bookmarkEnd w:id="150"/>
    </w:p>
    <w:p>
      <w:pPr>
        <w:spacing w:line="300" w:lineRule="auto"/>
        <w:rPr>
          <w:rFonts w:ascii="宋体" w:hAnsi="宋体"/>
          <w:color w:val="auto"/>
          <w:szCs w:val="21"/>
        </w:rPr>
      </w:pPr>
    </w:p>
    <w:p>
      <w:pPr>
        <w:spacing w:line="300" w:lineRule="auto"/>
        <w:rPr>
          <w:rFonts w:hint="eastAsia" w:ascii="宋体" w:hAnsi="宋体"/>
          <w:color w:val="auto"/>
          <w:szCs w:val="21"/>
        </w:rPr>
      </w:pPr>
    </w:p>
    <w:p>
      <w:pPr>
        <w:spacing w:line="300" w:lineRule="auto"/>
        <w:rPr>
          <w:rFonts w:hint="eastAsia" w:ascii="宋体" w:hAnsi="宋体"/>
          <w:color w:val="auto"/>
          <w:szCs w:val="21"/>
        </w:rPr>
      </w:pPr>
    </w:p>
    <w:p>
      <w:pPr>
        <w:autoSpaceDE w:val="0"/>
        <w:autoSpaceDN w:val="0"/>
        <w:adjustRightInd w:val="0"/>
        <w:spacing w:line="300" w:lineRule="auto"/>
        <w:jc w:val="center"/>
        <w:rPr>
          <w:rFonts w:hint="eastAsia" w:ascii="宋体" w:hAnsi="宋体" w:cs="宋体-18030"/>
          <w:color w:val="auto"/>
          <w:szCs w:val="21"/>
          <w:lang w:val="zh-CN"/>
        </w:rPr>
      </w:pPr>
    </w:p>
    <w:p>
      <w:pPr>
        <w:autoSpaceDE w:val="0"/>
        <w:autoSpaceDN w:val="0"/>
        <w:adjustRightInd w:val="0"/>
        <w:spacing w:line="300" w:lineRule="auto"/>
        <w:jc w:val="center"/>
        <w:rPr>
          <w:rFonts w:hint="eastAsia" w:ascii="宋体" w:hAnsi="宋体" w:cs="宋体-18030"/>
          <w:color w:val="auto"/>
          <w:szCs w:val="21"/>
          <w:lang w:val="zh-CN"/>
        </w:rPr>
      </w:pPr>
    </w:p>
    <w:p>
      <w:pPr>
        <w:autoSpaceDE w:val="0"/>
        <w:autoSpaceDN w:val="0"/>
        <w:adjustRightInd w:val="0"/>
        <w:spacing w:line="300" w:lineRule="auto"/>
        <w:jc w:val="center"/>
        <w:rPr>
          <w:rFonts w:hint="eastAsia" w:ascii="宋体" w:hAnsi="宋体" w:cs="宋体-18030"/>
          <w:color w:val="auto"/>
          <w:szCs w:val="21"/>
          <w:lang w:val="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457" w:type="dxa"/>
            <w:noWrap w:val="0"/>
            <w:vAlign w:val="top"/>
          </w:tcPr>
          <w:p>
            <w:pPr>
              <w:autoSpaceDE w:val="0"/>
              <w:autoSpaceDN w:val="0"/>
              <w:adjustRightInd w:val="0"/>
              <w:spacing w:line="300" w:lineRule="auto"/>
              <w:rPr>
                <w:rFonts w:hint="eastAsia" w:ascii="宋体" w:hAnsi="宋体" w:cs="宋体-18030"/>
                <w:color w:val="auto"/>
                <w:szCs w:val="21"/>
                <w:lang w:val="zh-CN"/>
              </w:rPr>
            </w:pPr>
          </w:p>
          <w:p>
            <w:pPr>
              <w:autoSpaceDE w:val="0"/>
              <w:autoSpaceDN w:val="0"/>
              <w:adjustRightInd w:val="0"/>
              <w:spacing w:line="300" w:lineRule="auto"/>
              <w:jc w:val="center"/>
              <w:rPr>
                <w:rFonts w:ascii="宋体" w:hAnsi="宋体" w:cs="宋体-18030"/>
                <w:bCs/>
                <w:color w:val="auto"/>
                <w:szCs w:val="21"/>
              </w:rPr>
            </w:pPr>
            <w:r>
              <w:rPr>
                <w:rFonts w:hint="eastAsia" w:ascii="宋体" w:hAnsi="宋体" w:cs="宋体-18030"/>
                <w:color w:val="auto"/>
                <w:szCs w:val="21"/>
                <w:lang w:val="zh-CN"/>
              </w:rPr>
              <w:t>附：</w:t>
            </w:r>
            <w:bookmarkStart w:id="151" w:name="_Toc326308049"/>
            <w:bookmarkStart w:id="152" w:name="_Toc324439465"/>
            <w:bookmarkStart w:id="153" w:name="_Toc325566802"/>
            <w:bookmarkStart w:id="154" w:name="_Toc324249575"/>
            <w:bookmarkStart w:id="155" w:name="_Toc325613974"/>
            <w:bookmarkStart w:id="156" w:name="_Toc345510789"/>
            <w:bookmarkStart w:id="157" w:name="_Toc327777595"/>
            <w:bookmarkStart w:id="158" w:name="_Toc324251628"/>
            <w:r>
              <w:rPr>
                <w:rFonts w:hint="eastAsia" w:ascii="宋体" w:hAnsi="宋体" w:cs="宋体-18030"/>
                <w:color w:val="auto"/>
                <w:szCs w:val="21"/>
                <w:lang w:val="zh-CN"/>
              </w:rPr>
              <w:t>基本账户开户许可证、</w:t>
            </w:r>
            <w:r>
              <w:rPr>
                <w:rFonts w:hint="eastAsia" w:ascii="宋体" w:hAnsi="宋体" w:cs="宋体-18030"/>
                <w:bCs/>
                <w:color w:val="auto"/>
                <w:szCs w:val="21"/>
              </w:rPr>
              <w:t>投标保证金缴纳凭证</w:t>
            </w:r>
            <w:bookmarkEnd w:id="151"/>
            <w:bookmarkEnd w:id="152"/>
            <w:bookmarkEnd w:id="153"/>
            <w:bookmarkEnd w:id="154"/>
            <w:bookmarkEnd w:id="155"/>
            <w:bookmarkEnd w:id="156"/>
            <w:bookmarkEnd w:id="157"/>
            <w:bookmarkEnd w:id="158"/>
            <w:r>
              <w:rPr>
                <w:rFonts w:hint="eastAsia" w:ascii="宋体" w:hAnsi="宋体" w:cs="宋体-18030"/>
                <w:bCs/>
                <w:color w:val="auto"/>
                <w:szCs w:val="21"/>
              </w:rPr>
              <w:t>粘贴于此。</w:t>
            </w:r>
          </w:p>
          <w:p>
            <w:pPr>
              <w:autoSpaceDE w:val="0"/>
              <w:autoSpaceDN w:val="0"/>
              <w:adjustRightInd w:val="0"/>
              <w:spacing w:line="300" w:lineRule="auto"/>
              <w:jc w:val="center"/>
              <w:rPr>
                <w:rFonts w:hint="eastAsia" w:ascii="宋体" w:hAnsi="宋体" w:cs="宋体-18030"/>
                <w:color w:val="auto"/>
                <w:szCs w:val="21"/>
                <w:lang w:val="zh-CN"/>
              </w:rPr>
            </w:pPr>
          </w:p>
        </w:tc>
      </w:tr>
    </w:tbl>
    <w:p>
      <w:pPr>
        <w:autoSpaceDE w:val="0"/>
        <w:autoSpaceDN w:val="0"/>
        <w:adjustRightInd w:val="0"/>
        <w:spacing w:line="300" w:lineRule="auto"/>
        <w:jc w:val="center"/>
        <w:rPr>
          <w:rFonts w:hint="eastAsia" w:ascii="宋体" w:hAnsi="宋体" w:cs="宋体-18030"/>
          <w:color w:val="auto"/>
          <w:szCs w:val="21"/>
          <w:lang w:val="zh-CN"/>
        </w:rPr>
      </w:pPr>
    </w:p>
    <w:p>
      <w:pPr>
        <w:autoSpaceDE w:val="0"/>
        <w:autoSpaceDN w:val="0"/>
        <w:adjustRightInd w:val="0"/>
        <w:spacing w:line="300" w:lineRule="auto"/>
        <w:jc w:val="center"/>
        <w:rPr>
          <w:rFonts w:hint="eastAsia" w:ascii="宋体" w:hAnsi="宋体" w:cs="宋体-18030"/>
          <w:color w:val="auto"/>
          <w:szCs w:val="21"/>
          <w:lang w:val="zh-CN"/>
        </w:rPr>
      </w:pPr>
    </w:p>
    <w:p>
      <w:pPr>
        <w:autoSpaceDE w:val="0"/>
        <w:autoSpaceDN w:val="0"/>
        <w:adjustRightInd w:val="0"/>
        <w:spacing w:line="300" w:lineRule="auto"/>
        <w:jc w:val="center"/>
        <w:rPr>
          <w:rFonts w:hint="eastAsia" w:ascii="宋体" w:hAnsi="宋体" w:cs="宋体-18030"/>
          <w:color w:val="auto"/>
          <w:szCs w:val="21"/>
          <w:lang w:val="zh-CN"/>
        </w:rPr>
      </w:pPr>
      <w:r>
        <w:rPr>
          <w:rFonts w:hint="eastAsia" w:ascii="宋体" w:hAnsi="宋体" w:cs="宋体-18030"/>
          <w:color w:val="auto"/>
          <w:szCs w:val="21"/>
          <w:lang w:val="zh-CN"/>
        </w:rPr>
        <w:t>注：如无需缴纳投标保证金，附查询截图即可。</w:t>
      </w:r>
    </w:p>
    <w:p>
      <w:pPr>
        <w:spacing w:line="300" w:lineRule="auto"/>
        <w:rPr>
          <w:rFonts w:ascii="宋体" w:hAnsi="宋体"/>
          <w:color w:val="auto"/>
          <w:szCs w:val="21"/>
        </w:rPr>
      </w:pPr>
    </w:p>
    <w:p>
      <w:pPr>
        <w:spacing w:line="300" w:lineRule="auto"/>
        <w:jc w:val="center"/>
        <w:rPr>
          <w:rFonts w:ascii="宋体" w:hAnsi="宋体"/>
          <w:color w:val="auto"/>
          <w:sz w:val="27"/>
          <w:szCs w:val="27"/>
        </w:rPr>
      </w:pPr>
      <w:r>
        <w:rPr>
          <w:rFonts w:ascii="宋体" w:hAnsi="宋体"/>
          <w:color w:val="auto"/>
          <w:sz w:val="20"/>
          <w:szCs w:val="20"/>
        </w:rPr>
        <w:br w:type="page"/>
      </w:r>
    </w:p>
    <w:p>
      <w:pPr>
        <w:pStyle w:val="4"/>
        <w:spacing w:before="0" w:after="0" w:line="300" w:lineRule="auto"/>
        <w:jc w:val="center"/>
        <w:rPr>
          <w:rFonts w:ascii="宋体" w:hAnsi="宋体" w:eastAsia="宋体"/>
          <w:color w:val="auto"/>
        </w:rPr>
      </w:pPr>
      <w:bookmarkStart w:id="159" w:name="_Toc409424351"/>
      <w:bookmarkStart w:id="160" w:name="_Toc351644318"/>
      <w:bookmarkStart w:id="161" w:name="_Toc350070700"/>
      <w:bookmarkStart w:id="162" w:name="_Toc468267489"/>
      <w:bookmarkStart w:id="163" w:name="_Toc409424412"/>
      <w:r>
        <w:rPr>
          <w:rFonts w:hint="eastAsia" w:ascii="宋体" w:hAnsi="宋体" w:eastAsia="宋体"/>
          <w:color w:val="auto"/>
        </w:rPr>
        <w:t>五</w:t>
      </w:r>
      <w:r>
        <w:rPr>
          <w:rFonts w:ascii="宋体" w:hAnsi="宋体" w:eastAsia="宋体"/>
          <w:color w:val="auto"/>
        </w:rPr>
        <w:t>、投标报价表</w:t>
      </w:r>
      <w:bookmarkEnd w:id="159"/>
      <w:bookmarkEnd w:id="160"/>
      <w:bookmarkEnd w:id="161"/>
      <w:bookmarkEnd w:id="162"/>
      <w:bookmarkEnd w:id="163"/>
    </w:p>
    <w:p>
      <w:pPr>
        <w:spacing w:line="300" w:lineRule="auto"/>
        <w:rPr>
          <w:rFonts w:hint="eastAsia" w:ascii="宋体" w:hAnsi="宋体" w:cs="仿宋_GB2312"/>
          <w:color w:val="auto"/>
          <w:kern w:val="0"/>
          <w:szCs w:val="21"/>
        </w:rPr>
      </w:pPr>
    </w:p>
    <w:p>
      <w:pPr>
        <w:rPr>
          <w:rFonts w:hint="eastAsia" w:ascii="宋体" w:hAnsi="宋体"/>
          <w:color w:val="auto"/>
          <w:szCs w:val="21"/>
          <w:u w:val="single"/>
        </w:rPr>
      </w:pPr>
      <w:r>
        <w:rPr>
          <w:rFonts w:hint="eastAsia" w:ascii="宋体" w:hAnsi="宋体"/>
          <w:color w:val="auto"/>
          <w:szCs w:val="21"/>
        </w:rPr>
        <w:t>项目名称</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rPr>
          <w:rFonts w:hint="eastAsia" w:ascii="宋体" w:hAnsi="宋体"/>
          <w:color w:val="auto"/>
          <w:szCs w:val="21"/>
        </w:rPr>
      </w:pPr>
    </w:p>
    <w:p>
      <w:pPr>
        <w:rPr>
          <w:rFonts w:hint="eastAsia" w:ascii="宋体" w:hAnsi="宋体"/>
          <w:color w:val="auto"/>
          <w:u w:val="single"/>
        </w:rPr>
      </w:pPr>
      <w:r>
        <w:rPr>
          <w:rFonts w:hint="eastAsia" w:ascii="宋体" w:hAnsi="宋体"/>
          <w:color w:val="auto"/>
          <w:szCs w:val="21"/>
        </w:rPr>
        <w:t>项目</w:t>
      </w:r>
      <w:r>
        <w:rPr>
          <w:rFonts w:ascii="宋体" w:hAnsi="宋体"/>
          <w:color w:val="auto"/>
          <w:szCs w:val="21"/>
        </w:rPr>
        <w:t>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rPr>
          <w:rFonts w:hint="eastAsia" w:ascii="宋体" w:hAnsi="宋体"/>
          <w:color w:val="auto"/>
          <w:u w:val="single"/>
        </w:rPr>
      </w:pPr>
    </w:p>
    <w:tbl>
      <w:tblPr>
        <w:tblStyle w:val="23"/>
        <w:tblW w:w="4997" w:type="pct"/>
        <w:tblInd w:w="0" w:type="dxa"/>
        <w:tblLayout w:type="autofit"/>
        <w:tblCellMar>
          <w:top w:w="0" w:type="dxa"/>
          <w:left w:w="108" w:type="dxa"/>
          <w:bottom w:w="0" w:type="dxa"/>
          <w:right w:w="108" w:type="dxa"/>
        </w:tblCellMar>
      </w:tblPr>
      <w:tblGrid>
        <w:gridCol w:w="1130"/>
        <w:gridCol w:w="904"/>
        <w:gridCol w:w="446"/>
        <w:gridCol w:w="904"/>
        <w:gridCol w:w="446"/>
        <w:gridCol w:w="904"/>
        <w:gridCol w:w="1724"/>
        <w:gridCol w:w="446"/>
        <w:gridCol w:w="446"/>
        <w:gridCol w:w="760"/>
        <w:gridCol w:w="702"/>
      </w:tblGrid>
      <w:tr>
        <w:tblPrEx>
          <w:tblCellMar>
            <w:top w:w="0" w:type="dxa"/>
            <w:left w:w="108" w:type="dxa"/>
            <w:bottom w:w="0" w:type="dxa"/>
            <w:right w:w="108" w:type="dxa"/>
          </w:tblCellMar>
        </w:tblPrEx>
        <w:trPr>
          <w:trHeight w:val="549" w:hRule="atLeast"/>
        </w:trPr>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序号</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货物名称</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 xml:space="preserve">品牌 </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规格型号</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产地</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生产厂家</w:t>
            </w:r>
          </w:p>
        </w:tc>
        <w:tc>
          <w:tcPr>
            <w:tcW w:w="9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参数</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数量</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单位</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单价（元）</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小计（元）</w:t>
            </w:r>
          </w:p>
        </w:tc>
      </w:tr>
      <w:tr>
        <w:tblPrEx>
          <w:tblCellMar>
            <w:top w:w="0" w:type="dxa"/>
            <w:left w:w="108" w:type="dxa"/>
            <w:bottom w:w="0" w:type="dxa"/>
            <w:right w:w="108" w:type="dxa"/>
          </w:tblCellMar>
        </w:tblPrEx>
        <w:trPr>
          <w:trHeight w:val="565" w:hRule="atLeast"/>
        </w:trPr>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u w:val="dotted"/>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9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565" w:hRule="atLeast"/>
        </w:trPr>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u w:val="dotted"/>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9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565" w:hRule="atLeast"/>
        </w:trPr>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u w:val="dotted"/>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9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565" w:hRule="atLeast"/>
        </w:trPr>
        <w:tc>
          <w:tcPr>
            <w:tcW w:w="4601" w:type="pct"/>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合计（元）</w:t>
            </w:r>
          </w:p>
        </w:tc>
        <w:tc>
          <w:tcPr>
            <w:tcW w:w="39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p>
        </w:tc>
      </w:tr>
    </w:tbl>
    <w:p>
      <w:pPr>
        <w:rPr>
          <w:rFonts w:hint="eastAsia" w:ascii="宋体" w:hAnsi="宋体"/>
          <w:b/>
          <w:color w:val="auto"/>
        </w:rPr>
      </w:pPr>
    </w:p>
    <w:p>
      <w:pPr>
        <w:rPr>
          <w:rFonts w:hint="eastAsia" w:ascii="宋体" w:hAnsi="宋体"/>
          <w:b/>
          <w:color w:val="auto"/>
        </w:rPr>
      </w:pPr>
    </w:p>
    <w:p>
      <w:pPr>
        <w:pStyle w:val="12"/>
        <w:autoSpaceDN w:val="0"/>
        <w:adjustRightInd w:val="0"/>
        <w:snapToGrid w:val="0"/>
        <w:spacing w:line="360" w:lineRule="auto"/>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注:</w:t>
      </w:r>
      <w:r>
        <w:rPr>
          <w:rFonts w:hint="eastAsia" w:asciiTheme="majorEastAsia" w:hAnsiTheme="majorEastAsia" w:eastAsiaTheme="majorEastAsia"/>
          <w:color w:val="auto"/>
          <w:szCs w:val="21"/>
          <w:lang w:val="en-US" w:eastAsia="zh-CN"/>
        </w:rPr>
        <w:t>1</w:t>
      </w:r>
      <w:r>
        <w:rPr>
          <w:rFonts w:hint="eastAsia" w:asciiTheme="majorEastAsia" w:hAnsiTheme="majorEastAsia" w:eastAsiaTheme="majorEastAsia"/>
          <w:color w:val="auto"/>
          <w:szCs w:val="21"/>
        </w:rPr>
        <w:t>.如果不提供详细分项报价表将视为没有实质性响应招标文件。</w:t>
      </w:r>
    </w:p>
    <w:p>
      <w:pPr>
        <w:pStyle w:val="12"/>
        <w:numPr>
          <w:ilvl w:val="0"/>
          <w:numId w:val="0"/>
        </w:numPr>
        <w:tabs>
          <w:tab w:val="left" w:pos="0"/>
        </w:tabs>
        <w:autoSpaceDN w:val="0"/>
        <w:adjustRightInd w:val="0"/>
        <w:snapToGrid w:val="0"/>
        <w:spacing w:line="360" w:lineRule="auto"/>
        <w:ind w:leftChars="300"/>
        <w:rPr>
          <w:rFonts w:hint="eastAsia" w:asciiTheme="majorEastAsia" w:hAnsiTheme="majorEastAsia" w:eastAsiaTheme="majorEastAsia"/>
          <w:b/>
          <w:bCs/>
          <w:color w:val="auto"/>
          <w:szCs w:val="21"/>
        </w:rPr>
      </w:pPr>
      <w:r>
        <w:rPr>
          <w:rFonts w:hint="eastAsia" w:asciiTheme="majorEastAsia" w:hAnsiTheme="majorEastAsia" w:eastAsiaTheme="majorEastAsia"/>
          <w:b/>
          <w:bCs/>
          <w:color w:val="auto"/>
          <w:szCs w:val="21"/>
          <w:lang w:val="en-US" w:eastAsia="zh-CN"/>
        </w:rPr>
        <w:t>2.</w:t>
      </w:r>
      <w:r>
        <w:rPr>
          <w:rFonts w:hint="eastAsia" w:asciiTheme="majorEastAsia" w:hAnsiTheme="majorEastAsia" w:eastAsiaTheme="majorEastAsia"/>
          <w:b/>
          <w:bCs/>
          <w:color w:val="auto"/>
          <w:szCs w:val="21"/>
        </w:rPr>
        <w:t>此表各项必须填写完整，不能以空格、斜杠等其它形式代替，不可以合并单元格。</w:t>
      </w:r>
    </w:p>
    <w:p>
      <w:pPr>
        <w:pStyle w:val="12"/>
        <w:numPr>
          <w:ilvl w:val="0"/>
          <w:numId w:val="7"/>
        </w:numPr>
        <w:autoSpaceDN w:val="0"/>
        <w:adjustRightInd w:val="0"/>
        <w:snapToGrid w:val="0"/>
        <w:spacing w:line="360" w:lineRule="auto"/>
        <w:ind w:left="0" w:leftChars="0" w:firstLine="630" w:firstLineChars="300"/>
        <w:rPr>
          <w:rFonts w:hint="eastAsia" w:asciiTheme="majorEastAsia" w:hAnsiTheme="majorEastAsia" w:eastAsiaTheme="majorEastAsia"/>
          <w:color w:val="auto"/>
          <w:szCs w:val="21"/>
        </w:rPr>
      </w:pPr>
      <w:r>
        <w:rPr>
          <w:rFonts w:ascii="宋体" w:hAnsi="宋体"/>
          <w:color w:val="auto"/>
        </w:rPr>
        <w:t>如果按单价计算的结果与总价不一致，以单价为准修正总价</w:t>
      </w:r>
      <w:r>
        <w:rPr>
          <w:rFonts w:hint="eastAsia" w:ascii="宋体" w:hAnsi="宋体"/>
          <w:color w:val="auto"/>
          <w:lang w:eastAsia="zh-CN"/>
        </w:rPr>
        <w:t>。</w:t>
      </w:r>
    </w:p>
    <w:p>
      <w:pPr>
        <w:rPr>
          <w:rFonts w:hint="eastAsia" w:ascii="宋体" w:hAnsi="宋体"/>
          <w:color w:val="auto"/>
        </w:rPr>
      </w:pPr>
    </w:p>
    <w:p>
      <w:pPr>
        <w:rPr>
          <w:rFonts w:hint="eastAsia" w:ascii="宋体" w:hAnsi="宋体"/>
          <w:color w:val="auto"/>
        </w:rPr>
      </w:pPr>
    </w:p>
    <w:p>
      <w:pPr>
        <w:rPr>
          <w:rFonts w:hint="eastAsia" w:ascii="宋体" w:hAnsi="宋体"/>
          <w:color w:val="auto"/>
        </w:rPr>
      </w:pPr>
      <w:r>
        <w:rPr>
          <w:rFonts w:ascii="宋体" w:hAnsi="宋体"/>
          <w:color w:val="auto"/>
          <w:szCs w:val="21"/>
        </w:rPr>
        <w:t>投标人名称：</w:t>
      </w:r>
      <w:r>
        <w:rPr>
          <w:rFonts w:ascii="宋体" w:hAnsi="宋体"/>
          <w:color w:val="auto"/>
          <w:szCs w:val="21"/>
          <w:u w:val="single"/>
        </w:rPr>
        <w:t xml:space="preserve">    </w:t>
      </w:r>
      <w:r>
        <w:rPr>
          <w:rFonts w:hint="eastAsia" w:ascii="宋体" w:hAnsi="宋体"/>
          <w:color w:val="auto"/>
          <w:u w:val="single"/>
        </w:rPr>
        <w:t>（盖公章）</w:t>
      </w:r>
    </w:p>
    <w:p>
      <w:pPr>
        <w:rPr>
          <w:rFonts w:hint="eastAsia" w:ascii="宋体" w:hAnsi="宋体"/>
          <w:color w:val="auto"/>
        </w:rPr>
      </w:pPr>
    </w:p>
    <w:p>
      <w:pPr>
        <w:rPr>
          <w:rFonts w:hint="eastAsia" w:ascii="宋体" w:hAnsi="宋体"/>
          <w:color w:val="auto"/>
        </w:rPr>
      </w:pPr>
    </w:p>
    <w:p>
      <w:pPr>
        <w:rPr>
          <w:rFonts w:ascii="宋体" w:hAnsi="宋体"/>
          <w:b/>
          <w:color w:val="auto"/>
          <w:sz w:val="24"/>
        </w:rPr>
      </w:pPr>
      <w:r>
        <w:rPr>
          <w:rFonts w:ascii="宋体" w:hAnsi="宋体" w:cs="仿宋_GB2312"/>
          <w:color w:val="auto"/>
          <w:kern w:val="0"/>
          <w:szCs w:val="21"/>
        </w:rPr>
        <w:br w:type="page"/>
      </w:r>
      <w:r>
        <w:rPr>
          <w:rFonts w:ascii="宋体" w:hAnsi="宋体"/>
          <w:b/>
          <w:color w:val="auto"/>
          <w:sz w:val="24"/>
        </w:rPr>
        <w:t xml:space="preserve"> </w:t>
      </w:r>
    </w:p>
    <w:p>
      <w:pPr>
        <w:pStyle w:val="4"/>
        <w:spacing w:before="0" w:after="0" w:line="300" w:lineRule="auto"/>
        <w:jc w:val="center"/>
        <w:rPr>
          <w:rFonts w:hint="eastAsia" w:ascii="宋体" w:hAnsi="宋体" w:eastAsia="宋体"/>
          <w:color w:val="auto"/>
        </w:rPr>
      </w:pPr>
      <w:bookmarkStart w:id="164" w:name="_Toc468267490"/>
      <w:r>
        <w:rPr>
          <w:rFonts w:hint="eastAsia" w:ascii="宋体" w:hAnsi="宋体" w:eastAsia="宋体"/>
          <w:color w:val="auto"/>
        </w:rPr>
        <w:t>六</w:t>
      </w:r>
      <w:r>
        <w:rPr>
          <w:rFonts w:ascii="宋体" w:hAnsi="宋体" w:eastAsia="宋体"/>
          <w:color w:val="auto"/>
        </w:rPr>
        <w:t>、</w:t>
      </w:r>
      <w:r>
        <w:rPr>
          <w:rFonts w:hint="eastAsia" w:ascii="宋体" w:hAnsi="宋体" w:eastAsia="宋体"/>
          <w:color w:val="auto"/>
        </w:rPr>
        <w:t>货物说明一览表</w:t>
      </w:r>
      <w:bookmarkEnd w:id="164"/>
    </w:p>
    <w:p>
      <w:pPr>
        <w:ind w:firstLine="435"/>
        <w:rPr>
          <w:rFonts w:hint="eastAsia" w:ascii="宋体" w:hAnsi="宋体"/>
          <w:color w:val="auto"/>
          <w:szCs w:val="21"/>
          <w:u w:val="single"/>
        </w:rPr>
      </w:pPr>
      <w:r>
        <w:rPr>
          <w:rFonts w:hint="eastAsia" w:ascii="宋体" w:hAnsi="宋体"/>
          <w:color w:val="auto"/>
          <w:szCs w:val="21"/>
        </w:rPr>
        <w:t>项目名称</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ind w:firstLine="435"/>
        <w:rPr>
          <w:rFonts w:hint="eastAsia" w:ascii="宋体" w:hAnsi="宋体"/>
          <w:color w:val="auto"/>
          <w:szCs w:val="21"/>
        </w:rPr>
      </w:pPr>
    </w:p>
    <w:p>
      <w:pPr>
        <w:ind w:firstLine="435"/>
        <w:rPr>
          <w:rFonts w:hint="eastAsia" w:ascii="宋体" w:hAnsi="宋体"/>
          <w:color w:val="auto"/>
          <w:szCs w:val="21"/>
        </w:rPr>
      </w:pPr>
      <w:r>
        <w:rPr>
          <w:rFonts w:hint="eastAsia" w:ascii="宋体" w:hAnsi="宋体"/>
          <w:color w:val="auto"/>
          <w:szCs w:val="21"/>
        </w:rPr>
        <w:t>项目</w:t>
      </w:r>
      <w:r>
        <w:rPr>
          <w:rFonts w:ascii="宋体" w:hAnsi="宋体"/>
          <w:color w:val="auto"/>
          <w:szCs w:val="21"/>
        </w:rPr>
        <w:t>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ind w:firstLine="435"/>
        <w:jc w:val="center"/>
        <w:rPr>
          <w:rFonts w:ascii="宋体" w:hAnsi="宋体"/>
          <w:color w:val="auto"/>
          <w:szCs w:val="21"/>
          <w:u w:val="singl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462"/>
        <w:gridCol w:w="2651"/>
        <w:gridCol w:w="1201"/>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558" w:type="dxa"/>
            <w:noWrap w:val="0"/>
            <w:vAlign w:val="center"/>
          </w:tcPr>
          <w:p>
            <w:pPr>
              <w:jc w:val="center"/>
              <w:rPr>
                <w:rFonts w:ascii="宋体" w:hAnsi="宋体" w:cs="宋体"/>
                <w:b/>
                <w:color w:val="auto"/>
                <w:kern w:val="0"/>
                <w:szCs w:val="21"/>
              </w:rPr>
            </w:pPr>
            <w:r>
              <w:rPr>
                <w:rFonts w:hint="eastAsia" w:ascii="宋体" w:hAnsi="宋体" w:cs="宋体"/>
                <w:b/>
                <w:color w:val="auto"/>
                <w:kern w:val="0"/>
                <w:szCs w:val="21"/>
              </w:rPr>
              <w:t>序号</w:t>
            </w:r>
          </w:p>
        </w:tc>
        <w:tc>
          <w:tcPr>
            <w:tcW w:w="1462" w:type="dxa"/>
            <w:noWrap w:val="0"/>
            <w:vAlign w:val="center"/>
          </w:tcPr>
          <w:p>
            <w:pPr>
              <w:jc w:val="center"/>
              <w:rPr>
                <w:rFonts w:ascii="宋体" w:hAnsi="宋体" w:cs="宋体"/>
                <w:b/>
                <w:color w:val="auto"/>
                <w:kern w:val="0"/>
                <w:szCs w:val="21"/>
              </w:rPr>
            </w:pPr>
            <w:r>
              <w:rPr>
                <w:rFonts w:hint="eastAsia" w:ascii="宋体" w:hAnsi="宋体" w:cs="宋体"/>
                <w:b/>
                <w:color w:val="auto"/>
                <w:kern w:val="0"/>
                <w:szCs w:val="21"/>
              </w:rPr>
              <w:t>名称</w:t>
            </w:r>
          </w:p>
        </w:tc>
        <w:tc>
          <w:tcPr>
            <w:tcW w:w="2651" w:type="dxa"/>
            <w:noWrap w:val="0"/>
            <w:vAlign w:val="center"/>
          </w:tcPr>
          <w:p>
            <w:pPr>
              <w:jc w:val="center"/>
              <w:rPr>
                <w:rFonts w:ascii="宋体" w:hAnsi="宋体" w:cs="宋体"/>
                <w:b/>
                <w:color w:val="auto"/>
                <w:kern w:val="0"/>
                <w:szCs w:val="21"/>
              </w:rPr>
            </w:pPr>
            <w:r>
              <w:rPr>
                <w:rFonts w:hint="eastAsia" w:ascii="宋体" w:hAnsi="宋体" w:cs="宋体"/>
                <w:b/>
                <w:color w:val="auto"/>
                <w:kern w:val="0"/>
                <w:szCs w:val="21"/>
              </w:rPr>
              <w:t>规</w:t>
            </w:r>
            <w:r>
              <w:rPr>
                <w:rFonts w:ascii="宋体" w:hAnsi="宋体" w:cs="宋体"/>
                <w:b/>
                <w:color w:val="auto"/>
                <w:kern w:val="0"/>
                <w:szCs w:val="21"/>
              </w:rPr>
              <w:t xml:space="preserve"> </w:t>
            </w:r>
            <w:r>
              <w:rPr>
                <w:rFonts w:hint="eastAsia" w:ascii="宋体" w:hAnsi="宋体" w:cs="宋体"/>
                <w:b/>
                <w:color w:val="auto"/>
                <w:kern w:val="0"/>
                <w:szCs w:val="21"/>
              </w:rPr>
              <w:t>格</w:t>
            </w:r>
          </w:p>
        </w:tc>
        <w:tc>
          <w:tcPr>
            <w:tcW w:w="1201" w:type="dxa"/>
            <w:noWrap w:val="0"/>
            <w:vAlign w:val="center"/>
          </w:tcPr>
          <w:p>
            <w:pPr>
              <w:jc w:val="center"/>
              <w:rPr>
                <w:rFonts w:hint="eastAsia" w:ascii="宋体" w:hAnsi="宋体" w:cs="宋体"/>
                <w:b/>
                <w:color w:val="auto"/>
                <w:kern w:val="0"/>
                <w:szCs w:val="21"/>
              </w:rPr>
            </w:pPr>
            <w:r>
              <w:rPr>
                <w:rFonts w:hint="eastAsia" w:ascii="宋体" w:hAnsi="宋体" w:cs="宋体"/>
                <w:b/>
                <w:color w:val="auto"/>
                <w:kern w:val="0"/>
                <w:szCs w:val="21"/>
              </w:rPr>
              <w:t>供货期</w:t>
            </w:r>
          </w:p>
        </w:tc>
        <w:tc>
          <w:tcPr>
            <w:tcW w:w="1253" w:type="dxa"/>
            <w:noWrap w:val="0"/>
            <w:vAlign w:val="center"/>
          </w:tcPr>
          <w:p>
            <w:pPr>
              <w:jc w:val="center"/>
              <w:rPr>
                <w:rFonts w:hint="eastAsia" w:ascii="宋体" w:hAnsi="宋体" w:cs="宋体"/>
                <w:b/>
                <w:color w:val="auto"/>
                <w:kern w:val="0"/>
                <w:szCs w:val="21"/>
              </w:rPr>
            </w:pPr>
            <w:r>
              <w:rPr>
                <w:rFonts w:hint="eastAsia" w:ascii="宋体" w:hAnsi="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58" w:type="dxa"/>
            <w:noWrap w:val="0"/>
            <w:vAlign w:val="center"/>
          </w:tcPr>
          <w:p>
            <w:pPr>
              <w:jc w:val="center"/>
              <w:rPr>
                <w:rFonts w:ascii="宋体" w:hAnsi="宋体"/>
                <w:color w:val="auto"/>
                <w:szCs w:val="21"/>
              </w:rPr>
            </w:pPr>
          </w:p>
        </w:tc>
        <w:tc>
          <w:tcPr>
            <w:tcW w:w="1462" w:type="dxa"/>
            <w:noWrap w:val="0"/>
            <w:vAlign w:val="center"/>
          </w:tcPr>
          <w:p>
            <w:pPr>
              <w:jc w:val="center"/>
              <w:rPr>
                <w:rFonts w:ascii="宋体" w:hAnsi="宋体"/>
                <w:color w:val="auto"/>
                <w:szCs w:val="21"/>
              </w:rPr>
            </w:pPr>
          </w:p>
        </w:tc>
        <w:tc>
          <w:tcPr>
            <w:tcW w:w="2651" w:type="dxa"/>
            <w:noWrap w:val="0"/>
            <w:vAlign w:val="center"/>
          </w:tcPr>
          <w:p>
            <w:pPr>
              <w:jc w:val="center"/>
              <w:rPr>
                <w:rFonts w:ascii="宋体" w:hAnsi="宋体"/>
                <w:color w:val="auto"/>
                <w:szCs w:val="21"/>
              </w:rPr>
            </w:pPr>
          </w:p>
        </w:tc>
        <w:tc>
          <w:tcPr>
            <w:tcW w:w="1201" w:type="dxa"/>
            <w:noWrap w:val="0"/>
            <w:vAlign w:val="top"/>
          </w:tcPr>
          <w:p>
            <w:pPr>
              <w:jc w:val="center"/>
              <w:rPr>
                <w:rFonts w:ascii="宋体" w:hAnsi="宋体"/>
                <w:color w:val="auto"/>
                <w:szCs w:val="21"/>
              </w:rPr>
            </w:pPr>
          </w:p>
        </w:tc>
        <w:tc>
          <w:tcPr>
            <w:tcW w:w="1253" w:type="dxa"/>
            <w:noWrap w:val="0"/>
            <w:vAlign w:val="top"/>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58" w:type="dxa"/>
            <w:noWrap w:val="0"/>
            <w:vAlign w:val="center"/>
          </w:tcPr>
          <w:p>
            <w:pPr>
              <w:jc w:val="center"/>
              <w:rPr>
                <w:rFonts w:ascii="宋体" w:hAnsi="宋体"/>
                <w:color w:val="auto"/>
                <w:szCs w:val="21"/>
              </w:rPr>
            </w:pPr>
          </w:p>
        </w:tc>
        <w:tc>
          <w:tcPr>
            <w:tcW w:w="1462" w:type="dxa"/>
            <w:noWrap w:val="0"/>
            <w:vAlign w:val="center"/>
          </w:tcPr>
          <w:p>
            <w:pPr>
              <w:jc w:val="center"/>
              <w:rPr>
                <w:rFonts w:ascii="宋体" w:hAnsi="宋体"/>
                <w:color w:val="auto"/>
                <w:szCs w:val="21"/>
              </w:rPr>
            </w:pPr>
          </w:p>
        </w:tc>
        <w:tc>
          <w:tcPr>
            <w:tcW w:w="2651" w:type="dxa"/>
            <w:noWrap w:val="0"/>
            <w:vAlign w:val="center"/>
          </w:tcPr>
          <w:p>
            <w:pPr>
              <w:jc w:val="center"/>
              <w:rPr>
                <w:rFonts w:ascii="宋体" w:hAnsi="宋体"/>
                <w:color w:val="auto"/>
                <w:szCs w:val="21"/>
              </w:rPr>
            </w:pPr>
          </w:p>
        </w:tc>
        <w:tc>
          <w:tcPr>
            <w:tcW w:w="1201" w:type="dxa"/>
            <w:noWrap w:val="0"/>
            <w:vAlign w:val="top"/>
          </w:tcPr>
          <w:p>
            <w:pPr>
              <w:jc w:val="center"/>
              <w:rPr>
                <w:rFonts w:ascii="宋体" w:hAnsi="宋体"/>
                <w:color w:val="auto"/>
                <w:szCs w:val="21"/>
              </w:rPr>
            </w:pPr>
          </w:p>
        </w:tc>
        <w:tc>
          <w:tcPr>
            <w:tcW w:w="1253" w:type="dxa"/>
            <w:noWrap w:val="0"/>
            <w:vAlign w:val="top"/>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58" w:type="dxa"/>
            <w:noWrap w:val="0"/>
            <w:vAlign w:val="center"/>
          </w:tcPr>
          <w:p>
            <w:pPr>
              <w:jc w:val="center"/>
              <w:rPr>
                <w:rFonts w:ascii="宋体" w:hAnsi="宋体"/>
                <w:color w:val="auto"/>
                <w:szCs w:val="21"/>
              </w:rPr>
            </w:pPr>
          </w:p>
        </w:tc>
        <w:tc>
          <w:tcPr>
            <w:tcW w:w="1462" w:type="dxa"/>
            <w:noWrap w:val="0"/>
            <w:vAlign w:val="center"/>
          </w:tcPr>
          <w:p>
            <w:pPr>
              <w:jc w:val="center"/>
              <w:rPr>
                <w:rFonts w:ascii="宋体" w:hAnsi="宋体"/>
                <w:color w:val="auto"/>
                <w:szCs w:val="21"/>
              </w:rPr>
            </w:pPr>
          </w:p>
        </w:tc>
        <w:tc>
          <w:tcPr>
            <w:tcW w:w="2651" w:type="dxa"/>
            <w:noWrap w:val="0"/>
            <w:vAlign w:val="center"/>
          </w:tcPr>
          <w:p>
            <w:pPr>
              <w:jc w:val="center"/>
              <w:rPr>
                <w:rFonts w:ascii="宋体" w:hAnsi="宋体"/>
                <w:color w:val="auto"/>
                <w:szCs w:val="21"/>
              </w:rPr>
            </w:pPr>
          </w:p>
        </w:tc>
        <w:tc>
          <w:tcPr>
            <w:tcW w:w="1201" w:type="dxa"/>
            <w:noWrap w:val="0"/>
            <w:vAlign w:val="top"/>
          </w:tcPr>
          <w:p>
            <w:pPr>
              <w:jc w:val="center"/>
              <w:rPr>
                <w:rFonts w:ascii="宋体" w:hAnsi="宋体"/>
                <w:color w:val="auto"/>
                <w:szCs w:val="21"/>
              </w:rPr>
            </w:pPr>
          </w:p>
        </w:tc>
        <w:tc>
          <w:tcPr>
            <w:tcW w:w="1253" w:type="dxa"/>
            <w:noWrap w:val="0"/>
            <w:vAlign w:val="top"/>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58" w:type="dxa"/>
            <w:noWrap w:val="0"/>
            <w:vAlign w:val="center"/>
          </w:tcPr>
          <w:p>
            <w:pPr>
              <w:jc w:val="center"/>
              <w:rPr>
                <w:rFonts w:ascii="宋体" w:hAnsi="宋体"/>
                <w:color w:val="auto"/>
                <w:szCs w:val="21"/>
              </w:rPr>
            </w:pPr>
          </w:p>
        </w:tc>
        <w:tc>
          <w:tcPr>
            <w:tcW w:w="1462" w:type="dxa"/>
            <w:noWrap w:val="0"/>
            <w:vAlign w:val="center"/>
          </w:tcPr>
          <w:p>
            <w:pPr>
              <w:jc w:val="center"/>
              <w:rPr>
                <w:rFonts w:ascii="宋体" w:hAnsi="宋体"/>
                <w:color w:val="auto"/>
                <w:szCs w:val="21"/>
              </w:rPr>
            </w:pPr>
          </w:p>
        </w:tc>
        <w:tc>
          <w:tcPr>
            <w:tcW w:w="2651" w:type="dxa"/>
            <w:noWrap w:val="0"/>
            <w:vAlign w:val="center"/>
          </w:tcPr>
          <w:p>
            <w:pPr>
              <w:jc w:val="center"/>
              <w:rPr>
                <w:rFonts w:ascii="宋体" w:hAnsi="宋体"/>
                <w:color w:val="auto"/>
                <w:szCs w:val="21"/>
              </w:rPr>
            </w:pPr>
          </w:p>
        </w:tc>
        <w:tc>
          <w:tcPr>
            <w:tcW w:w="1201" w:type="dxa"/>
            <w:noWrap w:val="0"/>
            <w:vAlign w:val="top"/>
          </w:tcPr>
          <w:p>
            <w:pPr>
              <w:jc w:val="center"/>
              <w:rPr>
                <w:rFonts w:ascii="宋体" w:hAnsi="宋体"/>
                <w:color w:val="auto"/>
                <w:szCs w:val="21"/>
              </w:rPr>
            </w:pPr>
          </w:p>
        </w:tc>
        <w:tc>
          <w:tcPr>
            <w:tcW w:w="1253" w:type="dxa"/>
            <w:noWrap w:val="0"/>
            <w:vAlign w:val="top"/>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58" w:type="dxa"/>
            <w:noWrap w:val="0"/>
            <w:vAlign w:val="center"/>
          </w:tcPr>
          <w:p>
            <w:pPr>
              <w:jc w:val="center"/>
              <w:rPr>
                <w:rFonts w:ascii="宋体" w:hAnsi="宋体"/>
                <w:color w:val="auto"/>
                <w:szCs w:val="21"/>
              </w:rPr>
            </w:pPr>
          </w:p>
        </w:tc>
        <w:tc>
          <w:tcPr>
            <w:tcW w:w="1462" w:type="dxa"/>
            <w:noWrap w:val="0"/>
            <w:vAlign w:val="center"/>
          </w:tcPr>
          <w:p>
            <w:pPr>
              <w:jc w:val="center"/>
              <w:rPr>
                <w:rFonts w:ascii="宋体" w:hAnsi="宋体"/>
                <w:color w:val="auto"/>
                <w:szCs w:val="21"/>
              </w:rPr>
            </w:pPr>
          </w:p>
        </w:tc>
        <w:tc>
          <w:tcPr>
            <w:tcW w:w="2651" w:type="dxa"/>
            <w:noWrap w:val="0"/>
            <w:vAlign w:val="center"/>
          </w:tcPr>
          <w:p>
            <w:pPr>
              <w:jc w:val="center"/>
              <w:rPr>
                <w:rFonts w:ascii="宋体" w:hAnsi="宋体"/>
                <w:color w:val="auto"/>
                <w:szCs w:val="21"/>
              </w:rPr>
            </w:pPr>
          </w:p>
        </w:tc>
        <w:tc>
          <w:tcPr>
            <w:tcW w:w="1201" w:type="dxa"/>
            <w:noWrap w:val="0"/>
            <w:vAlign w:val="top"/>
          </w:tcPr>
          <w:p>
            <w:pPr>
              <w:jc w:val="center"/>
              <w:rPr>
                <w:rFonts w:ascii="宋体" w:hAnsi="宋体"/>
                <w:color w:val="auto"/>
                <w:szCs w:val="21"/>
              </w:rPr>
            </w:pPr>
          </w:p>
        </w:tc>
        <w:tc>
          <w:tcPr>
            <w:tcW w:w="1253" w:type="dxa"/>
            <w:noWrap w:val="0"/>
            <w:vAlign w:val="top"/>
          </w:tcPr>
          <w:p>
            <w:pPr>
              <w:jc w:val="center"/>
              <w:rPr>
                <w:rFonts w:ascii="宋体" w:hAnsi="宋体"/>
                <w:color w:val="auto"/>
                <w:szCs w:val="21"/>
              </w:rPr>
            </w:pPr>
          </w:p>
        </w:tc>
      </w:tr>
    </w:tbl>
    <w:p>
      <w:pPr>
        <w:ind w:firstLine="435"/>
        <w:rPr>
          <w:rFonts w:ascii="宋体" w:hAnsi="宋体"/>
          <w:color w:val="auto"/>
          <w:szCs w:val="21"/>
        </w:rPr>
      </w:pPr>
    </w:p>
    <w:p>
      <w:pPr>
        <w:ind w:firstLine="315" w:firstLineChars="150"/>
        <w:rPr>
          <w:rFonts w:hint="eastAsia" w:ascii="宋体" w:hAnsi="宋体"/>
          <w:color w:val="auto"/>
          <w:szCs w:val="21"/>
        </w:rPr>
      </w:pPr>
      <w:r>
        <w:rPr>
          <w:rFonts w:ascii="宋体" w:hAnsi="宋体"/>
          <w:color w:val="auto"/>
          <w:szCs w:val="21"/>
        </w:rPr>
        <w:t xml:space="preserve">  </w:t>
      </w:r>
    </w:p>
    <w:p>
      <w:pPr>
        <w:ind w:firstLine="435"/>
        <w:rPr>
          <w:rFonts w:hint="eastAsia" w:ascii="宋体" w:hAnsi="宋体"/>
          <w:color w:val="auto"/>
          <w:szCs w:val="21"/>
        </w:rPr>
      </w:pPr>
    </w:p>
    <w:p>
      <w:pPr>
        <w:ind w:firstLine="435"/>
        <w:rPr>
          <w:rFonts w:hint="eastAsia" w:ascii="宋体" w:hAnsi="宋体"/>
          <w:color w:val="auto"/>
          <w:szCs w:val="21"/>
          <w:u w:val="single"/>
        </w:rPr>
      </w:pPr>
      <w:r>
        <w:rPr>
          <w:rFonts w:ascii="宋体" w:hAnsi="宋体"/>
          <w:color w:val="auto"/>
          <w:szCs w:val="21"/>
        </w:rPr>
        <w:t>投标人名称：</w:t>
      </w:r>
      <w:r>
        <w:rPr>
          <w:rFonts w:ascii="宋体" w:hAnsi="宋体"/>
          <w:color w:val="auto"/>
          <w:szCs w:val="21"/>
          <w:u w:val="single"/>
        </w:rPr>
        <w:t xml:space="preserve">    </w:t>
      </w:r>
      <w:r>
        <w:rPr>
          <w:rFonts w:hint="eastAsia" w:ascii="宋体" w:hAnsi="宋体"/>
          <w:color w:val="auto"/>
          <w:u w:val="single"/>
        </w:rPr>
        <w:t>（盖公章）</w:t>
      </w:r>
      <w:r>
        <w:rPr>
          <w:rFonts w:ascii="宋体" w:hAnsi="宋体"/>
          <w:color w:val="auto"/>
          <w:szCs w:val="21"/>
          <w:u w:val="single"/>
        </w:rPr>
        <w:t xml:space="preserve"> </w:t>
      </w:r>
    </w:p>
    <w:p>
      <w:pPr>
        <w:ind w:firstLine="435"/>
        <w:rPr>
          <w:rFonts w:ascii="宋体" w:hAnsi="宋体"/>
          <w:color w:val="auto"/>
          <w:szCs w:val="21"/>
        </w:rPr>
      </w:pPr>
    </w:p>
    <w:p>
      <w:pPr>
        <w:ind w:firstLine="435"/>
        <w:rPr>
          <w:rFonts w:ascii="宋体" w:hAnsi="宋体"/>
          <w:color w:val="auto"/>
          <w:szCs w:val="21"/>
        </w:rPr>
      </w:pPr>
    </w:p>
    <w:p>
      <w:pPr>
        <w:spacing w:line="300" w:lineRule="auto"/>
        <w:ind w:firstLine="315" w:firstLineChars="150"/>
        <w:rPr>
          <w:rFonts w:ascii="宋体" w:hAnsi="宋体"/>
          <w:color w:val="auto"/>
          <w:sz w:val="20"/>
          <w:szCs w:val="20"/>
        </w:rPr>
      </w:pP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 w:val="20"/>
          <w:szCs w:val="20"/>
        </w:rPr>
        <w:br w:type="page"/>
      </w:r>
    </w:p>
    <w:p>
      <w:pPr>
        <w:pStyle w:val="4"/>
        <w:spacing w:before="0" w:after="0" w:line="300" w:lineRule="auto"/>
        <w:jc w:val="center"/>
        <w:rPr>
          <w:rFonts w:hint="eastAsia" w:ascii="宋体" w:hAnsi="宋体" w:eastAsia="宋体"/>
          <w:color w:val="auto"/>
        </w:rPr>
      </w:pPr>
      <w:bookmarkStart w:id="165" w:name="_Toc351644319"/>
      <w:bookmarkStart w:id="166" w:name="_Toc409424352"/>
      <w:bookmarkStart w:id="167" w:name="_Toc350070701"/>
      <w:bookmarkStart w:id="168" w:name="_Toc409424413"/>
      <w:bookmarkStart w:id="169" w:name="_Toc468267491"/>
      <w:r>
        <w:rPr>
          <w:rFonts w:hint="eastAsia" w:ascii="宋体" w:hAnsi="宋体" w:eastAsia="宋体"/>
          <w:color w:val="auto"/>
        </w:rPr>
        <w:t>七</w:t>
      </w:r>
      <w:r>
        <w:rPr>
          <w:rFonts w:ascii="宋体" w:hAnsi="宋体" w:eastAsia="宋体"/>
          <w:color w:val="auto"/>
        </w:rPr>
        <w:t>、</w:t>
      </w:r>
      <w:bookmarkEnd w:id="165"/>
      <w:bookmarkEnd w:id="166"/>
      <w:bookmarkEnd w:id="167"/>
      <w:bookmarkEnd w:id="168"/>
      <w:r>
        <w:rPr>
          <w:rFonts w:hint="eastAsia" w:ascii="宋体" w:hAnsi="宋体" w:eastAsia="宋体"/>
          <w:color w:val="auto"/>
        </w:rPr>
        <w:t>偏离表</w:t>
      </w:r>
      <w:bookmarkEnd w:id="169"/>
    </w:p>
    <w:p>
      <w:pPr>
        <w:spacing w:line="300" w:lineRule="auto"/>
        <w:rPr>
          <w:rFonts w:hint="eastAsia" w:ascii="宋体" w:hAnsi="宋体"/>
          <w:color w:val="auto"/>
          <w:sz w:val="20"/>
          <w:szCs w:val="20"/>
        </w:rPr>
      </w:pPr>
    </w:p>
    <w:p>
      <w:pPr>
        <w:ind w:firstLine="435"/>
        <w:jc w:val="center"/>
        <w:rPr>
          <w:rFonts w:ascii="宋体" w:hAnsi="宋体"/>
          <w:b/>
          <w:color w:val="auto"/>
          <w:szCs w:val="21"/>
        </w:rPr>
      </w:pPr>
      <w:r>
        <w:rPr>
          <w:rFonts w:hint="eastAsia" w:ascii="宋体" w:hAnsi="宋体"/>
          <w:b/>
          <w:color w:val="auto"/>
          <w:szCs w:val="21"/>
        </w:rPr>
        <w:t>技术规格及商务条款</w:t>
      </w:r>
      <w:r>
        <w:rPr>
          <w:rFonts w:ascii="宋体" w:hAnsi="宋体"/>
          <w:b/>
          <w:color w:val="auto"/>
          <w:szCs w:val="21"/>
        </w:rPr>
        <w:t>偏离表</w:t>
      </w:r>
    </w:p>
    <w:p>
      <w:pPr>
        <w:ind w:firstLine="435"/>
        <w:jc w:val="center"/>
        <w:rPr>
          <w:rFonts w:ascii="宋体" w:hAnsi="宋体"/>
          <w:color w:val="auto"/>
          <w:szCs w:val="21"/>
        </w:rPr>
      </w:pPr>
    </w:p>
    <w:p>
      <w:pPr>
        <w:ind w:firstLine="435"/>
        <w:rPr>
          <w:rFonts w:hint="eastAsia" w:ascii="宋体" w:hAnsi="宋体"/>
          <w:color w:val="auto"/>
          <w:szCs w:val="21"/>
          <w:u w:val="single"/>
        </w:rPr>
      </w:pPr>
      <w:r>
        <w:rPr>
          <w:rFonts w:ascii="宋体" w:hAnsi="宋体"/>
          <w:color w:val="auto"/>
          <w:szCs w:val="21"/>
        </w:rPr>
        <w:t>投标人名称：</w:t>
      </w:r>
      <w:r>
        <w:rPr>
          <w:rFonts w:ascii="宋体" w:hAnsi="宋体"/>
          <w:color w:val="auto"/>
          <w:szCs w:val="21"/>
          <w:u w:val="single"/>
        </w:rPr>
        <w:t xml:space="preserve">          </w:t>
      </w:r>
      <w:r>
        <w:rPr>
          <w:rFonts w:hint="eastAsia" w:ascii="宋体" w:hAnsi="宋体"/>
          <w:color w:val="auto"/>
          <w:u w:val="single"/>
        </w:rPr>
        <w:t>（盖公章）</w:t>
      </w:r>
      <w:r>
        <w:rPr>
          <w:rFonts w:ascii="宋体" w:hAnsi="宋体"/>
          <w:color w:val="auto"/>
          <w:szCs w:val="21"/>
          <w:u w:val="single"/>
        </w:rPr>
        <w:t xml:space="preserve">  </w:t>
      </w:r>
    </w:p>
    <w:p>
      <w:pPr>
        <w:ind w:firstLine="435"/>
        <w:rPr>
          <w:rFonts w:hint="eastAsia" w:ascii="宋体" w:hAnsi="宋体"/>
          <w:color w:val="auto"/>
          <w:szCs w:val="21"/>
          <w:u w:val="single"/>
        </w:rPr>
      </w:pPr>
    </w:p>
    <w:p>
      <w:pPr>
        <w:ind w:firstLine="435"/>
        <w:rPr>
          <w:rFonts w:ascii="宋体" w:hAnsi="宋体"/>
          <w:color w:val="auto"/>
          <w:szCs w:val="21"/>
        </w:rPr>
      </w:pPr>
      <w:r>
        <w:rPr>
          <w:rFonts w:ascii="宋体" w:hAnsi="宋体"/>
          <w:color w:val="auto"/>
          <w:szCs w:val="21"/>
        </w:rPr>
        <w:t>招标编号：</w:t>
      </w:r>
      <w:r>
        <w:rPr>
          <w:rFonts w:ascii="宋体" w:hAnsi="宋体"/>
          <w:color w:val="auto"/>
          <w:szCs w:val="21"/>
          <w:u w:val="single"/>
        </w:rPr>
        <w:t xml:space="preserve">                        </w:t>
      </w:r>
      <w:r>
        <w:rPr>
          <w:rFonts w:ascii="宋体" w:hAnsi="宋体"/>
          <w:color w:val="auto"/>
          <w:szCs w:val="21"/>
        </w:rPr>
        <w:t xml:space="preserve">   </w:t>
      </w:r>
    </w:p>
    <w:p>
      <w:pPr>
        <w:ind w:firstLine="435"/>
        <w:rPr>
          <w:rFonts w:ascii="宋体" w:hAnsi="宋体"/>
          <w:color w:val="auto"/>
          <w:szCs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980"/>
        <w:gridCol w:w="2596"/>
        <w:gridCol w:w="72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r>
              <w:rPr>
                <w:rFonts w:hint="eastAsia" w:ascii="宋体" w:hAnsi="宋体"/>
                <w:color w:val="auto"/>
                <w:szCs w:val="21"/>
              </w:rPr>
              <w:t>条款号</w:t>
            </w:r>
          </w:p>
        </w:tc>
        <w:tc>
          <w:tcPr>
            <w:tcW w:w="1080" w:type="dxa"/>
            <w:noWrap w:val="0"/>
            <w:vAlign w:val="center"/>
          </w:tcPr>
          <w:p>
            <w:pPr>
              <w:jc w:val="center"/>
              <w:rPr>
                <w:rFonts w:ascii="宋体" w:hAnsi="宋体"/>
                <w:color w:val="auto"/>
                <w:szCs w:val="21"/>
              </w:rPr>
            </w:pPr>
            <w:r>
              <w:rPr>
                <w:rFonts w:ascii="宋体" w:hAnsi="宋体"/>
                <w:color w:val="auto"/>
                <w:szCs w:val="21"/>
              </w:rPr>
              <w:t>名称</w:t>
            </w:r>
          </w:p>
        </w:tc>
        <w:tc>
          <w:tcPr>
            <w:tcW w:w="1980" w:type="dxa"/>
            <w:noWrap w:val="0"/>
            <w:vAlign w:val="center"/>
          </w:tcPr>
          <w:p>
            <w:pPr>
              <w:jc w:val="center"/>
              <w:rPr>
                <w:rFonts w:ascii="宋体" w:hAnsi="宋体"/>
                <w:color w:val="auto"/>
                <w:szCs w:val="21"/>
              </w:rPr>
            </w:pPr>
            <w:r>
              <w:rPr>
                <w:rFonts w:ascii="宋体" w:hAnsi="宋体"/>
                <w:color w:val="auto"/>
                <w:szCs w:val="21"/>
              </w:rPr>
              <w:t>招标文件要求规格</w:t>
            </w:r>
          </w:p>
        </w:tc>
        <w:tc>
          <w:tcPr>
            <w:tcW w:w="2596" w:type="dxa"/>
            <w:noWrap w:val="0"/>
            <w:vAlign w:val="center"/>
          </w:tcPr>
          <w:p>
            <w:pPr>
              <w:jc w:val="center"/>
              <w:rPr>
                <w:rFonts w:ascii="宋体" w:hAnsi="宋体"/>
                <w:color w:val="auto"/>
                <w:szCs w:val="21"/>
              </w:rPr>
            </w:pPr>
            <w:r>
              <w:rPr>
                <w:rFonts w:ascii="宋体" w:hAnsi="宋体"/>
                <w:color w:val="auto"/>
                <w:szCs w:val="21"/>
              </w:rPr>
              <w:t>投标规格</w:t>
            </w:r>
          </w:p>
        </w:tc>
        <w:tc>
          <w:tcPr>
            <w:tcW w:w="720" w:type="dxa"/>
            <w:noWrap w:val="0"/>
            <w:vAlign w:val="center"/>
          </w:tcPr>
          <w:p>
            <w:pPr>
              <w:jc w:val="center"/>
              <w:rPr>
                <w:rFonts w:ascii="宋体" w:hAnsi="宋体"/>
                <w:color w:val="auto"/>
                <w:szCs w:val="21"/>
              </w:rPr>
            </w:pPr>
            <w:r>
              <w:rPr>
                <w:rFonts w:ascii="宋体" w:hAnsi="宋体"/>
                <w:color w:val="auto"/>
                <w:szCs w:val="21"/>
              </w:rPr>
              <w:t>偏离</w:t>
            </w:r>
          </w:p>
        </w:tc>
        <w:tc>
          <w:tcPr>
            <w:tcW w:w="860" w:type="dxa"/>
            <w:noWrap w:val="0"/>
            <w:vAlign w:val="center"/>
          </w:tcPr>
          <w:p>
            <w:pPr>
              <w:jc w:val="center"/>
              <w:rPr>
                <w:rFonts w:ascii="宋体" w:hAnsi="宋体"/>
                <w:color w:val="auto"/>
                <w:szCs w:val="21"/>
              </w:rPr>
            </w:pPr>
            <w:r>
              <w:rPr>
                <w:rFonts w:ascii="宋体" w:hAnsi="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8" w:type="dxa"/>
            <w:noWrap w:val="0"/>
            <w:vAlign w:val="center"/>
          </w:tcPr>
          <w:p>
            <w:pPr>
              <w:jc w:val="center"/>
              <w:rPr>
                <w:rFonts w:ascii="宋体" w:hAnsi="宋体"/>
                <w:color w:val="auto"/>
                <w:szCs w:val="21"/>
              </w:rPr>
            </w:pPr>
          </w:p>
        </w:tc>
        <w:tc>
          <w:tcPr>
            <w:tcW w:w="1080" w:type="dxa"/>
            <w:noWrap w:val="0"/>
            <w:vAlign w:val="center"/>
          </w:tcPr>
          <w:p>
            <w:pPr>
              <w:jc w:val="center"/>
              <w:rPr>
                <w:rFonts w:ascii="宋体" w:hAnsi="宋体"/>
                <w:color w:val="auto"/>
                <w:szCs w:val="21"/>
              </w:rPr>
            </w:pPr>
          </w:p>
        </w:tc>
        <w:tc>
          <w:tcPr>
            <w:tcW w:w="1980" w:type="dxa"/>
            <w:noWrap w:val="0"/>
            <w:vAlign w:val="center"/>
          </w:tcPr>
          <w:p>
            <w:pPr>
              <w:jc w:val="center"/>
              <w:rPr>
                <w:rFonts w:ascii="宋体" w:hAnsi="宋体"/>
                <w:color w:val="auto"/>
                <w:szCs w:val="21"/>
              </w:rPr>
            </w:pPr>
          </w:p>
        </w:tc>
        <w:tc>
          <w:tcPr>
            <w:tcW w:w="2596" w:type="dxa"/>
            <w:noWrap w:val="0"/>
            <w:vAlign w:val="center"/>
          </w:tcPr>
          <w:p>
            <w:pPr>
              <w:jc w:val="center"/>
              <w:rPr>
                <w:rFonts w:ascii="宋体" w:hAnsi="宋体"/>
                <w:color w:val="auto"/>
                <w:szCs w:val="21"/>
              </w:rPr>
            </w:pPr>
          </w:p>
        </w:tc>
        <w:tc>
          <w:tcPr>
            <w:tcW w:w="720" w:type="dxa"/>
            <w:noWrap w:val="0"/>
            <w:vAlign w:val="center"/>
          </w:tcPr>
          <w:p>
            <w:pPr>
              <w:jc w:val="center"/>
              <w:rPr>
                <w:rFonts w:ascii="宋体" w:hAnsi="宋体"/>
                <w:color w:val="auto"/>
                <w:szCs w:val="21"/>
              </w:rPr>
            </w:pPr>
          </w:p>
        </w:tc>
        <w:tc>
          <w:tcPr>
            <w:tcW w:w="860" w:type="dxa"/>
            <w:noWrap w:val="0"/>
            <w:vAlign w:val="center"/>
          </w:tcPr>
          <w:p>
            <w:pPr>
              <w:jc w:val="center"/>
              <w:rPr>
                <w:rFonts w:ascii="宋体" w:hAnsi="宋体"/>
                <w:color w:val="auto"/>
                <w:szCs w:val="21"/>
              </w:rPr>
            </w:pPr>
          </w:p>
        </w:tc>
      </w:tr>
    </w:tbl>
    <w:p>
      <w:pPr>
        <w:ind w:firstLine="435"/>
        <w:rPr>
          <w:rFonts w:ascii="宋体" w:hAnsi="宋体"/>
          <w:color w:val="auto"/>
          <w:szCs w:val="21"/>
        </w:rPr>
      </w:pPr>
      <w:r>
        <w:rPr>
          <w:rFonts w:ascii="宋体" w:hAnsi="宋体"/>
          <w:color w:val="auto"/>
          <w:szCs w:val="21"/>
        </w:rPr>
        <w:t xml:space="preserve">  </w:t>
      </w:r>
    </w:p>
    <w:p>
      <w:pPr>
        <w:ind w:firstLine="435"/>
        <w:rPr>
          <w:rFonts w:hint="eastAsia" w:ascii="宋体" w:hAnsi="宋体"/>
          <w:color w:val="auto"/>
          <w:szCs w:val="21"/>
        </w:rPr>
      </w:pPr>
    </w:p>
    <w:p>
      <w:pPr>
        <w:ind w:firstLine="435"/>
        <w:rPr>
          <w:rFonts w:hint="eastAsia" w:ascii="宋体" w:hAnsi="宋体"/>
          <w:color w:val="auto"/>
          <w:szCs w:val="21"/>
          <w:u w:val="single"/>
        </w:rPr>
      </w:pPr>
      <w:r>
        <w:rPr>
          <w:rFonts w:ascii="宋体" w:hAnsi="宋体"/>
          <w:color w:val="auto"/>
          <w:szCs w:val="21"/>
        </w:rPr>
        <w:t>投标人名称：</w:t>
      </w:r>
      <w:r>
        <w:rPr>
          <w:rFonts w:ascii="宋体" w:hAnsi="宋体"/>
          <w:color w:val="auto"/>
          <w:szCs w:val="21"/>
          <w:u w:val="single"/>
        </w:rPr>
        <w:t xml:space="preserve">    </w:t>
      </w:r>
      <w:r>
        <w:rPr>
          <w:rFonts w:hint="eastAsia" w:ascii="宋体" w:hAnsi="宋体"/>
          <w:color w:val="auto"/>
          <w:u w:val="single"/>
        </w:rPr>
        <w:t>（盖公章）</w:t>
      </w:r>
      <w:r>
        <w:rPr>
          <w:rFonts w:ascii="宋体" w:hAnsi="宋体"/>
          <w:color w:val="auto"/>
          <w:szCs w:val="21"/>
          <w:u w:val="single"/>
        </w:rPr>
        <w:t xml:space="preserve"> </w:t>
      </w:r>
    </w:p>
    <w:p>
      <w:pPr>
        <w:ind w:firstLine="435"/>
        <w:rPr>
          <w:rFonts w:ascii="宋体" w:hAnsi="宋体"/>
          <w:color w:val="auto"/>
          <w:szCs w:val="21"/>
          <w:u w:val="single"/>
        </w:rPr>
      </w:pPr>
      <w:r>
        <w:rPr>
          <w:rFonts w:ascii="宋体" w:hAnsi="宋体"/>
          <w:color w:val="auto"/>
          <w:szCs w:val="21"/>
          <w:u w:val="single"/>
        </w:rPr>
        <w:t xml:space="preserve">        </w:t>
      </w:r>
    </w:p>
    <w:p>
      <w:pPr>
        <w:ind w:firstLine="435"/>
        <w:rPr>
          <w:rFonts w:ascii="宋体" w:hAnsi="宋体"/>
          <w:color w:val="auto"/>
          <w:szCs w:val="21"/>
          <w:u w:val="single"/>
        </w:rPr>
      </w:pPr>
    </w:p>
    <w:p>
      <w:pPr>
        <w:ind w:firstLine="435"/>
        <w:rPr>
          <w:rFonts w:ascii="宋体" w:hAnsi="宋体"/>
          <w:color w:val="auto"/>
          <w:szCs w:val="21"/>
          <w:u w:val="single"/>
        </w:rPr>
      </w:pPr>
      <w:r>
        <w:rPr>
          <w:rFonts w:hint="eastAsia" w:ascii="宋体" w:hAnsi="宋体"/>
          <w:color w:val="auto"/>
          <w:szCs w:val="21"/>
          <w:u w:val="single"/>
        </w:rPr>
        <w:t>注：如无偏离本表写无即可。</w:t>
      </w:r>
    </w:p>
    <w:p>
      <w:pPr>
        <w:ind w:firstLine="435"/>
        <w:rPr>
          <w:rFonts w:ascii="宋体" w:hAnsi="宋体"/>
          <w:color w:val="auto"/>
          <w:szCs w:val="21"/>
          <w:u w:val="single"/>
        </w:rPr>
      </w:pPr>
    </w:p>
    <w:p>
      <w:pPr>
        <w:ind w:firstLine="435"/>
        <w:rPr>
          <w:rFonts w:ascii="宋体" w:hAnsi="宋体"/>
          <w:color w:val="auto"/>
          <w:szCs w:val="21"/>
          <w:u w:val="single"/>
        </w:rPr>
      </w:pPr>
    </w:p>
    <w:p>
      <w:pPr>
        <w:ind w:firstLine="435"/>
        <w:rPr>
          <w:rFonts w:ascii="宋体" w:hAnsi="宋体"/>
          <w:color w:val="auto"/>
          <w:szCs w:val="21"/>
          <w:u w:val="single"/>
        </w:rPr>
      </w:pPr>
    </w:p>
    <w:p>
      <w:pPr>
        <w:ind w:firstLine="435"/>
        <w:rPr>
          <w:rFonts w:ascii="宋体" w:hAnsi="宋体"/>
          <w:color w:val="auto"/>
          <w:szCs w:val="21"/>
          <w:u w:val="single"/>
        </w:rPr>
      </w:pPr>
    </w:p>
    <w:p>
      <w:pPr>
        <w:ind w:firstLine="435"/>
        <w:rPr>
          <w:rFonts w:ascii="宋体" w:hAnsi="宋体"/>
          <w:color w:val="auto"/>
          <w:szCs w:val="21"/>
          <w:u w:val="single"/>
        </w:rPr>
      </w:pPr>
    </w:p>
    <w:p>
      <w:pPr>
        <w:pStyle w:val="4"/>
        <w:spacing w:before="0" w:after="0" w:line="300" w:lineRule="auto"/>
        <w:jc w:val="center"/>
        <w:rPr>
          <w:rFonts w:hint="eastAsia" w:ascii="宋体" w:hAnsi="宋体" w:eastAsia="宋体"/>
          <w:b w:val="0"/>
          <w:color w:val="auto"/>
          <w:sz w:val="21"/>
          <w:szCs w:val="21"/>
        </w:rPr>
      </w:pPr>
      <w:r>
        <w:rPr>
          <w:rFonts w:ascii="宋体" w:hAnsi="宋体" w:eastAsia="宋体"/>
          <w:color w:val="auto"/>
          <w:szCs w:val="21"/>
          <w:u w:val="single"/>
        </w:rPr>
        <w:br w:type="page"/>
      </w:r>
      <w:bookmarkStart w:id="170" w:name="_Toc468267492"/>
      <w:r>
        <w:rPr>
          <w:rFonts w:hint="eastAsia" w:ascii="宋体" w:hAnsi="宋体" w:eastAsia="宋体"/>
          <w:color w:val="auto"/>
          <w:szCs w:val="21"/>
        </w:rPr>
        <w:t>八、</w:t>
      </w:r>
      <w:r>
        <w:rPr>
          <w:rFonts w:ascii="宋体" w:hAnsi="宋体" w:eastAsia="宋体"/>
          <w:color w:val="auto"/>
        </w:rPr>
        <w:t>优惠条件和</w:t>
      </w:r>
      <w:r>
        <w:rPr>
          <w:rFonts w:hint="eastAsia" w:ascii="宋体" w:hAnsi="宋体" w:eastAsia="宋体"/>
          <w:color w:val="auto"/>
        </w:rPr>
        <w:t>服务承诺</w:t>
      </w:r>
      <w:bookmarkEnd w:id="170"/>
    </w:p>
    <w:p>
      <w:pPr>
        <w:ind w:firstLine="435"/>
        <w:rPr>
          <w:rFonts w:ascii="宋体" w:hAnsi="宋体"/>
          <w:b/>
          <w:color w:val="auto"/>
          <w:szCs w:val="21"/>
        </w:rPr>
      </w:pPr>
    </w:p>
    <w:p>
      <w:pPr>
        <w:spacing w:line="360" w:lineRule="auto"/>
        <w:ind w:firstLine="420" w:firstLineChars="200"/>
        <w:rPr>
          <w:rFonts w:hint="eastAsia" w:ascii="宋体" w:hAnsi="宋体"/>
          <w:color w:val="auto"/>
          <w:szCs w:val="21"/>
        </w:rPr>
      </w:pPr>
    </w:p>
    <w:p>
      <w:pPr>
        <w:ind w:firstLine="435"/>
        <w:rPr>
          <w:rFonts w:hint="eastAsia" w:ascii="宋体" w:hAnsi="宋体"/>
          <w:color w:val="auto"/>
          <w:szCs w:val="21"/>
        </w:rPr>
      </w:pPr>
      <w:r>
        <w:rPr>
          <w:rFonts w:ascii="宋体" w:hAnsi="宋体"/>
          <w:color w:val="auto"/>
        </w:rPr>
        <w:t>投标人需列出给买方的优惠条件和提供详细的服务承诺。</w:t>
      </w: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u w:val="single"/>
        </w:rPr>
      </w:pPr>
    </w:p>
    <w:p>
      <w:pPr>
        <w:ind w:firstLine="435"/>
        <w:rPr>
          <w:rFonts w:hint="eastAsia" w:ascii="宋体" w:hAnsi="宋体"/>
          <w:color w:val="auto"/>
          <w:szCs w:val="21"/>
        </w:rPr>
      </w:pPr>
    </w:p>
    <w:p>
      <w:pPr>
        <w:ind w:firstLine="435"/>
        <w:rPr>
          <w:rFonts w:hint="eastAsia" w:ascii="宋体" w:hAnsi="宋体"/>
          <w:color w:val="auto"/>
          <w:szCs w:val="21"/>
        </w:rPr>
      </w:pPr>
    </w:p>
    <w:p>
      <w:pPr>
        <w:ind w:firstLine="435"/>
        <w:rPr>
          <w:rFonts w:hint="eastAsia" w:ascii="宋体" w:hAnsi="宋体"/>
          <w:color w:val="auto"/>
          <w:szCs w:val="21"/>
        </w:rPr>
      </w:pPr>
    </w:p>
    <w:p>
      <w:pPr>
        <w:ind w:firstLine="435"/>
        <w:rPr>
          <w:rFonts w:hint="eastAsia" w:ascii="宋体" w:hAnsi="宋体"/>
          <w:color w:val="auto"/>
          <w:szCs w:val="21"/>
        </w:rPr>
      </w:pPr>
    </w:p>
    <w:p>
      <w:pPr>
        <w:ind w:firstLine="630" w:firstLineChars="300"/>
        <w:rPr>
          <w:rFonts w:hint="eastAsia" w:ascii="宋体" w:hAnsi="宋体"/>
          <w:color w:val="auto"/>
          <w:szCs w:val="21"/>
        </w:rPr>
      </w:pPr>
      <w:r>
        <w:rPr>
          <w:rFonts w:ascii="宋体" w:hAnsi="宋体"/>
          <w:color w:val="auto"/>
          <w:szCs w:val="21"/>
        </w:rPr>
        <w:t>投标人公章</w:t>
      </w:r>
      <w:r>
        <w:rPr>
          <w:rFonts w:hint="eastAsia" w:ascii="宋体" w:hAnsi="宋体"/>
          <w:color w:val="auto"/>
          <w:szCs w:val="21"/>
        </w:rPr>
        <w:t>：</w:t>
      </w:r>
    </w:p>
    <w:p>
      <w:pPr>
        <w:ind w:firstLine="435"/>
        <w:rPr>
          <w:rFonts w:hint="eastAsia" w:ascii="宋体" w:hAnsi="宋体"/>
          <w:color w:val="auto"/>
          <w:szCs w:val="21"/>
        </w:rPr>
      </w:pPr>
    </w:p>
    <w:p>
      <w:pPr>
        <w:ind w:firstLine="435"/>
        <w:rPr>
          <w:rFonts w:hint="eastAsia" w:ascii="宋体" w:hAnsi="宋体"/>
          <w:color w:val="auto"/>
          <w:szCs w:val="21"/>
        </w:rPr>
      </w:pPr>
      <w:r>
        <w:rPr>
          <w:rFonts w:ascii="宋体" w:hAnsi="宋体"/>
          <w:color w:val="auto"/>
          <w:szCs w:val="21"/>
        </w:rPr>
        <w:t xml:space="preserve">  投标人代表签字</w:t>
      </w:r>
      <w:r>
        <w:rPr>
          <w:rFonts w:hint="eastAsia" w:ascii="宋体" w:hAnsi="宋体"/>
          <w:color w:val="auto"/>
          <w:szCs w:val="21"/>
        </w:rPr>
        <w:t>或盖章</w:t>
      </w:r>
      <w:r>
        <w:rPr>
          <w:rFonts w:ascii="宋体" w:hAnsi="宋体"/>
          <w:color w:val="auto"/>
          <w:szCs w:val="21"/>
        </w:rPr>
        <w:t>：</w:t>
      </w:r>
      <w:r>
        <w:rPr>
          <w:rFonts w:ascii="宋体" w:hAnsi="宋体"/>
          <w:color w:val="auto"/>
          <w:szCs w:val="21"/>
          <w:u w:val="single"/>
        </w:rPr>
        <w:t xml:space="preserve">                </w:t>
      </w:r>
      <w:r>
        <w:rPr>
          <w:rFonts w:ascii="宋体" w:hAnsi="宋体"/>
          <w:color w:val="auto"/>
          <w:szCs w:val="21"/>
        </w:rPr>
        <w:t xml:space="preserve"> </w:t>
      </w:r>
    </w:p>
    <w:p>
      <w:pPr>
        <w:ind w:firstLine="435"/>
        <w:rPr>
          <w:rFonts w:hint="eastAsia" w:ascii="宋体" w:hAnsi="宋体"/>
          <w:color w:val="auto"/>
          <w:szCs w:val="21"/>
        </w:rPr>
      </w:pPr>
    </w:p>
    <w:p>
      <w:pPr>
        <w:ind w:firstLine="435"/>
        <w:rPr>
          <w:rFonts w:hint="eastAsia" w:ascii="宋体" w:hAnsi="宋体"/>
          <w:color w:val="auto"/>
          <w:szCs w:val="21"/>
        </w:rPr>
      </w:pPr>
      <w:r>
        <w:rPr>
          <w:rFonts w:hint="eastAsia" w:ascii="宋体" w:hAnsi="宋体"/>
          <w:color w:val="auto"/>
          <w:szCs w:val="21"/>
        </w:rPr>
        <w:t xml:space="preserve">  日期：</w:t>
      </w:r>
    </w:p>
    <w:p>
      <w:pPr>
        <w:ind w:firstLine="435"/>
        <w:rPr>
          <w:rFonts w:ascii="宋体" w:hAnsi="宋体"/>
          <w:color w:val="auto"/>
          <w:szCs w:val="21"/>
        </w:rPr>
      </w:pPr>
      <w:r>
        <w:rPr>
          <w:rFonts w:ascii="宋体" w:hAnsi="宋体"/>
          <w:color w:val="auto"/>
          <w:szCs w:val="21"/>
        </w:rPr>
        <w:t xml:space="preserve">           </w:t>
      </w:r>
    </w:p>
    <w:p>
      <w:pPr>
        <w:rPr>
          <w:rFonts w:ascii="宋体" w:hAnsi="宋体" w:eastAsia="宋体"/>
          <w:color w:val="auto"/>
          <w:szCs w:val="21"/>
          <w:u w:val="single"/>
        </w:rPr>
      </w:pPr>
      <w:r>
        <w:rPr>
          <w:rFonts w:ascii="宋体" w:hAnsi="宋体" w:eastAsia="宋体"/>
          <w:color w:val="auto"/>
          <w:szCs w:val="21"/>
          <w:u w:val="single"/>
        </w:rPr>
        <w:br w:type="page"/>
      </w:r>
    </w:p>
    <w:p>
      <w:pPr>
        <w:pStyle w:val="12"/>
        <w:autoSpaceDN w:val="0"/>
        <w:adjustRightInd w:val="0"/>
        <w:snapToGrid w:val="0"/>
        <w:spacing w:line="360" w:lineRule="auto"/>
        <w:jc w:val="center"/>
        <w:rPr>
          <w:rFonts w:cs="宋体" w:asciiTheme="majorEastAsia" w:hAnsiTheme="majorEastAsia" w:eastAsiaTheme="majorEastAsia"/>
          <w:b/>
          <w:bCs/>
          <w:color w:val="auto"/>
          <w:sz w:val="32"/>
          <w:szCs w:val="32"/>
        </w:rPr>
      </w:pPr>
      <w:r>
        <w:rPr>
          <w:rFonts w:hint="eastAsia" w:cs="宋体" w:asciiTheme="majorEastAsia" w:hAnsiTheme="majorEastAsia" w:eastAsiaTheme="majorEastAsia"/>
          <w:b/>
          <w:bCs/>
          <w:color w:val="auto"/>
          <w:sz w:val="32"/>
          <w:szCs w:val="32"/>
          <w:lang w:val="en-US" w:eastAsia="zh-CN"/>
        </w:rPr>
        <w:t>九、</w:t>
      </w:r>
      <w:r>
        <w:rPr>
          <w:rFonts w:hint="eastAsia" w:cs="宋体" w:asciiTheme="majorEastAsia" w:hAnsiTheme="majorEastAsia" w:eastAsiaTheme="majorEastAsia"/>
          <w:b/>
          <w:bCs/>
          <w:color w:val="auto"/>
          <w:sz w:val="32"/>
          <w:szCs w:val="32"/>
        </w:rPr>
        <w:t>售后服务网点情况表</w:t>
      </w:r>
    </w:p>
    <w:p>
      <w:pPr>
        <w:pStyle w:val="12"/>
        <w:autoSpaceDN w:val="0"/>
        <w:adjustRightInd w:val="0"/>
        <w:snapToGrid w:val="0"/>
        <w:spacing w:line="360" w:lineRule="auto"/>
        <w:rPr>
          <w:rFonts w:cs="宋体" w:asciiTheme="majorEastAsia" w:hAnsiTheme="majorEastAsia" w:eastAsiaTheme="majorEastAsia"/>
          <w:b/>
          <w:bCs/>
          <w:color w:val="auto"/>
          <w:szCs w:val="21"/>
        </w:rPr>
      </w:pPr>
      <w:r>
        <w:rPr>
          <w:rFonts w:hint="eastAsia" w:cs="宋体" w:asciiTheme="majorEastAsia" w:hAnsiTheme="majorEastAsia" w:eastAsiaTheme="majorEastAsia"/>
          <w:b/>
          <w:bCs/>
          <w:color w:val="auto"/>
          <w:szCs w:val="21"/>
        </w:rPr>
        <w:t>项目名称：</w:t>
      </w:r>
    </w:p>
    <w:tbl>
      <w:tblPr>
        <w:tblStyle w:val="23"/>
        <w:tblpPr w:leftFromText="180" w:rightFromText="180" w:vertAnchor="text" w:horzAnchor="margin" w:tblpY="7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5"/>
        <w:gridCol w:w="2210"/>
        <w:gridCol w:w="2093"/>
        <w:gridCol w:w="3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服务机构名称</w:t>
            </w: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b/>
                <w:bCs/>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负责人</w:t>
            </w: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b/>
                <w:bCs/>
                <w:color w:val="auto"/>
                <w:szCs w:val="21"/>
              </w:rPr>
            </w:pPr>
            <w:r>
              <w:rPr>
                <w:rFonts w:hint="eastAsia" w:cs="宋体" w:asciiTheme="majorEastAsia" w:hAnsiTheme="majorEastAsia" w:eastAsiaTheme="majorEastAsia"/>
                <w:color w:val="auto"/>
                <w:szCs w:val="21"/>
              </w:rPr>
              <w:t>机构地点</w:t>
            </w: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b/>
                <w:bCs/>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联系电话</w:t>
            </w: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技术人员姓名</w:t>
            </w: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b/>
                <w:bCs/>
                <w:color w:val="auto"/>
                <w:szCs w:val="21"/>
              </w:rPr>
            </w:pPr>
            <w:r>
              <w:rPr>
                <w:rFonts w:hint="eastAsia" w:cs="宋体" w:asciiTheme="majorEastAsia" w:hAnsiTheme="majorEastAsia" w:eastAsiaTheme="majorEastAsia"/>
                <w:color w:val="auto"/>
                <w:szCs w:val="21"/>
              </w:rPr>
              <w:t>岗位</w:t>
            </w: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职称</w:t>
            </w: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经验描述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210"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c>
          <w:tcPr>
            <w:tcW w:w="3108"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网点基础设备及车辆情况</w:t>
            </w:r>
          </w:p>
        </w:tc>
        <w:tc>
          <w:tcPr>
            <w:tcW w:w="7411" w:type="dxa"/>
            <w:gridSpan w:val="3"/>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1535" w:type="dxa"/>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售后服务机构资质</w:t>
            </w:r>
          </w:p>
        </w:tc>
        <w:tc>
          <w:tcPr>
            <w:tcW w:w="7411" w:type="dxa"/>
            <w:gridSpan w:val="3"/>
            <w:tcBorders>
              <w:top w:val="single" w:color="auto" w:sz="4" w:space="0"/>
              <w:left w:val="single" w:color="auto" w:sz="4" w:space="0"/>
              <w:bottom w:val="single" w:color="auto" w:sz="4" w:space="0"/>
              <w:right w:val="single" w:color="auto" w:sz="4" w:space="0"/>
            </w:tcBorders>
          </w:tcPr>
          <w:p>
            <w:pPr>
              <w:pStyle w:val="12"/>
              <w:autoSpaceDN w:val="0"/>
              <w:adjustRightInd w:val="0"/>
              <w:snapToGrid w:val="0"/>
              <w:spacing w:line="360" w:lineRule="auto"/>
              <w:jc w:val="center"/>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（如有，须提供有相关证书复印件）</w:t>
            </w:r>
          </w:p>
        </w:tc>
      </w:tr>
    </w:tbl>
    <w:p>
      <w:pPr>
        <w:pStyle w:val="12"/>
        <w:autoSpaceDN w:val="0"/>
        <w:adjustRightInd w:val="0"/>
        <w:snapToGrid w:val="0"/>
        <w:spacing w:line="360" w:lineRule="auto"/>
        <w:rPr>
          <w:rFonts w:cs="宋体" w:asciiTheme="majorEastAsia" w:hAnsiTheme="majorEastAsia" w:eastAsiaTheme="majorEastAsia"/>
          <w:b/>
          <w:bCs/>
          <w:color w:val="auto"/>
          <w:szCs w:val="21"/>
          <w:u w:val="single"/>
          <w:lang w:val="zh-CN"/>
        </w:rPr>
      </w:pPr>
      <w:r>
        <w:rPr>
          <w:rFonts w:hint="eastAsia" w:cs="宋体" w:asciiTheme="majorEastAsia" w:hAnsiTheme="majorEastAsia" w:eastAsiaTheme="majorEastAsia"/>
          <w:b/>
          <w:bCs/>
          <w:color w:val="auto"/>
          <w:szCs w:val="21"/>
          <w:u w:val="single"/>
          <w:lang w:val="zh-CN"/>
        </w:rPr>
        <w:t>注：1、非投标单位作为服务机构另外还必须提供制造商与该服务机构对本产品服务承诺的联合声明书或厂家对该服务机构的任命文件及售后服务机构工商营业执照。</w:t>
      </w:r>
    </w:p>
    <w:p>
      <w:pPr>
        <w:pStyle w:val="12"/>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b/>
          <w:bCs/>
          <w:color w:val="auto"/>
          <w:szCs w:val="21"/>
          <w:u w:val="single"/>
        </w:rPr>
      </w:pPr>
      <w:r>
        <w:rPr>
          <w:rFonts w:hint="eastAsia" w:cs="宋体" w:asciiTheme="majorEastAsia" w:hAnsiTheme="majorEastAsia" w:eastAsiaTheme="majorEastAsia"/>
          <w:color w:val="auto"/>
          <w:szCs w:val="21"/>
        </w:rPr>
        <w:t xml:space="preserve">供应商：（盖章）                                 法定代表人或其授权人（签字）：   </w:t>
      </w:r>
    </w:p>
    <w:p>
      <w:pPr>
        <w:autoSpaceDN w:val="0"/>
        <w:adjustRightInd w:val="0"/>
        <w:snapToGrid w:val="0"/>
        <w:spacing w:line="360" w:lineRule="auto"/>
        <w:jc w:val="center"/>
        <w:rPr>
          <w:rFonts w:asciiTheme="majorEastAsia" w:hAnsiTheme="majorEastAsia" w:eastAsiaTheme="majorEastAsia"/>
          <w:color w:val="auto"/>
        </w:rPr>
      </w:pPr>
      <w:r>
        <w:rPr>
          <w:rFonts w:hint="eastAsia" w:cs="宋体" w:asciiTheme="majorEastAsia" w:hAnsiTheme="majorEastAsia" w:eastAsiaTheme="majorEastAsia"/>
          <w:color w:val="auto"/>
          <w:szCs w:val="21"/>
        </w:rPr>
        <w:br w:type="page"/>
      </w:r>
      <w:r>
        <w:rPr>
          <w:rFonts w:hint="eastAsia" w:cs="宋体" w:asciiTheme="majorEastAsia" w:hAnsiTheme="majorEastAsia" w:eastAsiaTheme="majorEastAsia"/>
          <w:b/>
          <w:bCs/>
          <w:color w:val="auto"/>
          <w:sz w:val="28"/>
          <w:szCs w:val="28"/>
          <w:lang w:val="en-US" w:eastAsia="zh-CN"/>
        </w:rPr>
        <w:t>十、</w:t>
      </w:r>
      <w:r>
        <w:rPr>
          <w:rFonts w:hint="eastAsia" w:asciiTheme="majorEastAsia" w:hAnsiTheme="majorEastAsia" w:eastAsiaTheme="majorEastAsia"/>
          <w:b/>
          <w:bCs/>
          <w:color w:val="auto"/>
          <w:sz w:val="28"/>
          <w:szCs w:val="28"/>
        </w:rPr>
        <w:t>拟派的本项目的主要人员简历表</w:t>
      </w:r>
    </w:p>
    <w:p>
      <w:pPr>
        <w:autoSpaceDN w:val="0"/>
        <w:adjustRightInd w:val="0"/>
        <w:snapToGrid w:val="0"/>
        <w:spacing w:line="360" w:lineRule="auto"/>
        <w:rPr>
          <w:rFonts w:cs="宋体" w:asciiTheme="majorEastAsia" w:hAnsiTheme="majorEastAsia" w:eastAsiaTheme="majorEastAsia"/>
          <w:color w:val="auto"/>
          <w:szCs w:val="21"/>
        </w:rPr>
      </w:pP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1491"/>
        <w:gridCol w:w="1492"/>
        <w:gridCol w:w="1120"/>
        <w:gridCol w:w="370"/>
        <w:gridCol w:w="1306"/>
        <w:gridCol w:w="184"/>
        <w:gridCol w:w="1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6" w:type="dxa"/>
            <w:gridSpan w:val="8"/>
            <w:tcBorders>
              <w:top w:val="single" w:color="auto" w:sz="4" w:space="0"/>
              <w:left w:val="single" w:color="auto" w:sz="4" w:space="0"/>
              <w:bottom w:val="single" w:color="auto" w:sz="4" w:space="0"/>
              <w:right w:val="single" w:color="auto" w:sz="4" w:space="0"/>
            </w:tcBorders>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一般情况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全名</w:t>
            </w:r>
          </w:p>
        </w:tc>
        <w:tc>
          <w:tcPr>
            <w:tcW w:w="1491"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年龄</w:t>
            </w: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性别</w:t>
            </w: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所在单位</w:t>
            </w:r>
          </w:p>
        </w:tc>
        <w:tc>
          <w:tcPr>
            <w:tcW w:w="1491"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技术职称</w:t>
            </w: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服务时间</w:t>
            </w: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学历</w:t>
            </w:r>
          </w:p>
        </w:tc>
        <w:tc>
          <w:tcPr>
            <w:tcW w:w="1491"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专业</w:t>
            </w: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c>
          <w:tcPr>
            <w:tcW w:w="1490"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hint="default" w:asciiTheme="majorEastAsia" w:hAnsiTheme="majorEastAsia" w:eastAsiaTheme="majorEastAsia"/>
                <w:color w:val="auto"/>
                <w:spacing w:val="30"/>
                <w:szCs w:val="21"/>
                <w:lang w:val="en-US" w:eastAsia="zh-CN"/>
              </w:rPr>
            </w:pPr>
            <w:r>
              <w:rPr>
                <w:rFonts w:hint="eastAsia" w:asciiTheme="majorEastAsia" w:hAnsiTheme="majorEastAsia" w:eastAsiaTheme="majorEastAsia"/>
                <w:color w:val="auto"/>
                <w:spacing w:val="30"/>
                <w:szCs w:val="21"/>
                <w:lang w:val="en-US" w:eastAsia="zh-CN"/>
              </w:rPr>
              <w:t>资格职称（如有）</w:t>
            </w:r>
          </w:p>
        </w:tc>
        <w:tc>
          <w:tcPr>
            <w:tcW w:w="1492" w:type="dxa"/>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6" w:type="dxa"/>
            <w:gridSpan w:val="8"/>
            <w:tcBorders>
              <w:top w:val="single" w:color="auto" w:sz="4" w:space="0"/>
              <w:left w:val="single" w:color="auto" w:sz="4" w:space="0"/>
              <w:bottom w:val="single" w:color="auto" w:sz="4" w:space="0"/>
              <w:right w:val="single" w:color="auto" w:sz="4" w:space="0"/>
            </w:tcBorders>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年份</w:t>
            </w:r>
          </w:p>
        </w:tc>
        <w:tc>
          <w:tcPr>
            <w:tcW w:w="4103" w:type="dxa"/>
            <w:gridSpan w:val="3"/>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负责过的项目（类型和金额）</w:t>
            </w:r>
          </w:p>
        </w:tc>
        <w:tc>
          <w:tcPr>
            <w:tcW w:w="1676"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该项目中</w:t>
            </w:r>
          </w:p>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任职</w:t>
            </w:r>
          </w:p>
        </w:tc>
        <w:tc>
          <w:tcPr>
            <w:tcW w:w="1676" w:type="dxa"/>
            <w:gridSpan w:val="2"/>
            <w:tcBorders>
              <w:top w:val="single" w:color="auto" w:sz="4" w:space="0"/>
              <w:left w:val="nil"/>
              <w:bottom w:val="single" w:color="auto" w:sz="4" w:space="0"/>
              <w:right w:val="single" w:color="auto" w:sz="4" w:space="0"/>
            </w:tcBorders>
            <w:vAlign w:val="center"/>
          </w:tcPr>
          <w:p>
            <w:pPr>
              <w:widowControl/>
              <w:autoSpaceDN w:val="0"/>
              <w:adjustRightInd w:val="0"/>
              <w:snapToGrid w:val="0"/>
              <w:spacing w:line="360" w:lineRule="auto"/>
              <w:jc w:val="center"/>
              <w:rPr>
                <w:rFonts w:asciiTheme="majorEastAsia" w:hAnsiTheme="majorEastAsia" w:eastAsiaTheme="majorEastAsia"/>
                <w:color w:val="auto"/>
                <w:spacing w:val="30"/>
                <w:szCs w:val="21"/>
              </w:rPr>
            </w:pPr>
            <w:r>
              <w:rPr>
                <w:rFonts w:hint="eastAsia" w:asciiTheme="majorEastAsia" w:hAnsiTheme="majorEastAsia" w:eastAsiaTheme="majorEastAsia"/>
                <w:color w:val="auto"/>
                <w:spacing w:val="3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1491" w:type="dxa"/>
            <w:tcBorders>
              <w:top w:val="single" w:color="auto" w:sz="4" w:space="0"/>
              <w:left w:val="single" w:color="auto" w:sz="4" w:space="0"/>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p>
            <w:pPr>
              <w:widowControl/>
              <w:autoSpaceDN w:val="0"/>
              <w:adjustRightInd w:val="0"/>
              <w:snapToGrid w:val="0"/>
              <w:spacing w:line="360" w:lineRule="auto"/>
              <w:rPr>
                <w:rFonts w:asciiTheme="majorEastAsia" w:hAnsiTheme="majorEastAsia" w:eastAsiaTheme="majorEastAsia"/>
                <w:color w:val="auto"/>
                <w:spacing w:val="30"/>
                <w:szCs w:val="21"/>
              </w:rPr>
            </w:pPr>
          </w:p>
          <w:p>
            <w:pPr>
              <w:widowControl/>
              <w:autoSpaceDN w:val="0"/>
              <w:adjustRightInd w:val="0"/>
              <w:snapToGrid w:val="0"/>
              <w:spacing w:line="360" w:lineRule="auto"/>
              <w:rPr>
                <w:rFonts w:asciiTheme="majorEastAsia" w:hAnsiTheme="majorEastAsia" w:eastAsiaTheme="majorEastAsia"/>
                <w:color w:val="auto"/>
                <w:spacing w:val="30"/>
                <w:szCs w:val="21"/>
              </w:rPr>
            </w:pPr>
          </w:p>
          <w:p>
            <w:pPr>
              <w:widowControl/>
              <w:autoSpaceDN w:val="0"/>
              <w:adjustRightInd w:val="0"/>
              <w:snapToGrid w:val="0"/>
              <w:spacing w:line="360" w:lineRule="auto"/>
              <w:rPr>
                <w:rFonts w:asciiTheme="majorEastAsia" w:hAnsiTheme="majorEastAsia" w:eastAsiaTheme="majorEastAsia"/>
                <w:color w:val="auto"/>
                <w:spacing w:val="30"/>
                <w:szCs w:val="21"/>
              </w:rPr>
            </w:pPr>
          </w:p>
        </w:tc>
        <w:tc>
          <w:tcPr>
            <w:tcW w:w="4103" w:type="dxa"/>
            <w:gridSpan w:val="3"/>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c>
          <w:tcPr>
            <w:tcW w:w="1676" w:type="dxa"/>
            <w:gridSpan w:val="2"/>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color w:val="auto"/>
              </w:rPr>
            </w:pPr>
          </w:p>
          <w:p>
            <w:pPr>
              <w:pStyle w:val="2"/>
              <w:numPr>
                <w:ilvl w:val="0"/>
                <w:numId w:val="0"/>
              </w:numPr>
              <w:rPr>
                <w:color w:val="auto"/>
              </w:rPr>
            </w:pPr>
          </w:p>
        </w:tc>
        <w:tc>
          <w:tcPr>
            <w:tcW w:w="1676" w:type="dxa"/>
            <w:gridSpan w:val="2"/>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1491" w:type="dxa"/>
            <w:tcBorders>
              <w:top w:val="single" w:color="auto" w:sz="4" w:space="0"/>
              <w:left w:val="single" w:color="auto" w:sz="4" w:space="0"/>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c>
          <w:tcPr>
            <w:tcW w:w="4103" w:type="dxa"/>
            <w:gridSpan w:val="3"/>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c>
          <w:tcPr>
            <w:tcW w:w="1676" w:type="dxa"/>
            <w:gridSpan w:val="2"/>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c>
          <w:tcPr>
            <w:tcW w:w="1676" w:type="dxa"/>
            <w:gridSpan w:val="2"/>
            <w:tcBorders>
              <w:top w:val="single" w:color="auto" w:sz="4" w:space="0"/>
              <w:left w:val="nil"/>
              <w:bottom w:val="single" w:color="auto" w:sz="4" w:space="0"/>
              <w:right w:val="single" w:color="auto" w:sz="4" w:space="0"/>
            </w:tcBorders>
          </w:tcPr>
          <w:p>
            <w:pPr>
              <w:widowControl/>
              <w:autoSpaceDN w:val="0"/>
              <w:adjustRightInd w:val="0"/>
              <w:snapToGrid w:val="0"/>
              <w:spacing w:line="360" w:lineRule="auto"/>
              <w:rPr>
                <w:rFonts w:asciiTheme="majorEastAsia" w:hAnsiTheme="majorEastAsia" w:eastAsiaTheme="majorEastAsia"/>
                <w:color w:val="auto"/>
                <w:spacing w:val="30"/>
                <w:szCs w:val="21"/>
              </w:rPr>
            </w:pPr>
          </w:p>
        </w:tc>
      </w:tr>
    </w:tbl>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pStyle w:val="7"/>
        <w:autoSpaceDN w:val="0"/>
        <w:adjustRightInd w:val="0"/>
        <w:snapToGrid w:val="0"/>
        <w:spacing w:line="360" w:lineRule="auto"/>
        <w:ind w:firstLine="0"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注：1.主要项目人员：项目负责人，项目技术负责人，项目质量负责人</w:t>
      </w:r>
      <w:r>
        <w:rPr>
          <w:rFonts w:hint="eastAsia" w:asciiTheme="majorEastAsia" w:hAnsiTheme="majorEastAsia" w:eastAsiaTheme="majorEastAsia"/>
          <w:color w:val="auto"/>
          <w:szCs w:val="21"/>
          <w:lang w:eastAsia="zh-CN"/>
        </w:rPr>
        <w:t>、</w:t>
      </w:r>
      <w:r>
        <w:rPr>
          <w:rFonts w:hint="eastAsia" w:asciiTheme="majorEastAsia" w:hAnsiTheme="majorEastAsia" w:eastAsiaTheme="majorEastAsia"/>
          <w:color w:val="auto"/>
          <w:szCs w:val="21"/>
        </w:rPr>
        <w:t>安装技术负责人</w:t>
      </w:r>
      <w:r>
        <w:rPr>
          <w:rFonts w:hint="eastAsia" w:asciiTheme="majorEastAsia" w:hAnsiTheme="majorEastAsia" w:eastAsiaTheme="majorEastAsia"/>
          <w:color w:val="auto"/>
          <w:szCs w:val="21"/>
          <w:lang w:eastAsia="zh-CN"/>
        </w:rPr>
        <w:t>、</w:t>
      </w:r>
      <w:r>
        <w:rPr>
          <w:rFonts w:hint="eastAsia" w:asciiTheme="majorEastAsia" w:hAnsiTheme="majorEastAsia" w:eastAsiaTheme="majorEastAsia"/>
          <w:color w:val="auto"/>
          <w:szCs w:val="21"/>
        </w:rPr>
        <w:t>资料员</w:t>
      </w:r>
      <w:r>
        <w:rPr>
          <w:rFonts w:hint="eastAsia" w:asciiTheme="majorEastAsia" w:hAnsiTheme="majorEastAsia" w:eastAsiaTheme="majorEastAsia"/>
          <w:color w:val="auto"/>
          <w:szCs w:val="21"/>
          <w:lang w:val="en-US" w:eastAsia="zh-CN"/>
        </w:rPr>
        <w:t>等</w:t>
      </w:r>
      <w:r>
        <w:rPr>
          <w:rFonts w:hint="eastAsia" w:asciiTheme="majorEastAsia" w:hAnsiTheme="majorEastAsia" w:eastAsiaTheme="majorEastAsia"/>
          <w:color w:val="auto"/>
          <w:szCs w:val="21"/>
        </w:rPr>
        <w:t>。</w:t>
      </w:r>
    </w:p>
    <w:p>
      <w:pPr>
        <w:autoSpaceDN w:val="0"/>
        <w:adjustRightInd w:val="0"/>
        <w:snapToGrid w:val="0"/>
        <w:spacing w:line="360" w:lineRule="auto"/>
        <w:rPr>
          <w:rFonts w:cs="宋体" w:asciiTheme="majorEastAsia" w:hAnsiTheme="majorEastAsia" w:eastAsiaTheme="majorEastAsia"/>
          <w:color w:val="auto"/>
          <w:szCs w:val="21"/>
        </w:rPr>
      </w:pPr>
    </w:p>
    <w:p>
      <w:pPr>
        <w:autoSpaceDN w:val="0"/>
        <w:adjustRightInd w:val="0"/>
        <w:snapToGrid w:val="0"/>
        <w:spacing w:line="360" w:lineRule="auto"/>
        <w:rPr>
          <w:rFonts w:cs="宋体" w:asciiTheme="majorEastAsia" w:hAnsiTheme="majorEastAsia" w:eastAsiaTheme="majorEastAsia"/>
          <w:color w:val="auto"/>
          <w:szCs w:val="21"/>
        </w:rPr>
      </w:pPr>
    </w:p>
    <w:p>
      <w:pPr>
        <w:pStyle w:val="4"/>
        <w:spacing w:before="0" w:after="0" w:line="300" w:lineRule="auto"/>
        <w:jc w:val="center"/>
        <w:rPr>
          <w:rFonts w:hint="eastAsia" w:ascii="宋体" w:hAnsi="宋体" w:eastAsia="宋体"/>
          <w:color w:val="auto"/>
          <w:szCs w:val="21"/>
          <w:u w:val="single"/>
        </w:rPr>
      </w:pPr>
      <w:r>
        <w:rPr>
          <w:rFonts w:ascii="宋体" w:hAnsi="宋体" w:eastAsia="宋体"/>
          <w:color w:val="auto"/>
          <w:szCs w:val="21"/>
          <w:u w:val="single"/>
        </w:rPr>
        <w:br w:type="page"/>
      </w:r>
      <w:bookmarkStart w:id="171" w:name="_Toc409424360"/>
      <w:bookmarkStart w:id="172" w:name="_Toc468267493"/>
      <w:bookmarkStart w:id="173" w:name="_Toc409424421"/>
      <w:bookmarkStart w:id="174" w:name="_Toc351644326"/>
      <w:bookmarkStart w:id="175" w:name="_Toc350070708"/>
      <w:r>
        <w:rPr>
          <w:rFonts w:hint="eastAsia" w:ascii="宋体" w:hAnsi="宋体" w:eastAsia="宋体"/>
          <w:color w:val="auto"/>
          <w:lang w:val="en-US" w:eastAsia="zh-CN"/>
        </w:rPr>
        <w:t>十一</w:t>
      </w:r>
      <w:r>
        <w:rPr>
          <w:rFonts w:ascii="宋体" w:hAnsi="宋体" w:eastAsia="宋体"/>
          <w:color w:val="auto"/>
        </w:rPr>
        <w:t>、资格审查资料</w:t>
      </w:r>
      <w:bookmarkEnd w:id="171"/>
      <w:bookmarkEnd w:id="172"/>
      <w:bookmarkEnd w:id="173"/>
      <w:bookmarkEnd w:id="174"/>
      <w:bookmarkEnd w:id="175"/>
    </w:p>
    <w:p>
      <w:pPr>
        <w:pStyle w:val="5"/>
        <w:spacing w:before="0" w:after="0" w:line="300" w:lineRule="auto"/>
        <w:jc w:val="center"/>
        <w:rPr>
          <w:rFonts w:hint="eastAsia" w:ascii="宋体" w:hAnsi="宋体"/>
          <w:color w:val="auto"/>
        </w:rPr>
      </w:pPr>
      <w:bookmarkStart w:id="176" w:name="_Toc468267494"/>
      <w:bookmarkStart w:id="177" w:name="_Toc409424361"/>
      <w:bookmarkStart w:id="178" w:name="_Toc409424422"/>
      <w:r>
        <w:rPr>
          <w:rFonts w:hint="eastAsia" w:ascii="宋体" w:hAnsi="宋体"/>
          <w:color w:val="auto"/>
        </w:rPr>
        <w:t>（一）</w:t>
      </w:r>
      <w:r>
        <w:rPr>
          <w:rFonts w:ascii="宋体" w:hAnsi="宋体"/>
          <w:color w:val="auto"/>
        </w:rPr>
        <w:t>投标人</w:t>
      </w:r>
      <w:bookmarkEnd w:id="176"/>
      <w:r>
        <w:rPr>
          <w:rFonts w:hint="eastAsia"/>
          <w:color w:val="auto"/>
          <w:highlight w:val="none"/>
        </w:rPr>
        <w:t>基本情况表</w:t>
      </w:r>
    </w:p>
    <w:bookmarkEnd w:id="177"/>
    <w:bookmarkEnd w:id="178"/>
    <w:tbl>
      <w:tblPr>
        <w:tblStyle w:val="23"/>
        <w:tblW w:w="8925"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3"/>
        <w:gridCol w:w="943"/>
        <w:gridCol w:w="2408"/>
        <w:gridCol w:w="1134"/>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8" w:right="116"/>
              <w:jc w:val="center"/>
              <w:rPr>
                <w:color w:val="auto"/>
                <w:highlight w:val="none"/>
                <w:lang w:eastAsia="en-US"/>
              </w:rPr>
            </w:pPr>
            <w:r>
              <w:rPr>
                <w:rFonts w:hint="eastAsia"/>
                <w:color w:val="auto"/>
                <w:highlight w:val="none"/>
              </w:rPr>
              <w:t>投标人名称</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6" w:right="116"/>
              <w:jc w:val="center"/>
              <w:rPr>
                <w:color w:val="auto"/>
                <w:highlight w:val="none"/>
                <w:lang w:eastAsia="en-US"/>
              </w:rPr>
            </w:pPr>
            <w:r>
              <w:rPr>
                <w:rFonts w:hint="eastAsia"/>
                <w:color w:val="auto"/>
                <w:highlight w:val="none"/>
              </w:rPr>
              <w:t>注册资金</w:t>
            </w:r>
          </w:p>
        </w:tc>
        <w:tc>
          <w:tcPr>
            <w:tcW w:w="335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22" w:right="122"/>
              <w:jc w:val="center"/>
              <w:rPr>
                <w:color w:val="auto"/>
                <w:highlight w:val="none"/>
                <w:lang w:eastAsia="en-US"/>
              </w:rPr>
            </w:pPr>
            <w:r>
              <w:rPr>
                <w:rFonts w:hint="eastAsia"/>
                <w:color w:val="auto"/>
                <w:highlight w:val="none"/>
              </w:rPr>
              <w:t>成立时间</w:t>
            </w:r>
          </w:p>
        </w:tc>
        <w:tc>
          <w:tcPr>
            <w:tcW w:w="226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8" w:right="116"/>
              <w:jc w:val="center"/>
              <w:rPr>
                <w:color w:val="auto"/>
                <w:highlight w:val="none"/>
                <w:lang w:eastAsia="en-US"/>
              </w:rPr>
            </w:pPr>
            <w:r>
              <w:rPr>
                <w:rFonts w:hint="eastAsia"/>
                <w:color w:val="auto"/>
                <w:highlight w:val="none"/>
              </w:rPr>
              <w:t>注册地址</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8"/>
              <w:ind w:left="118" w:right="116"/>
              <w:jc w:val="center"/>
              <w:rPr>
                <w:color w:val="auto"/>
                <w:highlight w:val="none"/>
                <w:lang w:eastAsia="en-US"/>
              </w:rPr>
            </w:pPr>
            <w:r>
              <w:rPr>
                <w:rFonts w:hint="eastAsia"/>
                <w:color w:val="auto"/>
                <w:highlight w:val="none"/>
              </w:rPr>
              <w:t>邮政编码</w:t>
            </w:r>
          </w:p>
        </w:tc>
        <w:tc>
          <w:tcPr>
            <w:tcW w:w="335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8"/>
              <w:ind w:left="122" w:right="122"/>
              <w:jc w:val="center"/>
              <w:rPr>
                <w:color w:val="auto"/>
                <w:highlight w:val="none"/>
                <w:lang w:eastAsia="en-US"/>
              </w:rPr>
            </w:pPr>
            <w:r>
              <w:rPr>
                <w:rFonts w:hint="eastAsia"/>
                <w:color w:val="auto"/>
                <w:highlight w:val="none"/>
              </w:rPr>
              <w:t>员工总数</w:t>
            </w:r>
          </w:p>
        </w:tc>
        <w:tc>
          <w:tcPr>
            <w:tcW w:w="226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58"/>
              <w:spacing w:before="5"/>
              <w:rPr>
                <w:color w:val="auto"/>
                <w:sz w:val="25"/>
                <w:szCs w:val="22"/>
                <w:highlight w:val="none"/>
                <w:lang w:eastAsia="en-US"/>
              </w:rPr>
            </w:pPr>
          </w:p>
          <w:p>
            <w:pPr>
              <w:pStyle w:val="58"/>
              <w:spacing w:before="1"/>
              <w:ind w:left="662"/>
              <w:rPr>
                <w:color w:val="auto"/>
                <w:highlight w:val="none"/>
                <w:lang w:eastAsia="en-US"/>
              </w:rPr>
            </w:pPr>
            <w:r>
              <w:rPr>
                <w:rFonts w:hint="eastAsia"/>
                <w:color w:val="auto"/>
                <w:highlight w:val="none"/>
              </w:rPr>
              <w:t>联系方式</w:t>
            </w:r>
          </w:p>
        </w:tc>
        <w:tc>
          <w:tcPr>
            <w:tcW w:w="94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31" w:right="132"/>
              <w:jc w:val="center"/>
              <w:rPr>
                <w:color w:val="auto"/>
                <w:highlight w:val="none"/>
                <w:lang w:eastAsia="en-US"/>
              </w:rPr>
            </w:pPr>
            <w:r>
              <w:rPr>
                <w:rFonts w:hint="eastAsia"/>
                <w:color w:val="auto"/>
                <w:highlight w:val="none"/>
              </w:rPr>
              <w:t>联系人</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22" w:right="120"/>
              <w:jc w:val="center"/>
              <w:rPr>
                <w:color w:val="auto"/>
                <w:highlight w:val="none"/>
                <w:lang w:eastAsia="en-US"/>
              </w:rPr>
            </w:pPr>
            <w:r>
              <w:rPr>
                <w:rFonts w:hint="eastAsia"/>
                <w:color w:val="auto"/>
                <w:highlight w:val="none"/>
              </w:rPr>
              <w:t>电话</w:t>
            </w:r>
          </w:p>
        </w:tc>
        <w:tc>
          <w:tcPr>
            <w:tcW w:w="226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color w:val="auto"/>
                <w:szCs w:val="22"/>
                <w:highlight w:val="none"/>
                <w:lang w:eastAsia="en-US"/>
              </w:rPr>
            </w:pPr>
          </w:p>
        </w:tc>
        <w:tc>
          <w:tcPr>
            <w:tcW w:w="94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31" w:right="132"/>
              <w:jc w:val="center"/>
              <w:rPr>
                <w:color w:val="auto"/>
                <w:highlight w:val="none"/>
                <w:lang w:eastAsia="en-US"/>
              </w:rPr>
            </w:pPr>
            <w:r>
              <w:rPr>
                <w:rFonts w:hint="eastAsia"/>
                <w:color w:val="auto"/>
                <w:highlight w:val="none"/>
              </w:rPr>
              <w:t>网址</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22" w:right="120"/>
              <w:jc w:val="center"/>
              <w:rPr>
                <w:color w:val="auto"/>
                <w:highlight w:val="none"/>
                <w:lang w:eastAsia="en-US"/>
              </w:rPr>
            </w:pPr>
            <w:r>
              <w:rPr>
                <w:rFonts w:hint="eastAsia"/>
                <w:color w:val="auto"/>
                <w:highlight w:val="none"/>
              </w:rPr>
              <w:t>传真</w:t>
            </w:r>
          </w:p>
        </w:tc>
        <w:tc>
          <w:tcPr>
            <w:tcW w:w="226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8" w:right="116"/>
              <w:jc w:val="center"/>
              <w:rPr>
                <w:color w:val="auto"/>
                <w:szCs w:val="22"/>
                <w:highlight w:val="none"/>
              </w:rPr>
            </w:pPr>
            <w:r>
              <w:rPr>
                <w:rFonts w:hint="eastAsia"/>
                <w:color w:val="auto"/>
                <w:highlight w:val="none"/>
              </w:rPr>
              <w:t>法定代表人</w:t>
            </w:r>
          </w:p>
          <w:p>
            <w:pPr>
              <w:pStyle w:val="58"/>
              <w:spacing w:before="166"/>
              <w:ind w:left="13" w:right="116"/>
              <w:jc w:val="center"/>
              <w:rPr>
                <w:color w:val="auto"/>
                <w:highlight w:val="none"/>
              </w:rPr>
            </w:pPr>
            <w:r>
              <w:rPr>
                <w:rFonts w:hint="eastAsia"/>
                <w:color w:val="auto"/>
                <w:highlight w:val="none"/>
              </w:rPr>
              <w:t>（单位负责人）</w:t>
            </w:r>
          </w:p>
        </w:tc>
        <w:tc>
          <w:tcPr>
            <w:tcW w:w="94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
              <w:rPr>
                <w:color w:val="auto"/>
                <w:sz w:val="25"/>
                <w:szCs w:val="22"/>
                <w:highlight w:val="none"/>
              </w:rPr>
            </w:pPr>
          </w:p>
          <w:p>
            <w:pPr>
              <w:pStyle w:val="58"/>
              <w:ind w:left="131" w:right="132"/>
              <w:jc w:val="center"/>
              <w:rPr>
                <w:color w:val="auto"/>
                <w:highlight w:val="none"/>
                <w:lang w:eastAsia="en-US"/>
              </w:rPr>
            </w:pPr>
            <w:r>
              <w:rPr>
                <w:rFonts w:hint="eastAsia"/>
                <w:color w:val="auto"/>
                <w:highlight w:val="none"/>
              </w:rPr>
              <w:t>姓名</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
              <w:rPr>
                <w:color w:val="auto"/>
                <w:sz w:val="25"/>
                <w:szCs w:val="22"/>
                <w:highlight w:val="none"/>
                <w:lang w:eastAsia="en-US"/>
              </w:rPr>
            </w:pPr>
          </w:p>
          <w:p>
            <w:pPr>
              <w:pStyle w:val="58"/>
              <w:ind w:left="122" w:right="120"/>
              <w:jc w:val="center"/>
              <w:rPr>
                <w:color w:val="auto"/>
                <w:highlight w:val="none"/>
                <w:lang w:eastAsia="en-US"/>
              </w:rPr>
            </w:pPr>
            <w:r>
              <w:rPr>
                <w:rFonts w:hint="eastAsia"/>
                <w:color w:val="auto"/>
                <w:highlight w:val="none"/>
              </w:rPr>
              <w:t>电话</w:t>
            </w:r>
          </w:p>
        </w:tc>
        <w:tc>
          <w:tcPr>
            <w:tcW w:w="226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8" w:right="116"/>
              <w:jc w:val="center"/>
              <w:rPr>
                <w:color w:val="auto"/>
                <w:highlight w:val="none"/>
                <w:lang w:eastAsia="en-US"/>
              </w:rPr>
            </w:pPr>
            <w:r>
              <w:rPr>
                <w:rFonts w:hint="eastAsia"/>
                <w:color w:val="auto"/>
                <w:highlight w:val="none"/>
              </w:rPr>
              <w:t>基本账户开户银行</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noWrap w:val="0"/>
            <w:vAlign w:val="top"/>
          </w:tcPr>
          <w:p>
            <w:pPr>
              <w:pStyle w:val="58"/>
              <w:spacing w:before="107"/>
              <w:ind w:left="118" w:right="116"/>
              <w:jc w:val="center"/>
              <w:rPr>
                <w:color w:val="auto"/>
                <w:highlight w:val="none"/>
                <w:lang w:eastAsia="en-US"/>
              </w:rPr>
            </w:pPr>
            <w:r>
              <w:rPr>
                <w:rFonts w:hint="eastAsia"/>
                <w:color w:val="auto"/>
                <w:highlight w:val="none"/>
              </w:rPr>
              <w:t>基本账户银行账号</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9" w:hRule="exact"/>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pStyle w:val="58"/>
              <w:spacing w:before="38"/>
              <w:ind w:left="116" w:right="116"/>
              <w:jc w:val="center"/>
              <w:rPr>
                <w:color w:val="auto"/>
                <w:highlight w:val="none"/>
                <w:lang w:eastAsia="en-US"/>
              </w:rPr>
            </w:pPr>
            <w:r>
              <w:rPr>
                <w:rFonts w:hint="eastAsia"/>
                <w:color w:val="auto"/>
                <w:highlight w:val="none"/>
              </w:rPr>
              <w:t>经营范围</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exact"/>
        </w:trPr>
        <w:tc>
          <w:tcPr>
            <w:tcW w:w="2174" w:type="dxa"/>
            <w:tcBorders>
              <w:top w:val="single" w:color="000000" w:sz="4" w:space="0"/>
              <w:left w:val="single" w:color="000000" w:sz="4" w:space="0"/>
              <w:bottom w:val="single" w:color="000000" w:sz="4" w:space="0"/>
              <w:right w:val="single" w:color="000000" w:sz="4" w:space="0"/>
            </w:tcBorders>
            <w:noWrap w:val="0"/>
            <w:vAlign w:val="center"/>
          </w:tcPr>
          <w:p>
            <w:pPr>
              <w:pStyle w:val="58"/>
              <w:spacing w:before="107"/>
              <w:ind w:left="116" w:right="116"/>
              <w:jc w:val="center"/>
              <w:rPr>
                <w:color w:val="auto"/>
                <w:highlight w:val="none"/>
                <w:lang w:eastAsia="en-US"/>
              </w:rPr>
            </w:pPr>
            <w:r>
              <w:rPr>
                <w:rFonts w:hint="eastAsia"/>
                <w:color w:val="auto"/>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color w:val="auto"/>
                <w:sz w:val="22"/>
                <w:szCs w:val="22"/>
                <w:highlight w:val="none"/>
                <w:lang w:eastAsia="en-US"/>
              </w:rPr>
            </w:pPr>
          </w:p>
        </w:tc>
      </w:tr>
    </w:tbl>
    <w:p>
      <w:pPr>
        <w:pStyle w:val="59"/>
        <w:spacing w:line="363" w:lineRule="exact"/>
        <w:jc w:val="both"/>
        <w:rPr>
          <w:rFonts w:hint="eastAsia"/>
          <w:color w:val="auto"/>
          <w:sz w:val="21"/>
          <w:szCs w:val="21"/>
          <w:highlight w:val="none"/>
          <w:lang w:eastAsia="zh-CN"/>
        </w:rPr>
      </w:pPr>
      <w:r>
        <w:rPr>
          <w:rFonts w:hint="eastAsia"/>
          <w:color w:val="auto"/>
          <w:sz w:val="21"/>
          <w:szCs w:val="21"/>
          <w:highlight w:val="none"/>
          <w:lang w:eastAsia="zh-CN"/>
        </w:rPr>
        <w:t>注：1. 投标人应在本表后附相关证明材料。</w:t>
      </w:r>
      <w:bookmarkStart w:id="179" w:name="_bookmark165"/>
      <w:bookmarkEnd w:id="179"/>
    </w:p>
    <w:p>
      <w:pPr>
        <w:spacing w:line="300" w:lineRule="auto"/>
        <w:rPr>
          <w:rFonts w:hint="eastAsia" w:ascii="宋体" w:hAnsi="宋体"/>
          <w:color w:val="auto"/>
          <w:sz w:val="20"/>
          <w:szCs w:val="20"/>
        </w:rPr>
      </w:pPr>
    </w:p>
    <w:p>
      <w:pPr>
        <w:rPr>
          <w:rFonts w:ascii="宋体" w:hAnsi="宋体"/>
          <w:color w:val="auto"/>
        </w:rPr>
      </w:pPr>
      <w:bookmarkStart w:id="180" w:name="_Toc351644328"/>
      <w:bookmarkStart w:id="181" w:name="_Toc468267496"/>
      <w:bookmarkStart w:id="182" w:name="_Toc350070710"/>
      <w:bookmarkStart w:id="183" w:name="_Toc409424362"/>
      <w:bookmarkStart w:id="184" w:name="_Toc409424423"/>
      <w:r>
        <w:rPr>
          <w:rFonts w:ascii="宋体" w:hAnsi="宋体"/>
          <w:color w:val="auto"/>
        </w:rPr>
        <w:br w:type="page"/>
      </w:r>
    </w:p>
    <w:p>
      <w:pPr>
        <w:pStyle w:val="5"/>
        <w:spacing w:before="0" w:after="0" w:line="300" w:lineRule="auto"/>
        <w:jc w:val="center"/>
        <w:rPr>
          <w:rFonts w:ascii="宋体" w:hAnsi="宋体"/>
          <w:color w:val="auto"/>
        </w:rPr>
      </w:pPr>
      <w:r>
        <w:rPr>
          <w:rFonts w:ascii="宋体" w:hAnsi="宋体"/>
          <w:color w:val="auto"/>
        </w:rPr>
        <w:t>（</w:t>
      </w:r>
      <w:r>
        <w:rPr>
          <w:rFonts w:hint="eastAsia" w:ascii="宋体" w:hAnsi="宋体"/>
          <w:color w:val="auto"/>
          <w:lang w:val="en-US" w:eastAsia="zh-CN"/>
        </w:rPr>
        <w:t>二</w:t>
      </w:r>
      <w:r>
        <w:rPr>
          <w:rFonts w:ascii="宋体" w:hAnsi="宋体"/>
          <w:color w:val="auto"/>
        </w:rPr>
        <w:t>）近年财务状况</w:t>
      </w:r>
      <w:bookmarkEnd w:id="180"/>
      <w:bookmarkEnd w:id="181"/>
      <w:bookmarkEnd w:id="182"/>
      <w:bookmarkEnd w:id="183"/>
      <w:bookmarkEnd w:id="184"/>
    </w:p>
    <w:p>
      <w:pPr>
        <w:spacing w:line="300" w:lineRule="auto"/>
        <w:rPr>
          <w:rFonts w:ascii="宋体" w:hAnsi="宋体"/>
          <w:b/>
          <w:color w:val="auto"/>
          <w:szCs w:val="21"/>
        </w:rPr>
      </w:pPr>
      <w:r>
        <w:rPr>
          <w:rFonts w:ascii="宋体" w:hAnsi="宋体"/>
          <w:b/>
          <w:color w:val="auto"/>
          <w:szCs w:val="21"/>
        </w:rPr>
        <w:br w:type="page"/>
      </w:r>
    </w:p>
    <w:p>
      <w:pPr>
        <w:pStyle w:val="5"/>
        <w:spacing w:before="0" w:after="0" w:line="300" w:lineRule="auto"/>
        <w:jc w:val="center"/>
        <w:rPr>
          <w:rFonts w:ascii="宋体" w:hAnsi="宋体"/>
          <w:color w:val="auto"/>
        </w:rPr>
      </w:pPr>
      <w:bookmarkStart w:id="185" w:name="_Toc351644329"/>
      <w:bookmarkStart w:id="186" w:name="_Toc468267497"/>
      <w:bookmarkStart w:id="187" w:name="_Toc350070711"/>
      <w:bookmarkStart w:id="188" w:name="_Toc409424363"/>
      <w:bookmarkStart w:id="189" w:name="_Toc409424424"/>
      <w:r>
        <w:rPr>
          <w:rFonts w:ascii="宋体" w:hAnsi="宋体"/>
          <w:color w:val="auto"/>
        </w:rPr>
        <w:t>（</w:t>
      </w:r>
      <w:r>
        <w:rPr>
          <w:rFonts w:hint="eastAsia" w:ascii="宋体" w:hAnsi="宋体"/>
          <w:color w:val="auto"/>
          <w:lang w:val="en-US" w:eastAsia="zh-CN"/>
        </w:rPr>
        <w:t>三</w:t>
      </w:r>
      <w:r>
        <w:rPr>
          <w:rFonts w:ascii="宋体" w:hAnsi="宋体"/>
          <w:color w:val="auto"/>
        </w:rPr>
        <w:t>）近年完成的类似项目情况表</w:t>
      </w:r>
      <w:bookmarkEnd w:id="185"/>
      <w:bookmarkEnd w:id="186"/>
      <w:bookmarkEnd w:id="187"/>
      <w:bookmarkEnd w:id="188"/>
      <w:bookmarkEnd w:id="189"/>
    </w:p>
    <w:p>
      <w:pPr>
        <w:spacing w:line="300" w:lineRule="auto"/>
        <w:jc w:val="center"/>
        <w:rPr>
          <w:rFonts w:ascii="宋体" w:hAnsi="宋体"/>
          <w:color w:val="auto"/>
          <w:sz w:val="23"/>
          <w:szCs w:val="23"/>
        </w:rPr>
      </w:pPr>
    </w:p>
    <w:tbl>
      <w:tblPr>
        <w:tblStyle w:val="23"/>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224"/>
        <w:gridCol w:w="1492"/>
        <w:gridCol w:w="1560"/>
        <w:gridCol w:w="100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0"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序号</w:t>
            </w:r>
          </w:p>
        </w:tc>
        <w:tc>
          <w:tcPr>
            <w:tcW w:w="1620"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起止时间</w:t>
            </w:r>
          </w:p>
        </w:tc>
        <w:tc>
          <w:tcPr>
            <w:tcW w:w="2224"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项目名称/概况</w:t>
            </w:r>
          </w:p>
        </w:tc>
        <w:tc>
          <w:tcPr>
            <w:tcW w:w="1492"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项目金额</w:t>
            </w:r>
          </w:p>
        </w:tc>
        <w:tc>
          <w:tcPr>
            <w:tcW w:w="1560"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业主单位</w:t>
            </w:r>
          </w:p>
        </w:tc>
        <w:tc>
          <w:tcPr>
            <w:tcW w:w="1005" w:type="dxa"/>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完成情况</w:t>
            </w:r>
          </w:p>
        </w:tc>
        <w:tc>
          <w:tcPr>
            <w:tcW w:w="777" w:type="dxa"/>
            <w:noWrap w:val="0"/>
            <w:vAlign w:val="center"/>
          </w:tcPr>
          <w:p>
            <w:pPr>
              <w:jc w:val="center"/>
              <w:rPr>
                <w:rFonts w:hint="eastAsia" w:ascii="宋体" w:hAnsi="宋体" w:cs="宋体"/>
                <w:color w:val="auto"/>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2224" w:type="dxa"/>
            <w:noWrap w:val="0"/>
            <w:vAlign w:val="center"/>
          </w:tcPr>
          <w:p>
            <w:pPr>
              <w:jc w:val="center"/>
              <w:rPr>
                <w:rFonts w:hint="eastAsia" w:ascii="宋体" w:hAnsi="宋体" w:cs="宋体"/>
                <w:color w:val="auto"/>
                <w:szCs w:val="21"/>
              </w:rPr>
            </w:pPr>
          </w:p>
        </w:tc>
        <w:tc>
          <w:tcPr>
            <w:tcW w:w="1492" w:type="dxa"/>
            <w:noWrap w:val="0"/>
            <w:vAlign w:val="center"/>
          </w:tcPr>
          <w:p>
            <w:pPr>
              <w:jc w:val="center"/>
              <w:rPr>
                <w:rFonts w:hint="eastAsia" w:ascii="宋体" w:hAnsi="宋体" w:cs="宋体"/>
                <w:color w:val="auto"/>
                <w:szCs w:val="21"/>
              </w:rPr>
            </w:pPr>
          </w:p>
        </w:tc>
        <w:tc>
          <w:tcPr>
            <w:tcW w:w="1560" w:type="dxa"/>
            <w:noWrap w:val="0"/>
            <w:vAlign w:val="center"/>
          </w:tcPr>
          <w:p>
            <w:pPr>
              <w:jc w:val="center"/>
              <w:rPr>
                <w:rFonts w:hint="eastAsia" w:ascii="宋体" w:hAnsi="宋体" w:cs="宋体"/>
                <w:color w:val="auto"/>
                <w:szCs w:val="21"/>
              </w:rPr>
            </w:pPr>
          </w:p>
        </w:tc>
        <w:tc>
          <w:tcPr>
            <w:tcW w:w="1005" w:type="dxa"/>
            <w:noWrap w:val="0"/>
            <w:vAlign w:val="center"/>
          </w:tcPr>
          <w:p>
            <w:pPr>
              <w:jc w:val="center"/>
              <w:rPr>
                <w:rFonts w:hint="eastAsia" w:ascii="宋体" w:hAnsi="宋体" w:cs="宋体"/>
                <w:color w:val="auto"/>
                <w:szCs w:val="21"/>
              </w:rPr>
            </w:pPr>
          </w:p>
        </w:tc>
        <w:tc>
          <w:tcPr>
            <w:tcW w:w="777"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noWrap w:val="0"/>
            <w:vAlign w:val="center"/>
          </w:tcPr>
          <w:p>
            <w:pPr>
              <w:jc w:val="center"/>
              <w:rPr>
                <w:rFonts w:hint="eastAsia" w:ascii="宋体" w:hAnsi="宋体" w:cs="宋体"/>
                <w:color w:val="auto"/>
                <w:sz w:val="24"/>
              </w:rPr>
            </w:pPr>
          </w:p>
        </w:tc>
        <w:tc>
          <w:tcPr>
            <w:tcW w:w="1620" w:type="dxa"/>
            <w:noWrap w:val="0"/>
            <w:vAlign w:val="center"/>
          </w:tcPr>
          <w:p>
            <w:pPr>
              <w:jc w:val="center"/>
              <w:rPr>
                <w:rFonts w:hint="eastAsia" w:ascii="宋体" w:hAnsi="宋体" w:cs="宋体"/>
                <w:color w:val="auto"/>
                <w:sz w:val="24"/>
              </w:rPr>
            </w:pPr>
          </w:p>
        </w:tc>
        <w:tc>
          <w:tcPr>
            <w:tcW w:w="2224" w:type="dxa"/>
            <w:noWrap w:val="0"/>
            <w:vAlign w:val="center"/>
          </w:tcPr>
          <w:p>
            <w:pPr>
              <w:jc w:val="center"/>
              <w:rPr>
                <w:rFonts w:hint="eastAsia" w:ascii="宋体" w:hAnsi="宋体" w:cs="宋体"/>
                <w:color w:val="auto"/>
                <w:sz w:val="24"/>
              </w:rPr>
            </w:pPr>
          </w:p>
        </w:tc>
        <w:tc>
          <w:tcPr>
            <w:tcW w:w="1492" w:type="dxa"/>
            <w:noWrap w:val="0"/>
            <w:vAlign w:val="center"/>
          </w:tcPr>
          <w:p>
            <w:pPr>
              <w:jc w:val="center"/>
              <w:rPr>
                <w:rFonts w:hint="eastAsia" w:ascii="宋体" w:hAnsi="宋体" w:cs="宋体"/>
                <w:color w:val="auto"/>
                <w:sz w:val="24"/>
              </w:rPr>
            </w:pPr>
          </w:p>
        </w:tc>
        <w:tc>
          <w:tcPr>
            <w:tcW w:w="1560" w:type="dxa"/>
            <w:noWrap w:val="0"/>
            <w:vAlign w:val="center"/>
          </w:tcPr>
          <w:p>
            <w:pPr>
              <w:jc w:val="center"/>
              <w:rPr>
                <w:rFonts w:hint="eastAsia" w:ascii="宋体" w:hAnsi="宋体" w:cs="宋体"/>
                <w:color w:val="auto"/>
                <w:sz w:val="24"/>
              </w:rPr>
            </w:pPr>
          </w:p>
        </w:tc>
        <w:tc>
          <w:tcPr>
            <w:tcW w:w="1005" w:type="dxa"/>
            <w:noWrap w:val="0"/>
            <w:vAlign w:val="center"/>
          </w:tcPr>
          <w:p>
            <w:pPr>
              <w:jc w:val="center"/>
              <w:rPr>
                <w:rFonts w:hint="eastAsia" w:ascii="宋体" w:hAnsi="宋体" w:cs="宋体"/>
                <w:color w:val="auto"/>
                <w:sz w:val="24"/>
              </w:rPr>
            </w:pPr>
          </w:p>
        </w:tc>
        <w:tc>
          <w:tcPr>
            <w:tcW w:w="777" w:type="dxa"/>
            <w:noWrap w:val="0"/>
            <w:vAlign w:val="center"/>
          </w:tcPr>
          <w:p>
            <w:pPr>
              <w:jc w:val="center"/>
              <w:rPr>
                <w:rFonts w:hint="eastAsia" w:ascii="宋体" w:hAnsi="宋体" w:cs="宋体"/>
                <w:color w:val="auto"/>
                <w:sz w:val="24"/>
              </w:rPr>
            </w:pPr>
          </w:p>
        </w:tc>
      </w:tr>
    </w:tbl>
    <w:p>
      <w:pPr>
        <w:spacing w:line="300" w:lineRule="auto"/>
        <w:rPr>
          <w:rFonts w:hint="eastAsia" w:ascii="宋体" w:hAnsi="宋体"/>
          <w:b/>
          <w:color w:val="auto"/>
          <w:szCs w:val="21"/>
        </w:rPr>
      </w:pPr>
    </w:p>
    <w:p>
      <w:pPr>
        <w:spacing w:line="300" w:lineRule="auto"/>
        <w:rPr>
          <w:rFonts w:hint="eastAsia" w:ascii="宋体" w:hAnsi="宋体"/>
          <w:b/>
          <w:color w:val="auto"/>
          <w:szCs w:val="21"/>
        </w:rPr>
      </w:pPr>
    </w:p>
    <w:p>
      <w:pPr>
        <w:spacing w:line="300" w:lineRule="auto"/>
        <w:rPr>
          <w:rFonts w:hint="eastAsia" w:ascii="宋体" w:hAnsi="宋体"/>
          <w:b/>
          <w:color w:val="auto"/>
          <w:szCs w:val="21"/>
        </w:rPr>
      </w:pPr>
      <w:r>
        <w:rPr>
          <w:rFonts w:hint="eastAsia" w:ascii="宋体" w:hAnsi="宋体"/>
          <w:b/>
          <w:color w:val="auto"/>
          <w:szCs w:val="21"/>
        </w:rPr>
        <w:t>附近三年业绩中标通知书或合同复印件。</w:t>
      </w:r>
    </w:p>
    <w:p>
      <w:pPr>
        <w:spacing w:line="300" w:lineRule="auto"/>
        <w:rPr>
          <w:rFonts w:hint="eastAsia" w:ascii="宋体" w:hAnsi="宋体"/>
          <w:color w:val="auto"/>
          <w:sz w:val="20"/>
          <w:szCs w:val="20"/>
        </w:rPr>
      </w:pPr>
      <w:r>
        <w:rPr>
          <w:rFonts w:ascii="宋体" w:hAnsi="宋体"/>
          <w:color w:val="auto"/>
          <w:sz w:val="23"/>
          <w:szCs w:val="23"/>
        </w:rPr>
        <w:br w:type="page"/>
      </w:r>
    </w:p>
    <w:p>
      <w:pPr>
        <w:pStyle w:val="5"/>
        <w:spacing w:before="0" w:after="0" w:line="300" w:lineRule="auto"/>
        <w:rPr>
          <w:rFonts w:hint="eastAsia" w:ascii="宋体" w:hAnsi="宋体"/>
          <w:color w:val="auto"/>
          <w:szCs w:val="21"/>
        </w:rPr>
      </w:pPr>
      <w:bookmarkStart w:id="190" w:name="_Toc327777607"/>
      <w:bookmarkStart w:id="191" w:name="_Toc468267498"/>
      <w:bookmarkStart w:id="192" w:name="_Toc409424365"/>
      <w:bookmarkStart w:id="193" w:name="_Toc356393085"/>
      <w:bookmarkStart w:id="194" w:name="_Toc409424426"/>
      <w:bookmarkStart w:id="195" w:name="_Toc300659776"/>
      <w:bookmarkStart w:id="196" w:name="_Toc363491233"/>
      <w:r>
        <w:rPr>
          <w:rFonts w:hint="eastAsia" w:ascii="宋体" w:hAnsi="宋体"/>
          <w:color w:val="auto"/>
          <w:sz w:val="28"/>
          <w:szCs w:val="28"/>
        </w:rPr>
        <w:t>（五）</w:t>
      </w:r>
      <w:r>
        <w:rPr>
          <w:rFonts w:ascii="宋体" w:hAnsi="宋体"/>
          <w:color w:val="auto"/>
          <w:sz w:val="28"/>
          <w:szCs w:val="28"/>
        </w:rPr>
        <w:t>其他</w:t>
      </w:r>
      <w:r>
        <w:rPr>
          <w:rFonts w:hint="eastAsia" w:ascii="宋体" w:hAnsi="宋体"/>
          <w:color w:val="auto"/>
          <w:sz w:val="28"/>
          <w:szCs w:val="28"/>
        </w:rPr>
        <w:t>资格审查资</w:t>
      </w:r>
      <w:r>
        <w:rPr>
          <w:rFonts w:ascii="宋体" w:hAnsi="宋体"/>
          <w:color w:val="auto"/>
          <w:sz w:val="28"/>
          <w:szCs w:val="28"/>
        </w:rPr>
        <w:t>料</w:t>
      </w:r>
      <w:bookmarkEnd w:id="190"/>
      <w:bookmarkEnd w:id="191"/>
      <w:bookmarkEnd w:id="192"/>
      <w:bookmarkEnd w:id="193"/>
      <w:bookmarkEnd w:id="194"/>
      <w:bookmarkEnd w:id="195"/>
      <w:bookmarkEnd w:id="196"/>
    </w:p>
    <w:p>
      <w:pPr>
        <w:autoSpaceDE w:val="0"/>
        <w:autoSpaceDN w:val="0"/>
        <w:adjustRightInd w:val="0"/>
        <w:spacing w:line="300" w:lineRule="auto"/>
        <w:jc w:val="left"/>
        <w:rPr>
          <w:rFonts w:hint="eastAsia" w:ascii="宋体" w:hAnsi="宋体"/>
          <w:color w:val="auto"/>
          <w:szCs w:val="21"/>
        </w:rPr>
      </w:pPr>
    </w:p>
    <w:p>
      <w:pPr>
        <w:spacing w:line="300" w:lineRule="auto"/>
        <w:jc w:val="center"/>
        <w:rPr>
          <w:rFonts w:hint="default" w:ascii="宋体" w:hAnsi="宋体" w:eastAsia="宋体"/>
          <w:b/>
          <w:bCs/>
          <w:color w:val="auto"/>
          <w:sz w:val="28"/>
          <w:szCs w:val="28"/>
          <w:lang w:val="en-US" w:eastAsia="zh-CN"/>
        </w:rPr>
      </w:pPr>
      <w:r>
        <w:rPr>
          <w:rFonts w:hint="eastAsia" w:ascii="宋体" w:hAnsi="宋体"/>
          <w:color w:val="auto"/>
          <w:szCs w:val="21"/>
        </w:rPr>
        <w:t>格式自拟</w:t>
      </w:r>
      <w:r>
        <w:rPr>
          <w:rFonts w:ascii="宋体" w:hAnsi="宋体"/>
          <w:color w:val="auto"/>
          <w:szCs w:val="21"/>
        </w:rPr>
        <w:br w:type="page"/>
      </w:r>
      <w:r>
        <w:rPr>
          <w:rFonts w:hint="eastAsia" w:ascii="宋体" w:hAnsi="宋体"/>
          <w:b/>
          <w:bCs/>
          <w:color w:val="auto"/>
          <w:sz w:val="28"/>
          <w:szCs w:val="28"/>
        </w:rPr>
        <w:t>十</w:t>
      </w:r>
      <w:r>
        <w:rPr>
          <w:rFonts w:hint="eastAsia" w:ascii="宋体" w:hAnsi="宋体"/>
          <w:b/>
          <w:bCs/>
          <w:color w:val="auto"/>
          <w:sz w:val="28"/>
          <w:szCs w:val="28"/>
          <w:lang w:val="en-US" w:eastAsia="zh-CN"/>
        </w:rPr>
        <w:t>二</w:t>
      </w:r>
      <w:r>
        <w:rPr>
          <w:rFonts w:hint="eastAsia" w:ascii="宋体" w:hAnsi="宋体"/>
          <w:b/>
          <w:bCs/>
          <w:color w:val="auto"/>
          <w:sz w:val="28"/>
          <w:szCs w:val="28"/>
        </w:rPr>
        <w:t>、</w:t>
      </w:r>
      <w:r>
        <w:rPr>
          <w:rFonts w:hint="eastAsia" w:ascii="宋体" w:hAnsi="宋体"/>
          <w:b/>
          <w:bCs/>
          <w:color w:val="auto"/>
          <w:sz w:val="28"/>
          <w:szCs w:val="28"/>
          <w:lang w:val="en-US" w:eastAsia="zh-CN"/>
        </w:rPr>
        <w:t>实施方案</w:t>
      </w:r>
    </w:p>
    <w:p>
      <w:pPr>
        <w:jc w:val="left"/>
        <w:rPr>
          <w:rFonts w:ascii="宋体" w:hAnsi="宋体"/>
          <w:color w:val="auto"/>
        </w:rPr>
      </w:pPr>
      <w:r>
        <w:rPr>
          <w:rFonts w:ascii="宋体" w:hAnsi="宋体"/>
          <w:color w:val="auto"/>
        </w:rPr>
        <w:t xml:space="preserve"> </w:t>
      </w:r>
    </w:p>
    <w:p>
      <w:pPr>
        <w:spacing w:line="300" w:lineRule="auto"/>
        <w:jc w:val="center"/>
        <w:rPr>
          <w:rFonts w:hint="eastAsia" w:ascii="宋体" w:hAnsi="宋体"/>
          <w:b/>
          <w:bCs/>
          <w:color w:val="auto"/>
          <w:sz w:val="28"/>
          <w:szCs w:val="28"/>
        </w:rPr>
      </w:pPr>
      <w:r>
        <w:rPr>
          <w:rFonts w:hint="eastAsia" w:ascii="宋体" w:hAnsi="宋体"/>
          <w:color w:val="auto"/>
          <w:szCs w:val="21"/>
        </w:rPr>
        <w:t>格式自拟</w:t>
      </w:r>
    </w:p>
    <w:p>
      <w:pPr>
        <w:rPr>
          <w:rFonts w:cs="宋体" w:asciiTheme="majorEastAsia" w:hAnsiTheme="majorEastAsia" w:eastAsiaTheme="majorEastAsia"/>
          <w:b/>
          <w:bCs/>
          <w:color w:val="auto"/>
          <w:kern w:val="44"/>
          <w:sz w:val="44"/>
          <w:szCs w:val="44"/>
        </w:rPr>
      </w:pPr>
      <w:r>
        <w:rPr>
          <w:rFonts w:cs="宋体" w:asciiTheme="majorEastAsia" w:hAnsiTheme="majorEastAsia" w:eastAsiaTheme="majorEastAsia"/>
          <w:b/>
          <w:bCs/>
          <w:color w:val="auto"/>
          <w:kern w:val="44"/>
          <w:sz w:val="44"/>
          <w:szCs w:val="44"/>
        </w:rPr>
        <w:br w:type="page"/>
      </w:r>
    </w:p>
    <w:p>
      <w:pPr>
        <w:spacing w:line="300" w:lineRule="auto"/>
        <w:jc w:val="center"/>
        <w:rPr>
          <w:rFonts w:hint="eastAsia" w:ascii="宋体" w:hAnsi="宋体"/>
          <w:b/>
          <w:bCs/>
          <w:color w:val="auto"/>
          <w:sz w:val="28"/>
          <w:szCs w:val="28"/>
        </w:rPr>
      </w:pPr>
      <w:r>
        <w:rPr>
          <w:rFonts w:hint="eastAsia" w:ascii="宋体" w:hAnsi="宋体"/>
          <w:b/>
          <w:bCs/>
          <w:color w:val="auto"/>
          <w:sz w:val="28"/>
          <w:szCs w:val="28"/>
        </w:rPr>
        <w:t>十</w:t>
      </w:r>
      <w:r>
        <w:rPr>
          <w:rFonts w:hint="eastAsia" w:ascii="宋体" w:hAnsi="宋体"/>
          <w:b/>
          <w:bCs/>
          <w:color w:val="auto"/>
          <w:sz w:val="28"/>
          <w:szCs w:val="28"/>
          <w:lang w:val="en-US" w:eastAsia="zh-CN"/>
        </w:rPr>
        <w:t>三</w:t>
      </w:r>
      <w:r>
        <w:rPr>
          <w:rFonts w:hint="eastAsia" w:ascii="宋体" w:hAnsi="宋体"/>
          <w:b/>
          <w:bCs/>
          <w:color w:val="auto"/>
          <w:sz w:val="28"/>
          <w:szCs w:val="28"/>
        </w:rPr>
        <w:t>、其他材料</w:t>
      </w:r>
    </w:p>
    <w:p>
      <w:pPr>
        <w:jc w:val="left"/>
        <w:rPr>
          <w:rFonts w:ascii="宋体" w:hAnsi="宋体"/>
          <w:color w:val="auto"/>
        </w:rPr>
      </w:pPr>
      <w:r>
        <w:rPr>
          <w:rFonts w:ascii="宋体" w:hAnsi="宋体"/>
          <w:color w:val="auto"/>
        </w:rPr>
        <w:t xml:space="preserve"> </w:t>
      </w:r>
    </w:p>
    <w:p>
      <w:pPr>
        <w:pStyle w:val="21"/>
        <w:numPr>
          <w:ilvl w:val="0"/>
          <w:numId w:val="17"/>
        </w:numPr>
        <w:rPr>
          <w:rFonts w:hint="eastAsia"/>
          <w:color w:val="auto"/>
          <w:lang w:val="en-US" w:eastAsia="zh-CN"/>
        </w:rPr>
      </w:pPr>
      <w:r>
        <w:rPr>
          <w:rFonts w:hint="eastAsia"/>
          <w:color w:val="auto"/>
          <w:lang w:val="en-US" w:eastAsia="zh-CN"/>
        </w:rPr>
        <w:t>厂家授权书</w:t>
      </w:r>
    </w:p>
    <w:p>
      <w:pPr>
        <w:pStyle w:val="21"/>
        <w:numPr>
          <w:ilvl w:val="0"/>
          <w:numId w:val="17"/>
        </w:numPr>
        <w:rPr>
          <w:rFonts w:hint="default"/>
          <w:color w:val="auto"/>
          <w:lang w:val="en-US" w:eastAsia="zh-CN"/>
        </w:rPr>
      </w:pPr>
      <w:r>
        <w:rPr>
          <w:rFonts w:hint="eastAsia"/>
          <w:color w:val="auto"/>
          <w:lang w:val="en-US" w:eastAsia="zh-CN"/>
        </w:rPr>
        <w:t>投标单位认为所必要提供的其他材料。</w:t>
      </w:r>
    </w:p>
    <w:bookmarkEnd w:id="101"/>
    <w:bookmarkEnd w:id="102"/>
    <w:bookmarkEnd w:id="103"/>
    <w:bookmarkEnd w:id="104"/>
    <w:bookmarkEnd w:id="105"/>
    <w:bookmarkEnd w:id="106"/>
    <w:bookmarkEnd w:id="107"/>
    <w:p>
      <w:pPr>
        <w:pStyle w:val="21"/>
        <w:autoSpaceDN w:val="0"/>
        <w:adjustRightInd w:val="0"/>
        <w:snapToGrid w:val="0"/>
        <w:spacing w:line="360" w:lineRule="auto"/>
        <w:ind w:left="0" w:leftChars="0" w:firstLine="0" w:firstLineChars="0"/>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21"/>
        <w:autoSpaceDN w:val="0"/>
        <w:adjustRightInd w:val="0"/>
        <w:snapToGrid w:val="0"/>
        <w:spacing w:line="360" w:lineRule="auto"/>
        <w:rPr>
          <w:rFonts w:cs="宋体" w:asciiTheme="majorEastAsia" w:hAnsiTheme="majorEastAsia" w:eastAsiaTheme="majorEastAsia"/>
          <w:color w:val="auto"/>
          <w:szCs w:val="21"/>
        </w:rPr>
      </w:pPr>
    </w:p>
    <w:p>
      <w:pPr>
        <w:pStyle w:val="10"/>
        <w:tabs>
          <w:tab w:val="left" w:pos="2231"/>
          <w:tab w:val="left" w:pos="3068"/>
          <w:tab w:val="left" w:pos="3908"/>
          <w:tab w:val="left" w:pos="4628"/>
        </w:tabs>
        <w:autoSpaceDN w:val="0"/>
        <w:adjustRightInd w:val="0"/>
        <w:snapToGrid w:val="0"/>
        <w:spacing w:after="0" w:line="360" w:lineRule="auto"/>
        <w:rPr>
          <w:rFonts w:cs="宋体" w:asciiTheme="majorEastAsia" w:hAnsiTheme="majorEastAsia" w:eastAsiaTheme="majorEastAsia"/>
          <w:color w:val="auto"/>
          <w:szCs w:val="21"/>
        </w:rPr>
      </w:pPr>
    </w:p>
    <w:p>
      <w:pPr>
        <w:spacing w:line="360" w:lineRule="auto"/>
        <w:rPr>
          <w:rFonts w:asciiTheme="majorEastAsia" w:hAnsiTheme="majorEastAsia" w:eastAsiaTheme="majorEastAsia"/>
          <w:color w:val="auto"/>
        </w:rPr>
      </w:pPr>
    </w:p>
    <w:sectPr>
      <w:pgSz w:w="11906" w:h="16838"/>
      <w:pgMar w:top="1418" w:right="1418" w:bottom="1418"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219231"/>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DAA3E"/>
    <w:multiLevelType w:val="multilevel"/>
    <w:tmpl w:val="9E5DAA3E"/>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B2E0D3D"/>
    <w:multiLevelType w:val="singleLevel"/>
    <w:tmpl w:val="DB2E0D3D"/>
    <w:lvl w:ilvl="0" w:tentative="0">
      <w:start w:val="1"/>
      <w:numFmt w:val="decimal"/>
      <w:lvlText w:val="%1."/>
      <w:lvlJc w:val="left"/>
      <w:pPr>
        <w:tabs>
          <w:tab w:val="left" w:pos="312"/>
        </w:tabs>
      </w:pPr>
    </w:lvl>
  </w:abstractNum>
  <w:abstractNum w:abstractNumId="2">
    <w:nsid w:val="DF9BF32D"/>
    <w:multiLevelType w:val="singleLevel"/>
    <w:tmpl w:val="DF9BF32D"/>
    <w:lvl w:ilvl="0" w:tentative="0">
      <w:start w:val="1"/>
      <w:numFmt w:val="decimal"/>
      <w:suff w:val="nothing"/>
      <w:lvlText w:val="%1、"/>
      <w:lvlJc w:val="left"/>
    </w:lvl>
  </w:abstractNum>
  <w:abstractNum w:abstractNumId="3">
    <w:nsid w:val="E2225E4B"/>
    <w:multiLevelType w:val="multilevel"/>
    <w:tmpl w:val="E2225E4B"/>
    <w:lvl w:ilvl="0" w:tentative="0">
      <w:start w:val="19"/>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1"/>
    <w:multiLevelType w:val="singleLevel"/>
    <w:tmpl w:val="00000001"/>
    <w:lvl w:ilvl="0" w:tentative="0">
      <w:start w:val="1"/>
      <w:numFmt w:val="decimal"/>
      <w:lvlText w:val="%1."/>
      <w:lvlJc w:val="left"/>
      <w:pPr>
        <w:tabs>
          <w:tab w:val="left" w:pos="312"/>
        </w:tabs>
      </w:pPr>
    </w:lvl>
  </w:abstractNum>
  <w:abstractNum w:abstractNumId="5">
    <w:nsid w:val="00000003"/>
    <w:multiLevelType w:val="singleLevel"/>
    <w:tmpl w:val="00000003"/>
    <w:lvl w:ilvl="0" w:tentative="0">
      <w:start w:val="1"/>
      <w:numFmt w:val="decimal"/>
      <w:lvlText w:val="%1."/>
      <w:lvlJc w:val="left"/>
      <w:pPr>
        <w:tabs>
          <w:tab w:val="left" w:pos="312"/>
        </w:tabs>
      </w:pPr>
    </w:lvl>
  </w:abstractNum>
  <w:abstractNum w:abstractNumId="6">
    <w:nsid w:val="00000004"/>
    <w:multiLevelType w:val="singleLevel"/>
    <w:tmpl w:val="00000004"/>
    <w:lvl w:ilvl="0" w:tentative="0">
      <w:start w:val="1"/>
      <w:numFmt w:val="decimal"/>
      <w:lvlText w:val="%1."/>
      <w:lvlJc w:val="left"/>
      <w:pPr>
        <w:tabs>
          <w:tab w:val="left" w:pos="312"/>
        </w:tabs>
      </w:pPr>
    </w:lvl>
  </w:abstractNum>
  <w:abstractNum w:abstractNumId="7">
    <w:nsid w:val="00000005"/>
    <w:multiLevelType w:val="singleLevel"/>
    <w:tmpl w:val="00000005"/>
    <w:lvl w:ilvl="0" w:tentative="0">
      <w:start w:val="1"/>
      <w:numFmt w:val="decimal"/>
      <w:lvlText w:val="%1."/>
      <w:lvlJc w:val="left"/>
      <w:pPr>
        <w:tabs>
          <w:tab w:val="left" w:pos="312"/>
        </w:tabs>
      </w:pPr>
    </w:lvl>
  </w:abstractNum>
  <w:abstractNum w:abstractNumId="8">
    <w:nsid w:val="00000006"/>
    <w:multiLevelType w:val="singleLevel"/>
    <w:tmpl w:val="00000006"/>
    <w:lvl w:ilvl="0" w:tentative="0">
      <w:start w:val="1"/>
      <w:numFmt w:val="decimal"/>
      <w:lvlText w:val="%1."/>
      <w:lvlJc w:val="left"/>
      <w:pPr>
        <w:tabs>
          <w:tab w:val="left" w:pos="312"/>
        </w:tabs>
      </w:pPr>
    </w:lvl>
  </w:abstractNum>
  <w:abstractNum w:abstractNumId="9">
    <w:nsid w:val="00000007"/>
    <w:multiLevelType w:val="multilevel"/>
    <w:tmpl w:val="0000000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08"/>
    <w:multiLevelType w:val="singleLevel"/>
    <w:tmpl w:val="00000008"/>
    <w:lvl w:ilvl="0" w:tentative="0">
      <w:start w:val="1"/>
      <w:numFmt w:val="decimal"/>
      <w:lvlText w:val="%1."/>
      <w:lvlJc w:val="left"/>
      <w:pPr>
        <w:tabs>
          <w:tab w:val="left" w:pos="312"/>
        </w:tabs>
      </w:pPr>
    </w:lvl>
  </w:abstractNum>
  <w:abstractNum w:abstractNumId="11">
    <w:nsid w:val="00000009"/>
    <w:multiLevelType w:val="singleLevel"/>
    <w:tmpl w:val="00000009"/>
    <w:lvl w:ilvl="0" w:tentative="0">
      <w:start w:val="1"/>
      <w:numFmt w:val="decimal"/>
      <w:lvlText w:val="%1."/>
      <w:lvlJc w:val="left"/>
      <w:pPr>
        <w:tabs>
          <w:tab w:val="left" w:pos="312"/>
        </w:tabs>
      </w:pPr>
    </w:lvl>
  </w:abstractNum>
  <w:abstractNum w:abstractNumId="12">
    <w:nsid w:val="0000000E"/>
    <w:multiLevelType w:val="multilevel"/>
    <w:tmpl w:val="0000000E"/>
    <w:lvl w:ilvl="0" w:tentative="0">
      <w:start w:val="1"/>
      <w:numFmt w:val="bullet"/>
      <w:pStyle w:val="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13">
    <w:nsid w:val="099A1B7E"/>
    <w:multiLevelType w:val="multilevel"/>
    <w:tmpl w:val="099A1B7E"/>
    <w:lvl w:ilvl="0" w:tentative="0">
      <w:start w:val="1"/>
      <w:numFmt w:val="decimal"/>
      <w:lvlText w:val="%1、"/>
      <w:lvlJc w:val="left"/>
      <w:pPr>
        <w:tabs>
          <w:tab w:val="left" w:pos="558"/>
        </w:tabs>
        <w:ind w:left="558" w:hanging="132"/>
      </w:pPr>
      <w:rPr>
        <w:caps w:val="0"/>
        <w:smallCaps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3092639"/>
    <w:multiLevelType w:val="multilevel"/>
    <w:tmpl w:val="33092639"/>
    <w:lvl w:ilvl="0" w:tentative="0">
      <w:start w:val="1"/>
      <w:numFmt w:val="decimal"/>
      <w:lvlText w:val="（%1）"/>
      <w:lvlJc w:val="left"/>
      <w:pPr>
        <w:tabs>
          <w:tab w:val="left" w:pos="1080"/>
        </w:tabs>
        <w:ind w:left="1080" w:hanging="600"/>
      </w:pPr>
      <w:rPr>
        <w:caps w:val="0"/>
        <w:smallCap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2C15620"/>
    <w:multiLevelType w:val="singleLevel"/>
    <w:tmpl w:val="42C15620"/>
    <w:lvl w:ilvl="0" w:tentative="0">
      <w:start w:val="1"/>
      <w:numFmt w:val="decimal"/>
      <w:suff w:val="nothing"/>
      <w:lvlText w:val="（%1）"/>
      <w:lvlJc w:val="left"/>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6"/>
  </w:num>
  <w:num w:numId="12">
    <w:abstractNumId w:val="11"/>
  </w:num>
  <w:num w:numId="13">
    <w:abstractNumId w:val="9"/>
  </w:num>
  <w:num w:numId="14">
    <w:abstractNumId w:val="8"/>
  </w:num>
  <w:num w:numId="15">
    <w:abstractNumId w:val="7"/>
  </w:num>
  <w:num w:numId="16">
    <w:abstractNumId w:val="9"/>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ZDk3MzAzMzEwMjFkMTA4ZWM3NzlkNjY5MzFmNTEifQ=="/>
  </w:docVars>
  <w:rsids>
    <w:rsidRoot w:val="004E4293"/>
    <w:rsid w:val="000120F7"/>
    <w:rsid w:val="000122DE"/>
    <w:rsid w:val="00034009"/>
    <w:rsid w:val="00087A8A"/>
    <w:rsid w:val="000C10FC"/>
    <w:rsid w:val="00114236"/>
    <w:rsid w:val="001F7D2B"/>
    <w:rsid w:val="002315C7"/>
    <w:rsid w:val="00280082"/>
    <w:rsid w:val="00286015"/>
    <w:rsid w:val="002F608D"/>
    <w:rsid w:val="003016F3"/>
    <w:rsid w:val="00335059"/>
    <w:rsid w:val="00337B8C"/>
    <w:rsid w:val="00396FB3"/>
    <w:rsid w:val="00420AE2"/>
    <w:rsid w:val="004500D8"/>
    <w:rsid w:val="004575F6"/>
    <w:rsid w:val="0047104C"/>
    <w:rsid w:val="00480EA1"/>
    <w:rsid w:val="004C0F25"/>
    <w:rsid w:val="004E4293"/>
    <w:rsid w:val="005467D2"/>
    <w:rsid w:val="00574106"/>
    <w:rsid w:val="00586822"/>
    <w:rsid w:val="005D4A37"/>
    <w:rsid w:val="006206F6"/>
    <w:rsid w:val="00651E84"/>
    <w:rsid w:val="006A6CF0"/>
    <w:rsid w:val="00710146"/>
    <w:rsid w:val="00723AD3"/>
    <w:rsid w:val="00761FAF"/>
    <w:rsid w:val="0077466B"/>
    <w:rsid w:val="007E439C"/>
    <w:rsid w:val="007F2DBA"/>
    <w:rsid w:val="0084393E"/>
    <w:rsid w:val="00893FB3"/>
    <w:rsid w:val="00900D59"/>
    <w:rsid w:val="00925E1D"/>
    <w:rsid w:val="009610BD"/>
    <w:rsid w:val="009D66E6"/>
    <w:rsid w:val="009F0EFB"/>
    <w:rsid w:val="00A25CF7"/>
    <w:rsid w:val="00A57413"/>
    <w:rsid w:val="00A67742"/>
    <w:rsid w:val="00A9339A"/>
    <w:rsid w:val="00AE5F46"/>
    <w:rsid w:val="00B23D26"/>
    <w:rsid w:val="00B75097"/>
    <w:rsid w:val="00B97DB7"/>
    <w:rsid w:val="00C105E3"/>
    <w:rsid w:val="00C6731F"/>
    <w:rsid w:val="00C96793"/>
    <w:rsid w:val="00D453A1"/>
    <w:rsid w:val="00D82CB3"/>
    <w:rsid w:val="00DE4E58"/>
    <w:rsid w:val="00DF7C1E"/>
    <w:rsid w:val="00E0264C"/>
    <w:rsid w:val="00E029F6"/>
    <w:rsid w:val="00F30CEA"/>
    <w:rsid w:val="014929F9"/>
    <w:rsid w:val="016F45ED"/>
    <w:rsid w:val="01F86983"/>
    <w:rsid w:val="024250B1"/>
    <w:rsid w:val="025A4171"/>
    <w:rsid w:val="03AA50AA"/>
    <w:rsid w:val="040B7E59"/>
    <w:rsid w:val="04664F20"/>
    <w:rsid w:val="05087233"/>
    <w:rsid w:val="056337B3"/>
    <w:rsid w:val="05654D72"/>
    <w:rsid w:val="059D011D"/>
    <w:rsid w:val="06464014"/>
    <w:rsid w:val="07275FE6"/>
    <w:rsid w:val="072B0FB7"/>
    <w:rsid w:val="08607386"/>
    <w:rsid w:val="09306D58"/>
    <w:rsid w:val="094D790A"/>
    <w:rsid w:val="099B52D2"/>
    <w:rsid w:val="0A8530D4"/>
    <w:rsid w:val="0AAE6F4A"/>
    <w:rsid w:val="0ADD79D4"/>
    <w:rsid w:val="0B0E675C"/>
    <w:rsid w:val="0B2B77D7"/>
    <w:rsid w:val="0B6B4077"/>
    <w:rsid w:val="0BC438C4"/>
    <w:rsid w:val="0BE66B6F"/>
    <w:rsid w:val="0C013421"/>
    <w:rsid w:val="0C0A5403"/>
    <w:rsid w:val="0C160E49"/>
    <w:rsid w:val="0C7B092E"/>
    <w:rsid w:val="0CE749CF"/>
    <w:rsid w:val="0E230F94"/>
    <w:rsid w:val="0ED120DC"/>
    <w:rsid w:val="0EDE133D"/>
    <w:rsid w:val="0F3B253B"/>
    <w:rsid w:val="0F543075"/>
    <w:rsid w:val="0FAE6C29"/>
    <w:rsid w:val="0FF0099F"/>
    <w:rsid w:val="10345380"/>
    <w:rsid w:val="10F16A18"/>
    <w:rsid w:val="123C5B74"/>
    <w:rsid w:val="12655CC4"/>
    <w:rsid w:val="1359595C"/>
    <w:rsid w:val="137B76C4"/>
    <w:rsid w:val="13893016"/>
    <w:rsid w:val="13947750"/>
    <w:rsid w:val="13BD16BF"/>
    <w:rsid w:val="144225DA"/>
    <w:rsid w:val="146975C2"/>
    <w:rsid w:val="148F7398"/>
    <w:rsid w:val="14F21FBC"/>
    <w:rsid w:val="1594241D"/>
    <w:rsid w:val="1678676F"/>
    <w:rsid w:val="167C182F"/>
    <w:rsid w:val="16B94831"/>
    <w:rsid w:val="16BF1B07"/>
    <w:rsid w:val="17DB4333"/>
    <w:rsid w:val="18161DF3"/>
    <w:rsid w:val="18E63044"/>
    <w:rsid w:val="18FC75CC"/>
    <w:rsid w:val="1A6C34F8"/>
    <w:rsid w:val="1AF600CA"/>
    <w:rsid w:val="1B3A5814"/>
    <w:rsid w:val="1B43291B"/>
    <w:rsid w:val="1BD06D0C"/>
    <w:rsid w:val="1BD17F27"/>
    <w:rsid w:val="1C782693"/>
    <w:rsid w:val="1CE123EB"/>
    <w:rsid w:val="1CEB326A"/>
    <w:rsid w:val="1D50131F"/>
    <w:rsid w:val="1D5A219E"/>
    <w:rsid w:val="1E786D7F"/>
    <w:rsid w:val="1F674013"/>
    <w:rsid w:val="1F745799"/>
    <w:rsid w:val="1FA04D1F"/>
    <w:rsid w:val="20294A64"/>
    <w:rsid w:val="2039253E"/>
    <w:rsid w:val="20A67DD2"/>
    <w:rsid w:val="215C44EF"/>
    <w:rsid w:val="217B7008"/>
    <w:rsid w:val="21B31E7D"/>
    <w:rsid w:val="21E76E07"/>
    <w:rsid w:val="2220125A"/>
    <w:rsid w:val="22BC4191"/>
    <w:rsid w:val="24066BDB"/>
    <w:rsid w:val="241805EC"/>
    <w:rsid w:val="25203CCD"/>
    <w:rsid w:val="25E32545"/>
    <w:rsid w:val="267309C8"/>
    <w:rsid w:val="2753038A"/>
    <w:rsid w:val="27723B5D"/>
    <w:rsid w:val="27A73335"/>
    <w:rsid w:val="27C2106B"/>
    <w:rsid w:val="282249EF"/>
    <w:rsid w:val="28862066"/>
    <w:rsid w:val="289C366A"/>
    <w:rsid w:val="28B6093F"/>
    <w:rsid w:val="291E49C7"/>
    <w:rsid w:val="29483B1A"/>
    <w:rsid w:val="29543F45"/>
    <w:rsid w:val="29CE4CD9"/>
    <w:rsid w:val="2A5838E4"/>
    <w:rsid w:val="2A9E4C98"/>
    <w:rsid w:val="2B970537"/>
    <w:rsid w:val="2BA37D26"/>
    <w:rsid w:val="2CE73597"/>
    <w:rsid w:val="2E877616"/>
    <w:rsid w:val="2E895C66"/>
    <w:rsid w:val="2EA94D33"/>
    <w:rsid w:val="2F266F2E"/>
    <w:rsid w:val="2F6534D3"/>
    <w:rsid w:val="2F910795"/>
    <w:rsid w:val="2FEE1384"/>
    <w:rsid w:val="30156655"/>
    <w:rsid w:val="301663F8"/>
    <w:rsid w:val="304D174B"/>
    <w:rsid w:val="30F13885"/>
    <w:rsid w:val="321A0190"/>
    <w:rsid w:val="323252E2"/>
    <w:rsid w:val="34C85D0E"/>
    <w:rsid w:val="35007712"/>
    <w:rsid w:val="3541482A"/>
    <w:rsid w:val="35611EC4"/>
    <w:rsid w:val="36873BAC"/>
    <w:rsid w:val="36F82022"/>
    <w:rsid w:val="37533A8E"/>
    <w:rsid w:val="3790548B"/>
    <w:rsid w:val="37BA069C"/>
    <w:rsid w:val="385B1872"/>
    <w:rsid w:val="387463B2"/>
    <w:rsid w:val="388D1222"/>
    <w:rsid w:val="392133B0"/>
    <w:rsid w:val="39E81604"/>
    <w:rsid w:val="3A266896"/>
    <w:rsid w:val="3ACD0AB3"/>
    <w:rsid w:val="3ADA4102"/>
    <w:rsid w:val="3AF37A62"/>
    <w:rsid w:val="3B084D8C"/>
    <w:rsid w:val="3B826B03"/>
    <w:rsid w:val="3BEE0DEC"/>
    <w:rsid w:val="3D020C32"/>
    <w:rsid w:val="3D3620EA"/>
    <w:rsid w:val="3D956BAE"/>
    <w:rsid w:val="3DF620B2"/>
    <w:rsid w:val="3E774506"/>
    <w:rsid w:val="3EC05EAD"/>
    <w:rsid w:val="3EFC2A3B"/>
    <w:rsid w:val="3F8241B8"/>
    <w:rsid w:val="3FCD75B4"/>
    <w:rsid w:val="3FF43934"/>
    <w:rsid w:val="4000519B"/>
    <w:rsid w:val="40D23C76"/>
    <w:rsid w:val="41120516"/>
    <w:rsid w:val="418751B6"/>
    <w:rsid w:val="423334A7"/>
    <w:rsid w:val="423A5F76"/>
    <w:rsid w:val="42B20202"/>
    <w:rsid w:val="43482915"/>
    <w:rsid w:val="436C46B2"/>
    <w:rsid w:val="43A7763B"/>
    <w:rsid w:val="43D536EE"/>
    <w:rsid w:val="44C30956"/>
    <w:rsid w:val="44D35277"/>
    <w:rsid w:val="44F63112"/>
    <w:rsid w:val="457D238B"/>
    <w:rsid w:val="45B600BC"/>
    <w:rsid w:val="45C6342C"/>
    <w:rsid w:val="45ED50AE"/>
    <w:rsid w:val="4601581B"/>
    <w:rsid w:val="46131644"/>
    <w:rsid w:val="461E4767"/>
    <w:rsid w:val="4751250A"/>
    <w:rsid w:val="47A0687C"/>
    <w:rsid w:val="47B651E6"/>
    <w:rsid w:val="48266030"/>
    <w:rsid w:val="489D0DAF"/>
    <w:rsid w:val="48DF1625"/>
    <w:rsid w:val="4924255B"/>
    <w:rsid w:val="4AF07B1A"/>
    <w:rsid w:val="4C306DDD"/>
    <w:rsid w:val="4C703F73"/>
    <w:rsid w:val="4C906126"/>
    <w:rsid w:val="4F653170"/>
    <w:rsid w:val="50884CD3"/>
    <w:rsid w:val="51AF01EA"/>
    <w:rsid w:val="523B24FE"/>
    <w:rsid w:val="52845D42"/>
    <w:rsid w:val="53B8462A"/>
    <w:rsid w:val="5417643A"/>
    <w:rsid w:val="544A094B"/>
    <w:rsid w:val="54D55766"/>
    <w:rsid w:val="552F123F"/>
    <w:rsid w:val="55546063"/>
    <w:rsid w:val="55765A37"/>
    <w:rsid w:val="55A41C2D"/>
    <w:rsid w:val="56186177"/>
    <w:rsid w:val="57C93BCD"/>
    <w:rsid w:val="5A481AF4"/>
    <w:rsid w:val="5AF91DE2"/>
    <w:rsid w:val="5B465534"/>
    <w:rsid w:val="5B911B87"/>
    <w:rsid w:val="5BBB382C"/>
    <w:rsid w:val="5C3B6D80"/>
    <w:rsid w:val="5C7B745F"/>
    <w:rsid w:val="5D4449CC"/>
    <w:rsid w:val="5DCD5A99"/>
    <w:rsid w:val="5DD64F4D"/>
    <w:rsid w:val="5F36141C"/>
    <w:rsid w:val="5FBB125B"/>
    <w:rsid w:val="602C6773"/>
    <w:rsid w:val="605424A1"/>
    <w:rsid w:val="61483DB4"/>
    <w:rsid w:val="614D57CA"/>
    <w:rsid w:val="614E3774"/>
    <w:rsid w:val="6154366A"/>
    <w:rsid w:val="616C793C"/>
    <w:rsid w:val="617B4C91"/>
    <w:rsid w:val="618D5FBE"/>
    <w:rsid w:val="61FB0E26"/>
    <w:rsid w:val="63C37456"/>
    <w:rsid w:val="64276722"/>
    <w:rsid w:val="643B19AE"/>
    <w:rsid w:val="64CF3058"/>
    <w:rsid w:val="64F92C6C"/>
    <w:rsid w:val="66551950"/>
    <w:rsid w:val="67357E07"/>
    <w:rsid w:val="67613F08"/>
    <w:rsid w:val="67E628CF"/>
    <w:rsid w:val="681F1B75"/>
    <w:rsid w:val="6844104D"/>
    <w:rsid w:val="68AC6EFD"/>
    <w:rsid w:val="68B40352"/>
    <w:rsid w:val="68D30FAC"/>
    <w:rsid w:val="6948013B"/>
    <w:rsid w:val="695A624A"/>
    <w:rsid w:val="69650C92"/>
    <w:rsid w:val="69A017BB"/>
    <w:rsid w:val="69D85446"/>
    <w:rsid w:val="6A554E4C"/>
    <w:rsid w:val="6A8E65B0"/>
    <w:rsid w:val="6AE24404"/>
    <w:rsid w:val="6BB96EFA"/>
    <w:rsid w:val="6C0F62EF"/>
    <w:rsid w:val="6C944351"/>
    <w:rsid w:val="6D221199"/>
    <w:rsid w:val="6D3C0545"/>
    <w:rsid w:val="6D683DB4"/>
    <w:rsid w:val="6D8B4F44"/>
    <w:rsid w:val="6DFE5138"/>
    <w:rsid w:val="6E0830F2"/>
    <w:rsid w:val="6E0F7A08"/>
    <w:rsid w:val="6F1E7F02"/>
    <w:rsid w:val="6FED4213"/>
    <w:rsid w:val="70ED5389"/>
    <w:rsid w:val="71553081"/>
    <w:rsid w:val="71C87F80"/>
    <w:rsid w:val="725E4EA7"/>
    <w:rsid w:val="729B5A81"/>
    <w:rsid w:val="72D56EC6"/>
    <w:rsid w:val="7343585C"/>
    <w:rsid w:val="741B7106"/>
    <w:rsid w:val="7435095C"/>
    <w:rsid w:val="747D391D"/>
    <w:rsid w:val="75096F5F"/>
    <w:rsid w:val="75DB4D9F"/>
    <w:rsid w:val="76360227"/>
    <w:rsid w:val="765B7164"/>
    <w:rsid w:val="76F71982"/>
    <w:rsid w:val="7726029C"/>
    <w:rsid w:val="773163E4"/>
    <w:rsid w:val="773E47C6"/>
    <w:rsid w:val="77E74A3F"/>
    <w:rsid w:val="795D3D1D"/>
    <w:rsid w:val="79740597"/>
    <w:rsid w:val="79CE4C1B"/>
    <w:rsid w:val="7A682979"/>
    <w:rsid w:val="7A6D61E2"/>
    <w:rsid w:val="7AAF053F"/>
    <w:rsid w:val="7B164183"/>
    <w:rsid w:val="7BB314DA"/>
    <w:rsid w:val="7C872E8E"/>
    <w:rsid w:val="7D4C0330"/>
    <w:rsid w:val="7E20385C"/>
    <w:rsid w:val="7E4521C3"/>
    <w:rsid w:val="7E7D56F7"/>
    <w:rsid w:val="7F052E8D"/>
    <w:rsid w:val="7F1548B4"/>
    <w:rsid w:val="7F2869A1"/>
    <w:rsid w:val="7F4C286A"/>
    <w:rsid w:val="7F9B4A72"/>
    <w:rsid w:val="7FA97275"/>
    <w:rsid w:val="7FE7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40"/>
    <w:qFormat/>
    <w:uiPriority w:val="9"/>
    <w:pPr>
      <w:keepNext/>
      <w:keepLines/>
      <w:spacing w:before="260" w:after="260" w:line="412" w:lineRule="auto"/>
      <w:outlineLvl w:val="1"/>
    </w:pPr>
    <w:rPr>
      <w:rFonts w:ascii="Arial" w:hAnsi="Arial" w:eastAsia="黑体" w:cs="Arial"/>
      <w:b/>
      <w:bCs/>
      <w:sz w:val="32"/>
      <w:szCs w:val="32"/>
    </w:rPr>
  </w:style>
  <w:style w:type="paragraph" w:styleId="5">
    <w:name w:val="heading 3"/>
    <w:basedOn w:val="1"/>
    <w:next w:val="1"/>
    <w:link w:val="41"/>
    <w:qFormat/>
    <w:uiPriority w:val="9"/>
    <w:pPr>
      <w:keepNext/>
      <w:keepLines/>
      <w:spacing w:before="260" w:after="260" w:line="412" w:lineRule="auto"/>
      <w:outlineLvl w:val="2"/>
    </w:pPr>
    <w:rPr>
      <w:b/>
      <w:bCs/>
      <w:sz w:val="32"/>
      <w:szCs w:val="32"/>
    </w:rPr>
  </w:style>
  <w:style w:type="paragraph" w:styleId="6">
    <w:name w:val="heading 4"/>
    <w:basedOn w:val="1"/>
    <w:next w:val="1"/>
    <w:link w:val="42"/>
    <w:qFormat/>
    <w:uiPriority w:val="9"/>
    <w:pPr>
      <w:keepNext/>
      <w:keepLines/>
      <w:spacing w:before="280" w:after="290" w:line="372" w:lineRule="auto"/>
      <w:outlineLvl w:val="3"/>
    </w:pPr>
    <w:rPr>
      <w:rFonts w:ascii="Arial" w:hAnsi="Arial" w:eastAsia="黑体" w:cs="Arial"/>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numPr>
        <w:ilvl w:val="0"/>
        <w:numId w:val="1"/>
      </w:numPr>
      <w:spacing w:line="360" w:lineRule="auto"/>
    </w:pPr>
    <w:rPr>
      <w:rFonts w:eastAsia="仿宋_GB2312"/>
    </w:rPr>
  </w:style>
  <w:style w:type="paragraph" w:styleId="7">
    <w:name w:val="Normal Indent"/>
    <w:basedOn w:val="1"/>
    <w:unhideWhenUsed/>
    <w:qFormat/>
    <w:uiPriority w:val="99"/>
    <w:pPr>
      <w:ind w:firstLine="200" w:firstLineChars="200"/>
    </w:pPr>
  </w:style>
  <w:style w:type="paragraph" w:styleId="8">
    <w:name w:val="annotation text"/>
    <w:basedOn w:val="1"/>
    <w:link w:val="45"/>
    <w:semiHidden/>
    <w:unhideWhenUsed/>
    <w:qFormat/>
    <w:uiPriority w:val="99"/>
    <w:pPr>
      <w:widowControl w:val="0"/>
    </w:pPr>
    <w:rPr>
      <w:rFonts w:ascii="Times New Roman" w:hAnsi="Times New Roman" w:eastAsia="宋体" w:cs="Times New Roman"/>
      <w:kern w:val="2"/>
      <w:sz w:val="24"/>
      <w:szCs w:val="24"/>
      <w:lang w:val="en-US" w:eastAsia="zh-CN" w:bidi="ar-SA"/>
    </w:rPr>
  </w:style>
  <w:style w:type="paragraph" w:styleId="9">
    <w:name w:val="Body Text 3"/>
    <w:basedOn w:val="1"/>
    <w:link w:val="46"/>
    <w:semiHidden/>
    <w:unhideWhenUsed/>
    <w:qFormat/>
    <w:uiPriority w:val="99"/>
    <w:rPr>
      <w:rFonts w:ascii="宋体" w:hAnsi="宋体" w:cs="宋体"/>
      <w:sz w:val="24"/>
      <w:szCs w:val="20"/>
    </w:rPr>
  </w:style>
  <w:style w:type="paragraph" w:styleId="10">
    <w:name w:val="Body Text"/>
    <w:basedOn w:val="1"/>
    <w:link w:val="43"/>
    <w:semiHidden/>
    <w:unhideWhenUsed/>
    <w:qFormat/>
    <w:uiPriority w:val="99"/>
    <w:pPr>
      <w:spacing w:after="120"/>
    </w:pPr>
  </w:style>
  <w:style w:type="paragraph" w:styleId="11">
    <w:name w:val="Body Text Indent"/>
    <w:basedOn w:val="1"/>
    <w:qFormat/>
    <w:uiPriority w:val="0"/>
    <w:pPr>
      <w:spacing w:after="120"/>
      <w:ind w:left="420" w:leftChars="200"/>
    </w:pPr>
  </w:style>
  <w:style w:type="paragraph" w:styleId="12">
    <w:name w:val="Plain Text"/>
    <w:basedOn w:val="1"/>
    <w:link w:val="47"/>
    <w:unhideWhenUsed/>
    <w:qFormat/>
    <w:uiPriority w:val="99"/>
    <w:rPr>
      <w:rFonts w:ascii="Courier New" w:hAnsi="Courier New" w:cs="Courier New"/>
      <w:szCs w:val="20"/>
    </w:rPr>
  </w:style>
  <w:style w:type="paragraph" w:styleId="13">
    <w:name w:val="Balloon Text"/>
    <w:basedOn w:val="1"/>
    <w:link w:val="55"/>
    <w:semiHidden/>
    <w:unhideWhenUsed/>
    <w:qFormat/>
    <w:uiPriority w:val="99"/>
    <w:rPr>
      <w:sz w:val="18"/>
      <w:szCs w:val="18"/>
    </w:rPr>
  </w:style>
  <w:style w:type="paragraph" w:styleId="14">
    <w:name w:val="footer"/>
    <w:basedOn w:val="1"/>
    <w:link w:val="38"/>
    <w:unhideWhenUsed/>
    <w:qFormat/>
    <w:uiPriority w:val="99"/>
    <w:pPr>
      <w:tabs>
        <w:tab w:val="center" w:pos="4153"/>
        <w:tab w:val="right" w:pos="8306"/>
      </w:tabs>
      <w:snapToGrid w:val="0"/>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pPr>
      <w:spacing w:before="120" w:after="120"/>
      <w:jc w:val="left"/>
    </w:pPr>
    <w:rPr>
      <w:b/>
      <w:bCs/>
      <w:caps/>
      <w:sz w:val="20"/>
      <w:szCs w:val="20"/>
    </w:rPr>
  </w:style>
  <w:style w:type="paragraph" w:styleId="17">
    <w:name w:val="Body Text 2"/>
    <w:basedOn w:val="1"/>
    <w:link w:val="56"/>
    <w:semiHidden/>
    <w:unhideWhenUsed/>
    <w:qFormat/>
    <w:uiPriority w:val="99"/>
    <w:pPr>
      <w:spacing w:after="120" w:line="480" w:lineRule="auto"/>
    </w:pPr>
  </w:style>
  <w:style w:type="paragraph" w:styleId="18">
    <w:name w:val="Normal (Web)"/>
    <w:basedOn w:val="1"/>
    <w:semiHidden/>
    <w:unhideWhenUsed/>
    <w:qFormat/>
    <w:uiPriority w:val="99"/>
    <w:pPr>
      <w:widowControl/>
      <w:spacing w:before="100" w:beforeAutospacing="1" w:after="100" w:afterAutospacing="1"/>
      <w:jc w:val="left"/>
    </w:pPr>
    <w:rPr>
      <w:rFonts w:ascii="??" w:hAnsi="??" w:cs="宋体"/>
      <w:kern w:val="0"/>
      <w:sz w:val="24"/>
    </w:rPr>
  </w:style>
  <w:style w:type="paragraph" w:styleId="19">
    <w:name w:val="Title"/>
    <w:basedOn w:val="1"/>
    <w:next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20">
    <w:name w:val="annotation subject"/>
    <w:basedOn w:val="8"/>
    <w:next w:val="8"/>
    <w:link w:val="48"/>
    <w:semiHidden/>
    <w:unhideWhenUsed/>
    <w:qFormat/>
    <w:uiPriority w:val="99"/>
    <w:rPr>
      <w:b/>
      <w:bCs/>
    </w:rPr>
  </w:style>
  <w:style w:type="paragraph" w:styleId="21">
    <w:name w:val="Body Text First Indent"/>
    <w:basedOn w:val="10"/>
    <w:link w:val="44"/>
    <w:unhideWhenUsed/>
    <w:qFormat/>
    <w:uiPriority w:val="99"/>
    <w:pPr>
      <w:spacing w:line="312" w:lineRule="auto"/>
      <w:ind w:firstLine="420"/>
    </w:pPr>
  </w:style>
  <w:style w:type="paragraph" w:styleId="22">
    <w:name w:val="Body Text First Indent 2"/>
    <w:basedOn w:val="11"/>
    <w:qFormat/>
    <w:uiPriority w:val="0"/>
    <w:pPr>
      <w:ind w:firstLine="420" w:firstLineChars="20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rFonts w:cs="Times New Roman"/>
      <w:b/>
      <w:bCs/>
      <w:lang w:bidi="ar-SA"/>
    </w:rPr>
  </w:style>
  <w:style w:type="character" w:styleId="27">
    <w:name w:val="FollowedHyperlink"/>
    <w:basedOn w:val="25"/>
    <w:semiHidden/>
    <w:unhideWhenUsed/>
    <w:qFormat/>
    <w:uiPriority w:val="99"/>
    <w:rPr>
      <w:color w:val="800080"/>
      <w:u w:val="single"/>
    </w:rPr>
  </w:style>
  <w:style w:type="character" w:styleId="28">
    <w:name w:val="Emphasis"/>
    <w:basedOn w:val="25"/>
    <w:qFormat/>
    <w:uiPriority w:val="20"/>
    <w:rPr>
      <w:b/>
      <w:bCs/>
    </w:rPr>
  </w:style>
  <w:style w:type="character" w:styleId="29">
    <w:name w:val="HTML Definition"/>
    <w:basedOn w:val="25"/>
    <w:semiHidden/>
    <w:unhideWhenUsed/>
    <w:qFormat/>
    <w:uiPriority w:val="99"/>
  </w:style>
  <w:style w:type="character" w:styleId="30">
    <w:name w:val="Hyperlink"/>
    <w:basedOn w:val="25"/>
    <w:semiHidden/>
    <w:unhideWhenUsed/>
    <w:qFormat/>
    <w:uiPriority w:val="99"/>
    <w:rPr>
      <w:color w:val="0000FF"/>
      <w:u w:val="single"/>
    </w:rPr>
  </w:style>
  <w:style w:type="character" w:styleId="31">
    <w:name w:val="HTML Code"/>
    <w:basedOn w:val="25"/>
    <w:semiHidden/>
    <w:unhideWhenUsed/>
    <w:qFormat/>
    <w:uiPriority w:val="99"/>
    <w:rPr>
      <w:rFonts w:ascii="Courier New" w:hAnsi="宋体" w:eastAsia="Courier New" w:cs="Courier New"/>
      <w:sz w:val="20"/>
      <w:szCs w:val="24"/>
      <w:lang w:bidi="ar-SA"/>
    </w:rPr>
  </w:style>
  <w:style w:type="character" w:styleId="32">
    <w:name w:val="annotation reference"/>
    <w:basedOn w:val="25"/>
    <w:semiHidden/>
    <w:unhideWhenUsed/>
    <w:qFormat/>
    <w:uiPriority w:val="99"/>
    <w:rPr>
      <w:rFonts w:cs="Times New Roman"/>
      <w:sz w:val="21"/>
      <w:szCs w:val="21"/>
      <w:lang w:bidi="ar-SA"/>
    </w:rPr>
  </w:style>
  <w:style w:type="character" w:styleId="33">
    <w:name w:val="HTML Cite"/>
    <w:basedOn w:val="25"/>
    <w:semiHidden/>
    <w:unhideWhenUsed/>
    <w:qFormat/>
    <w:uiPriority w:val="99"/>
  </w:style>
  <w:style w:type="character" w:styleId="34">
    <w:name w:val="footnote reference"/>
    <w:semiHidden/>
    <w:unhideWhenUsed/>
    <w:qFormat/>
    <w:uiPriority w:val="99"/>
    <w:rPr>
      <w:rFonts w:cs="Times New Roman"/>
      <w:vertAlign w:val="superscript"/>
      <w:lang w:bidi="ar-SA"/>
    </w:rPr>
  </w:style>
  <w:style w:type="character" w:styleId="35">
    <w:name w:val="HTML Keyboard"/>
    <w:basedOn w:val="25"/>
    <w:semiHidden/>
    <w:unhideWhenUsed/>
    <w:qFormat/>
    <w:uiPriority w:val="99"/>
    <w:rPr>
      <w:rFonts w:ascii="Courier New" w:hAnsi="宋体" w:eastAsia="Courier New" w:cs="Courier New"/>
      <w:sz w:val="20"/>
      <w:szCs w:val="24"/>
      <w:lang w:bidi="ar-SA"/>
    </w:rPr>
  </w:style>
  <w:style w:type="character" w:styleId="36">
    <w:name w:val="HTML Sample"/>
    <w:basedOn w:val="25"/>
    <w:semiHidden/>
    <w:unhideWhenUsed/>
    <w:qFormat/>
    <w:uiPriority w:val="99"/>
    <w:rPr>
      <w:rFonts w:ascii="Courier New" w:hAnsi="宋体" w:eastAsia="Courier New" w:cs="Courier New"/>
      <w:color w:val="3D4B64"/>
      <w:sz w:val="19"/>
      <w:szCs w:val="19"/>
      <w:lang w:bidi="ar-SA"/>
    </w:rPr>
  </w:style>
  <w:style w:type="character" w:customStyle="1" w:styleId="37">
    <w:name w:val="页眉 Char"/>
    <w:basedOn w:val="25"/>
    <w:link w:val="15"/>
    <w:qFormat/>
    <w:uiPriority w:val="99"/>
    <w:rPr>
      <w:sz w:val="18"/>
      <w:szCs w:val="18"/>
    </w:rPr>
  </w:style>
  <w:style w:type="character" w:customStyle="1" w:styleId="38">
    <w:name w:val="页脚 Char"/>
    <w:basedOn w:val="25"/>
    <w:link w:val="14"/>
    <w:qFormat/>
    <w:uiPriority w:val="99"/>
    <w:rPr>
      <w:sz w:val="18"/>
      <w:szCs w:val="18"/>
    </w:rPr>
  </w:style>
  <w:style w:type="character" w:customStyle="1" w:styleId="39">
    <w:name w:val="标题 1 Char"/>
    <w:basedOn w:val="25"/>
    <w:link w:val="3"/>
    <w:qFormat/>
    <w:uiPriority w:val="9"/>
    <w:rPr>
      <w:rFonts w:ascii="Times New Roman" w:hAnsi="Times New Roman" w:eastAsia="宋体" w:cs="Times New Roman"/>
      <w:b/>
      <w:bCs/>
      <w:kern w:val="44"/>
      <w:sz w:val="44"/>
      <w:szCs w:val="44"/>
    </w:rPr>
  </w:style>
  <w:style w:type="character" w:customStyle="1" w:styleId="40">
    <w:name w:val="标题 2 Char"/>
    <w:basedOn w:val="25"/>
    <w:link w:val="4"/>
    <w:qFormat/>
    <w:uiPriority w:val="9"/>
    <w:rPr>
      <w:rFonts w:ascii="Arial" w:hAnsi="Arial" w:eastAsia="黑体" w:cs="Arial"/>
      <w:b/>
      <w:bCs/>
      <w:sz w:val="32"/>
      <w:szCs w:val="32"/>
    </w:rPr>
  </w:style>
  <w:style w:type="character" w:customStyle="1" w:styleId="41">
    <w:name w:val="标题 3 Char"/>
    <w:basedOn w:val="25"/>
    <w:link w:val="5"/>
    <w:qFormat/>
    <w:uiPriority w:val="9"/>
    <w:rPr>
      <w:rFonts w:ascii="Times New Roman" w:hAnsi="Times New Roman" w:eastAsia="宋体" w:cs="Times New Roman"/>
      <w:b/>
      <w:bCs/>
      <w:sz w:val="32"/>
      <w:szCs w:val="32"/>
    </w:rPr>
  </w:style>
  <w:style w:type="character" w:customStyle="1" w:styleId="42">
    <w:name w:val="标题 4 Char"/>
    <w:basedOn w:val="25"/>
    <w:link w:val="6"/>
    <w:qFormat/>
    <w:uiPriority w:val="9"/>
    <w:rPr>
      <w:rFonts w:ascii="Arial" w:hAnsi="Arial" w:eastAsia="黑体" w:cs="Arial"/>
      <w:b/>
      <w:bCs/>
      <w:sz w:val="28"/>
      <w:szCs w:val="28"/>
    </w:rPr>
  </w:style>
  <w:style w:type="character" w:customStyle="1" w:styleId="43">
    <w:name w:val="正文文本 Char"/>
    <w:basedOn w:val="25"/>
    <w:link w:val="10"/>
    <w:semiHidden/>
    <w:qFormat/>
    <w:uiPriority w:val="99"/>
    <w:rPr>
      <w:rFonts w:ascii="Times New Roman" w:hAnsi="Times New Roman" w:eastAsia="宋体" w:cs="Times New Roman"/>
      <w:szCs w:val="24"/>
    </w:rPr>
  </w:style>
  <w:style w:type="character" w:customStyle="1" w:styleId="44">
    <w:name w:val="正文首行缩进 Char"/>
    <w:basedOn w:val="43"/>
    <w:link w:val="21"/>
    <w:qFormat/>
    <w:uiPriority w:val="99"/>
    <w:rPr>
      <w:rFonts w:ascii="Times New Roman" w:hAnsi="Times New Roman" w:eastAsia="宋体" w:cs="Times New Roman"/>
      <w:szCs w:val="24"/>
    </w:rPr>
  </w:style>
  <w:style w:type="character" w:customStyle="1" w:styleId="45">
    <w:name w:val="批注文字 Char"/>
    <w:basedOn w:val="25"/>
    <w:link w:val="8"/>
    <w:semiHidden/>
    <w:qFormat/>
    <w:uiPriority w:val="99"/>
    <w:rPr>
      <w:rFonts w:ascii="Times New Roman" w:hAnsi="Times New Roman" w:eastAsia="宋体" w:cs="Times New Roman"/>
      <w:sz w:val="24"/>
      <w:szCs w:val="24"/>
    </w:rPr>
  </w:style>
  <w:style w:type="character" w:customStyle="1" w:styleId="46">
    <w:name w:val="正文文本 3 Char"/>
    <w:basedOn w:val="25"/>
    <w:link w:val="9"/>
    <w:semiHidden/>
    <w:qFormat/>
    <w:uiPriority w:val="99"/>
    <w:rPr>
      <w:rFonts w:ascii="宋体" w:hAnsi="宋体" w:eastAsia="宋体" w:cs="宋体"/>
      <w:sz w:val="24"/>
      <w:szCs w:val="20"/>
    </w:rPr>
  </w:style>
  <w:style w:type="character" w:customStyle="1" w:styleId="47">
    <w:name w:val="纯文本 Char"/>
    <w:basedOn w:val="25"/>
    <w:link w:val="12"/>
    <w:qFormat/>
    <w:uiPriority w:val="99"/>
    <w:rPr>
      <w:rFonts w:ascii="Courier New" w:hAnsi="Courier New" w:eastAsia="宋体" w:cs="Courier New"/>
      <w:szCs w:val="20"/>
    </w:rPr>
  </w:style>
  <w:style w:type="character" w:customStyle="1" w:styleId="48">
    <w:name w:val="批注主题 Char"/>
    <w:basedOn w:val="45"/>
    <w:link w:val="20"/>
    <w:semiHidden/>
    <w:qFormat/>
    <w:uiPriority w:val="99"/>
    <w:rPr>
      <w:rFonts w:ascii="Times New Roman" w:hAnsi="Times New Roman" w:eastAsia="宋体" w:cs="Times New Roman"/>
      <w:b/>
      <w:bCs/>
      <w:sz w:val="24"/>
      <w:szCs w:val="24"/>
    </w:rPr>
  </w:style>
  <w:style w:type="paragraph" w:customStyle="1" w:styleId="4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0">
    <w:name w:val="表格文字"/>
    <w:basedOn w:val="1"/>
    <w:qFormat/>
    <w:uiPriority w:val="0"/>
    <w:pPr>
      <w:adjustRightInd w:val="0"/>
      <w:spacing w:line="420" w:lineRule="atLeast"/>
      <w:jc w:val="left"/>
      <w:textAlignment w:val="baseline"/>
    </w:pPr>
    <w:rPr>
      <w:kern w:val="0"/>
      <w:szCs w:val="20"/>
    </w:rPr>
  </w:style>
  <w:style w:type="paragraph" w:customStyle="1" w:styleId="51">
    <w:name w:val="Blockquote"/>
    <w:basedOn w:val="1"/>
    <w:qFormat/>
    <w:uiPriority w:val="0"/>
    <w:pPr>
      <w:autoSpaceDE w:val="0"/>
      <w:autoSpaceDN w:val="0"/>
      <w:adjustRightInd w:val="0"/>
      <w:spacing w:before="100" w:after="100"/>
      <w:ind w:left="360" w:right="360"/>
    </w:pPr>
    <w:rPr>
      <w:sz w:val="24"/>
    </w:rPr>
  </w:style>
  <w:style w:type="paragraph" w:customStyle="1" w:styleId="52">
    <w:name w:val="_Style 17"/>
    <w:basedOn w:val="1"/>
    <w:next w:val="18"/>
    <w:qFormat/>
    <w:uiPriority w:val="0"/>
    <w:pPr>
      <w:spacing w:before="100" w:beforeAutospacing="1" w:after="100" w:afterAutospacing="1"/>
    </w:pPr>
    <w:rPr>
      <w:rFonts w:ascii="宋体" w:hAnsi="宋体" w:cs="黑体"/>
      <w:sz w:val="24"/>
    </w:rPr>
  </w:style>
  <w:style w:type="character" w:customStyle="1" w:styleId="53">
    <w:name w:val="正文文本 Char Char"/>
    <w:qFormat/>
    <w:uiPriority w:val="0"/>
    <w:rPr>
      <w:rFonts w:eastAsia="宋体" w:cs="Times New Roman"/>
      <w:kern w:val="2"/>
      <w:sz w:val="24"/>
      <w:szCs w:val="24"/>
      <w:lang w:val="en-US" w:eastAsia="zh-CN" w:bidi="ar-SA"/>
    </w:rPr>
  </w:style>
  <w:style w:type="character" w:customStyle="1" w:styleId="54">
    <w:name w:val="15"/>
    <w:qFormat/>
    <w:uiPriority w:val="0"/>
    <w:rPr>
      <w:rFonts w:ascii="Times New Roman"/>
      <w:color w:val="0000FF"/>
      <w:u w:val="single"/>
    </w:rPr>
  </w:style>
  <w:style w:type="character" w:customStyle="1" w:styleId="55">
    <w:name w:val="批注框文本 Char"/>
    <w:basedOn w:val="25"/>
    <w:link w:val="13"/>
    <w:semiHidden/>
    <w:qFormat/>
    <w:uiPriority w:val="99"/>
    <w:rPr>
      <w:rFonts w:ascii="Times New Roman" w:hAnsi="Times New Roman" w:eastAsia="宋体" w:cs="Times New Roman"/>
      <w:sz w:val="18"/>
      <w:szCs w:val="18"/>
    </w:rPr>
  </w:style>
  <w:style w:type="character" w:customStyle="1" w:styleId="56">
    <w:name w:val="正文文本 2 Char"/>
    <w:basedOn w:val="25"/>
    <w:link w:val="17"/>
    <w:semiHidden/>
    <w:qFormat/>
    <w:uiPriority w:val="99"/>
    <w:rPr>
      <w:rFonts w:ascii="Times New Roman" w:hAnsi="Times New Roman" w:eastAsia="宋体" w:cs="Times New Roman"/>
      <w:kern w:val="2"/>
      <w:sz w:val="21"/>
      <w:szCs w:val="24"/>
    </w:rPr>
  </w:style>
  <w:style w:type="table" w:customStyle="1" w:styleId="57">
    <w:name w:val="网格型1"/>
    <w:basedOn w:val="2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Table Paragraph"/>
    <w:basedOn w:val="1"/>
    <w:qFormat/>
    <w:uiPriority w:val="1"/>
    <w:rPr>
      <w:rFonts w:ascii="宋体" w:hAnsi="宋体" w:cs="宋体"/>
    </w:rPr>
  </w:style>
  <w:style w:type="paragraph" w:customStyle="1" w:styleId="59">
    <w:name w:val="标题 31"/>
    <w:basedOn w:val="1"/>
    <w:qFormat/>
    <w:uiPriority w:val="1"/>
    <w:pPr>
      <w:ind w:left="237" w:right="102"/>
      <w:jc w:val="left"/>
      <w:outlineLvl w:val="3"/>
    </w:pPr>
    <w:rPr>
      <w:rFonts w:ascii="宋体" w:hAnsi="宋体" w:cs="宋体"/>
      <w:kern w:val="0"/>
      <w:sz w:val="28"/>
      <w:szCs w:val="28"/>
      <w:lang w:eastAsia="en-US"/>
    </w:rPr>
  </w:style>
  <w:style w:type="paragraph" w:styleId="60">
    <w:name w:val="List Paragraph"/>
    <w:basedOn w:val="1"/>
    <w:qFormat/>
    <w:uiPriority w:val="34"/>
    <w:pPr>
      <w:ind w:firstLine="420" w:firstLineChars="200"/>
    </w:pPr>
  </w:style>
  <w:style w:type="character" w:customStyle="1" w:styleId="61">
    <w:name w:val="font51"/>
    <w:basedOn w:val="25"/>
    <w:qFormat/>
    <w:uiPriority w:val="0"/>
    <w:rPr>
      <w:rFonts w:hint="eastAsia" w:ascii="宋体" w:hAnsi="宋体" w:eastAsia="宋体" w:cs="宋体"/>
      <w:color w:val="000000"/>
      <w:sz w:val="20"/>
      <w:szCs w:val="20"/>
      <w:u w:val="none"/>
    </w:rPr>
  </w:style>
  <w:style w:type="paragraph" w:customStyle="1" w:styleId="6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81</Pages>
  <Words>43153</Words>
  <Characters>47038</Characters>
  <Lines>338</Lines>
  <Paragraphs>95</Paragraphs>
  <TotalTime>6</TotalTime>
  <ScaleCrop>false</ScaleCrop>
  <LinksUpToDate>false</LinksUpToDate>
  <CharactersWithSpaces>49903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2022-10-26T13:04:00Z</dcterms:created>
  <dc:creator>kdy</dc:creator>
  <cp:lastModifiedBy>WPS_1642645079</cp:lastModifiedBy>
  <cp:lastPrinted>2023-06-01T13:43:00Z</cp:lastPrinted>
  <dcterms:modified xsi:type="dcterms:W3CDTF">2023-07-25T04:16:37Z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9DCF36FE78894BF5BADB28C0D0B5DD7E</vt:lpwstr>
  </property>
</Properties>
</file>