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5C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EFA7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7D7E18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48"/>
          <w:szCs w:val="48"/>
        </w:rPr>
      </w:pPr>
      <w:r>
        <w:rPr>
          <w:rFonts w:hint="eastAsia" w:ascii="宋体" w:hAnsi="宋体" w:eastAsia="宋体" w:cs="宋体"/>
          <w:b/>
          <w:bCs/>
          <w:sz w:val="56"/>
          <w:szCs w:val="56"/>
          <w:lang w:eastAsia="zh-CN"/>
        </w:rPr>
        <w:t>小型机动车号牌委托加工</w:t>
      </w:r>
    </w:p>
    <w:p w14:paraId="764FA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450DA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84"/>
          <w:szCs w:val="84"/>
          <w:lang w:eastAsia="zh-CN"/>
        </w:rPr>
      </w:pPr>
    </w:p>
    <w:p w14:paraId="3F3A4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96"/>
          <w:lang w:eastAsia="zh-CN"/>
        </w:rPr>
      </w:pPr>
      <w:r>
        <w:rPr>
          <w:rFonts w:hint="eastAsia" w:ascii="宋体" w:hAnsi="宋体" w:eastAsia="宋体" w:cs="宋体"/>
          <w:b/>
          <w:bCs/>
          <w:sz w:val="96"/>
          <w:szCs w:val="96"/>
          <w:lang w:eastAsia="zh-CN"/>
        </w:rPr>
        <w:t>招</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标</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文</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件</w:t>
      </w:r>
    </w:p>
    <w:p w14:paraId="081617B9">
      <w:pPr>
        <w:rPr>
          <w:rFonts w:hint="eastAsia" w:ascii="宋体" w:hAnsi="宋体" w:eastAsia="宋体" w:cs="宋体"/>
          <w:b/>
          <w:bCs/>
          <w:sz w:val="96"/>
          <w:szCs w:val="96"/>
          <w:lang w:eastAsia="zh-CN"/>
        </w:rPr>
      </w:pPr>
    </w:p>
    <w:p w14:paraId="67184F36">
      <w:pPr>
        <w:pStyle w:val="3"/>
        <w:rPr>
          <w:rFonts w:hint="eastAsia"/>
          <w:lang w:eastAsia="zh-CN"/>
        </w:rPr>
      </w:pPr>
    </w:p>
    <w:p w14:paraId="4D486E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2"/>
          <w:szCs w:val="32"/>
          <w:highlight w:val="yellow"/>
          <w:lang w:val="en-US" w:eastAsia="zh-CN"/>
        </w:rPr>
      </w:pPr>
      <w:bookmarkStart w:id="0" w:name="_Toc9939"/>
      <w:r>
        <w:rPr>
          <w:rFonts w:hint="eastAsia" w:ascii="宋体" w:hAnsi="宋体" w:eastAsia="宋体" w:cs="宋体"/>
          <w:b/>
          <w:bCs/>
          <w:sz w:val="32"/>
          <w:szCs w:val="32"/>
          <w:highlight w:val="none"/>
          <w:lang w:eastAsia="zh-CN"/>
        </w:rPr>
        <w:t>项目编号：</w:t>
      </w:r>
      <w:bookmarkEnd w:id="0"/>
      <w:r>
        <w:rPr>
          <w:rFonts w:hint="eastAsia" w:ascii="宋体" w:hAnsi="宋体" w:eastAsia="宋体" w:cs="宋体"/>
          <w:b/>
          <w:bCs/>
          <w:sz w:val="32"/>
          <w:szCs w:val="32"/>
          <w:highlight w:val="none"/>
          <w:lang w:val="en-US" w:eastAsia="zh-CN"/>
        </w:rPr>
        <w:t>采购计划-[2025]-000121号-HYZB-2025070301</w:t>
      </w:r>
    </w:p>
    <w:p w14:paraId="77EFF7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eastAsia="zh-CN"/>
        </w:rPr>
      </w:pPr>
    </w:p>
    <w:p w14:paraId="6CA86B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p>
    <w:p w14:paraId="2A4A28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p>
    <w:p w14:paraId="71E984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eastAsia="zh-CN"/>
        </w:rPr>
      </w:pPr>
    </w:p>
    <w:p w14:paraId="4EA27E27">
      <w:pPr>
        <w:keepNext w:val="0"/>
        <w:keepLines w:val="0"/>
        <w:pageBreakBefore w:val="0"/>
        <w:widowControl w:val="0"/>
        <w:kinsoku/>
        <w:wordWrap/>
        <w:overflowPunct/>
        <w:topLinePunct w:val="0"/>
        <w:autoSpaceDE/>
        <w:autoSpaceDN/>
        <w:bidi w:val="0"/>
        <w:adjustRightInd/>
        <w:snapToGrid/>
        <w:spacing w:line="360" w:lineRule="auto"/>
        <w:ind w:left="0" w:leftChars="0" w:firstLine="964" w:firstLineChars="300"/>
        <w:jc w:val="both"/>
        <w:textAlignment w:val="auto"/>
        <w:outlineLvl w:val="0"/>
        <w:rPr>
          <w:rFonts w:hint="eastAsia" w:ascii="宋体" w:hAnsi="宋体" w:eastAsia="宋体" w:cs="宋体"/>
          <w:b/>
          <w:bCs/>
          <w:sz w:val="32"/>
          <w:szCs w:val="32"/>
          <w:lang w:eastAsia="zh-CN"/>
        </w:rPr>
      </w:pPr>
      <w:bookmarkStart w:id="1" w:name="_Toc13401"/>
      <w:r>
        <w:rPr>
          <w:rFonts w:hint="eastAsia" w:ascii="宋体" w:hAnsi="宋体" w:eastAsia="宋体" w:cs="宋体"/>
          <w:b/>
          <w:bCs/>
          <w:sz w:val="32"/>
          <w:szCs w:val="32"/>
          <w:lang w:eastAsia="zh-CN"/>
        </w:rPr>
        <w:t>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购</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人：</w:t>
      </w:r>
      <w:bookmarkEnd w:id="1"/>
      <w:r>
        <w:rPr>
          <w:rFonts w:hint="eastAsia" w:ascii="宋体" w:hAnsi="宋体" w:eastAsia="宋体" w:cs="宋体"/>
          <w:b/>
          <w:bCs/>
          <w:sz w:val="32"/>
          <w:szCs w:val="32"/>
          <w:lang w:eastAsia="zh-CN"/>
        </w:rPr>
        <w:t>敦化市公安交通警察大队</w:t>
      </w:r>
    </w:p>
    <w:p w14:paraId="6D56E07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2"/>
          <w:szCs w:val="32"/>
          <w:lang w:eastAsia="zh-CN"/>
        </w:rPr>
      </w:pPr>
      <w:bookmarkStart w:id="2" w:name="_Toc2857"/>
      <w:r>
        <w:rPr>
          <w:rFonts w:hint="eastAsia" w:ascii="宋体" w:hAnsi="宋体" w:eastAsia="宋体" w:cs="宋体"/>
          <w:b/>
          <w:bCs/>
          <w:sz w:val="32"/>
          <w:szCs w:val="32"/>
          <w:lang w:eastAsia="zh-CN"/>
        </w:rPr>
        <w:t>采购代理机构：</w:t>
      </w:r>
      <w:bookmarkEnd w:id="2"/>
      <w:r>
        <w:rPr>
          <w:rFonts w:hint="eastAsia" w:ascii="宋体" w:hAnsi="宋体" w:eastAsia="宋体" w:cs="宋体"/>
          <w:b/>
          <w:bCs/>
          <w:sz w:val="32"/>
          <w:szCs w:val="32"/>
          <w:lang w:eastAsia="zh-CN"/>
        </w:rPr>
        <w:t>敦化市宏远建设项目管理有限责任公司</w:t>
      </w:r>
    </w:p>
    <w:p w14:paraId="142EB3AA">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二〇二</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lang w:eastAsia="zh-CN"/>
        </w:rPr>
        <w:t>年</w:t>
      </w:r>
      <w:r>
        <w:rPr>
          <w:rFonts w:hint="eastAsia" w:ascii="宋体" w:hAnsi="宋体" w:eastAsia="宋体" w:cs="宋体"/>
          <w:b/>
          <w:bCs/>
          <w:sz w:val="32"/>
          <w:szCs w:val="32"/>
          <w:lang w:val="en-US" w:eastAsia="zh-CN"/>
        </w:rPr>
        <w:t>七</w:t>
      </w:r>
      <w:r>
        <w:rPr>
          <w:rFonts w:hint="eastAsia" w:ascii="宋体" w:hAnsi="宋体" w:eastAsia="宋体" w:cs="宋体"/>
          <w:b/>
          <w:bCs/>
          <w:sz w:val="32"/>
          <w:szCs w:val="32"/>
          <w:lang w:eastAsia="zh-CN"/>
        </w:rPr>
        <w:t>月</w:t>
      </w:r>
    </w:p>
    <w:p w14:paraId="6B3D9D1F">
      <w:pPr>
        <w:pageBreakBefore w:val="0"/>
        <w:kinsoku/>
        <w:overflowPunct/>
        <w:topLinePunct w:val="0"/>
        <w:bidi w:val="0"/>
        <w:spacing w:line="440" w:lineRule="exact"/>
        <w:jc w:val="center"/>
        <w:rPr>
          <w:rFonts w:hint="eastAsia" w:ascii="宋体" w:hAnsi="宋体" w:eastAsia="宋体" w:cs="宋体"/>
          <w:b/>
          <w:bCs/>
          <w:sz w:val="32"/>
          <w:szCs w:val="32"/>
          <w:lang w:eastAsia="zh-CN"/>
        </w:rPr>
        <w:sectPr>
          <w:headerReference r:id="rId3" w:type="default"/>
          <w:pgSz w:w="11906" w:h="16838"/>
          <w:pgMar w:top="1440" w:right="1803" w:bottom="1440" w:left="1803" w:header="708" w:footer="850" w:gutter="0"/>
          <w:pgBorders>
            <w:top w:val="none" w:sz="0" w:space="0"/>
            <w:left w:val="none" w:sz="0" w:space="0"/>
            <w:bottom w:val="none" w:sz="0" w:space="0"/>
            <w:right w:val="none" w:sz="0" w:space="0"/>
          </w:pgBorders>
          <w:cols w:space="720" w:num="1"/>
          <w:docGrid w:linePitch="360" w:charSpace="0"/>
        </w:sectPr>
      </w:pPr>
    </w:p>
    <w:sdt>
      <w:sdtPr>
        <w:rPr>
          <w:rFonts w:ascii="宋体" w:hAnsi="宋体" w:eastAsia="宋体" w:cstheme="minorBidi"/>
          <w:b/>
          <w:bCs/>
          <w:kern w:val="2"/>
          <w:sz w:val="24"/>
          <w:szCs w:val="32"/>
          <w:lang w:val="en-US" w:eastAsia="zh-CN" w:bidi="ar-SA"/>
        </w:rPr>
        <w:id w:val="147467649"/>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14:paraId="7AE0AC45">
          <w:pPr>
            <w:spacing w:before="0" w:beforeLines="0" w:after="0" w:afterLines="0" w:line="480" w:lineRule="auto"/>
            <w:ind w:left="0" w:leftChars="0" w:right="0" w:rightChars="0" w:firstLine="0" w:firstLineChars="0"/>
            <w:jc w:val="center"/>
            <w:rPr>
              <w:rFonts w:hint="eastAsia" w:ascii="宋体" w:hAnsi="宋体" w:eastAsia="宋体" w:cs="宋体"/>
              <w:b/>
              <w:bCs/>
              <w:sz w:val="44"/>
              <w:szCs w:val="52"/>
            </w:rPr>
          </w:pPr>
          <w:r>
            <w:rPr>
              <w:rFonts w:hint="eastAsia" w:ascii="宋体" w:hAnsi="宋体" w:eastAsia="宋体" w:cs="宋体"/>
              <w:b/>
              <w:bCs/>
              <w:sz w:val="44"/>
              <w:szCs w:val="52"/>
            </w:rPr>
            <w:t>目</w:t>
          </w:r>
          <w:r>
            <w:rPr>
              <w:rFonts w:hint="eastAsia" w:ascii="宋体" w:hAnsi="宋体" w:eastAsia="宋体" w:cs="宋体"/>
              <w:b/>
              <w:bCs/>
              <w:sz w:val="44"/>
              <w:szCs w:val="52"/>
              <w:lang w:val="en-US" w:eastAsia="zh-CN"/>
            </w:rPr>
            <w:t xml:space="preserve"> </w:t>
          </w:r>
          <w:r>
            <w:rPr>
              <w:rFonts w:hint="eastAsia" w:ascii="宋体" w:hAnsi="宋体" w:eastAsia="宋体" w:cs="宋体"/>
              <w:b/>
              <w:bCs/>
              <w:sz w:val="44"/>
              <w:szCs w:val="52"/>
            </w:rPr>
            <w:t>录</w:t>
          </w:r>
        </w:p>
        <w:p w14:paraId="5EA1CE36">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
              <w:bCs/>
              <w:sz w:val="52"/>
              <w:szCs w:val="52"/>
              <w:lang w:eastAsia="zh-CN"/>
            </w:rPr>
            <w:fldChar w:fldCharType="begin"/>
          </w:r>
          <w:r>
            <w:rPr>
              <w:rFonts w:hint="eastAsia" w:ascii="宋体" w:hAnsi="宋体" w:eastAsia="宋体" w:cs="宋体"/>
              <w:b/>
              <w:bCs/>
              <w:sz w:val="52"/>
              <w:szCs w:val="52"/>
              <w:lang w:eastAsia="zh-CN"/>
            </w:rPr>
            <w:instrText xml:space="preserve">TOC \o "1-1" \h \u </w:instrText>
          </w:r>
          <w:r>
            <w:rPr>
              <w:rFonts w:hint="eastAsia" w:ascii="宋体" w:hAnsi="宋体" w:eastAsia="宋体" w:cs="宋体"/>
              <w:b/>
              <w:bCs/>
              <w:sz w:val="52"/>
              <w:szCs w:val="52"/>
              <w:lang w:eastAsia="zh-CN"/>
            </w:rPr>
            <w:fldChar w:fldCharType="separate"/>
          </w:r>
        </w:p>
        <w:p w14:paraId="65289D74">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_Toc25663 </w:instrText>
          </w:r>
          <w:r>
            <w:rPr>
              <w:rFonts w:hint="eastAsia" w:ascii="宋体" w:hAnsi="宋体" w:eastAsia="宋体" w:cs="宋体"/>
              <w:bCs/>
              <w:sz w:val="32"/>
              <w:szCs w:val="52"/>
              <w:lang w:eastAsia="zh-CN"/>
            </w:rPr>
            <w:fldChar w:fldCharType="separate"/>
          </w:r>
          <w:r>
            <w:rPr>
              <w:rFonts w:hint="eastAsia" w:ascii="宋体" w:hAnsi="宋体" w:eastAsia="宋体" w:cs="宋体"/>
              <w:bCs/>
              <w:sz w:val="32"/>
              <w:szCs w:val="56"/>
            </w:rPr>
            <w:t>第一章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_Toc25663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5C0BF60C">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_Toc27995 </w:instrText>
          </w:r>
          <w:r>
            <w:rPr>
              <w:rFonts w:hint="eastAsia" w:ascii="宋体" w:hAnsi="宋体" w:eastAsia="宋体" w:cs="宋体"/>
              <w:bCs/>
              <w:sz w:val="32"/>
              <w:szCs w:val="52"/>
              <w:lang w:eastAsia="zh-CN"/>
            </w:rPr>
            <w:fldChar w:fldCharType="separate"/>
          </w:r>
          <w:r>
            <w:rPr>
              <w:rFonts w:hint="eastAsia" w:ascii="宋体" w:hAnsi="宋体" w:eastAsia="宋体" w:cs="宋体"/>
              <w:bCs w:val="0"/>
              <w:snapToGrid w:val="0"/>
              <w:sz w:val="32"/>
              <w:szCs w:val="56"/>
              <w:highlight w:val="none"/>
            </w:rPr>
            <w:t>第二章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_Toc27995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3CC7A6BB">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_Toc19440 </w:instrText>
          </w:r>
          <w:r>
            <w:rPr>
              <w:rFonts w:hint="eastAsia" w:ascii="宋体" w:hAnsi="宋体" w:eastAsia="宋体" w:cs="宋体"/>
              <w:bCs/>
              <w:sz w:val="32"/>
              <w:szCs w:val="52"/>
              <w:lang w:eastAsia="zh-CN"/>
            </w:rPr>
            <w:fldChar w:fldCharType="separate"/>
          </w:r>
          <w:r>
            <w:rPr>
              <w:rFonts w:hint="eastAsia" w:ascii="宋体" w:hAnsi="宋体" w:eastAsia="宋体" w:cs="宋体"/>
              <w:sz w:val="32"/>
              <w:szCs w:val="56"/>
              <w:highlight w:val="none"/>
            </w:rPr>
            <w:t>第三章 评标方法及标准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_Toc19440 \h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3AAE6BEC">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_Toc29903 </w:instrText>
          </w:r>
          <w:r>
            <w:rPr>
              <w:rFonts w:hint="eastAsia" w:ascii="宋体" w:hAnsi="宋体" w:eastAsia="宋体" w:cs="宋体"/>
              <w:bCs/>
              <w:sz w:val="32"/>
              <w:szCs w:val="52"/>
              <w:lang w:eastAsia="zh-CN"/>
            </w:rPr>
            <w:fldChar w:fldCharType="separate"/>
          </w:r>
          <w:r>
            <w:rPr>
              <w:rFonts w:hint="eastAsia" w:ascii="宋体" w:hAnsi="宋体" w:eastAsia="宋体" w:cs="宋体"/>
              <w:bCs/>
              <w:sz w:val="32"/>
              <w:szCs w:val="56"/>
            </w:rPr>
            <w:t xml:space="preserve">第四章 </w:t>
          </w:r>
          <w:r>
            <w:rPr>
              <w:rFonts w:hint="eastAsia" w:ascii="宋体" w:hAnsi="宋体" w:eastAsia="宋体" w:cs="宋体"/>
              <w:bCs/>
              <w:sz w:val="32"/>
              <w:szCs w:val="56"/>
              <w:highlight w:val="none"/>
            </w:rPr>
            <w:t>合同主要条款及格式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_Toc29903 \h </w:instrText>
          </w:r>
          <w:r>
            <w:rPr>
              <w:rFonts w:hint="eastAsia" w:ascii="宋体" w:hAnsi="宋体" w:eastAsia="宋体" w:cs="宋体"/>
              <w:sz w:val="32"/>
              <w:szCs w:val="32"/>
            </w:rPr>
            <w:fldChar w:fldCharType="separate"/>
          </w:r>
          <w:r>
            <w:rPr>
              <w:rFonts w:hint="eastAsia" w:ascii="宋体" w:hAnsi="宋体" w:eastAsia="宋体" w:cs="宋体"/>
              <w:sz w:val="32"/>
              <w:szCs w:val="32"/>
            </w:rPr>
            <w:t>47</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068385A9">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_Toc27921 </w:instrText>
          </w:r>
          <w:r>
            <w:rPr>
              <w:rFonts w:hint="eastAsia" w:ascii="宋体" w:hAnsi="宋体" w:eastAsia="宋体" w:cs="宋体"/>
              <w:bCs/>
              <w:sz w:val="32"/>
              <w:szCs w:val="52"/>
              <w:lang w:eastAsia="zh-CN"/>
            </w:rPr>
            <w:fldChar w:fldCharType="separate"/>
          </w:r>
          <w:r>
            <w:rPr>
              <w:rFonts w:hint="eastAsia" w:ascii="宋体" w:hAnsi="宋体" w:eastAsia="宋体" w:cs="宋体"/>
              <w:bCs/>
              <w:sz w:val="32"/>
              <w:szCs w:val="56"/>
            </w:rPr>
            <w:t xml:space="preserve">第五章 </w:t>
          </w:r>
          <w:r>
            <w:rPr>
              <w:rFonts w:hint="eastAsia" w:ascii="宋体" w:hAnsi="宋体" w:eastAsia="宋体" w:cs="宋体"/>
              <w:bCs/>
              <w:sz w:val="32"/>
              <w:szCs w:val="56"/>
              <w:highlight w:val="none"/>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_Toc27921 \h </w:instrText>
          </w:r>
          <w:r>
            <w:rPr>
              <w:rFonts w:hint="eastAsia" w:ascii="宋体" w:hAnsi="宋体" w:eastAsia="宋体" w:cs="宋体"/>
              <w:sz w:val="32"/>
              <w:szCs w:val="32"/>
            </w:rPr>
            <w:fldChar w:fldCharType="separate"/>
          </w:r>
          <w:r>
            <w:rPr>
              <w:rFonts w:hint="eastAsia" w:ascii="宋体" w:hAnsi="宋体" w:eastAsia="宋体" w:cs="宋体"/>
              <w:sz w:val="32"/>
              <w:szCs w:val="32"/>
            </w:rPr>
            <w:t>48</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10415681">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_Toc25832 </w:instrText>
          </w:r>
          <w:r>
            <w:rPr>
              <w:rFonts w:hint="eastAsia" w:ascii="宋体" w:hAnsi="宋体" w:eastAsia="宋体" w:cs="宋体"/>
              <w:bCs/>
              <w:sz w:val="32"/>
              <w:szCs w:val="52"/>
              <w:lang w:eastAsia="zh-CN"/>
            </w:rPr>
            <w:fldChar w:fldCharType="separate"/>
          </w:r>
          <w:r>
            <w:rPr>
              <w:rFonts w:hint="eastAsia" w:ascii="宋体" w:hAnsi="宋体" w:eastAsia="宋体" w:cs="宋体"/>
              <w:sz w:val="32"/>
              <w:szCs w:val="56"/>
              <w:highlight w:val="none"/>
              <w:lang w:val="zh-CN"/>
            </w:rPr>
            <w:t>第六章 投标文件格式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_Toc25832 \h </w:instrText>
          </w:r>
          <w:r>
            <w:rPr>
              <w:rFonts w:hint="eastAsia" w:ascii="宋体" w:hAnsi="宋体" w:eastAsia="宋体" w:cs="宋体"/>
              <w:sz w:val="32"/>
              <w:szCs w:val="32"/>
            </w:rPr>
            <w:fldChar w:fldCharType="separate"/>
          </w:r>
          <w:r>
            <w:rPr>
              <w:rFonts w:hint="eastAsia" w:ascii="宋体" w:hAnsi="宋体" w:eastAsia="宋体" w:cs="宋体"/>
              <w:sz w:val="32"/>
              <w:szCs w:val="32"/>
            </w:rPr>
            <w:t>107</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33A1DC63">
          <w:pPr>
            <w:pageBreakBefore w:val="0"/>
            <w:kinsoku/>
            <w:overflowPunct/>
            <w:topLinePunct w:val="0"/>
            <w:bidi w:val="0"/>
            <w:spacing w:line="480" w:lineRule="auto"/>
            <w:jc w:val="center"/>
            <w:rPr>
              <w:rFonts w:hint="eastAsia" w:ascii="宋体" w:hAnsi="宋体" w:eastAsia="宋体" w:cs="宋体"/>
              <w:bCs/>
              <w:kern w:val="2"/>
              <w:sz w:val="21"/>
              <w:szCs w:val="32"/>
              <w:lang w:val="en-US" w:eastAsia="zh-CN" w:bidi="ar-SA"/>
            </w:rPr>
          </w:pPr>
          <w:r>
            <w:rPr>
              <w:rFonts w:hint="eastAsia" w:ascii="宋体" w:hAnsi="宋体" w:eastAsia="宋体" w:cs="宋体"/>
              <w:bCs/>
              <w:sz w:val="36"/>
              <w:szCs w:val="52"/>
              <w:lang w:eastAsia="zh-CN"/>
            </w:rPr>
            <w:fldChar w:fldCharType="end"/>
          </w:r>
        </w:p>
      </w:sdtContent>
    </w:sdt>
    <w:p w14:paraId="6FD75452">
      <w:pPr>
        <w:pStyle w:val="3"/>
        <w:rPr>
          <w:rFonts w:hint="eastAsia"/>
          <w:lang w:eastAsia="zh-CN"/>
        </w:rPr>
      </w:pPr>
    </w:p>
    <w:p w14:paraId="386D394E">
      <w:pPr>
        <w:pageBreakBefore w:val="0"/>
        <w:kinsoku/>
        <w:overflowPunct/>
        <w:topLinePunct w:val="0"/>
        <w:bidi w:val="0"/>
        <w:spacing w:line="440" w:lineRule="exact"/>
        <w:jc w:val="center"/>
        <w:rPr>
          <w:rFonts w:hint="eastAsia" w:ascii="宋体" w:hAnsi="宋体" w:eastAsia="宋体" w:cs="宋体"/>
          <w:b/>
          <w:bCs/>
          <w:sz w:val="36"/>
          <w:szCs w:val="36"/>
        </w:rPr>
        <w:sectPr>
          <w:footerReference r:id="rId4" w:type="default"/>
          <w:pgSz w:w="11900" w:h="16838"/>
          <w:pgMar w:top="1440" w:right="1800" w:bottom="1440" w:left="1800" w:header="720" w:footer="1440" w:gutter="0"/>
          <w:pgBorders>
            <w:top w:val="none" w:sz="0" w:space="0"/>
            <w:left w:val="none" w:sz="0" w:space="0"/>
            <w:bottom w:val="none" w:sz="0" w:space="0"/>
            <w:right w:val="none" w:sz="0" w:space="0"/>
          </w:pgBorders>
          <w:pgNumType w:fmt="decimal"/>
          <w:cols w:space="720" w:num="1"/>
        </w:sectPr>
      </w:pPr>
    </w:p>
    <w:p w14:paraId="0A685669">
      <w:pPr>
        <w:pageBreakBefore w:val="0"/>
        <w:kinsoku/>
        <w:overflowPunct/>
        <w:topLinePunct w:val="0"/>
        <w:bidi w:val="0"/>
        <w:spacing w:line="440" w:lineRule="exact"/>
        <w:jc w:val="center"/>
        <w:outlineLvl w:val="0"/>
        <w:rPr>
          <w:rFonts w:hint="eastAsia" w:ascii="宋体" w:hAnsi="宋体" w:eastAsia="宋体" w:cs="宋体"/>
          <w:b/>
          <w:bCs/>
          <w:sz w:val="36"/>
          <w:szCs w:val="36"/>
        </w:rPr>
      </w:pPr>
      <w:bookmarkStart w:id="3" w:name="_Toc25663"/>
      <w:r>
        <w:rPr>
          <w:rFonts w:hint="eastAsia" w:ascii="宋体" w:hAnsi="宋体" w:eastAsia="宋体" w:cs="宋体"/>
          <w:b/>
          <w:bCs/>
          <w:sz w:val="36"/>
          <w:szCs w:val="36"/>
        </w:rPr>
        <w:t>第一章 招标公告</w:t>
      </w:r>
      <w:bookmarkEnd w:id="3"/>
    </w:p>
    <w:p w14:paraId="4A9E010A">
      <w:pPr>
        <w:pageBreakBefore w:val="0"/>
        <w:kinsoku/>
        <w:overflowPunct/>
        <w:topLinePunct w:val="0"/>
        <w:bidi w:val="0"/>
        <w:spacing w:before="25" w:line="440" w:lineRule="exact"/>
        <w:rPr>
          <w:sz w:val="21"/>
        </w:rPr>
      </w:pPr>
    </w:p>
    <w:p w14:paraId="0EFF4335">
      <w:pPr>
        <w:pageBreakBefore w:val="0"/>
        <w:kinsoku/>
        <w:overflowPunct/>
        <w:topLinePunct w:val="0"/>
        <w:bidi w:val="0"/>
        <w:spacing w:before="25" w:line="440" w:lineRule="exact"/>
        <w:rPr>
          <w:rFonts w:hint="eastAsia" w:ascii="宋体" w:hAnsi="宋体" w:eastAsia="宋体" w:cs="宋体"/>
          <w:b/>
          <w:bCs/>
          <w:spacing w:val="-1"/>
          <w:sz w:val="21"/>
          <w:szCs w:val="21"/>
          <w:lang w:val="en-US" w:eastAsia="en-US"/>
        </w:rPr>
      </w:pPr>
      <w:r>
        <w:rPr>
          <w:sz w:val="21"/>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36830</wp:posOffset>
                </wp:positionV>
                <wp:extent cx="5537200" cy="1181100"/>
                <wp:effectExtent l="4445" t="5080" r="20955" b="13970"/>
                <wp:wrapNone/>
                <wp:docPr id="3" name="矩形 3"/>
                <wp:cNvGraphicFramePr/>
                <a:graphic xmlns:a="http://schemas.openxmlformats.org/drawingml/2006/main">
                  <a:graphicData uri="http://schemas.microsoft.com/office/word/2010/wordprocessingShape">
                    <wps:wsp>
                      <wps:cNvSpPr/>
                      <wps:spPr>
                        <a:xfrm>
                          <a:off x="1045210" y="1395730"/>
                          <a:ext cx="5537200" cy="11811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pt;margin-top:2.9pt;height:93pt;width:436pt;z-index:251660288;v-text-anchor:middle;mso-width-relative:page;mso-height-relative:page;" filled="f" stroked="t" coordsize="21600,21600" o:gfxdata="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GzL/XAAAACQEAAA8AAAAAAAAAAQAgAAAAIgAAAGRycy9kb3du&#10;cmV2LnhtbFBLAQIUABQAAAAIAIdO4kBZj1RAcgIAANcEAAAOAAAAAAAAAAEAIAAAACYBAABkcnMv&#10;ZTJvRG9jLnhtbFBLBQYAAAAABgAGAFkBAAAKBgAAAAA=&#10;">
                <v:fill on="f" focussize="0,0"/>
                <v:stroke weight="0.5pt" color="#000000 [3213]" miterlimit="8" joinstyle="miter"/>
                <v:imagedata o:title=""/>
                <o:lock v:ext="edit" aspectratio="f"/>
              </v:rect>
            </w:pict>
          </mc:Fallback>
        </mc:AlternateContent>
      </w:r>
      <w:r>
        <w:rPr>
          <w:rFonts w:hint="eastAsia" w:ascii="宋体" w:hAnsi="宋体" w:eastAsia="宋体" w:cs="宋体"/>
          <w:b/>
          <w:bCs/>
          <w:spacing w:val="-1"/>
          <w:sz w:val="21"/>
          <w:szCs w:val="21"/>
          <w:lang w:val="en-US" w:eastAsia="en-US"/>
        </w:rPr>
        <w:t>项目概况</w:t>
      </w:r>
    </w:p>
    <w:p w14:paraId="1D1C6A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pacing w:val="-5"/>
          <w:sz w:val="21"/>
          <w:szCs w:val="21"/>
        </w:rPr>
      </w:pPr>
      <w:r>
        <w:rPr>
          <w:rFonts w:hint="eastAsia" w:ascii="宋体" w:hAnsi="宋体" w:eastAsia="宋体" w:cs="宋体"/>
          <w:color w:val="auto"/>
          <w:sz w:val="21"/>
          <w:szCs w:val="21"/>
          <w:lang w:eastAsia="zh-CN"/>
        </w:rPr>
        <w:t>小型机动车号牌委托加工</w:t>
      </w:r>
      <w:r>
        <w:rPr>
          <w:rFonts w:hint="eastAsia" w:ascii="宋体" w:hAnsi="宋体" w:eastAsia="宋体" w:cs="宋体"/>
          <w:color w:val="auto"/>
          <w:sz w:val="21"/>
          <w:szCs w:val="21"/>
        </w:rPr>
        <w:t>的潜在</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应自行登录政府采购云平台（网址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http://www.zcygov.cn）</w:t>
      </w:r>
      <w:r>
        <w:rPr>
          <w:rFonts w:hint="eastAsia" w:ascii="宋体" w:hAnsi="宋体" w:eastAsia="宋体" w:cs="宋体"/>
          <w:color w:val="auto"/>
          <w:sz w:val="21"/>
          <w:szCs w:val="21"/>
          <w:lang w:eastAsia="zh-CN"/>
        </w:rPr>
        <w:t>，网上注册（https://middle.zcygov.cn/v-settle-front/registry）并下载招标文件，</w:t>
      </w:r>
      <w:r>
        <w:rPr>
          <w:rFonts w:hint="eastAsia" w:ascii="宋体" w:hAnsi="宋体" w:eastAsia="宋体" w:cs="宋体"/>
          <w:color w:val="auto"/>
          <w:sz w:val="21"/>
          <w:szCs w:val="21"/>
        </w:rPr>
        <w:t>并</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eastAsia="zh-CN"/>
        </w:rPr>
        <w:t>2025年7月24日8时30分</w:t>
      </w:r>
      <w:r>
        <w:rPr>
          <w:rFonts w:hint="eastAsia" w:ascii="宋体" w:hAnsi="宋体" w:eastAsia="宋体" w:cs="宋体"/>
          <w:color w:val="auto"/>
          <w:sz w:val="21"/>
          <w:szCs w:val="21"/>
        </w:rPr>
        <w:t>（北京时间）前提交</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14:paraId="2283D368">
      <w:pPr>
        <w:pageBreakBefore w:val="0"/>
        <w:kinsoku/>
        <w:overflowPunct/>
        <w:topLinePunct w:val="0"/>
        <w:bidi w:val="0"/>
        <w:spacing w:before="195" w:line="440" w:lineRule="exact"/>
        <w:ind w:left="23"/>
        <w:rPr>
          <w:rFonts w:hint="eastAsia" w:ascii="宋体" w:hAnsi="宋体" w:eastAsia="宋体" w:cs="宋体"/>
          <w:sz w:val="21"/>
          <w:szCs w:val="21"/>
        </w:rPr>
      </w:pPr>
      <w:r>
        <w:rPr>
          <w:rFonts w:hint="eastAsia" w:ascii="宋体" w:hAnsi="宋体" w:eastAsia="宋体" w:cs="宋体"/>
          <w:b/>
          <w:bCs/>
          <w:spacing w:val="-5"/>
          <w:sz w:val="21"/>
          <w:szCs w:val="21"/>
        </w:rPr>
        <w:t>一、项目基本情况</w:t>
      </w:r>
    </w:p>
    <w:p w14:paraId="26DC5DAF">
      <w:pPr>
        <w:keepNext w:val="0"/>
        <w:keepLines w:val="0"/>
        <w:pageBreakBefore w:val="0"/>
        <w:widowControl w:val="0"/>
        <w:kinsoku/>
        <w:wordWrap/>
        <w:overflowPunct/>
        <w:topLinePunct w:val="0"/>
        <w:autoSpaceDE/>
        <w:autoSpaceDN/>
        <w:bidi w:val="0"/>
        <w:adjustRightInd/>
        <w:snapToGrid/>
        <w:spacing w:line="440" w:lineRule="exact"/>
        <w:ind w:left="0" w:firstLine="416" w:firstLineChars="200"/>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项目编号：</w:t>
      </w:r>
      <w:r>
        <w:rPr>
          <w:rFonts w:hint="eastAsia" w:ascii="宋体" w:hAnsi="宋体" w:eastAsia="宋体" w:cs="宋体"/>
          <w:spacing w:val="-1"/>
          <w:sz w:val="21"/>
          <w:szCs w:val="21"/>
          <w:lang w:eastAsia="zh-CN"/>
        </w:rPr>
        <w:t>采购计划-[2025]-000121号-HYZB-2025070301；</w:t>
      </w:r>
    </w:p>
    <w:p w14:paraId="49A72A50">
      <w:pPr>
        <w:keepNext w:val="0"/>
        <w:keepLines w:val="0"/>
        <w:pageBreakBefore w:val="0"/>
        <w:widowControl w:val="0"/>
        <w:kinsoku/>
        <w:wordWrap/>
        <w:overflowPunct/>
        <w:topLinePunct w:val="0"/>
        <w:autoSpaceDE/>
        <w:autoSpaceDN/>
        <w:bidi w:val="0"/>
        <w:adjustRightInd/>
        <w:snapToGrid/>
        <w:spacing w:line="440" w:lineRule="exact"/>
        <w:ind w:left="0" w:firstLine="416" w:firstLineChars="200"/>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rPr>
        <w:t>项目名称：</w:t>
      </w:r>
      <w:r>
        <w:rPr>
          <w:rFonts w:hint="eastAsia" w:ascii="宋体" w:hAnsi="宋体" w:eastAsia="宋体" w:cs="宋体"/>
          <w:spacing w:val="-1"/>
          <w:sz w:val="21"/>
          <w:szCs w:val="21"/>
          <w:lang w:eastAsia="zh-CN"/>
        </w:rPr>
        <w:t>小型机动车号牌委托加工；</w:t>
      </w:r>
    </w:p>
    <w:p w14:paraId="04BB1A73">
      <w:pPr>
        <w:keepNext w:val="0"/>
        <w:keepLines w:val="0"/>
        <w:pageBreakBefore w:val="0"/>
        <w:widowControl w:val="0"/>
        <w:kinsoku/>
        <w:wordWrap/>
        <w:overflowPunct/>
        <w:topLinePunct w:val="0"/>
        <w:autoSpaceDE/>
        <w:autoSpaceDN/>
        <w:bidi w:val="0"/>
        <w:adjustRightInd/>
        <w:snapToGrid/>
        <w:spacing w:line="440" w:lineRule="exact"/>
        <w:ind w:left="0" w:firstLine="416"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1"/>
          <w:sz w:val="21"/>
          <w:szCs w:val="21"/>
        </w:rPr>
        <w:t>预算金额：</w:t>
      </w:r>
      <w:r>
        <w:rPr>
          <w:rFonts w:hint="eastAsia" w:ascii="宋体" w:hAnsi="宋体" w:eastAsia="宋体" w:cs="宋体"/>
          <w:spacing w:val="-1"/>
          <w:sz w:val="21"/>
          <w:szCs w:val="21"/>
          <w:lang w:val="en-US" w:eastAsia="zh-CN"/>
        </w:rPr>
        <w:t>360万元</w:t>
      </w:r>
      <w:r>
        <w:rPr>
          <w:rFonts w:hint="eastAsia" w:ascii="宋体" w:hAnsi="宋体" w:eastAsia="宋体" w:cs="宋体"/>
          <w:i w:val="0"/>
          <w:iCs w:val="0"/>
          <w:color w:val="000000"/>
          <w:kern w:val="0"/>
          <w:sz w:val="21"/>
          <w:szCs w:val="21"/>
          <w:highlight w:val="none"/>
          <w:u w:val="none"/>
          <w:lang w:val="en-US" w:eastAsia="zh-CN" w:bidi="ar"/>
        </w:rPr>
        <w:t>；</w:t>
      </w:r>
    </w:p>
    <w:p w14:paraId="2436999F">
      <w:pPr>
        <w:keepNext w:val="0"/>
        <w:keepLines w:val="0"/>
        <w:pageBreakBefore w:val="0"/>
        <w:widowControl w:val="0"/>
        <w:kinsoku/>
        <w:wordWrap/>
        <w:overflowPunct/>
        <w:topLinePunct w:val="0"/>
        <w:autoSpaceDE/>
        <w:autoSpaceDN/>
        <w:bidi w:val="0"/>
        <w:adjustRightInd/>
        <w:snapToGrid/>
        <w:spacing w:line="440" w:lineRule="exact"/>
        <w:ind w:left="0" w:firstLine="412" w:firstLineChars="20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最高限价：</w:t>
      </w:r>
      <w:r>
        <w:rPr>
          <w:rFonts w:hint="eastAsia" w:ascii="宋体" w:hAnsi="宋体" w:eastAsia="宋体" w:cs="宋体"/>
          <w:spacing w:val="-2"/>
          <w:sz w:val="21"/>
          <w:szCs w:val="21"/>
          <w:highlight w:val="none"/>
          <w:lang w:val="en-US" w:eastAsia="zh-CN"/>
        </w:rPr>
        <w:t>360万元</w:t>
      </w:r>
      <w:r>
        <w:rPr>
          <w:rFonts w:hint="eastAsia" w:ascii="宋体" w:hAnsi="宋体" w:eastAsia="宋体" w:cs="宋体"/>
          <w:i w:val="0"/>
          <w:iCs w:val="0"/>
          <w:color w:val="000000"/>
          <w:kern w:val="0"/>
          <w:sz w:val="21"/>
          <w:szCs w:val="21"/>
          <w:highlight w:val="none"/>
          <w:u w:val="none"/>
          <w:lang w:val="en-US" w:eastAsia="zh-CN" w:bidi="ar"/>
        </w:rPr>
        <w:t>；</w:t>
      </w:r>
    </w:p>
    <w:p w14:paraId="39DB1AD7">
      <w:pPr>
        <w:keepNext w:val="0"/>
        <w:keepLines w:val="0"/>
        <w:pageBreakBefore w:val="0"/>
        <w:widowControl w:val="0"/>
        <w:kinsoku/>
        <w:wordWrap/>
        <w:overflowPunct/>
        <w:topLinePunct w:val="0"/>
        <w:autoSpaceDE/>
        <w:autoSpaceDN/>
        <w:bidi w:val="0"/>
        <w:adjustRightInd/>
        <w:snapToGrid/>
        <w:spacing w:line="440" w:lineRule="exact"/>
        <w:ind w:left="0" w:firstLine="412" w:firstLineChars="20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rPr>
        <w:t>采购需求</w:t>
      </w:r>
      <w:r>
        <w:rPr>
          <w:rFonts w:hint="eastAsia" w:ascii="宋体" w:hAnsi="宋体" w:eastAsia="宋体" w:cs="宋体"/>
          <w:spacing w:val="-2"/>
          <w:sz w:val="21"/>
          <w:szCs w:val="21"/>
          <w:lang w:eastAsia="zh-CN"/>
        </w:rPr>
        <w:t>：</w:t>
      </w:r>
      <w:r>
        <w:rPr>
          <w:rFonts w:hint="eastAsia" w:ascii="宋体" w:hAnsi="宋体" w:eastAsia="宋体" w:cs="宋体"/>
          <w:color w:val="auto"/>
          <w:sz w:val="21"/>
          <w:szCs w:val="21"/>
          <w:lang w:eastAsia="zh-CN"/>
        </w:rPr>
        <w:t>小型机动车号牌委托加工</w:t>
      </w:r>
      <w:r>
        <w:rPr>
          <w:rFonts w:hint="eastAsia" w:ascii="宋体" w:hAnsi="宋体" w:eastAsia="宋体" w:cs="宋体"/>
          <w:sz w:val="21"/>
          <w:szCs w:val="21"/>
          <w:lang w:val="en-US" w:eastAsia="zh-CN"/>
        </w:rPr>
        <w:t>；</w:t>
      </w:r>
    </w:p>
    <w:p w14:paraId="7D2510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val="en-US" w:eastAsia="zh-CN"/>
        </w:rPr>
        <w:t>签订合同后</w:t>
      </w:r>
      <w:r>
        <w:rPr>
          <w:rFonts w:hint="eastAsia" w:ascii="宋体" w:hAnsi="宋体" w:eastAsia="宋体" w:cs="宋体"/>
          <w:sz w:val="21"/>
          <w:szCs w:val="21"/>
          <w:highlight w:val="none"/>
          <w:lang w:eastAsia="zh-CN"/>
        </w:rPr>
        <w:t>三年；</w:t>
      </w:r>
    </w:p>
    <w:p w14:paraId="437147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本项目不接受联合体投标。</w:t>
      </w:r>
    </w:p>
    <w:p w14:paraId="2E75BB92">
      <w:pPr>
        <w:pageBreakBefore w:val="0"/>
        <w:kinsoku/>
        <w:overflowPunct/>
        <w:topLinePunct w:val="0"/>
        <w:bidi w:val="0"/>
        <w:spacing w:before="36" w:line="440" w:lineRule="exact"/>
        <w:ind w:left="26"/>
        <w:rPr>
          <w:rFonts w:hint="eastAsia" w:ascii="宋体" w:hAnsi="宋体" w:eastAsia="宋体" w:cs="宋体"/>
          <w:sz w:val="21"/>
          <w:szCs w:val="21"/>
        </w:rPr>
      </w:pPr>
      <w:r>
        <w:rPr>
          <w:rFonts w:hint="eastAsia" w:ascii="宋体" w:hAnsi="宋体" w:eastAsia="宋体" w:cs="宋体"/>
          <w:b/>
          <w:bCs/>
          <w:spacing w:val="-9"/>
          <w:sz w:val="21"/>
          <w:szCs w:val="21"/>
        </w:rPr>
        <w:t>二、</w:t>
      </w:r>
      <w:r>
        <w:rPr>
          <w:rFonts w:hint="eastAsia" w:ascii="宋体" w:hAnsi="宋体" w:eastAsia="宋体" w:cs="宋体"/>
          <w:spacing w:val="-64"/>
          <w:sz w:val="21"/>
          <w:szCs w:val="21"/>
        </w:rPr>
        <w:t xml:space="preserve"> </w:t>
      </w:r>
      <w:r>
        <w:rPr>
          <w:rFonts w:hint="eastAsia" w:ascii="宋体" w:hAnsi="宋体" w:eastAsia="宋体" w:cs="宋体"/>
          <w:b/>
          <w:bCs/>
          <w:spacing w:val="-9"/>
          <w:sz w:val="21"/>
          <w:szCs w:val="21"/>
        </w:rPr>
        <w:t>申请人的资格要求：</w:t>
      </w:r>
    </w:p>
    <w:p w14:paraId="7EF83A5A">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rPr>
        <w:t>1</w:t>
      </w:r>
      <w:r>
        <w:rPr>
          <w:rFonts w:hint="eastAsia" w:ascii="宋体" w:hAnsi="宋体" w:eastAsia="宋体" w:cs="宋体"/>
          <w:sz w:val="21"/>
          <w:szCs w:val="21"/>
        </w:rPr>
        <w:t>.</w:t>
      </w:r>
      <w:r>
        <w:rPr>
          <w:rFonts w:hint="eastAsia" w:ascii="宋体" w:hAnsi="宋体" w:eastAsia="宋体" w:cs="宋体"/>
          <w:spacing w:val="-1"/>
          <w:sz w:val="21"/>
          <w:szCs w:val="21"/>
        </w:rPr>
        <w:t xml:space="preserve"> 满足《中华人民共和国政府采购法》第二十二条规定</w:t>
      </w:r>
      <w:r>
        <w:rPr>
          <w:rFonts w:hint="eastAsia" w:ascii="宋体" w:hAnsi="宋体" w:eastAsia="宋体" w:cs="宋体"/>
          <w:spacing w:val="-1"/>
          <w:sz w:val="21"/>
          <w:szCs w:val="21"/>
          <w:lang w:eastAsia="zh-CN"/>
        </w:rPr>
        <w:t>；</w:t>
      </w:r>
    </w:p>
    <w:p w14:paraId="032646F7">
      <w:pPr>
        <w:keepNext w:val="0"/>
        <w:keepLines w:val="0"/>
        <w:pageBreakBefore w:val="0"/>
        <w:widowControl w:val="0"/>
        <w:kinsoku/>
        <w:wordWrap/>
        <w:overflowPunct/>
        <w:topLinePunct w:val="0"/>
        <w:autoSpaceDE/>
        <w:autoSpaceDN/>
        <w:bidi w:val="0"/>
        <w:adjustRightInd/>
        <w:snapToGrid/>
        <w:spacing w:line="440" w:lineRule="exact"/>
        <w:ind w:left="0" w:right="0" w:firstLine="412" w:firstLineChars="200"/>
        <w:textAlignment w:val="auto"/>
        <w:rPr>
          <w:rFonts w:hint="eastAsia" w:ascii="宋体" w:hAnsi="宋体" w:eastAsia="宋体" w:cs="宋体"/>
          <w:sz w:val="21"/>
          <w:szCs w:val="21"/>
        </w:rPr>
      </w:pPr>
      <w:r>
        <w:rPr>
          <w:rFonts w:hint="eastAsia" w:ascii="宋体" w:hAnsi="宋体" w:eastAsia="宋体" w:cs="宋体"/>
          <w:spacing w:val="-2"/>
          <w:sz w:val="21"/>
          <w:szCs w:val="21"/>
        </w:rPr>
        <w:t>1）具有独立承担民事责任的能力；</w:t>
      </w:r>
    </w:p>
    <w:p w14:paraId="20D5DC10">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2）具有良好的商业信誉和健全的财务会计制度；</w:t>
      </w:r>
    </w:p>
    <w:p w14:paraId="0DD82B7E">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3）具有履行合同所必需的设备和专业技术能力</w:t>
      </w:r>
    </w:p>
    <w:p w14:paraId="01162F7C">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4）有依法缴纳税收和社会保障资金的良好记录；</w:t>
      </w:r>
    </w:p>
    <w:p w14:paraId="19657A78">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5）参加政府采购活动前三年内，在经营活动中没有重大违法记录；</w:t>
      </w:r>
    </w:p>
    <w:p w14:paraId="4519AF9A">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6）法律、行政法规规定的其他条件。</w:t>
      </w:r>
    </w:p>
    <w:p w14:paraId="37C650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 落实政府采购政策需满足的资格要求：本</w:t>
      </w:r>
      <w:r>
        <w:rPr>
          <w:rFonts w:hint="eastAsia" w:ascii="宋体" w:hAnsi="宋体" w:eastAsia="宋体" w:cs="宋体"/>
          <w:color w:val="auto"/>
          <w:spacing w:val="-1"/>
          <w:sz w:val="21"/>
          <w:szCs w:val="21"/>
          <w:highlight w:val="none"/>
        </w:rPr>
        <w:t>项目专门面向中小企业</w:t>
      </w:r>
      <w:r>
        <w:rPr>
          <w:rFonts w:hint="eastAsia" w:ascii="宋体" w:hAnsi="宋体" w:eastAsia="宋体" w:cs="宋体"/>
          <w:color w:val="auto"/>
          <w:spacing w:val="-1"/>
          <w:sz w:val="21"/>
          <w:szCs w:val="21"/>
          <w:highlight w:val="none"/>
          <w:lang w:eastAsia="zh-CN"/>
        </w:rPr>
        <w:t>。</w:t>
      </w:r>
    </w:p>
    <w:p w14:paraId="3660B7C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29CAF607">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3.1投标申请人须在中华人民共和国境内注册，能够独立承担民事责任，具有有效的营业执照，并在人员、设备、资金等方面具有相应的</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能力</w:t>
      </w:r>
      <w:r>
        <w:rPr>
          <w:rFonts w:hint="eastAsia" w:ascii="宋体" w:hAnsi="宋体" w:eastAsia="宋体" w:cs="宋体"/>
          <w:sz w:val="21"/>
          <w:szCs w:val="21"/>
          <w:highlight w:val="none"/>
          <w:lang w:eastAsia="zh-CN"/>
        </w:rPr>
        <w:t>；</w:t>
      </w:r>
    </w:p>
    <w:p w14:paraId="4AF19C69">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具有良好的商业信誉和健全的财务会计制度，近三年（2022年-2024年）财务状况良好，具有经会计师事务所或审计机构出具的财务审计报告（当投标人成立日期在2022年至2023年之间的，提供从成立日期起至2024年之间的经会计师事务所或审计机构出具的财务审计报告，2024年以后新成立的公司无财务审计报告的，提供财务状况良好承诺书）。</w:t>
      </w:r>
      <w:r>
        <w:rPr>
          <w:rFonts w:hint="eastAsia" w:ascii="宋体" w:hAnsi="宋体" w:eastAsia="宋体" w:cs="宋体"/>
          <w:sz w:val="21"/>
          <w:szCs w:val="21"/>
          <w:highlight w:val="none"/>
          <w:lang w:val="en-US" w:eastAsia="zh-CN"/>
        </w:rPr>
        <w:t>提供近六个月任意一个月的缴纳社保证明和完税证明。</w:t>
      </w:r>
    </w:p>
    <w:p w14:paraId="6D532F72">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hAnsi="宋体" w:eastAsia="宋体" w:cs="宋体"/>
          <w:sz w:val="21"/>
          <w:szCs w:val="21"/>
          <w:highlight w:val="none"/>
          <w:lang w:eastAsia="zh-CN"/>
        </w:rPr>
        <w:t>；</w:t>
      </w:r>
    </w:p>
    <w:p w14:paraId="4BD0988D">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投标人近三年（2022年至今）未被工商行政管理机关在国家企业信用信息公示系统中列入严重违法失信企业名单，不得为“中国政府采购网”政府采购严重违法失信行为记录名单中被财政部门禁止参加政府采购活动的投标人（在处罚决定规定的时间和地域范围内）（详见财[2016]125 号文）；投标人须在中国裁判文书网自行查询本公司近三年（2022年1月至报名截止日）行贿行为记录，且提供查询页面截图并加盖公章作为无行贿行为记录证明；</w:t>
      </w:r>
    </w:p>
    <w:p w14:paraId="70FDCFAB">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5C8112E8">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lang w:eastAsia="zh-CN"/>
        </w:rPr>
        <w:t>本项目不接受联合体投标。</w:t>
      </w:r>
    </w:p>
    <w:p w14:paraId="205EEABC">
      <w:pPr>
        <w:pageBreakBefore w:val="0"/>
        <w:kinsoku/>
        <w:overflowPunct/>
        <w:topLinePunct w:val="0"/>
        <w:bidi w:val="0"/>
        <w:spacing w:before="36" w:line="440" w:lineRule="exact"/>
        <w:ind w:left="26"/>
        <w:rPr>
          <w:rFonts w:hint="eastAsia" w:ascii="宋体" w:hAnsi="宋体" w:eastAsia="宋体" w:cs="宋体"/>
          <w:b/>
          <w:bCs/>
          <w:color w:val="auto"/>
          <w:spacing w:val="-9"/>
          <w:sz w:val="21"/>
          <w:szCs w:val="21"/>
        </w:rPr>
      </w:pPr>
      <w:r>
        <w:rPr>
          <w:rFonts w:hint="eastAsia" w:ascii="宋体" w:hAnsi="宋体" w:eastAsia="宋体" w:cs="宋体"/>
          <w:b/>
          <w:bCs/>
          <w:color w:val="auto"/>
          <w:spacing w:val="-9"/>
          <w:sz w:val="21"/>
          <w:szCs w:val="21"/>
        </w:rPr>
        <w:t>三、获取招标文件的时间、地点、方式及招标文件售价</w:t>
      </w:r>
    </w:p>
    <w:p w14:paraId="45CAF2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日每天08</w:t>
      </w:r>
      <w:r>
        <w:rPr>
          <w:rFonts w:hint="eastAsia" w:ascii="宋体" w:hAnsi="宋体" w:eastAsia="宋体" w:cs="宋体"/>
          <w:color w:val="auto"/>
          <w:sz w:val="21"/>
          <w:szCs w:val="21"/>
        </w:rPr>
        <w:t>：30至16：00（北京时间，法定节假日除外）。</w:t>
      </w:r>
    </w:p>
    <w:p w14:paraId="3428AD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地点：政府采购云平台（网址：http:// www.zcygov.cn）</w:t>
      </w:r>
      <w:r>
        <w:rPr>
          <w:rFonts w:hint="eastAsia" w:ascii="宋体" w:hAnsi="宋体" w:eastAsia="宋体" w:cs="宋体"/>
          <w:color w:val="auto"/>
          <w:sz w:val="21"/>
          <w:szCs w:val="21"/>
          <w:lang w:val="zh-CN"/>
        </w:rPr>
        <w:t>。</w:t>
      </w:r>
    </w:p>
    <w:p w14:paraId="556E50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方式：潜在供应商可自行在“政采云”平台（网址：http：//www.zcygov.cn）下载</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（操作路径：登录“政采云”平台-项目采购-获取采购文件-找到本项目-点击“申请获取采购文件”），其他途径获取的采购文件开标时一律按无效投标处理</w:t>
      </w:r>
      <w:r>
        <w:rPr>
          <w:rFonts w:hint="eastAsia" w:ascii="宋体" w:hAnsi="宋体" w:eastAsia="宋体" w:cs="宋体"/>
          <w:color w:val="auto"/>
          <w:sz w:val="21"/>
          <w:szCs w:val="21"/>
          <w:lang w:eastAsia="zh-CN"/>
        </w:rPr>
        <w:t>。</w:t>
      </w:r>
    </w:p>
    <w:p w14:paraId="6F5361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未进行网上注册并办理CA认证的供应商将无法参与本次招标活动。</w:t>
      </w:r>
    </w:p>
    <w:p w14:paraId="41DBC8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售价：0元。</w:t>
      </w:r>
    </w:p>
    <w:p w14:paraId="1B8C7126">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bCs/>
          <w:color w:val="auto"/>
          <w:spacing w:val="-9"/>
          <w:sz w:val="21"/>
          <w:szCs w:val="21"/>
        </w:rPr>
      </w:pPr>
      <w:r>
        <w:rPr>
          <w:rFonts w:hint="eastAsia" w:ascii="宋体" w:hAnsi="宋体" w:eastAsia="宋体" w:cs="宋体"/>
          <w:b/>
          <w:bCs/>
          <w:color w:val="auto"/>
          <w:spacing w:val="-9"/>
          <w:sz w:val="21"/>
          <w:szCs w:val="21"/>
        </w:rPr>
        <w:t>四、提交投标文件截止时间、开标时间和地点</w:t>
      </w:r>
    </w:p>
    <w:p w14:paraId="1C44E4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提交投标文件截止时间、开标时间：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点</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（北</w:t>
      </w:r>
      <w:r>
        <w:rPr>
          <w:rFonts w:hint="eastAsia" w:ascii="宋体" w:hAnsi="宋体" w:eastAsia="宋体" w:cs="宋体"/>
          <w:color w:val="auto"/>
          <w:sz w:val="21"/>
          <w:szCs w:val="21"/>
        </w:rPr>
        <w:t>京时间）。</w:t>
      </w:r>
    </w:p>
    <w:p w14:paraId="52C26E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地点：</w:t>
      </w:r>
      <w:r>
        <w:rPr>
          <w:rFonts w:hint="eastAsia" w:ascii="宋体" w:hAnsi="宋体" w:eastAsia="宋体" w:cs="宋体"/>
          <w:color w:val="auto"/>
          <w:highlight w:val="none"/>
          <w:lang w:eastAsia="zh-CN"/>
        </w:rPr>
        <w:t>敦化市公共资源交易中心(敦化市政数局七楼)</w:t>
      </w:r>
      <w:r>
        <w:rPr>
          <w:rFonts w:hint="eastAsia" w:ascii="宋体" w:hAnsi="宋体" w:eastAsia="宋体" w:cs="宋体"/>
          <w:color w:val="auto"/>
          <w:highlight w:val="none"/>
        </w:rPr>
        <w:t>。</w:t>
      </w:r>
    </w:p>
    <w:p w14:paraId="76BBE0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文件提交方式：本项目为全流程电子化项目，通过“政采云 ”平台（http：//www.zcygov.cn）实行在线电子投标，供应商应先安装“政采云投标客户端 ”（请自行前往“政采云 ”平台进行下载），并按照本项目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文件和“政采云 ”平台的要求编制、加密后在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文件截止时间前通过网络上传至“政采云”平台，供应商在“政采云 ”平台提交电子版</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文件时，请填写参加采购活动经办人联系方式。</w:t>
      </w:r>
    </w:p>
    <w:p w14:paraId="59542D36">
      <w:pPr>
        <w:pageBreakBefore w:val="0"/>
        <w:kinsoku/>
        <w:overflowPunct/>
        <w:topLinePunct w:val="0"/>
        <w:bidi w:val="0"/>
        <w:spacing w:before="36" w:line="440" w:lineRule="exact"/>
        <w:ind w:left="26"/>
        <w:rPr>
          <w:rFonts w:hint="eastAsia" w:ascii="宋体" w:hAnsi="宋体" w:eastAsia="宋体" w:cs="宋体"/>
          <w:b/>
          <w:bCs/>
          <w:spacing w:val="-9"/>
          <w:sz w:val="21"/>
          <w:szCs w:val="21"/>
        </w:rPr>
      </w:pPr>
      <w:r>
        <w:rPr>
          <w:rFonts w:hint="eastAsia" w:ascii="宋体" w:hAnsi="宋体" w:eastAsia="宋体" w:cs="宋体"/>
          <w:b/>
          <w:bCs/>
          <w:spacing w:val="-9"/>
          <w:sz w:val="21"/>
          <w:szCs w:val="21"/>
        </w:rPr>
        <w:t>五、公告期限</w:t>
      </w:r>
    </w:p>
    <w:p w14:paraId="4E8D87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 5 个工作日。</w:t>
      </w:r>
    </w:p>
    <w:p w14:paraId="22AA59C3">
      <w:pPr>
        <w:pageBreakBefore w:val="0"/>
        <w:kinsoku/>
        <w:overflowPunct/>
        <w:topLinePunct w:val="0"/>
        <w:bidi w:val="0"/>
        <w:spacing w:before="36" w:line="440" w:lineRule="exact"/>
        <w:ind w:left="26"/>
        <w:rPr>
          <w:rFonts w:hint="eastAsia" w:ascii="宋体" w:hAnsi="宋体" w:eastAsia="宋体" w:cs="宋体"/>
          <w:b/>
          <w:bCs/>
          <w:spacing w:val="-9"/>
          <w:sz w:val="21"/>
          <w:szCs w:val="21"/>
        </w:rPr>
      </w:pPr>
      <w:r>
        <w:rPr>
          <w:rFonts w:hint="eastAsia" w:ascii="宋体" w:hAnsi="宋体" w:eastAsia="宋体" w:cs="宋体"/>
          <w:b/>
          <w:bCs/>
          <w:spacing w:val="-9"/>
          <w:sz w:val="21"/>
          <w:szCs w:val="21"/>
        </w:rPr>
        <w:t>六、其他补充事宜</w:t>
      </w:r>
    </w:p>
    <w:p w14:paraId="72CD255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.1 </w:t>
      </w:r>
      <w:r>
        <w:rPr>
          <w:rFonts w:hint="eastAsia" w:ascii="宋体" w:hAnsi="宋体" w:eastAsia="宋体" w:cs="宋体"/>
          <w:sz w:val="21"/>
          <w:szCs w:val="21"/>
          <w:highlight w:val="none"/>
          <w:lang w:val="en-US" w:eastAsia="zh-CN"/>
        </w:rPr>
        <w:t>逾期送达的或者未送达指定地点的投标文件，采购人、采购代理机构不予受理</w:t>
      </w:r>
      <w:r>
        <w:rPr>
          <w:rFonts w:hint="eastAsia" w:hAnsi="宋体" w:eastAsia="宋体" w:cs="宋体"/>
          <w:sz w:val="21"/>
          <w:szCs w:val="21"/>
          <w:highlight w:val="none"/>
          <w:lang w:val="en-US" w:eastAsia="zh-CN"/>
        </w:rPr>
        <w:t>；</w:t>
      </w:r>
    </w:p>
    <w:p w14:paraId="70CEA22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highlight w:val="none"/>
          <w:lang w:val="zh-CN"/>
        </w:rPr>
        <w:t>本项目采用全流程电子化招投标，开标方式为远程开标，供应商须在提交</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rPr>
        <w:t>文件截止时间前通过政府采购云平台（网址：http://www.zcygov.cn）递交电子</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rPr>
        <w:t>文件，并使用CA锁进行投标文件远程解密</w:t>
      </w:r>
      <w:r>
        <w:rPr>
          <w:rFonts w:hint="eastAsia" w:hAnsi="宋体" w:eastAsia="宋体" w:cs="宋体"/>
          <w:sz w:val="21"/>
          <w:szCs w:val="21"/>
          <w:highlight w:val="none"/>
          <w:lang w:val="zh-CN"/>
        </w:rPr>
        <w:t>；</w:t>
      </w:r>
    </w:p>
    <w:p w14:paraId="064AEBD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highlight w:val="none"/>
          <w:lang w:val="zh-CN"/>
        </w:rPr>
        <w:t>投标操作流程：供应商在政府采购云平台网注册入库成为正式供应商后，在平台上按《政府采购项目电子交易管理操作指南-供应商》进行投标操作</w:t>
      </w:r>
      <w:r>
        <w:rPr>
          <w:rFonts w:hint="eastAsia" w:hAnsi="宋体" w:eastAsia="宋体" w:cs="宋体"/>
          <w:sz w:val="21"/>
          <w:szCs w:val="21"/>
          <w:highlight w:val="none"/>
          <w:lang w:val="zh-CN"/>
        </w:rPr>
        <w:t>；</w:t>
      </w:r>
    </w:p>
    <w:p w14:paraId="5127AC3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宋体" w:hAnsi="宋体" w:eastAsia="宋体" w:cs="宋体"/>
          <w:sz w:val="21"/>
          <w:szCs w:val="21"/>
          <w:highlight w:val="none"/>
          <w:lang w:val="zh-CN"/>
        </w:rPr>
        <w:t>数字证书办理及投标技术咨询：投标人须办理数字证书方可参加投标。供应商须自行考虑数字证书办理时限，由于供应商自身原因在开标前无法完成办理，后果自负</w:t>
      </w:r>
      <w:r>
        <w:rPr>
          <w:rFonts w:hint="eastAsia" w:hAnsi="宋体" w:eastAsia="宋体" w:cs="宋体"/>
          <w:sz w:val="21"/>
          <w:szCs w:val="21"/>
          <w:highlight w:val="none"/>
          <w:lang w:val="zh-CN"/>
        </w:rPr>
        <w:t>；</w:t>
      </w:r>
    </w:p>
    <w:p w14:paraId="283067B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w:t>
      </w:r>
      <w:r>
        <w:rPr>
          <w:rFonts w:hint="eastAsia" w:ascii="宋体" w:hAnsi="宋体" w:eastAsia="宋体" w:cs="宋体"/>
          <w:sz w:val="21"/>
          <w:szCs w:val="21"/>
          <w:highlight w:val="none"/>
        </w:rPr>
        <w:t>若对项目采购电子交易系统操作有疑问，可登录“政采云”平台（https://www.zcygov.cn/）点击右侧咨询小采，获取采小蜜智能服务管家帮助，或拨打政采云服务热线95763获取热线服务帮助</w:t>
      </w:r>
      <w:r>
        <w:rPr>
          <w:rFonts w:hint="eastAsia" w:hAnsi="宋体" w:eastAsia="宋体" w:cs="宋体"/>
          <w:sz w:val="21"/>
          <w:szCs w:val="21"/>
          <w:highlight w:val="none"/>
          <w:lang w:eastAsia="zh-CN"/>
        </w:rPr>
        <w:t>；</w:t>
      </w:r>
    </w:p>
    <w:p w14:paraId="54A4A3B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w:t>
      </w:r>
      <w:r>
        <w:rPr>
          <w:rFonts w:hint="eastAsia" w:ascii="宋体" w:hAnsi="宋体" w:eastAsia="宋体" w:cs="宋体"/>
          <w:sz w:val="21"/>
          <w:szCs w:val="21"/>
          <w:highlight w:val="none"/>
          <w:lang w:val="en-US" w:eastAsia="zh-CN"/>
        </w:rPr>
        <w:t>因企业CA锁原因未能进行解密的，其投标无效</w:t>
      </w:r>
      <w:r>
        <w:rPr>
          <w:rFonts w:hint="eastAsia" w:hAnsi="宋体" w:eastAsia="宋体" w:cs="宋体"/>
          <w:sz w:val="21"/>
          <w:szCs w:val="21"/>
          <w:highlight w:val="none"/>
          <w:lang w:val="en-US" w:eastAsia="zh-CN"/>
        </w:rPr>
        <w:t>；</w:t>
      </w:r>
    </w:p>
    <w:p w14:paraId="2BF641D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hAnsi="宋体" w:eastAsia="宋体" w:cs="宋体"/>
          <w:sz w:val="21"/>
          <w:szCs w:val="21"/>
          <w:lang w:val="en-US" w:eastAsia="zh-CN"/>
        </w:rPr>
        <w:t>.7</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1.公告发布媒体：“政采云”平台（http://www.zcygov.cn），同步推送到吉林省政府采购网（http://www.ccgp-jilin.gov.cn/），并同时在中国政府采购网发布；</w:t>
      </w:r>
    </w:p>
    <w:p w14:paraId="5CD6EFF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技术支持：政采云平台联系电话：95763</w:t>
      </w:r>
    </w:p>
    <w:p w14:paraId="117DCE77">
      <w:pPr>
        <w:pageBreakBefore w:val="0"/>
        <w:kinsoku/>
        <w:overflowPunct/>
        <w:topLinePunct w:val="0"/>
        <w:bidi w:val="0"/>
        <w:spacing w:before="36" w:line="440" w:lineRule="exact"/>
        <w:ind w:left="26"/>
        <w:rPr>
          <w:rFonts w:hint="eastAsia" w:ascii="宋体" w:hAnsi="宋体" w:eastAsia="宋体" w:cs="宋体"/>
          <w:b/>
          <w:bCs/>
          <w:spacing w:val="-9"/>
          <w:sz w:val="21"/>
          <w:szCs w:val="21"/>
        </w:rPr>
      </w:pPr>
      <w:r>
        <w:rPr>
          <w:rFonts w:hint="eastAsia" w:ascii="宋体" w:hAnsi="宋体" w:eastAsia="宋体" w:cs="宋体"/>
          <w:b/>
          <w:bCs/>
          <w:spacing w:val="-9"/>
          <w:sz w:val="21"/>
          <w:szCs w:val="21"/>
          <w:lang w:eastAsia="zh-CN"/>
        </w:rPr>
        <w:t>七</w:t>
      </w:r>
      <w:r>
        <w:rPr>
          <w:rFonts w:hint="eastAsia" w:ascii="宋体" w:hAnsi="宋体" w:eastAsia="宋体" w:cs="宋体"/>
          <w:b/>
          <w:bCs/>
          <w:spacing w:val="-9"/>
          <w:sz w:val="21"/>
          <w:szCs w:val="21"/>
        </w:rPr>
        <w:t>、对本次招标提出询问，请按以下方式联系。</w:t>
      </w:r>
    </w:p>
    <w:p w14:paraId="7539ED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1.采购人信息</w:t>
      </w:r>
    </w:p>
    <w:p w14:paraId="68E501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名称</w:t>
      </w:r>
      <w:r>
        <w:rPr>
          <w:rFonts w:hint="eastAsia" w:ascii="宋体" w:hAnsi="宋体" w:eastAsia="宋体" w:cs="宋体"/>
          <w:sz w:val="21"/>
          <w:szCs w:val="21"/>
          <w:lang w:val="zh-CN"/>
        </w:rPr>
        <w:t>：敦化市公安交通警察大队</w:t>
      </w:r>
    </w:p>
    <w:p w14:paraId="0AE6DD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rPr>
        <w:t>地</w:t>
      </w:r>
      <w:r>
        <w:rPr>
          <w:rFonts w:hint="eastAsia" w:ascii="宋体" w:hAnsi="宋体" w:eastAsia="宋体" w:cs="宋体"/>
          <w:sz w:val="21"/>
          <w:szCs w:val="21"/>
          <w:lang w:val="zh-CN" w:eastAsia="zh-CN"/>
        </w:rPr>
        <w:t xml:space="preserve"> </w:t>
      </w:r>
      <w:r>
        <w:rPr>
          <w:rFonts w:hint="eastAsia" w:ascii="宋体" w:hAnsi="宋体" w:eastAsia="宋体" w:cs="宋体"/>
          <w:sz w:val="21"/>
          <w:szCs w:val="21"/>
          <w:lang w:val="zh-CN"/>
        </w:rPr>
        <w:t>址：</w:t>
      </w:r>
      <w:r>
        <w:rPr>
          <w:rFonts w:hint="eastAsia" w:ascii="宋体" w:hAnsi="宋体" w:eastAsia="宋体" w:cs="宋体"/>
          <w:sz w:val="21"/>
          <w:szCs w:val="21"/>
          <w:lang w:val="en-US" w:eastAsia="zh-CN"/>
        </w:rPr>
        <w:t>敦化市</w:t>
      </w:r>
    </w:p>
    <w:p w14:paraId="3A9B04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联系人及联系电话</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蒋先生</w:t>
      </w:r>
      <w:r>
        <w:rPr>
          <w:rFonts w:hint="eastAsia" w:ascii="宋体" w:hAnsi="宋体" w:cs="宋体"/>
          <w:szCs w:val="21"/>
          <w:highlight w:val="none"/>
          <w:lang w:val="en-US" w:eastAsia="zh-CN"/>
        </w:rPr>
        <w:t>18043303005</w:t>
      </w:r>
    </w:p>
    <w:p w14:paraId="3F8D59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采购代理机构信息</w:t>
      </w:r>
    </w:p>
    <w:p w14:paraId="38CD8A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rPr>
        <w:t>采购代理机构：</w:t>
      </w:r>
      <w:r>
        <w:rPr>
          <w:rFonts w:hint="eastAsia" w:ascii="宋体" w:hAnsi="宋体" w:eastAsia="宋体" w:cs="宋体"/>
          <w:sz w:val="21"/>
          <w:szCs w:val="21"/>
          <w:lang w:val="zh-CN" w:eastAsia="zh-CN"/>
        </w:rPr>
        <w:t>敦化市宏远建设项目管理有限责任公司</w:t>
      </w:r>
    </w:p>
    <w:p w14:paraId="48509B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rPr>
        <w:t>地址：</w:t>
      </w:r>
      <w:r>
        <w:rPr>
          <w:rFonts w:hint="eastAsia" w:ascii="宋体" w:hAnsi="宋体" w:eastAsia="宋体" w:cs="宋体"/>
          <w:sz w:val="21"/>
          <w:szCs w:val="21"/>
          <w:lang w:val="en-US" w:eastAsia="zh-CN"/>
        </w:rPr>
        <w:t>敦化市工农路118号</w:t>
      </w:r>
    </w:p>
    <w:p w14:paraId="7D0133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联系人及联系电话</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韦琦</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0433-6269200</w:t>
      </w:r>
    </w:p>
    <w:p w14:paraId="2D8CA8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项目联系方式</w:t>
      </w:r>
    </w:p>
    <w:p w14:paraId="3AACED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联系人及联系电话：</w:t>
      </w:r>
      <w:r>
        <w:rPr>
          <w:rFonts w:hint="eastAsia" w:ascii="宋体" w:hAnsi="宋体" w:eastAsia="宋体" w:cs="宋体"/>
          <w:sz w:val="21"/>
          <w:szCs w:val="21"/>
          <w:lang w:val="en-US" w:eastAsia="zh-CN"/>
        </w:rPr>
        <w:t>韦琦</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0433-6269200</w:t>
      </w:r>
    </w:p>
    <w:p w14:paraId="4D0547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4.监督联系方式：</w:t>
      </w:r>
    </w:p>
    <w:p w14:paraId="4CE99F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监督部门：敦化市政府采购管理工作办公室</w:t>
      </w:r>
    </w:p>
    <w:p w14:paraId="2C62C2EE">
      <w:pPr>
        <w:pageBreakBefore w:val="0"/>
        <w:kinsoku/>
        <w:overflowPunct/>
        <w:topLinePunct w:val="0"/>
        <w:bidi w:val="0"/>
        <w:spacing w:line="440" w:lineRule="exact"/>
        <w:rPr>
          <w:rFonts w:hint="eastAsia" w:ascii="宋体" w:hAnsi="宋体" w:eastAsia="宋体" w:cs="宋体"/>
        </w:rPr>
      </w:pPr>
      <w:r>
        <w:rPr>
          <w:rFonts w:hint="eastAsia" w:ascii="宋体" w:hAnsi="宋体" w:eastAsia="宋体" w:cs="宋体"/>
        </w:rPr>
        <w:br w:type="page"/>
      </w:r>
    </w:p>
    <w:p w14:paraId="5EC8B940">
      <w:pPr>
        <w:pStyle w:val="18"/>
        <w:pageBreakBefore w:val="0"/>
        <w:kinsoku/>
        <w:overflowPunct/>
        <w:topLinePunct w:val="0"/>
        <w:bidi w:val="0"/>
        <w:spacing w:line="440" w:lineRule="exact"/>
        <w:jc w:val="center"/>
        <w:rPr>
          <w:rFonts w:hint="eastAsia" w:ascii="宋体" w:hAnsi="宋体" w:eastAsia="宋体" w:cs="宋体"/>
          <w:color w:val="000000"/>
          <w:sz w:val="36"/>
          <w:szCs w:val="36"/>
          <w:highlight w:val="none"/>
        </w:rPr>
      </w:pPr>
      <w:bookmarkStart w:id="4" w:name="_Toc27995"/>
      <w:r>
        <w:rPr>
          <w:rFonts w:hint="eastAsia" w:ascii="宋体" w:hAnsi="宋体" w:eastAsia="宋体" w:cs="宋体"/>
          <w:bCs w:val="0"/>
          <w:snapToGrid w:val="0"/>
          <w:sz w:val="36"/>
          <w:szCs w:val="36"/>
          <w:highlight w:val="none"/>
        </w:rPr>
        <w:t>第二章 投标人须知</w:t>
      </w:r>
      <w:bookmarkEnd w:id="4"/>
    </w:p>
    <w:p w14:paraId="7B6B4744">
      <w:pPr>
        <w:pageBreakBefore w:val="0"/>
        <w:kinsoku/>
        <w:overflowPunct/>
        <w:topLinePunct w:val="0"/>
        <w:autoSpaceDE w:val="0"/>
        <w:autoSpaceDN w:val="0"/>
        <w:bidi w:val="0"/>
        <w:adjustRightInd w:val="0"/>
        <w:snapToGrid w:val="0"/>
        <w:spacing w:line="440" w:lineRule="exact"/>
        <w:ind w:firstLine="120" w:firstLineChars="5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投标人须知前附表</w:t>
      </w:r>
    </w:p>
    <w:tbl>
      <w:tblPr>
        <w:tblStyle w:val="21"/>
        <w:tblW w:w="5171" w:type="pct"/>
        <w:jc w:val="center"/>
        <w:tblLayout w:type="autofit"/>
        <w:tblCellMar>
          <w:top w:w="0" w:type="dxa"/>
          <w:left w:w="108" w:type="dxa"/>
          <w:bottom w:w="0" w:type="dxa"/>
          <w:right w:w="108" w:type="dxa"/>
        </w:tblCellMar>
      </w:tblPr>
      <w:tblGrid>
        <w:gridCol w:w="741"/>
        <w:gridCol w:w="2446"/>
        <w:gridCol w:w="5413"/>
      </w:tblGrid>
      <w:tr w14:paraId="2E21B4ED">
        <w:tblPrEx>
          <w:tblCellMar>
            <w:top w:w="0" w:type="dxa"/>
            <w:left w:w="108" w:type="dxa"/>
            <w:bottom w:w="0" w:type="dxa"/>
            <w:right w:w="108" w:type="dxa"/>
          </w:tblCellMar>
        </w:tblPrEx>
        <w:trPr>
          <w:trHeight w:val="418" w:hRule="atLeast"/>
          <w:jc w:val="center"/>
        </w:trPr>
        <w:tc>
          <w:tcPr>
            <w:tcW w:w="431" w:type="pct"/>
            <w:tcBorders>
              <w:top w:val="double" w:color="auto" w:sz="2" w:space="0"/>
              <w:left w:val="double" w:color="auto" w:sz="2" w:space="0"/>
              <w:bottom w:val="single" w:color="auto" w:sz="6" w:space="0"/>
              <w:right w:val="single" w:color="auto" w:sz="6" w:space="0"/>
            </w:tcBorders>
            <w:noWrap w:val="0"/>
            <w:tcMar>
              <w:left w:w="0" w:type="dxa"/>
              <w:right w:w="0" w:type="dxa"/>
            </w:tcMar>
            <w:vAlign w:val="center"/>
          </w:tcPr>
          <w:p w14:paraId="038FAB00">
            <w:pPr>
              <w:pageBreakBefore w:val="0"/>
              <w:kinsoku/>
              <w:overflowPunct/>
              <w:topLinePunct w:val="0"/>
              <w:bidi w:val="0"/>
              <w:spacing w:line="440" w:lineRule="exact"/>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序号</w:t>
            </w:r>
          </w:p>
        </w:tc>
        <w:tc>
          <w:tcPr>
            <w:tcW w:w="1422" w:type="pct"/>
            <w:tcBorders>
              <w:top w:val="double" w:color="auto" w:sz="2" w:space="0"/>
              <w:left w:val="single" w:color="auto" w:sz="6" w:space="0"/>
              <w:bottom w:val="single" w:color="auto" w:sz="6" w:space="0"/>
              <w:right w:val="single" w:color="auto" w:sz="6" w:space="0"/>
            </w:tcBorders>
            <w:noWrap w:val="0"/>
            <w:tcMar>
              <w:left w:w="0" w:type="dxa"/>
              <w:right w:w="0" w:type="dxa"/>
            </w:tcMar>
            <w:vAlign w:val="center"/>
          </w:tcPr>
          <w:p w14:paraId="109DDD58">
            <w:pPr>
              <w:pageBreakBefore w:val="0"/>
              <w:kinsoku/>
              <w:overflowPunct/>
              <w:topLinePunct w:val="0"/>
              <w:bidi w:val="0"/>
              <w:spacing w:line="440" w:lineRule="exact"/>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名称</w:t>
            </w:r>
          </w:p>
        </w:tc>
        <w:tc>
          <w:tcPr>
            <w:tcW w:w="3146" w:type="pct"/>
            <w:tcBorders>
              <w:top w:val="double" w:color="auto" w:sz="2" w:space="0"/>
              <w:left w:val="single" w:color="auto" w:sz="6" w:space="0"/>
              <w:bottom w:val="single" w:color="auto" w:sz="6" w:space="0"/>
              <w:right w:val="double" w:color="auto" w:sz="2" w:space="0"/>
            </w:tcBorders>
            <w:noWrap w:val="0"/>
            <w:tcMar>
              <w:left w:w="0" w:type="dxa"/>
              <w:right w:w="0" w:type="dxa"/>
            </w:tcMar>
            <w:vAlign w:val="center"/>
          </w:tcPr>
          <w:p w14:paraId="67C39C08">
            <w:pPr>
              <w:pageBreakBefore w:val="0"/>
              <w:kinsoku/>
              <w:overflowPunct/>
              <w:topLinePunct w:val="0"/>
              <w:bidi w:val="0"/>
              <w:spacing w:line="440" w:lineRule="exact"/>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编列内容</w:t>
            </w:r>
          </w:p>
        </w:tc>
      </w:tr>
      <w:tr w14:paraId="6CB34D20">
        <w:tblPrEx>
          <w:tblCellMar>
            <w:top w:w="0" w:type="dxa"/>
            <w:left w:w="108" w:type="dxa"/>
            <w:bottom w:w="0" w:type="dxa"/>
            <w:right w:w="108" w:type="dxa"/>
          </w:tblCellMar>
        </w:tblPrEx>
        <w:trPr>
          <w:trHeight w:val="892"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175FFA8">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A668DD3">
            <w:pPr>
              <w:pageBreakBefore w:val="0"/>
              <w:kinsoku/>
              <w:overflowPunct/>
              <w:topLinePunct w:val="0"/>
              <w:bidi w:val="0"/>
              <w:spacing w:line="440" w:lineRule="exact"/>
              <w:jc w:val="center"/>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采购人</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9334034">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名</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称：敦化市公安交通警察大队</w:t>
            </w:r>
          </w:p>
          <w:p w14:paraId="456A1FD3">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地</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址：</w:t>
            </w:r>
            <w:r>
              <w:rPr>
                <w:rFonts w:hint="eastAsia" w:ascii="宋体" w:hAnsi="宋体" w:eastAsia="宋体" w:cs="宋体"/>
                <w:color w:val="auto"/>
                <w:highlight w:val="none"/>
                <w:lang w:val="en-US" w:eastAsia="zh-CN"/>
              </w:rPr>
              <w:t>敦化市</w:t>
            </w:r>
          </w:p>
          <w:p w14:paraId="13E2400E">
            <w:pPr>
              <w:pageBreakBefore w:val="0"/>
              <w:kinsoku/>
              <w:overflowPunct/>
              <w:topLinePunct w:val="0"/>
              <w:bidi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000000"/>
                <w:highlight w:val="none"/>
                <w:lang w:val="zh-CN"/>
              </w:rPr>
              <w:t>联</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系</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人：</w:t>
            </w:r>
            <w:r>
              <w:rPr>
                <w:rFonts w:hint="eastAsia" w:ascii="宋体" w:hAnsi="宋体" w:eastAsia="宋体" w:cs="宋体"/>
                <w:sz w:val="21"/>
                <w:szCs w:val="21"/>
                <w:lang w:val="en-US" w:eastAsia="zh-CN"/>
              </w:rPr>
              <w:t>蒋先生</w:t>
            </w:r>
          </w:p>
          <w:p w14:paraId="3C70777F">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联系方式：</w:t>
            </w:r>
            <w:r>
              <w:rPr>
                <w:rFonts w:hint="eastAsia" w:ascii="宋体" w:hAnsi="宋体" w:cs="宋体"/>
                <w:szCs w:val="21"/>
                <w:highlight w:val="none"/>
                <w:lang w:val="en-US" w:eastAsia="zh-CN"/>
              </w:rPr>
              <w:t>18043303005</w:t>
            </w:r>
          </w:p>
        </w:tc>
      </w:tr>
      <w:tr w14:paraId="2144F090">
        <w:tblPrEx>
          <w:tblCellMar>
            <w:top w:w="0" w:type="dxa"/>
            <w:left w:w="108" w:type="dxa"/>
            <w:bottom w:w="0" w:type="dxa"/>
            <w:right w:w="108" w:type="dxa"/>
          </w:tblCellMar>
        </w:tblPrEx>
        <w:trPr>
          <w:trHeight w:val="932"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ACEC29A">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8F94314">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采购代理机构</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130C554">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名</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称：敦化市宏远建设项目管理有限责任公司</w:t>
            </w:r>
          </w:p>
          <w:p w14:paraId="79F8C3B4">
            <w:pPr>
              <w:pageBreakBefore w:val="0"/>
              <w:kinsoku/>
              <w:overflowPunct/>
              <w:topLinePunct w:val="0"/>
              <w:bidi w:val="0"/>
              <w:spacing w:line="440" w:lineRule="exact"/>
              <w:jc w:val="left"/>
              <w:rPr>
                <w:rFonts w:hint="eastAsia" w:ascii="宋体" w:hAnsi="宋体" w:eastAsia="宋体" w:cs="宋体"/>
                <w:sz w:val="21"/>
                <w:szCs w:val="21"/>
                <w:lang w:val="en-US" w:eastAsia="zh-CN"/>
              </w:rPr>
            </w:pPr>
            <w:r>
              <w:rPr>
                <w:rFonts w:hint="eastAsia" w:ascii="宋体" w:hAnsi="宋体" w:eastAsia="宋体" w:cs="宋体"/>
                <w:color w:val="000000"/>
                <w:highlight w:val="none"/>
                <w:lang w:val="zh-CN"/>
              </w:rPr>
              <w:t>地</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址：</w:t>
            </w:r>
            <w:r>
              <w:rPr>
                <w:rFonts w:hint="eastAsia" w:ascii="宋体" w:hAnsi="宋体" w:eastAsia="宋体" w:cs="宋体"/>
                <w:sz w:val="21"/>
                <w:szCs w:val="21"/>
                <w:lang w:val="en-US" w:eastAsia="zh-CN"/>
              </w:rPr>
              <w:t>敦化市工农路118号</w:t>
            </w:r>
          </w:p>
          <w:p w14:paraId="0A391F93">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联</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系</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人：</w:t>
            </w:r>
            <w:r>
              <w:rPr>
                <w:rFonts w:hint="eastAsia" w:ascii="宋体" w:hAnsi="宋体" w:eastAsia="宋体" w:cs="宋体"/>
                <w:color w:val="000000"/>
                <w:highlight w:val="none"/>
                <w:lang w:val="en-US" w:eastAsia="zh-CN"/>
              </w:rPr>
              <w:t>韦琦</w:t>
            </w:r>
            <w:r>
              <w:rPr>
                <w:rFonts w:hint="eastAsia" w:ascii="宋体" w:hAnsi="宋体" w:eastAsia="宋体" w:cs="宋体"/>
                <w:color w:val="000000"/>
                <w:highlight w:val="none"/>
                <w:lang w:val="zh-CN" w:eastAsia="zh-CN"/>
              </w:rPr>
              <w:t xml:space="preserve"> </w:t>
            </w:r>
          </w:p>
          <w:p w14:paraId="59E3B5C9">
            <w:pPr>
              <w:pageBreakBefore w:val="0"/>
              <w:kinsoku/>
              <w:overflowPunct/>
              <w:topLinePunct w:val="0"/>
              <w:bidi w:val="0"/>
              <w:spacing w:line="440" w:lineRule="exact"/>
              <w:jc w:val="left"/>
              <w:rPr>
                <w:rFonts w:hint="default" w:ascii="宋体" w:hAnsi="宋体" w:eastAsia="宋体" w:cs="宋体"/>
                <w:color w:val="000000"/>
                <w:highlight w:val="none"/>
                <w:lang w:val="en-US"/>
              </w:rPr>
            </w:pPr>
            <w:r>
              <w:rPr>
                <w:rFonts w:hint="eastAsia" w:ascii="宋体" w:hAnsi="宋体" w:eastAsia="宋体" w:cs="宋体"/>
                <w:color w:val="000000"/>
                <w:highlight w:val="none"/>
                <w:lang w:val="zh-CN"/>
              </w:rPr>
              <w:t>联系方式：</w:t>
            </w:r>
            <w:r>
              <w:rPr>
                <w:rFonts w:hint="eastAsia" w:ascii="宋体" w:hAnsi="宋体" w:eastAsia="宋体" w:cs="宋体"/>
                <w:color w:val="000000"/>
                <w:highlight w:val="none"/>
                <w:lang w:val="en-US" w:eastAsia="zh-CN"/>
              </w:rPr>
              <w:t>0433-6269200</w:t>
            </w:r>
          </w:p>
        </w:tc>
      </w:tr>
      <w:tr w14:paraId="727C696A">
        <w:tblPrEx>
          <w:tblCellMar>
            <w:top w:w="0" w:type="dxa"/>
            <w:left w:w="108" w:type="dxa"/>
            <w:bottom w:w="0" w:type="dxa"/>
            <w:right w:w="108" w:type="dxa"/>
          </w:tblCellMar>
        </w:tblPrEx>
        <w:trPr>
          <w:trHeight w:val="704" w:hRule="atLeast"/>
          <w:jc w:val="center"/>
        </w:trPr>
        <w:tc>
          <w:tcPr>
            <w:tcW w:w="431" w:type="pct"/>
            <w:tcBorders>
              <w:top w:val="single" w:color="auto" w:sz="6" w:space="0"/>
              <w:left w:val="double" w:color="auto" w:sz="2" w:space="0"/>
              <w:right w:val="single" w:color="auto" w:sz="6" w:space="0"/>
            </w:tcBorders>
            <w:noWrap w:val="0"/>
            <w:tcMar>
              <w:left w:w="0" w:type="dxa"/>
              <w:right w:w="0" w:type="dxa"/>
            </w:tcMar>
            <w:vAlign w:val="center"/>
          </w:tcPr>
          <w:p w14:paraId="645A81F5">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1422" w:type="pct"/>
            <w:tcBorders>
              <w:top w:val="single" w:color="auto" w:sz="6" w:space="0"/>
              <w:left w:val="single" w:color="auto" w:sz="6" w:space="0"/>
              <w:right w:val="single" w:color="auto" w:sz="6" w:space="0"/>
            </w:tcBorders>
            <w:noWrap w:val="0"/>
            <w:tcMar>
              <w:left w:w="0" w:type="dxa"/>
              <w:right w:w="0" w:type="dxa"/>
            </w:tcMar>
            <w:vAlign w:val="center"/>
          </w:tcPr>
          <w:p w14:paraId="52CF0693">
            <w:pPr>
              <w:pageBreakBefore w:val="0"/>
              <w:kinsoku/>
              <w:overflowPunct/>
              <w:topLinePunct w:val="0"/>
              <w:bidi w:val="0"/>
              <w:spacing w:line="440" w:lineRule="exact"/>
              <w:jc w:val="center"/>
              <w:rPr>
                <w:rFonts w:hint="eastAsia" w:ascii="宋体" w:hAnsi="宋体" w:eastAsia="宋体" w:cs="宋体"/>
                <w:color w:val="000000"/>
                <w:highlight w:val="none"/>
                <w:lang w:val="en-US" w:eastAsia="zh-CN"/>
              </w:rPr>
            </w:pPr>
            <w:r>
              <w:rPr>
                <w:rFonts w:hint="eastAsia" w:ascii="宋体" w:hAnsi="宋体" w:eastAsia="宋体" w:cs="宋体"/>
                <w:highlight w:val="none"/>
              </w:rPr>
              <w:t>项目</w:t>
            </w:r>
            <w:r>
              <w:rPr>
                <w:rFonts w:hint="eastAsia" w:ascii="宋体" w:hAnsi="宋体" w:eastAsia="宋体" w:cs="宋体"/>
                <w:color w:val="000000"/>
                <w:highlight w:val="none"/>
                <w:lang w:val="zh-CN"/>
              </w:rPr>
              <w:t>名称</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项目编号</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B443799">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名称：小型机动车号牌委托加工</w:t>
            </w:r>
          </w:p>
          <w:p w14:paraId="0FB75470">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编号：采购计划-[2025]-000121号-HYZB-2025070301</w:t>
            </w:r>
          </w:p>
        </w:tc>
      </w:tr>
      <w:tr w14:paraId="5C0E8324">
        <w:tblPrEx>
          <w:tblCellMar>
            <w:top w:w="0" w:type="dxa"/>
            <w:left w:w="108" w:type="dxa"/>
            <w:bottom w:w="0" w:type="dxa"/>
            <w:right w:w="108" w:type="dxa"/>
          </w:tblCellMar>
        </w:tblPrEx>
        <w:trPr>
          <w:trHeight w:val="318"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03D3E66">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229E31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服务地点</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A5459A4">
            <w:pPr>
              <w:pageBreakBefore w:val="0"/>
              <w:kinsoku/>
              <w:overflowPunct/>
              <w:topLinePunct w:val="0"/>
              <w:bidi w:val="0"/>
              <w:spacing w:line="440" w:lineRule="exact"/>
              <w:jc w:val="both"/>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采购人指定地点（</w:t>
            </w:r>
            <w:r>
              <w:rPr>
                <w:rFonts w:hint="eastAsia" w:ascii="宋体" w:hAnsi="宋体" w:eastAsia="宋体" w:cs="宋体"/>
                <w:color w:val="000000"/>
                <w:highlight w:val="none"/>
                <w:lang w:eastAsia="zh-CN"/>
              </w:rPr>
              <w:t>详见</w:t>
            </w:r>
            <w:r>
              <w:rPr>
                <w:rFonts w:hint="eastAsia" w:ascii="宋体" w:hAnsi="宋体" w:eastAsia="宋体" w:cs="宋体"/>
                <w:color w:val="000000"/>
                <w:highlight w:val="none"/>
                <w:lang w:val="en-US" w:eastAsia="zh-CN"/>
              </w:rPr>
              <w:t>招标文件第五章采购需求）</w:t>
            </w:r>
          </w:p>
        </w:tc>
      </w:tr>
      <w:tr w14:paraId="21BD248C">
        <w:tblPrEx>
          <w:tblCellMar>
            <w:top w:w="0" w:type="dxa"/>
            <w:left w:w="108" w:type="dxa"/>
            <w:bottom w:w="0" w:type="dxa"/>
            <w:right w:w="108" w:type="dxa"/>
          </w:tblCellMar>
        </w:tblPrEx>
        <w:trPr>
          <w:trHeight w:val="618"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B3E9DD0">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E4E5534">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采购需求</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22331231">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小型机动车号牌委托加工（详见</w:t>
            </w:r>
            <w:r>
              <w:rPr>
                <w:rFonts w:hint="eastAsia" w:ascii="宋体" w:hAnsi="宋体" w:eastAsia="宋体" w:cs="宋体"/>
                <w:color w:val="000000"/>
                <w:highlight w:val="none"/>
                <w:lang w:val="en-US" w:eastAsia="zh-CN"/>
              </w:rPr>
              <w:t>招标文件第五章采购需求</w:t>
            </w:r>
            <w:r>
              <w:rPr>
                <w:rFonts w:hint="eastAsia" w:ascii="宋体" w:hAnsi="宋体" w:eastAsia="宋体" w:cs="宋体"/>
                <w:color w:val="000000"/>
                <w:highlight w:val="none"/>
                <w:lang w:eastAsia="zh-CN"/>
              </w:rPr>
              <w:t>）</w:t>
            </w:r>
          </w:p>
        </w:tc>
      </w:tr>
      <w:tr w14:paraId="6B46A6DB">
        <w:tblPrEx>
          <w:tblCellMar>
            <w:top w:w="0" w:type="dxa"/>
            <w:left w:w="108" w:type="dxa"/>
            <w:bottom w:w="0" w:type="dxa"/>
            <w:right w:w="108" w:type="dxa"/>
          </w:tblCellMar>
        </w:tblPrEx>
        <w:trPr>
          <w:trHeight w:val="352"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E90EC30">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6</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8D331AC">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合同履行期限</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527CC2A">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sz w:val="21"/>
                <w:szCs w:val="21"/>
                <w:highlight w:val="none"/>
                <w:lang w:val="en-US" w:eastAsia="zh-CN"/>
              </w:rPr>
              <w:t>签订合同后</w:t>
            </w:r>
            <w:r>
              <w:rPr>
                <w:rFonts w:hint="eastAsia" w:ascii="宋体" w:hAnsi="宋体" w:eastAsia="宋体" w:cs="宋体"/>
                <w:sz w:val="21"/>
                <w:szCs w:val="21"/>
                <w:highlight w:val="none"/>
                <w:lang w:eastAsia="zh-CN"/>
              </w:rPr>
              <w:t>三年</w:t>
            </w:r>
            <w:r>
              <w:rPr>
                <w:rFonts w:hint="eastAsia" w:ascii="宋体" w:hAnsi="宋体" w:eastAsia="宋体" w:cs="宋体"/>
                <w:color w:val="000000"/>
                <w:highlight w:val="none"/>
                <w:lang w:eastAsia="zh-CN"/>
              </w:rPr>
              <w:t>。</w:t>
            </w:r>
          </w:p>
        </w:tc>
      </w:tr>
      <w:tr w14:paraId="45525ECE">
        <w:tblPrEx>
          <w:tblCellMar>
            <w:top w:w="0" w:type="dxa"/>
            <w:left w:w="108" w:type="dxa"/>
            <w:bottom w:w="0" w:type="dxa"/>
            <w:right w:w="108" w:type="dxa"/>
          </w:tblCellMar>
        </w:tblPrEx>
        <w:trPr>
          <w:trHeight w:val="90"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06FC74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7</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514C25C">
            <w:pPr>
              <w:pageBreakBefore w:val="0"/>
              <w:kinsoku/>
              <w:overflowPunct/>
              <w:topLinePunct w:val="0"/>
              <w:bidi w:val="0"/>
              <w:spacing w:line="440" w:lineRule="exact"/>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服务要求</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2D0F8889">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提供优质服务</w:t>
            </w:r>
          </w:p>
        </w:tc>
      </w:tr>
      <w:tr w14:paraId="23591892">
        <w:tblPrEx>
          <w:tblCellMar>
            <w:top w:w="0" w:type="dxa"/>
            <w:left w:w="108" w:type="dxa"/>
            <w:bottom w:w="0" w:type="dxa"/>
            <w:right w:w="108" w:type="dxa"/>
          </w:tblCellMar>
        </w:tblPrEx>
        <w:trPr>
          <w:trHeight w:val="90"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AFC2B18">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8</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5BD64F4">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highlight w:val="none"/>
              </w:rPr>
              <w:t>投标人资质条件、能力</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A42ED0F">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rPr>
              <w:t>3.1投标申请人须在中华人民共和国境内注册，能够独立承担民事责任，具有有效的营业执照，并在人员、设备、资金等方面具有相应的服务能力</w:t>
            </w:r>
            <w:r>
              <w:rPr>
                <w:rFonts w:hint="eastAsia" w:ascii="宋体" w:hAnsi="宋体" w:eastAsia="宋体" w:cs="宋体"/>
                <w:color w:val="000000"/>
                <w:highlight w:val="none"/>
                <w:lang w:eastAsia="zh-CN"/>
              </w:rPr>
              <w:t>；</w:t>
            </w:r>
          </w:p>
          <w:p w14:paraId="19AFB83C">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3.2</w:t>
            </w:r>
            <w:r>
              <w:rPr>
                <w:rFonts w:hint="eastAsia" w:ascii="宋体" w:hAnsi="宋体" w:eastAsia="宋体" w:cs="宋体"/>
                <w:sz w:val="21"/>
                <w:szCs w:val="21"/>
                <w:highlight w:val="none"/>
                <w:lang w:val="en-US" w:eastAsia="zh-CN"/>
              </w:rPr>
              <w:t>具有良好的商业信誉和健全的财务会计制度，近三年（2022年-2024年）财务状况良好，具有经会计师事务所或审计机构出具的财务审计报告（当投标人成立日期在2022年至2023年之间的，提供从成立日期起至2024年之间的经会计师事务所或审计机构出具的财务审计报告，2024年以后新成立的公司无财务审计报告的，提供财务状况良好承诺书）。提供近六个月任意一个月的缴纳社保证明和完税证明。</w:t>
            </w:r>
          </w:p>
          <w:p w14:paraId="285738CB">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hAnsi="宋体" w:eastAsia="宋体" w:cs="宋体"/>
                <w:color w:val="000000"/>
                <w:highlight w:val="none"/>
                <w:lang w:eastAsia="zh-CN"/>
              </w:rPr>
              <w:t>；</w:t>
            </w:r>
          </w:p>
          <w:p w14:paraId="2C30BB3F">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3.4投标人近三年（2022年至今）未被工商行政管理机关在国家企业信用信息公示系统中列入严重违法失信企业名单，不得为“中国政府采购网”政府采购严重违法失信行为记录名单中被财政部门禁止参加政府采购活动的投标人（在处罚决定规定的时间和地域范围内）（详见财[2016]125 号文）；投标人须在中国裁判文书网自行查询本公司近三年（2022年1月至报名截止日）行贿行为记录，且提供查询页面截图并加盖公章作为无行贿行为记录证明；</w:t>
            </w:r>
          </w:p>
          <w:p w14:paraId="2FF9B7DE">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3.5</w:t>
            </w:r>
            <w:r>
              <w:rPr>
                <w:rFonts w:hint="eastAsia" w:ascii="宋体" w:hAnsi="宋体" w:eastAsia="宋体" w:cs="宋体"/>
                <w:color w:val="000000"/>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12267799">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3.6</w:t>
            </w:r>
            <w:r>
              <w:rPr>
                <w:rFonts w:hint="eastAsia" w:ascii="宋体" w:hAnsi="宋体" w:eastAsia="宋体" w:cs="宋体"/>
                <w:color w:val="000000"/>
                <w:highlight w:val="none"/>
                <w:lang w:eastAsia="zh-CN"/>
              </w:rPr>
              <w:t>本项目不接受联合体投标。</w:t>
            </w:r>
          </w:p>
        </w:tc>
      </w:tr>
      <w:tr w14:paraId="54ECAE56">
        <w:tblPrEx>
          <w:tblCellMar>
            <w:top w:w="0" w:type="dxa"/>
            <w:left w:w="108" w:type="dxa"/>
            <w:bottom w:w="0" w:type="dxa"/>
            <w:right w:w="108" w:type="dxa"/>
          </w:tblCellMar>
        </w:tblPrEx>
        <w:trPr>
          <w:trHeight w:val="402"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FCEB79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9</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84A53E5">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是否接受联合体投标</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2999B35">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不接受</w:t>
            </w:r>
          </w:p>
        </w:tc>
      </w:tr>
      <w:tr w14:paraId="2555D47E">
        <w:tblPrEx>
          <w:tblCellMar>
            <w:top w:w="0" w:type="dxa"/>
            <w:left w:w="108" w:type="dxa"/>
            <w:bottom w:w="0" w:type="dxa"/>
            <w:right w:w="108" w:type="dxa"/>
          </w:tblCellMar>
        </w:tblPrEx>
        <w:trPr>
          <w:trHeight w:val="336"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99CC74E">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C4F618A">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踏勘现场</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0820E8">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不组织踏勘</w:t>
            </w:r>
          </w:p>
        </w:tc>
      </w:tr>
      <w:tr w14:paraId="6A6F5978">
        <w:tblPrEx>
          <w:tblCellMar>
            <w:top w:w="0" w:type="dxa"/>
            <w:left w:w="108" w:type="dxa"/>
            <w:bottom w:w="0" w:type="dxa"/>
            <w:right w:w="108" w:type="dxa"/>
          </w:tblCellMar>
        </w:tblPrEx>
        <w:trPr>
          <w:trHeight w:val="402"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7071AB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11</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FBC2DCA">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答疑会</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2945B0F4">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lang w:val="zh-CN"/>
              </w:rPr>
              <w:t>不召开答疑会</w:t>
            </w:r>
          </w:p>
        </w:tc>
      </w:tr>
      <w:tr w14:paraId="5F1FBABE">
        <w:tblPrEx>
          <w:tblCellMar>
            <w:top w:w="0" w:type="dxa"/>
            <w:left w:w="108" w:type="dxa"/>
            <w:bottom w:w="0" w:type="dxa"/>
            <w:right w:w="108" w:type="dxa"/>
          </w:tblCellMar>
        </w:tblPrEx>
        <w:trPr>
          <w:trHeight w:val="197"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43F1D52">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12</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D895F4">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投标人提出问题的方式</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65B0E51">
            <w:pPr>
              <w:pageBreakBefore w:val="0"/>
              <w:kinsoku/>
              <w:overflowPunct/>
              <w:topLinePunct w:val="0"/>
              <w:autoSpaceDE w:val="0"/>
              <w:autoSpaceDN w:val="0"/>
              <w:bidi w:val="0"/>
              <w:spacing w:line="440" w:lineRule="exact"/>
              <w:rPr>
                <w:rFonts w:hint="eastAsia" w:ascii="宋体" w:hAnsi="宋体" w:eastAsia="宋体" w:cs="宋体"/>
                <w:bCs/>
                <w:kern w:val="15"/>
                <w:highlight w:val="none"/>
              </w:rPr>
            </w:pPr>
            <w:r>
              <w:rPr>
                <w:rFonts w:hint="eastAsia" w:ascii="宋体" w:hAnsi="宋体" w:eastAsia="宋体" w:cs="宋体"/>
                <w:bCs/>
                <w:highlight w:val="none"/>
              </w:rPr>
              <w:t>投标截止时间前</w:t>
            </w:r>
            <w:r>
              <w:rPr>
                <w:rFonts w:hint="eastAsia" w:ascii="宋体" w:hAnsi="宋体" w:eastAsia="宋体" w:cs="宋体"/>
                <w:bCs/>
                <w:highlight w:val="none"/>
                <w:u w:val="single"/>
              </w:rPr>
              <w:t>10</w:t>
            </w:r>
            <w:r>
              <w:rPr>
                <w:rFonts w:hint="eastAsia" w:ascii="宋体" w:hAnsi="宋体" w:eastAsia="宋体" w:cs="宋体"/>
                <w:bCs/>
                <w:highlight w:val="none"/>
              </w:rPr>
              <w:t>天</w:t>
            </w:r>
            <w:r>
              <w:rPr>
                <w:rFonts w:hint="eastAsia" w:ascii="宋体" w:hAnsi="宋体" w:eastAsia="宋体" w:cs="宋体"/>
                <w:bCs/>
                <w:kern w:val="15"/>
                <w:highlight w:val="none"/>
              </w:rPr>
              <w:t>投标人将对招标文件不清楚的问题提交给</w:t>
            </w:r>
            <w:r>
              <w:rPr>
                <w:rFonts w:hint="eastAsia" w:ascii="宋体" w:hAnsi="宋体" w:eastAsia="宋体" w:cs="宋体"/>
                <w:bCs/>
                <w:kern w:val="15"/>
                <w:highlight w:val="none"/>
                <w:lang w:eastAsia="zh-CN"/>
              </w:rPr>
              <w:t>采购代理机构</w:t>
            </w:r>
            <w:r>
              <w:rPr>
                <w:rFonts w:hint="eastAsia" w:ascii="宋体" w:hAnsi="宋体" w:eastAsia="宋体" w:cs="宋体"/>
                <w:bCs/>
                <w:kern w:val="15"/>
                <w:highlight w:val="none"/>
              </w:rPr>
              <w:t>。</w:t>
            </w:r>
          </w:p>
          <w:p w14:paraId="702C5B84">
            <w:pPr>
              <w:pageBreakBefore w:val="0"/>
              <w:kinsoku/>
              <w:overflowPunct/>
              <w:topLinePunct w:val="0"/>
              <w:bidi w:val="0"/>
              <w:spacing w:line="440" w:lineRule="exact"/>
              <w:contextualSpacing/>
              <w:rPr>
                <w:rFonts w:hint="eastAsia" w:ascii="宋体" w:hAnsi="宋体" w:eastAsia="宋体" w:cs="宋体"/>
                <w:highlight w:val="none"/>
              </w:rPr>
            </w:pPr>
            <w:r>
              <w:rPr>
                <w:rFonts w:hint="eastAsia" w:ascii="宋体" w:hAnsi="宋体" w:eastAsia="宋体" w:cs="宋体"/>
                <w:highlight w:val="none"/>
              </w:rPr>
              <w:t>提交地址：</w:t>
            </w:r>
            <w:r>
              <w:rPr>
                <w:rFonts w:hint="eastAsia" w:ascii="宋体" w:hAnsi="宋体" w:eastAsia="宋体" w:cs="宋体"/>
                <w:highlight w:val="none"/>
                <w:lang w:eastAsia="zh-CN"/>
              </w:rPr>
              <w:t>敦化市宏远建设项目管理有限责任公司</w:t>
            </w:r>
            <w:r>
              <w:rPr>
                <w:rFonts w:hint="eastAsia" w:ascii="宋体" w:hAnsi="宋体" w:eastAsia="宋体" w:cs="宋体"/>
                <w:highlight w:val="none"/>
              </w:rPr>
              <w:t>，同时将电子版word版发送到采购代理公司邮箱（</w:t>
            </w:r>
            <w:r>
              <w:rPr>
                <w:rFonts w:hint="eastAsia" w:ascii="宋体" w:hAnsi="宋体" w:eastAsia="宋体" w:cs="宋体"/>
                <w:highlight w:val="none"/>
                <w:lang w:val="en-US" w:eastAsia="zh-CN"/>
              </w:rPr>
              <w:t>dhhyqy</w:t>
            </w:r>
            <w:r>
              <w:rPr>
                <w:rFonts w:hint="eastAsia" w:ascii="宋体" w:hAnsi="宋体" w:eastAsia="宋体" w:cs="宋体"/>
                <w:highlight w:val="none"/>
                <w:lang w:eastAsia="zh-CN"/>
              </w:rPr>
              <w:t>@163.com</w:t>
            </w:r>
            <w:r>
              <w:rPr>
                <w:rFonts w:hint="eastAsia" w:ascii="宋体" w:hAnsi="宋体" w:eastAsia="宋体" w:cs="宋体"/>
                <w:highlight w:val="none"/>
              </w:rPr>
              <w:t xml:space="preserve">）  </w:t>
            </w:r>
          </w:p>
          <w:p w14:paraId="02612486">
            <w:pPr>
              <w:pageBreakBefore w:val="0"/>
              <w:kinsoku/>
              <w:overflowPunct/>
              <w:topLinePunct w:val="0"/>
              <w:bidi w:val="0"/>
              <w:spacing w:line="440" w:lineRule="exact"/>
              <w:contextualSpacing/>
              <w:rPr>
                <w:rFonts w:hint="default" w:ascii="宋体" w:hAnsi="宋体" w:eastAsia="宋体" w:cs="宋体"/>
                <w:highlight w:val="none"/>
                <w:lang w:val="en-US" w:eastAsia="zh-CN"/>
              </w:rPr>
            </w:pPr>
            <w:r>
              <w:rPr>
                <w:rFonts w:hint="eastAsia" w:ascii="宋体" w:hAnsi="宋体" w:eastAsia="宋体" w:cs="宋体"/>
                <w:highlight w:val="none"/>
              </w:rPr>
              <w:t>项目联系人：</w:t>
            </w:r>
            <w:r>
              <w:rPr>
                <w:rFonts w:hint="eastAsia" w:ascii="宋体" w:hAnsi="宋体" w:eastAsia="宋体" w:cs="宋体"/>
                <w:highlight w:val="none"/>
                <w:lang w:val="en-US" w:eastAsia="zh-CN"/>
              </w:rPr>
              <w:t>韦琦</w:t>
            </w:r>
            <w:r>
              <w:rPr>
                <w:rFonts w:hint="eastAsia" w:ascii="宋体" w:hAnsi="宋体" w:eastAsia="宋体" w:cs="宋体"/>
                <w:highlight w:val="none"/>
              </w:rPr>
              <w:t>电话：</w:t>
            </w:r>
            <w:r>
              <w:rPr>
                <w:rFonts w:hint="eastAsia" w:ascii="宋体" w:hAnsi="宋体" w:eastAsia="宋体" w:cs="宋体"/>
                <w:highlight w:val="none"/>
                <w:lang w:val="en-US" w:eastAsia="zh-CN"/>
              </w:rPr>
              <w:t>0433-6269200</w:t>
            </w:r>
          </w:p>
          <w:p w14:paraId="6926CF82">
            <w:pPr>
              <w:pageBreakBefore w:val="0"/>
              <w:kinsoku/>
              <w:overflowPunct/>
              <w:topLinePunct w:val="0"/>
              <w:bidi w:val="0"/>
              <w:spacing w:line="440" w:lineRule="exact"/>
              <w:contextualSpacing/>
              <w:rPr>
                <w:rFonts w:hint="eastAsia" w:ascii="宋体" w:hAnsi="宋体" w:eastAsia="宋体" w:cs="宋体"/>
                <w:highlight w:val="none"/>
              </w:rPr>
            </w:pPr>
            <w:r>
              <w:rPr>
                <w:rFonts w:hint="eastAsia" w:ascii="宋体" w:hAnsi="宋体" w:eastAsia="宋体" w:cs="宋体"/>
                <w:highlight w:val="none"/>
              </w:rPr>
              <w:t>用A4纸打印，一式三份，并加盖公章，格式见附页。</w:t>
            </w:r>
          </w:p>
          <w:p w14:paraId="7A268E0A">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highlight w:val="none"/>
              </w:rPr>
              <w:t>若投标人未按规定提交，则视为其无疑问。</w:t>
            </w:r>
          </w:p>
        </w:tc>
      </w:tr>
      <w:tr w14:paraId="46D29E92">
        <w:tblPrEx>
          <w:tblCellMar>
            <w:top w:w="0" w:type="dxa"/>
            <w:left w:w="108" w:type="dxa"/>
            <w:bottom w:w="0" w:type="dxa"/>
            <w:right w:w="108" w:type="dxa"/>
          </w:tblCellMar>
        </w:tblPrEx>
        <w:trPr>
          <w:trHeight w:val="489"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3CA329F">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13</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2610B1C">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书面澄清</w:t>
            </w:r>
          </w:p>
          <w:p w14:paraId="26781C48">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的时间</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2C4F55F">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投标截止时间15日前</w:t>
            </w:r>
          </w:p>
        </w:tc>
      </w:tr>
      <w:tr w14:paraId="7D7A2409">
        <w:tblPrEx>
          <w:tblCellMar>
            <w:top w:w="0" w:type="dxa"/>
            <w:left w:w="108" w:type="dxa"/>
            <w:bottom w:w="0" w:type="dxa"/>
            <w:right w:w="108" w:type="dxa"/>
          </w:tblCellMar>
        </w:tblPrEx>
        <w:trPr>
          <w:trHeight w:val="420"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AEFB2BA">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14</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43E9F99">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分包</w:t>
            </w:r>
          </w:p>
        </w:tc>
        <w:tc>
          <w:tcPr>
            <w:tcW w:w="3146"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8844394">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不允许</w:t>
            </w:r>
          </w:p>
        </w:tc>
      </w:tr>
      <w:tr w14:paraId="7A06CBC5">
        <w:tblPrEx>
          <w:tblCellMar>
            <w:top w:w="0" w:type="dxa"/>
            <w:left w:w="108" w:type="dxa"/>
            <w:bottom w:w="0" w:type="dxa"/>
            <w:right w:w="108" w:type="dxa"/>
          </w:tblCellMar>
        </w:tblPrEx>
        <w:trPr>
          <w:trHeight w:val="567"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DBAA5D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15</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14923391">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构成招标文件</w:t>
            </w:r>
          </w:p>
          <w:p w14:paraId="366269A0">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的其他材料</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D9004F3">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lang w:val="zh-CN"/>
              </w:rPr>
              <w:t>招标文件的澄清</w:t>
            </w:r>
            <w:r>
              <w:rPr>
                <w:rFonts w:hint="eastAsia" w:ascii="宋体" w:hAnsi="宋体" w:eastAsia="宋体" w:cs="宋体"/>
                <w:color w:val="000000"/>
                <w:highlight w:val="none"/>
              </w:rPr>
              <w:t>、修改书及有关补充通知为招标文件的有效组成部分</w:t>
            </w:r>
          </w:p>
        </w:tc>
      </w:tr>
      <w:tr w14:paraId="2A236481">
        <w:tblPrEx>
          <w:tblCellMar>
            <w:top w:w="0" w:type="dxa"/>
            <w:left w:w="108" w:type="dxa"/>
            <w:bottom w:w="0" w:type="dxa"/>
            <w:right w:w="108" w:type="dxa"/>
          </w:tblCellMar>
        </w:tblPrEx>
        <w:trPr>
          <w:trHeight w:val="492"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ACEF807">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16</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5061F601">
            <w:pPr>
              <w:pageBreakBefore w:val="0"/>
              <w:kinsoku/>
              <w:overflowPunct/>
              <w:topLinePunct w:val="0"/>
              <w:bidi w:val="0"/>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投标截止时间</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4EA34D1F">
            <w:pPr>
              <w:pageBreakBefore w:val="0"/>
              <w:kinsoku/>
              <w:overflowPunct/>
              <w:topLinePunct w:val="0"/>
              <w:bidi w:val="0"/>
              <w:spacing w:line="440" w:lineRule="exact"/>
              <w:jc w:val="left"/>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highlight w:val="none"/>
                <w:lang w:eastAsia="zh-CN"/>
              </w:rPr>
              <w:t>2025年7月24日8时30分</w:t>
            </w:r>
            <w:r>
              <w:rPr>
                <w:rFonts w:hint="eastAsia" w:ascii="宋体" w:hAnsi="宋体" w:eastAsia="宋体" w:cs="宋体"/>
                <w:color w:val="auto"/>
                <w:highlight w:val="none"/>
              </w:rPr>
              <w:t>（北京时间）</w:t>
            </w:r>
          </w:p>
        </w:tc>
      </w:tr>
      <w:tr w14:paraId="2B8CC796">
        <w:tblPrEx>
          <w:tblCellMar>
            <w:top w:w="0" w:type="dxa"/>
            <w:left w:w="108" w:type="dxa"/>
            <w:bottom w:w="0" w:type="dxa"/>
            <w:right w:w="108" w:type="dxa"/>
          </w:tblCellMar>
        </w:tblPrEx>
        <w:trPr>
          <w:trHeight w:val="416"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3C488B3">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17</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4F8136A">
            <w:pPr>
              <w:pageBreakBefore w:val="0"/>
              <w:kinsoku/>
              <w:overflowPunct/>
              <w:topLinePunct w:val="0"/>
              <w:bidi w:val="0"/>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开标地点</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2C86EDBA">
            <w:pPr>
              <w:pageBreakBefore w:val="0"/>
              <w:kinsoku/>
              <w:overflowPunct/>
              <w:topLinePunct w:val="0"/>
              <w:bidi w:val="0"/>
              <w:spacing w:line="440" w:lineRule="exact"/>
              <w:jc w:val="left"/>
              <w:rPr>
                <w:rFonts w:hint="eastAsia" w:ascii="宋体" w:hAnsi="宋体" w:eastAsia="宋体" w:cs="宋体"/>
                <w:color w:val="auto"/>
                <w:kern w:val="2"/>
                <w:sz w:val="21"/>
                <w:szCs w:val="24"/>
                <w:highlight w:val="none"/>
                <w:lang w:val="zh-CN" w:eastAsia="zh-CN" w:bidi="ar-SA"/>
              </w:rPr>
            </w:pPr>
            <w:r>
              <w:rPr>
                <w:rFonts w:hint="eastAsia" w:ascii="宋体" w:hAnsi="宋体" w:cs="宋体"/>
                <w:bCs/>
                <w:snapToGrid w:val="0"/>
                <w:szCs w:val="21"/>
                <w:highlight w:val="none"/>
                <w:lang w:eastAsia="zh-CN"/>
              </w:rPr>
              <w:t>敦化市公共资源交易中心(敦化市政数局七楼)敦化市江滨社区沿江路1555号 。</w:t>
            </w:r>
          </w:p>
        </w:tc>
      </w:tr>
      <w:tr w14:paraId="2817EE5A">
        <w:tblPrEx>
          <w:tblCellMar>
            <w:top w:w="0" w:type="dxa"/>
            <w:left w:w="108" w:type="dxa"/>
            <w:bottom w:w="0" w:type="dxa"/>
            <w:right w:w="108" w:type="dxa"/>
          </w:tblCellMar>
        </w:tblPrEx>
        <w:trPr>
          <w:trHeight w:val="669"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636BA91">
            <w:pPr>
              <w:pageBreakBefore w:val="0"/>
              <w:kinsoku/>
              <w:overflowPunct/>
              <w:topLinePunct w:val="0"/>
              <w:bidi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18</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60E6113">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投标人确认收到招标文件澄清的时间</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19951B8A">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rPr>
              <w:t>收到澄清文件24小时</w:t>
            </w:r>
          </w:p>
        </w:tc>
      </w:tr>
      <w:tr w14:paraId="50CE85D8">
        <w:tblPrEx>
          <w:tblCellMar>
            <w:top w:w="0" w:type="dxa"/>
            <w:left w:w="108" w:type="dxa"/>
            <w:bottom w:w="0" w:type="dxa"/>
            <w:right w:w="108" w:type="dxa"/>
          </w:tblCellMar>
        </w:tblPrEx>
        <w:trPr>
          <w:trHeight w:val="510"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040A5A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19</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DE3DBFE">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投标人确认收到招标文件修改内容的时间</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50BE518A">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收到修改文件24小时内</w:t>
            </w:r>
          </w:p>
        </w:tc>
      </w:tr>
      <w:tr w14:paraId="20333BA9">
        <w:tblPrEx>
          <w:tblCellMar>
            <w:top w:w="0" w:type="dxa"/>
            <w:left w:w="108" w:type="dxa"/>
            <w:bottom w:w="0" w:type="dxa"/>
            <w:right w:w="108" w:type="dxa"/>
          </w:tblCellMar>
        </w:tblPrEx>
        <w:trPr>
          <w:trHeight w:val="664"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6AEFB53">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20</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666E7D1">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构成投标文件</w:t>
            </w:r>
          </w:p>
          <w:p w14:paraId="66CE53ED">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的其他材料</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011B975E">
            <w:pPr>
              <w:pageBreakBefore w:val="0"/>
              <w:kinsoku/>
              <w:overflowPunct/>
              <w:topLinePunct w:val="0"/>
              <w:autoSpaceDE w:val="0"/>
              <w:autoSpaceDN w:val="0"/>
              <w:bidi w:val="0"/>
              <w:snapToGrid w:val="0"/>
              <w:spacing w:line="440" w:lineRule="exact"/>
              <w:contextualSpacing/>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highlight w:val="none"/>
              </w:rPr>
              <w:t>/</w:t>
            </w:r>
          </w:p>
        </w:tc>
      </w:tr>
      <w:tr w14:paraId="5CEFBE83">
        <w:tblPrEx>
          <w:tblCellMar>
            <w:top w:w="0" w:type="dxa"/>
            <w:left w:w="108" w:type="dxa"/>
            <w:bottom w:w="0" w:type="dxa"/>
            <w:right w:w="108" w:type="dxa"/>
          </w:tblCellMar>
        </w:tblPrEx>
        <w:trPr>
          <w:trHeight w:val="406"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472851F">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21</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C94F43E">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投标有效期</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284CFE87">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90日</w:t>
            </w:r>
          </w:p>
        </w:tc>
      </w:tr>
      <w:tr w14:paraId="20A78F36">
        <w:tblPrEx>
          <w:tblCellMar>
            <w:top w:w="0" w:type="dxa"/>
            <w:left w:w="108" w:type="dxa"/>
            <w:bottom w:w="0" w:type="dxa"/>
            <w:right w:w="108" w:type="dxa"/>
          </w:tblCellMar>
        </w:tblPrEx>
        <w:trPr>
          <w:trHeight w:val="48"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50DCBBD">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22</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995022E">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投标保证金</w:t>
            </w:r>
          </w:p>
        </w:tc>
        <w:tc>
          <w:tcPr>
            <w:tcW w:w="3146" w:type="pct"/>
            <w:tcBorders>
              <w:top w:val="single" w:color="auto" w:sz="6" w:space="0"/>
              <w:left w:val="single" w:color="auto" w:sz="6" w:space="0"/>
              <w:bottom w:val="single" w:color="auto" w:sz="6" w:space="0"/>
              <w:right w:val="double" w:color="auto" w:sz="2" w:space="0"/>
            </w:tcBorders>
            <w:shd w:val="clear"/>
            <w:noWrap w:val="0"/>
            <w:tcMar>
              <w:left w:w="0" w:type="dxa"/>
              <w:right w:w="0" w:type="dxa"/>
            </w:tcMar>
            <w:vAlign w:val="center"/>
          </w:tcPr>
          <w:p w14:paraId="30EA306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79AD087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3CD861D3">
            <w:pPr>
              <w:pStyle w:val="20"/>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cstheme="minorEastAsia"/>
                <w:color w:val="auto"/>
                <w:sz w:val="21"/>
                <w:szCs w:val="21"/>
                <w:highlight w:val="none"/>
                <w:lang w:val="en-US" w:eastAsia="zh-CN"/>
              </w:rPr>
              <w:t>10000</w:t>
            </w:r>
            <w:r>
              <w:rPr>
                <w:rFonts w:hint="eastAsia" w:asciiTheme="minorEastAsia" w:hAnsiTheme="minorEastAsia" w:eastAsiaTheme="minorEastAsia" w:cstheme="minorEastAsia"/>
                <w:color w:val="auto"/>
                <w:sz w:val="21"/>
                <w:szCs w:val="21"/>
                <w:highlight w:val="none"/>
              </w:rPr>
              <w:t>元整。</w:t>
            </w:r>
          </w:p>
          <w:p w14:paraId="41A3F373">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933A77F">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 款 人：</w:t>
            </w:r>
            <w:r>
              <w:rPr>
                <w:rFonts w:hint="eastAsia" w:asciiTheme="minorEastAsia" w:hAnsiTheme="minorEastAsia" w:eastAsiaTheme="minorEastAsia" w:cstheme="minorEastAsia"/>
                <w:color w:val="auto"/>
                <w:sz w:val="21"/>
                <w:szCs w:val="21"/>
                <w:highlight w:val="none"/>
                <w:lang w:eastAsia="zh-CN"/>
              </w:rPr>
              <w:t>敦化市宏远建设项目管理有限责任公司</w:t>
            </w:r>
          </w:p>
          <w:p w14:paraId="31D76B44">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2A6965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Theme="minorEastAsia" w:cstheme="minorBidi"/>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账    号：</w:t>
            </w:r>
            <w:r>
              <w:rPr>
                <w:rFonts w:hint="eastAsia"/>
                <w:lang w:eastAsia="zh-CN"/>
              </w:rPr>
              <w:t>22001686338059658888</w:t>
            </w:r>
          </w:p>
        </w:tc>
      </w:tr>
      <w:tr w14:paraId="2858F689">
        <w:tblPrEx>
          <w:tblCellMar>
            <w:top w:w="0" w:type="dxa"/>
            <w:left w:w="108" w:type="dxa"/>
            <w:bottom w:w="0" w:type="dxa"/>
            <w:right w:w="108" w:type="dxa"/>
          </w:tblCellMar>
        </w:tblPrEx>
        <w:trPr>
          <w:trHeight w:val="197"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80C0374">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23</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CCED81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近年财务状况</w:t>
            </w:r>
          </w:p>
          <w:p w14:paraId="2B2F3D16">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的年份要求</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485E9C2D">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sz w:val="21"/>
                <w:szCs w:val="21"/>
                <w:highlight w:val="none"/>
                <w:lang w:val="en-US" w:eastAsia="zh-CN"/>
              </w:rPr>
              <w:t>具有良好的商业信誉和健全的财务会计制度，近三年（2022年-2024年）财务状况良好，具有经会计师事务所或审计机构出具的财务审计报告（当投标人成立日期在2022年至2023年之间的，提供从成立日期起至2024年之间的经会计师事务所或审计机构出具的财务审计报告，2024年以后新成立的公司无财务审计报告的，提供财务状况良好承诺书）。</w:t>
            </w:r>
          </w:p>
        </w:tc>
      </w:tr>
      <w:tr w14:paraId="57AD9CCD">
        <w:tblPrEx>
          <w:tblCellMar>
            <w:top w:w="0" w:type="dxa"/>
            <w:left w:w="108" w:type="dxa"/>
            <w:bottom w:w="0" w:type="dxa"/>
            <w:right w:w="108" w:type="dxa"/>
          </w:tblCellMar>
        </w:tblPrEx>
        <w:trPr>
          <w:trHeight w:val="197"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BE501BB">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24</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7C07B5C9">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近年发生的诉讼及仲裁情况的年份要求</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3AF4BB49">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近三年(20</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rPr>
              <w:t>年-</w:t>
            </w:r>
            <w:r>
              <w:rPr>
                <w:rFonts w:hint="eastAsia" w:ascii="宋体" w:hAnsi="宋体" w:eastAsia="宋体" w:cs="宋体"/>
                <w:color w:val="000000"/>
                <w:highlight w:val="none"/>
                <w:lang w:val="en-US" w:eastAsia="zh-CN"/>
              </w:rPr>
              <w:t>至今</w:t>
            </w:r>
            <w:r>
              <w:rPr>
                <w:rFonts w:hint="eastAsia" w:ascii="宋体" w:hAnsi="宋体" w:eastAsia="宋体" w:cs="宋体"/>
                <w:color w:val="000000"/>
                <w:highlight w:val="none"/>
                <w:lang w:val="zh-CN"/>
              </w:rPr>
              <w:t>）</w:t>
            </w:r>
          </w:p>
        </w:tc>
      </w:tr>
      <w:tr w14:paraId="56AFBAC9">
        <w:tblPrEx>
          <w:tblCellMar>
            <w:top w:w="0" w:type="dxa"/>
            <w:left w:w="108" w:type="dxa"/>
            <w:bottom w:w="0" w:type="dxa"/>
            <w:right w:w="108" w:type="dxa"/>
          </w:tblCellMar>
        </w:tblPrEx>
        <w:trPr>
          <w:trHeight w:val="197"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DEC239A">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25</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496E624">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是否允许递交备选</w:t>
            </w:r>
          </w:p>
          <w:p w14:paraId="07B913DC">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投标方案</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9C19B1E">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不允许</w:t>
            </w:r>
          </w:p>
        </w:tc>
      </w:tr>
      <w:tr w14:paraId="5D9CBEB9">
        <w:tblPrEx>
          <w:tblCellMar>
            <w:top w:w="0" w:type="dxa"/>
            <w:left w:w="108" w:type="dxa"/>
            <w:bottom w:w="0" w:type="dxa"/>
            <w:right w:w="108" w:type="dxa"/>
          </w:tblCellMar>
        </w:tblPrEx>
        <w:trPr>
          <w:trHeight w:val="61"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FE4BD3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26</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2E31034">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签字或盖章要求</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4B3A3FBA">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签字或盖章应清晰，易于识别，按招标文件所提供的投标文件格式标准，要求签字盖章处必须签字盖章，严禁代签和仿造行为。</w:t>
            </w:r>
          </w:p>
        </w:tc>
      </w:tr>
      <w:tr w14:paraId="1F614B2E">
        <w:tblPrEx>
          <w:tblCellMar>
            <w:top w:w="0" w:type="dxa"/>
            <w:left w:w="108" w:type="dxa"/>
            <w:bottom w:w="0" w:type="dxa"/>
            <w:right w:w="108" w:type="dxa"/>
          </w:tblCellMar>
        </w:tblPrEx>
        <w:trPr>
          <w:trHeight w:val="91"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E84A90B">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27</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7A614F2">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投标文件份数</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07D5C93A">
            <w:pPr>
              <w:pageBreakBefore w:val="0"/>
              <w:kinsoku/>
              <w:overflowPunct/>
              <w:topLinePunct w:val="0"/>
              <w:bidi w:val="0"/>
              <w:spacing w:line="440" w:lineRule="exact"/>
              <w:rPr>
                <w:rFonts w:hint="eastAsia" w:ascii="宋体" w:hAnsi="宋体" w:eastAsia="宋体" w:cs="宋体"/>
                <w:highlight w:val="none"/>
                <w:lang w:val="zh-CN"/>
              </w:rPr>
            </w:pPr>
            <w:r>
              <w:rPr>
                <w:rFonts w:hint="eastAsia" w:ascii="宋体" w:hAnsi="宋体" w:eastAsia="宋体" w:cs="宋体"/>
                <w:highlight w:val="none"/>
                <w:lang w:val="zh-CN"/>
              </w:rPr>
              <w:t>1份正本，</w:t>
            </w:r>
            <w:r>
              <w:rPr>
                <w:rFonts w:hint="eastAsia" w:ascii="宋体" w:hAnsi="宋体" w:eastAsia="宋体" w:cs="宋体"/>
                <w:highlight w:val="none"/>
                <w:lang w:val="en-US" w:eastAsia="zh-CN"/>
              </w:rPr>
              <w:t>4</w:t>
            </w:r>
            <w:r>
              <w:rPr>
                <w:rFonts w:hint="eastAsia" w:ascii="宋体" w:hAnsi="宋体" w:eastAsia="宋体" w:cs="宋体"/>
                <w:highlight w:val="none"/>
                <w:lang w:val="zh-CN"/>
              </w:rPr>
              <w:t>份副本</w:t>
            </w:r>
            <w:r>
              <w:rPr>
                <w:rFonts w:hint="eastAsia" w:ascii="宋体" w:hAnsi="宋体" w:eastAsia="宋体" w:cs="宋体"/>
                <w:highlight w:val="none"/>
                <w:lang w:val="zh-CN" w:eastAsia="zh-CN"/>
              </w:rPr>
              <w:t>，</w:t>
            </w:r>
            <w:r>
              <w:rPr>
                <w:rFonts w:hint="eastAsia" w:ascii="宋体" w:hAnsi="宋体" w:eastAsia="宋体" w:cs="宋体"/>
                <w:highlight w:val="none"/>
                <w:lang w:val="zh-CN"/>
              </w:rPr>
              <w:t>电子版</w:t>
            </w:r>
            <w:r>
              <w:rPr>
                <w:rFonts w:hint="eastAsia" w:ascii="宋体" w:hAnsi="宋体" w:eastAsia="宋体" w:cs="宋体"/>
                <w:highlight w:val="none"/>
                <w:lang w:val="zh-CN" w:eastAsia="zh-CN"/>
              </w:rPr>
              <w:t>1</w:t>
            </w:r>
            <w:r>
              <w:rPr>
                <w:rFonts w:hint="eastAsia" w:ascii="宋体" w:hAnsi="宋体" w:eastAsia="宋体" w:cs="宋体"/>
                <w:highlight w:val="none"/>
                <w:lang w:val="zh-CN"/>
              </w:rPr>
              <w:t>份</w:t>
            </w:r>
            <w:r>
              <w:rPr>
                <w:rFonts w:hint="eastAsia" w:ascii="宋体" w:hAnsi="宋体" w:eastAsia="宋体" w:cs="宋体"/>
                <w:highlight w:val="none"/>
                <w:lang w:val="zh-CN" w:eastAsia="zh-CN"/>
              </w:rPr>
              <w:t>。</w:t>
            </w:r>
            <w:r>
              <w:rPr>
                <w:rFonts w:hint="eastAsia" w:ascii="宋体" w:hAnsi="宋体" w:eastAsia="宋体" w:cs="宋体"/>
                <w:highlight w:val="none"/>
                <w:lang w:val="zh-CN"/>
              </w:rPr>
              <w:t>电子版形式：U盘</w:t>
            </w:r>
            <w:r>
              <w:rPr>
                <w:rFonts w:hint="eastAsia" w:ascii="宋体" w:hAnsi="宋体" w:eastAsia="宋体" w:cs="宋体"/>
                <w:highlight w:val="none"/>
                <w:lang w:val="zh-CN" w:eastAsia="zh-CN"/>
              </w:rPr>
              <w:t>，Word版一份，PDF版一份，均为可读U盘。</w:t>
            </w:r>
            <w:r>
              <w:rPr>
                <w:rFonts w:hint="eastAsia" w:ascii="宋体" w:hAnsi="宋体" w:eastAsia="宋体" w:cs="宋体"/>
                <w:highlight w:val="none"/>
                <w:lang w:val="zh-CN"/>
              </w:rPr>
              <w:t>所</w:t>
            </w:r>
            <w:r>
              <w:rPr>
                <w:rFonts w:hint="eastAsia" w:ascii="宋体" w:hAnsi="宋体" w:eastAsia="宋体" w:cs="宋体"/>
                <w:highlight w:val="none"/>
                <w:lang w:val="zh-CN" w:eastAsia="zh-CN"/>
              </w:rPr>
              <w:t>提供响应文件中全部</w:t>
            </w:r>
            <w:r>
              <w:rPr>
                <w:rFonts w:hint="eastAsia" w:ascii="宋体" w:hAnsi="宋体" w:eastAsia="宋体" w:cs="宋体"/>
                <w:highlight w:val="none"/>
                <w:lang w:val="zh-CN"/>
              </w:rPr>
              <w:t>内容</w:t>
            </w:r>
            <w:r>
              <w:rPr>
                <w:rFonts w:hint="eastAsia" w:ascii="宋体" w:hAnsi="宋体" w:eastAsia="宋体" w:cs="宋体"/>
                <w:highlight w:val="none"/>
                <w:lang w:val="zh-CN" w:eastAsia="zh-CN"/>
              </w:rPr>
              <w:t>与政府采购云平台（https://www.zcygov.cn/）递交电子响应文件</w:t>
            </w:r>
            <w:r>
              <w:rPr>
                <w:rFonts w:hint="eastAsia" w:ascii="宋体" w:hAnsi="宋体" w:eastAsia="宋体" w:cs="宋体"/>
                <w:highlight w:val="none"/>
                <w:lang w:val="zh-CN"/>
              </w:rPr>
              <w:t>一致。</w:t>
            </w:r>
          </w:p>
          <w:p w14:paraId="39BFB6A7">
            <w:pPr>
              <w:pageBreakBefore w:val="0"/>
              <w:kinsoku/>
              <w:overflowPunct/>
              <w:topLinePunct w:val="0"/>
              <w:bidi w:val="0"/>
              <w:spacing w:line="440" w:lineRule="exact"/>
              <w:rPr>
                <w:rFonts w:hint="eastAsia" w:ascii="宋体" w:hAnsi="宋体" w:eastAsia="宋体" w:cs="宋体"/>
                <w:kern w:val="2"/>
                <w:sz w:val="21"/>
                <w:szCs w:val="24"/>
                <w:highlight w:val="none"/>
                <w:lang w:val="zh-CN" w:eastAsia="zh-CN" w:bidi="ar-SA"/>
              </w:rPr>
            </w:pPr>
            <w:r>
              <w:rPr>
                <w:rFonts w:hint="eastAsia" w:ascii="宋体" w:hAnsi="宋体" w:eastAsia="宋体" w:cs="宋体"/>
                <w:highlight w:val="none"/>
                <w:lang w:val="zh-CN" w:eastAsia="zh-CN"/>
              </w:rPr>
              <w:t>注：</w:t>
            </w:r>
            <w:r>
              <w:rPr>
                <w:rFonts w:hint="eastAsia" w:ascii="宋体" w:hAnsi="宋体" w:eastAsia="宋体" w:cs="宋体"/>
                <w:highlight w:val="none"/>
                <w:lang w:val="zh-CN"/>
              </w:rPr>
              <w:t>开标后由代理机构人员通知中标人提供即可</w:t>
            </w:r>
            <w:r>
              <w:rPr>
                <w:rFonts w:hint="eastAsia" w:ascii="宋体" w:hAnsi="宋体" w:eastAsia="宋体" w:cs="宋体"/>
                <w:highlight w:val="none"/>
                <w:lang w:val="zh-CN" w:eastAsia="zh-CN"/>
              </w:rPr>
              <w:t>。</w:t>
            </w:r>
          </w:p>
        </w:tc>
      </w:tr>
      <w:tr w14:paraId="3F6FAC93">
        <w:tblPrEx>
          <w:tblCellMar>
            <w:top w:w="0" w:type="dxa"/>
            <w:left w:w="108" w:type="dxa"/>
            <w:bottom w:w="0" w:type="dxa"/>
            <w:right w:w="108" w:type="dxa"/>
          </w:tblCellMar>
        </w:tblPrEx>
        <w:trPr>
          <w:trHeight w:val="1581"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7AB0BE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28</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E6D7A41">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装订要求</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42B61B5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投标文件的装订要整齐、牢固、不易拆散和换页，便于保管和利用；</w:t>
            </w:r>
          </w:p>
          <w:p w14:paraId="6E5964B9">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投标文件采用左侧胶装装订方式，投标人可以自行决定投标文件是否分册装订，但需要符合装订要求。</w:t>
            </w:r>
          </w:p>
        </w:tc>
      </w:tr>
      <w:tr w14:paraId="12CC9F75">
        <w:tblPrEx>
          <w:tblCellMar>
            <w:top w:w="0" w:type="dxa"/>
            <w:left w:w="108" w:type="dxa"/>
            <w:bottom w:w="0" w:type="dxa"/>
            <w:right w:w="108" w:type="dxa"/>
          </w:tblCellMar>
        </w:tblPrEx>
        <w:trPr>
          <w:trHeight w:val="877"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9502E7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29</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4DAD460F">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是否退还投标文件</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1258E50">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否</w:t>
            </w:r>
          </w:p>
        </w:tc>
      </w:tr>
      <w:tr w14:paraId="12F0329F">
        <w:tblPrEx>
          <w:tblCellMar>
            <w:top w:w="0" w:type="dxa"/>
            <w:left w:w="108" w:type="dxa"/>
            <w:bottom w:w="0" w:type="dxa"/>
            <w:right w:w="108" w:type="dxa"/>
          </w:tblCellMar>
        </w:tblPrEx>
        <w:trPr>
          <w:trHeight w:val="460"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68CF3AB">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30</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778B08CD">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开标时间和地点</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31D2030E">
            <w:pPr>
              <w:pageBreakBefore w:val="0"/>
              <w:kinsoku/>
              <w:overflowPunct/>
              <w:topLinePunct w:val="0"/>
              <w:bidi w:val="0"/>
              <w:spacing w:line="44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开标时间：</w:t>
            </w:r>
            <w:r>
              <w:rPr>
                <w:rFonts w:hint="eastAsia" w:ascii="宋体" w:hAnsi="宋体" w:eastAsia="宋体" w:cs="宋体"/>
                <w:bCs/>
                <w:color w:val="auto"/>
                <w:szCs w:val="21"/>
                <w:highlight w:val="none"/>
                <w:lang w:val="zh-CN" w:eastAsia="zh-CN"/>
              </w:rPr>
              <w:t>2025年7月24日8时30分</w:t>
            </w:r>
            <w:r>
              <w:rPr>
                <w:rFonts w:hint="eastAsia" w:ascii="宋体" w:hAnsi="宋体" w:eastAsia="宋体" w:cs="宋体"/>
                <w:bCs/>
                <w:color w:val="auto"/>
                <w:szCs w:val="21"/>
                <w:highlight w:val="none"/>
                <w:lang w:val="zh-CN"/>
              </w:rPr>
              <w:t>（北京时间）</w:t>
            </w:r>
          </w:p>
          <w:p w14:paraId="1BEA1F69">
            <w:pPr>
              <w:pageBreakBefore w:val="0"/>
              <w:kinsoku/>
              <w:overflowPunct/>
              <w:topLinePunct w:val="0"/>
              <w:bidi w:val="0"/>
              <w:spacing w:line="440" w:lineRule="exact"/>
              <w:rPr>
                <w:rFonts w:hint="eastAsia" w:ascii="宋体" w:hAnsi="宋体" w:eastAsia="宋体" w:cs="宋体"/>
                <w:bCs/>
                <w:color w:val="auto"/>
                <w:kern w:val="0"/>
                <w:highlight w:val="none"/>
              </w:rPr>
            </w:pPr>
            <w:r>
              <w:rPr>
                <w:rFonts w:hint="eastAsia" w:ascii="宋体" w:hAnsi="宋体" w:eastAsia="宋体" w:cs="宋体"/>
                <w:color w:val="auto"/>
                <w:highlight w:val="none"/>
                <w:lang w:val="zh-CN"/>
              </w:rPr>
              <w:t>开标地点：</w:t>
            </w:r>
            <w:r>
              <w:rPr>
                <w:rFonts w:hint="eastAsia" w:ascii="宋体" w:hAnsi="宋体" w:cs="宋体"/>
                <w:bCs/>
                <w:snapToGrid w:val="0"/>
                <w:szCs w:val="21"/>
                <w:highlight w:val="none"/>
                <w:lang w:eastAsia="zh-CN"/>
              </w:rPr>
              <w:t>敦化市公共资源交易中心(敦化市政数局七楼)敦化市江滨社区沿江路1555号 。</w:t>
            </w:r>
          </w:p>
          <w:p w14:paraId="5B55947E">
            <w:pPr>
              <w:pStyle w:val="19"/>
              <w:pageBreakBefore w:val="0"/>
              <w:kinsoku/>
              <w:overflowPunct/>
              <w:topLinePunct w:val="0"/>
              <w:bidi w:val="0"/>
              <w:spacing w:before="0" w:beforeAutospacing="0" w:line="44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本项目执行电子化招投标</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供应商须通过政府采购云平台</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网址</w:t>
            </w:r>
            <w:r>
              <w:rPr>
                <w:rFonts w:hint="eastAsia" w:ascii="宋体" w:hAnsi="宋体" w:eastAsia="宋体" w:cs="宋体"/>
                <w:bCs/>
                <w:sz w:val="21"/>
                <w:szCs w:val="21"/>
                <w:highlight w:val="none"/>
              </w:rPr>
              <w:t>：http:// www.zcygov.cn）</w:t>
            </w:r>
            <w:r>
              <w:rPr>
                <w:rFonts w:hint="eastAsia" w:ascii="宋体" w:hAnsi="宋体" w:eastAsia="宋体" w:cs="宋体"/>
                <w:bCs/>
                <w:sz w:val="21"/>
                <w:szCs w:val="21"/>
                <w:highlight w:val="none"/>
                <w:lang w:val="zh-CN"/>
              </w:rPr>
              <w:t>递交电子版投标文件。</w:t>
            </w:r>
          </w:p>
          <w:p w14:paraId="50E590E1">
            <w:pPr>
              <w:pStyle w:val="19"/>
              <w:pageBreakBefore w:val="0"/>
              <w:kinsoku/>
              <w:overflowPunct/>
              <w:topLinePunct w:val="0"/>
              <w:bidi w:val="0"/>
              <w:spacing w:before="0" w:beforeAutospacing="0" w:line="440" w:lineRule="exact"/>
              <w:ind w:firstLine="0" w:firstLineChars="0"/>
              <w:rPr>
                <w:rFonts w:hint="eastAsia" w:ascii="宋体" w:hAnsi="宋体" w:eastAsia="宋体" w:cs="宋体"/>
                <w:kern w:val="2"/>
                <w:sz w:val="21"/>
                <w:szCs w:val="21"/>
                <w:highlight w:val="none"/>
                <w:lang w:val="zh-CN" w:eastAsia="en-US" w:bidi="ar-SA"/>
              </w:rPr>
            </w:pPr>
            <w:r>
              <w:rPr>
                <w:rFonts w:hint="eastAsia" w:ascii="宋体" w:hAnsi="宋体" w:eastAsia="宋体" w:cs="宋体"/>
                <w:bCs/>
                <w:sz w:val="21"/>
                <w:szCs w:val="21"/>
                <w:highlight w:val="none"/>
                <w:lang w:val="zh-CN"/>
              </w:rPr>
              <w:t>投标操作流程：供应商在政府采购云平台网注册入库成为正式供应商后，在平台上按《政府采购项目电子交易管理操作指南-供应商》进行投标操作。</w:t>
            </w:r>
          </w:p>
        </w:tc>
      </w:tr>
      <w:tr w14:paraId="5377B97C">
        <w:tblPrEx>
          <w:tblCellMar>
            <w:top w:w="0" w:type="dxa"/>
            <w:left w:w="108" w:type="dxa"/>
            <w:bottom w:w="0" w:type="dxa"/>
            <w:right w:w="108" w:type="dxa"/>
          </w:tblCellMar>
        </w:tblPrEx>
        <w:trPr>
          <w:trHeight w:val="662"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22F48DC">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31</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6B92E14">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评标委员会的组建</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36DF5BFA">
            <w:pPr>
              <w:pageBreakBefore w:val="0"/>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评标委员会构成：评标专家</w:t>
            </w:r>
            <w:r>
              <w:rPr>
                <w:rFonts w:hint="eastAsia" w:ascii="宋体" w:hAnsi="宋体" w:eastAsia="宋体" w:cs="宋体"/>
                <w:highlight w:val="none"/>
                <w:lang w:val="en-US" w:eastAsia="zh-CN"/>
              </w:rPr>
              <w:t>5</w:t>
            </w:r>
            <w:r>
              <w:rPr>
                <w:rFonts w:hint="eastAsia" w:ascii="宋体" w:hAnsi="宋体" w:eastAsia="宋体" w:cs="宋体"/>
                <w:highlight w:val="none"/>
              </w:rPr>
              <w:t>人。</w:t>
            </w:r>
          </w:p>
          <w:p w14:paraId="2739061D">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highlight w:val="none"/>
              </w:rPr>
              <w:t>评标专家确定方式：从</w:t>
            </w:r>
            <w:r>
              <w:rPr>
                <w:rFonts w:hint="eastAsia" w:ascii="宋体" w:hAnsi="宋体" w:eastAsia="宋体" w:cs="宋体"/>
                <w:highlight w:val="none"/>
                <w:lang w:val="en-US" w:eastAsia="zh-CN"/>
              </w:rPr>
              <w:t>政采云</w:t>
            </w:r>
            <w:r>
              <w:rPr>
                <w:rFonts w:hint="eastAsia" w:ascii="宋体" w:hAnsi="宋体" w:eastAsia="宋体" w:cs="宋体"/>
                <w:highlight w:val="none"/>
              </w:rPr>
              <w:t>的综合评标专家库中随机抽取。</w:t>
            </w:r>
          </w:p>
        </w:tc>
      </w:tr>
      <w:tr w14:paraId="0379B043">
        <w:tblPrEx>
          <w:tblCellMar>
            <w:top w:w="0" w:type="dxa"/>
            <w:left w:w="108" w:type="dxa"/>
            <w:bottom w:w="0" w:type="dxa"/>
            <w:right w:w="108" w:type="dxa"/>
          </w:tblCellMar>
        </w:tblPrEx>
        <w:trPr>
          <w:trHeight w:val="528" w:hRule="atLeast"/>
          <w:jc w:val="center"/>
        </w:trPr>
        <w:tc>
          <w:tcPr>
            <w:tcW w:w="431"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BD0E9F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32</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CB03876">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是否授权评标委员会</w:t>
            </w:r>
          </w:p>
          <w:p w14:paraId="03118EC8">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确定中标人</w:t>
            </w:r>
          </w:p>
        </w:tc>
        <w:tc>
          <w:tcPr>
            <w:tcW w:w="3146"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9B98CDD">
            <w:pPr>
              <w:pageBreakBefore w:val="0"/>
              <w:kinsoku/>
              <w:overflowPunct/>
              <w:topLinePunct w:val="0"/>
              <w:bidi w:val="0"/>
              <w:spacing w:line="440" w:lineRule="exact"/>
              <w:rPr>
                <w:rFonts w:hint="eastAsia" w:ascii="宋体" w:hAnsi="宋体" w:eastAsia="宋体" w:cs="宋体"/>
                <w:color w:val="000000"/>
                <w:highlight w:val="none"/>
              </w:rPr>
            </w:pPr>
            <w:r>
              <w:rPr>
                <w:rFonts w:hint="eastAsia" w:ascii="宋体" w:hAnsi="宋体" w:eastAsia="宋体" w:cs="宋体"/>
                <w:color w:val="000000"/>
                <w:highlight w:val="none"/>
                <w:lang w:val="zh-CN"/>
              </w:rPr>
              <w:t>推荐3名中标候选人。</w:t>
            </w:r>
          </w:p>
          <w:p w14:paraId="5E438982">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确定中标人的原则：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tc>
      </w:tr>
      <w:tr w14:paraId="18FA02D5">
        <w:tblPrEx>
          <w:tblCellMar>
            <w:top w:w="0" w:type="dxa"/>
            <w:left w:w="108" w:type="dxa"/>
            <w:bottom w:w="0" w:type="dxa"/>
            <w:right w:w="108" w:type="dxa"/>
          </w:tblCellMar>
        </w:tblPrEx>
        <w:trPr>
          <w:trHeight w:val="457"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089C04E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.需要补充的其他内容</w:t>
            </w:r>
          </w:p>
        </w:tc>
      </w:tr>
      <w:tr w14:paraId="1C679059">
        <w:tblPrEx>
          <w:tblCellMar>
            <w:top w:w="0" w:type="dxa"/>
            <w:left w:w="108" w:type="dxa"/>
            <w:bottom w:w="0" w:type="dxa"/>
            <w:right w:w="108" w:type="dxa"/>
          </w:tblCellMar>
        </w:tblPrEx>
        <w:trPr>
          <w:trHeight w:val="90" w:hRule="atLeast"/>
          <w:jc w:val="center"/>
        </w:trPr>
        <w:tc>
          <w:tcPr>
            <w:tcW w:w="431" w:type="pct"/>
            <w:tcBorders>
              <w:top w:val="single" w:color="auto" w:sz="6" w:space="0"/>
              <w:left w:val="double" w:color="auto" w:sz="2" w:space="0"/>
              <w:bottom w:val="single" w:color="auto" w:sz="6" w:space="0"/>
              <w:right w:val="single" w:color="auto" w:sz="4" w:space="0"/>
            </w:tcBorders>
            <w:shd w:val="clear" w:color="auto" w:fill="auto"/>
            <w:noWrap w:val="0"/>
            <w:tcMar>
              <w:left w:w="0" w:type="dxa"/>
              <w:right w:w="0" w:type="dxa"/>
            </w:tcMar>
            <w:vAlign w:val="center"/>
          </w:tcPr>
          <w:p w14:paraId="6DD1211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.1</w:t>
            </w:r>
          </w:p>
        </w:tc>
        <w:tc>
          <w:tcPr>
            <w:tcW w:w="1422"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29E2F0D7">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不良行为记录</w:t>
            </w:r>
          </w:p>
        </w:tc>
        <w:tc>
          <w:tcPr>
            <w:tcW w:w="3146" w:type="pct"/>
            <w:tcBorders>
              <w:top w:val="single" w:color="auto" w:sz="6" w:space="0"/>
              <w:left w:val="nil"/>
              <w:bottom w:val="single" w:color="auto" w:sz="6" w:space="0"/>
              <w:right w:val="double" w:color="auto" w:sz="2" w:space="0"/>
            </w:tcBorders>
            <w:noWrap w:val="0"/>
            <w:tcMar>
              <w:left w:w="0" w:type="dxa"/>
              <w:right w:w="0" w:type="dxa"/>
            </w:tcMar>
            <w:vAlign w:val="center"/>
          </w:tcPr>
          <w:p w14:paraId="6DD3574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不良行为记录是指：地方政府、政府部门颁发的规章或规范性文件所提到的不良行为记录。其“不良行为”，是指行业各方主体和从业人员的不良市场行为，即在从事该行业活动中，违反国家和省有关法律、法规、规章、强制性标准条文、规范、规程及规范性文件等行为。对这些不良行为的记录，存放在有关行政管理部门。</w:t>
            </w:r>
          </w:p>
        </w:tc>
      </w:tr>
      <w:tr w14:paraId="2955A6BF">
        <w:tblPrEx>
          <w:tblCellMar>
            <w:top w:w="0" w:type="dxa"/>
            <w:left w:w="108" w:type="dxa"/>
            <w:bottom w:w="0" w:type="dxa"/>
            <w:right w:w="108" w:type="dxa"/>
          </w:tblCellMar>
        </w:tblPrEx>
        <w:trPr>
          <w:trHeight w:val="577" w:hRule="exac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17E158F8">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2</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1931C59E">
            <w:pPr>
              <w:pageBreakBefore w:val="0"/>
              <w:kinsoku/>
              <w:overflowPunct/>
              <w:topLinePunct w:val="0"/>
              <w:bidi w:val="0"/>
              <w:spacing w:line="44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最高投标限价</w:t>
            </w:r>
          </w:p>
        </w:tc>
        <w:tc>
          <w:tcPr>
            <w:tcW w:w="3146" w:type="pct"/>
            <w:tcBorders>
              <w:top w:val="single" w:color="auto" w:sz="6" w:space="0"/>
              <w:left w:val="nil"/>
              <w:bottom w:val="single" w:color="auto" w:sz="6" w:space="0"/>
              <w:right w:val="double" w:color="auto" w:sz="2" w:space="0"/>
            </w:tcBorders>
            <w:noWrap w:val="0"/>
            <w:tcMar>
              <w:left w:w="0" w:type="dxa"/>
              <w:right w:w="0" w:type="dxa"/>
            </w:tcMar>
            <w:vAlign w:val="center"/>
          </w:tcPr>
          <w:p w14:paraId="780531AF">
            <w:pPr>
              <w:pageBreakBefore w:val="0"/>
              <w:kinsoku/>
              <w:overflowPunct/>
              <w:topLinePunct w:val="0"/>
              <w:bidi w:val="0"/>
              <w:spacing w:line="440" w:lineRule="exact"/>
              <w:rPr>
                <w:rFonts w:hint="default" w:ascii="宋体" w:hAnsi="宋体" w:eastAsia="宋体" w:cs="宋体"/>
                <w:color w:val="auto"/>
                <w:highlight w:val="none"/>
                <w:lang w:val="en-US"/>
              </w:rPr>
            </w:pPr>
            <w:r>
              <w:rPr>
                <w:rFonts w:hint="eastAsia" w:ascii="宋体" w:hAnsi="宋体" w:eastAsia="宋体" w:cs="宋体"/>
                <w:color w:val="000000"/>
                <w:highlight w:val="none"/>
                <w:lang w:val="en-US" w:eastAsia="zh-CN"/>
              </w:rPr>
              <w:t>360万</w:t>
            </w:r>
          </w:p>
        </w:tc>
      </w:tr>
      <w:tr w14:paraId="61926C53">
        <w:tblPrEx>
          <w:tblCellMar>
            <w:top w:w="0" w:type="dxa"/>
            <w:left w:w="108" w:type="dxa"/>
            <w:bottom w:w="0" w:type="dxa"/>
            <w:right w:w="108" w:type="dxa"/>
          </w:tblCellMar>
        </w:tblPrEx>
        <w:trPr>
          <w:trHeight w:val="919" w:hRule="exac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0FDB03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3</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12FA6717">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招标代理服务费</w:t>
            </w:r>
          </w:p>
        </w:tc>
        <w:tc>
          <w:tcPr>
            <w:tcW w:w="3146" w:type="pct"/>
            <w:tcBorders>
              <w:top w:val="single" w:color="auto" w:sz="6" w:space="0"/>
              <w:left w:val="nil"/>
              <w:bottom w:val="single" w:color="auto" w:sz="6" w:space="0"/>
              <w:right w:val="double" w:color="auto" w:sz="2" w:space="0"/>
            </w:tcBorders>
            <w:noWrap w:val="0"/>
            <w:vAlign w:val="center"/>
          </w:tcPr>
          <w:p w14:paraId="0BED4A05">
            <w:pPr>
              <w:pageBreakBefore w:val="0"/>
              <w:kinsoku/>
              <w:overflowPunct/>
              <w:topLinePunct w:val="0"/>
              <w:bidi w:val="0"/>
              <w:spacing w:line="440" w:lineRule="exac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执行发改办价格[2015]299号文件收费标准收取，向中标人收取。</w:t>
            </w:r>
          </w:p>
        </w:tc>
      </w:tr>
      <w:tr w14:paraId="2C05D2C4">
        <w:tblPrEx>
          <w:tblCellMar>
            <w:top w:w="0" w:type="dxa"/>
            <w:left w:w="108" w:type="dxa"/>
            <w:bottom w:w="0" w:type="dxa"/>
            <w:right w:w="108" w:type="dxa"/>
          </w:tblCellMar>
        </w:tblPrEx>
        <w:trPr>
          <w:trHeight w:val="687" w:hRule="exac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3DD62E0">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4</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34DDB45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付款方式</w:t>
            </w:r>
          </w:p>
        </w:tc>
        <w:tc>
          <w:tcPr>
            <w:tcW w:w="3146" w:type="pct"/>
            <w:tcBorders>
              <w:top w:val="single" w:color="auto" w:sz="6" w:space="0"/>
              <w:left w:val="nil"/>
              <w:bottom w:val="single" w:color="auto" w:sz="6" w:space="0"/>
              <w:right w:val="double" w:color="auto" w:sz="2" w:space="0"/>
            </w:tcBorders>
            <w:noWrap w:val="0"/>
            <w:vAlign w:val="center"/>
          </w:tcPr>
          <w:p w14:paraId="4F5729C6">
            <w:pPr>
              <w:pageBreakBefore w:val="0"/>
              <w:kinsoku/>
              <w:overflowPunct/>
              <w:topLinePunct w:val="0"/>
              <w:bidi w:val="0"/>
              <w:spacing w:line="440" w:lineRule="exact"/>
              <w:rPr>
                <w:rFonts w:hint="eastAsia" w:ascii="宋体" w:hAnsi="宋体" w:eastAsia="宋体" w:cs="宋体"/>
                <w:color w:val="000000"/>
                <w:highlight w:val="none"/>
                <w:lang w:val="en-US"/>
              </w:rPr>
            </w:pPr>
            <w:r>
              <w:rPr>
                <w:rFonts w:hint="eastAsia" w:ascii="宋体" w:hAnsi="宋体" w:eastAsia="宋体" w:cs="宋体"/>
                <w:color w:val="000000"/>
                <w:highlight w:val="none"/>
                <w:lang w:val="en-US"/>
              </w:rPr>
              <w:t>甲乙双方合同中另行约定</w:t>
            </w:r>
          </w:p>
        </w:tc>
      </w:tr>
      <w:tr w14:paraId="5583B2FA">
        <w:tblPrEx>
          <w:tblCellMar>
            <w:top w:w="0" w:type="dxa"/>
            <w:left w:w="108" w:type="dxa"/>
            <w:bottom w:w="0" w:type="dxa"/>
            <w:right w:w="108" w:type="dxa"/>
          </w:tblCellMar>
        </w:tblPrEx>
        <w:trPr>
          <w:trHeight w:val="1370" w:hRule="exac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D1F98D6">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5</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1C8D6EAF">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中标公示</w:t>
            </w:r>
          </w:p>
        </w:tc>
        <w:tc>
          <w:tcPr>
            <w:tcW w:w="3146" w:type="pct"/>
            <w:tcBorders>
              <w:top w:val="single" w:color="auto" w:sz="6" w:space="0"/>
              <w:left w:val="nil"/>
              <w:bottom w:val="single" w:color="auto" w:sz="6" w:space="0"/>
              <w:right w:val="double" w:color="auto" w:sz="2" w:space="0"/>
            </w:tcBorders>
            <w:noWrap w:val="0"/>
            <w:vAlign w:val="center"/>
          </w:tcPr>
          <w:p w14:paraId="32EA9F6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在中标通知书发出的同时，采购人将中标结果情况在招标公告发布同一媒介予以公示，公示期不少于1个工作日。</w:t>
            </w:r>
          </w:p>
        </w:tc>
      </w:tr>
      <w:tr w14:paraId="671F87DA">
        <w:tblPrEx>
          <w:tblCellMar>
            <w:top w:w="0" w:type="dxa"/>
            <w:left w:w="108" w:type="dxa"/>
            <w:bottom w:w="0" w:type="dxa"/>
            <w:right w:w="108" w:type="dxa"/>
          </w:tblCellMar>
        </w:tblPrEx>
        <w:trPr>
          <w:trHeight w:val="1164" w:hRule="exac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2D2E2CD">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6</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77D84BF7">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监督</w:t>
            </w:r>
          </w:p>
        </w:tc>
        <w:tc>
          <w:tcPr>
            <w:tcW w:w="3146" w:type="pct"/>
            <w:tcBorders>
              <w:top w:val="single" w:color="auto" w:sz="6" w:space="0"/>
              <w:left w:val="nil"/>
              <w:bottom w:val="single" w:color="auto" w:sz="6" w:space="0"/>
              <w:right w:val="double" w:color="auto" w:sz="2" w:space="0"/>
            </w:tcBorders>
            <w:noWrap w:val="0"/>
            <w:vAlign w:val="center"/>
          </w:tcPr>
          <w:p w14:paraId="3BD1DD1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本项目的招标投标活动及其相关当事人应当接受有管辖权的招标投标行政监督部门依法实施的监督。</w:t>
            </w:r>
          </w:p>
        </w:tc>
      </w:tr>
      <w:tr w14:paraId="7F52B79A">
        <w:tblPrEx>
          <w:tblCellMar>
            <w:top w:w="0" w:type="dxa"/>
            <w:left w:w="108" w:type="dxa"/>
            <w:bottom w:w="0" w:type="dxa"/>
            <w:right w:w="108" w:type="dxa"/>
          </w:tblCellMar>
        </w:tblPrEx>
        <w:trPr>
          <w:trHeight w:val="2338" w:hRule="atLeas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1BC7301E">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7</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0CD15C64">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解释权</w:t>
            </w:r>
          </w:p>
        </w:tc>
        <w:tc>
          <w:tcPr>
            <w:tcW w:w="3146" w:type="pct"/>
            <w:tcBorders>
              <w:top w:val="single" w:color="auto" w:sz="6" w:space="0"/>
              <w:left w:val="nil"/>
              <w:bottom w:val="single" w:color="auto" w:sz="6" w:space="0"/>
              <w:right w:val="double" w:color="auto" w:sz="2" w:space="0"/>
            </w:tcBorders>
            <w:noWrap w:val="0"/>
            <w:vAlign w:val="center"/>
          </w:tcPr>
          <w:p w14:paraId="0129B55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F36F312">
        <w:tblPrEx>
          <w:tblCellMar>
            <w:top w:w="0" w:type="dxa"/>
            <w:left w:w="108" w:type="dxa"/>
            <w:bottom w:w="0" w:type="dxa"/>
            <w:right w:w="108" w:type="dxa"/>
          </w:tblCellMar>
        </w:tblPrEx>
        <w:trPr>
          <w:trHeight w:val="431" w:hRule="atLeas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4940674D">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8</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71CB6F95">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履约保证金</w:t>
            </w:r>
          </w:p>
        </w:tc>
        <w:tc>
          <w:tcPr>
            <w:tcW w:w="3146" w:type="pct"/>
            <w:tcBorders>
              <w:top w:val="single" w:color="auto" w:sz="6" w:space="0"/>
              <w:left w:val="nil"/>
              <w:bottom w:val="single" w:color="auto" w:sz="6" w:space="0"/>
              <w:right w:val="double" w:color="auto" w:sz="2" w:space="0"/>
            </w:tcBorders>
            <w:noWrap w:val="0"/>
            <w:vAlign w:val="center"/>
          </w:tcPr>
          <w:p w14:paraId="496CE422">
            <w:pPr>
              <w:pageBreakBefore w:val="0"/>
              <w:kinsoku/>
              <w:overflowPunct/>
              <w:topLinePunct w:val="0"/>
              <w:bidi w:val="0"/>
              <w:spacing w:line="440" w:lineRule="exact"/>
              <w:jc w:val="both"/>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无</w:t>
            </w:r>
          </w:p>
        </w:tc>
      </w:tr>
      <w:tr w14:paraId="71190A73">
        <w:tblPrEx>
          <w:tblCellMar>
            <w:top w:w="0" w:type="dxa"/>
            <w:left w:w="108" w:type="dxa"/>
            <w:bottom w:w="0" w:type="dxa"/>
            <w:right w:w="108" w:type="dxa"/>
          </w:tblCellMar>
        </w:tblPrEx>
        <w:trPr>
          <w:trHeight w:val="481" w:hRule="atLeas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44B692C2">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9</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4E26BE8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类似项目</w:t>
            </w:r>
          </w:p>
        </w:tc>
        <w:tc>
          <w:tcPr>
            <w:tcW w:w="3146" w:type="pct"/>
            <w:tcBorders>
              <w:top w:val="single" w:color="auto" w:sz="6" w:space="0"/>
              <w:left w:val="nil"/>
              <w:bottom w:val="single" w:color="auto" w:sz="6" w:space="0"/>
              <w:right w:val="double" w:color="auto" w:sz="2" w:space="0"/>
            </w:tcBorders>
            <w:noWrap w:val="0"/>
            <w:vAlign w:val="center"/>
          </w:tcPr>
          <w:p w14:paraId="2C4DBEE7">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近三年（202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rPr>
              <w:t>年</w:t>
            </w:r>
            <w:r>
              <w:rPr>
                <w:rFonts w:hint="eastAsia" w:ascii="宋体" w:hAnsi="宋体" w:eastAsia="宋体" w:cs="宋体"/>
                <w:color w:val="000000"/>
                <w:highlight w:val="none"/>
                <w:lang w:val="en-US" w:eastAsia="zh-CN"/>
              </w:rPr>
              <w:t>12月1日-</w:t>
            </w:r>
            <w:r>
              <w:rPr>
                <w:rFonts w:hint="eastAsia" w:ascii="宋体" w:hAnsi="宋体" w:eastAsia="宋体" w:cs="宋体"/>
                <w:color w:val="000000"/>
                <w:highlight w:val="none"/>
                <w:lang w:val="zh-CN"/>
              </w:rPr>
              <w:t>至</w:t>
            </w:r>
            <w:r>
              <w:rPr>
                <w:rFonts w:hint="eastAsia" w:ascii="宋体" w:hAnsi="宋体" w:eastAsia="宋体" w:cs="宋体"/>
                <w:color w:val="000000"/>
                <w:highlight w:val="none"/>
                <w:lang w:val="en-US" w:eastAsia="zh-CN"/>
              </w:rPr>
              <w:t>2024年12月31日</w:t>
            </w:r>
            <w:r>
              <w:rPr>
                <w:rFonts w:hint="eastAsia" w:ascii="宋体" w:hAnsi="宋体" w:eastAsia="宋体" w:cs="宋体"/>
                <w:color w:val="000000"/>
                <w:highlight w:val="none"/>
                <w:lang w:val="zh-CN"/>
              </w:rPr>
              <w:t>）</w:t>
            </w:r>
          </w:p>
        </w:tc>
      </w:tr>
      <w:tr w14:paraId="02994C15">
        <w:tblPrEx>
          <w:tblCellMar>
            <w:top w:w="0" w:type="dxa"/>
            <w:left w:w="108" w:type="dxa"/>
            <w:bottom w:w="0" w:type="dxa"/>
            <w:right w:w="108" w:type="dxa"/>
          </w:tblCellMar>
        </w:tblPrEx>
        <w:trPr>
          <w:trHeight w:val="481" w:hRule="atLeast"/>
          <w:jc w:val="center"/>
        </w:trPr>
        <w:tc>
          <w:tcPr>
            <w:tcW w:w="431"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34DF66D4">
            <w:pPr>
              <w:pageBreakBefore w:val="0"/>
              <w:kinsoku/>
              <w:overflowPunct/>
              <w:topLinePunct w:val="0"/>
              <w:bidi w:val="0"/>
              <w:spacing w:line="440" w:lineRule="exact"/>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lang w:val="en-US" w:eastAsia="zh-CN"/>
              </w:rPr>
              <w:t>10</w:t>
            </w:r>
          </w:p>
        </w:tc>
        <w:tc>
          <w:tcPr>
            <w:tcW w:w="1422"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3CBED8E7">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lang w:val="zh-CN"/>
              </w:rPr>
              <w:t>其他要求</w:t>
            </w:r>
          </w:p>
        </w:tc>
        <w:tc>
          <w:tcPr>
            <w:tcW w:w="3146" w:type="pct"/>
            <w:tcBorders>
              <w:top w:val="single" w:color="auto" w:sz="6" w:space="0"/>
              <w:left w:val="nil"/>
              <w:bottom w:val="single" w:color="auto" w:sz="6" w:space="0"/>
              <w:right w:val="double" w:color="auto" w:sz="2" w:space="0"/>
            </w:tcBorders>
            <w:shd w:val="clear" w:color="auto" w:fill="auto"/>
            <w:noWrap w:val="0"/>
            <w:vAlign w:val="center"/>
          </w:tcPr>
          <w:p w14:paraId="73D8E99C">
            <w:pPr>
              <w:pageBreakBefore w:val="0"/>
              <w:numPr>
                <w:ilvl w:val="0"/>
                <w:numId w:val="2"/>
              </w:numPr>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企业名称不同但法定代表人为同一个自然人的两个或者两个以上的供应商不得参加同一采购项目的报价。如果出现上述情况，相关供应商的报价均将被拒绝；</w:t>
            </w:r>
          </w:p>
          <w:p w14:paraId="3AE5CA32">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电子标说明：</w:t>
            </w:r>
          </w:p>
          <w:p w14:paraId="35F11370">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一、上传的电子证件及资料均需按要求签字盖章上传，否则按未签章处理。</w:t>
            </w:r>
          </w:p>
          <w:p w14:paraId="04F0E2B9">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 xml:space="preserve">投标人在政府采购云平台（网址：http:// </w:t>
            </w:r>
            <w:r>
              <w:rPr>
                <w:rFonts w:hint="eastAsia" w:ascii="宋体" w:hAnsi="宋体" w:eastAsia="宋体" w:cs="宋体"/>
                <w:color w:val="000000"/>
                <w:highlight w:val="none"/>
                <w:lang w:val="zh-CN"/>
              </w:rPr>
              <w:fldChar w:fldCharType="begin"/>
            </w:r>
            <w:r>
              <w:rPr>
                <w:rFonts w:hint="eastAsia" w:ascii="宋体" w:hAnsi="宋体" w:eastAsia="宋体" w:cs="宋体"/>
                <w:color w:val="000000"/>
                <w:highlight w:val="none"/>
                <w:lang w:val="zh-CN"/>
              </w:rPr>
              <w:instrText xml:space="preserve"> HYPERLINK "http://www.zcygov.cn）通过数字证书制作投标文件1份（此投标文件需上传至政府采购云平台，" </w:instrText>
            </w:r>
            <w:r>
              <w:rPr>
                <w:rFonts w:hint="eastAsia" w:ascii="宋体" w:hAnsi="宋体" w:eastAsia="宋体" w:cs="宋体"/>
                <w:color w:val="000000"/>
                <w:highlight w:val="none"/>
                <w:lang w:val="zh-CN"/>
              </w:rPr>
              <w:fldChar w:fldCharType="separate"/>
            </w:r>
            <w:r>
              <w:rPr>
                <w:rFonts w:hint="eastAsia" w:ascii="宋体" w:hAnsi="宋体" w:eastAsia="宋体" w:cs="宋体"/>
                <w:color w:val="000000"/>
                <w:highlight w:val="none"/>
                <w:lang w:val="zh-CN"/>
              </w:rPr>
              <w:t>www.zcygov.cn）通过数字证书制作投标文件1份（此投标文件需上传至政府采购云平台</w:t>
            </w:r>
            <w:r>
              <w:rPr>
                <w:rFonts w:hint="eastAsia" w:ascii="宋体" w:hAnsi="宋体" w:eastAsia="宋体" w:cs="宋体"/>
                <w:color w:val="000000"/>
                <w:highlight w:val="none"/>
                <w:lang w:val="zh-CN"/>
              </w:rPr>
              <w:fldChar w:fldCharType="end"/>
            </w:r>
            <w:r>
              <w:rPr>
                <w:rFonts w:hint="eastAsia" w:ascii="宋体" w:hAnsi="宋体" w:eastAsia="宋体" w:cs="宋体"/>
                <w:color w:val="000000"/>
                <w:highlight w:val="none"/>
                <w:lang w:val="zh-CN"/>
              </w:rPr>
              <w:t>）。</w:t>
            </w:r>
            <w:r>
              <w:rPr>
                <w:rFonts w:hint="eastAsia" w:ascii="宋体" w:hAnsi="宋体" w:eastAsia="宋体" w:cs="宋体"/>
                <w:color w:val="000000"/>
                <w:highlight w:val="none"/>
                <w:lang w:val="en-US" w:eastAsia="zh-CN"/>
              </w:rPr>
              <w:t>开标时远程解密。</w:t>
            </w:r>
          </w:p>
          <w:p w14:paraId="3DC809A7">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二、电子投标文件中反应投标人资格审查的图片、扫描件、文字描述等，必须清晰可见。其中所有证书和执照必须为原件扫描。</w:t>
            </w:r>
          </w:p>
          <w:p w14:paraId="6FFFA8CB">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三、若投标人上传的电子投标文件因无法解密而对投标文件无法进行评价的，采购人可以拒绝该投标人投标。</w:t>
            </w:r>
          </w:p>
          <w:p w14:paraId="14597F1B">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四、当纸质投标文件与电子投标文件不一致时，以电子投标文件为准。</w:t>
            </w:r>
          </w:p>
          <w:p w14:paraId="7DD8FC67">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lang w:val="zh-CN"/>
              </w:rPr>
              <w:t>备注：投标文件电子版(U盘)按招标文件规定执行，用数字证书编制的电子版按《政府采购项目电子交易管理操作指南-供应商》进行投标操作。</w:t>
            </w:r>
          </w:p>
        </w:tc>
      </w:tr>
      <w:tr w14:paraId="03AC451C">
        <w:tblPrEx>
          <w:tblCellMar>
            <w:top w:w="0" w:type="dxa"/>
            <w:left w:w="108" w:type="dxa"/>
            <w:bottom w:w="0" w:type="dxa"/>
            <w:right w:w="108" w:type="dxa"/>
          </w:tblCellMar>
        </w:tblPrEx>
        <w:trPr>
          <w:trHeight w:val="558"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606BF94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highlight w:val="none"/>
              </w:rPr>
              <w:t>中小企业声明函中项目采购标的对应的企业划分标准所属行业为</w:t>
            </w:r>
            <w:r>
              <w:rPr>
                <w:rFonts w:hint="eastAsia" w:ascii="宋体" w:hAnsi="宋体" w:eastAsia="宋体" w:cs="宋体"/>
                <w:b/>
                <w:bCs/>
                <w:highlight w:val="none"/>
                <w:lang w:val="en-US" w:eastAsia="zh-CN"/>
              </w:rPr>
              <w:t>其他未列明行业</w:t>
            </w:r>
            <w:r>
              <w:rPr>
                <w:rFonts w:hint="eastAsia" w:ascii="宋体" w:hAnsi="宋体" w:eastAsia="宋体" w:cs="宋体"/>
                <w:highlight w:val="none"/>
              </w:rPr>
              <w:t>。</w:t>
            </w:r>
          </w:p>
        </w:tc>
      </w:tr>
      <w:tr w14:paraId="78DC4533">
        <w:tblPrEx>
          <w:tblCellMar>
            <w:top w:w="0" w:type="dxa"/>
            <w:left w:w="108" w:type="dxa"/>
            <w:bottom w:w="0" w:type="dxa"/>
            <w:right w:w="108" w:type="dxa"/>
          </w:tblCellMar>
        </w:tblPrEx>
        <w:trPr>
          <w:trHeight w:val="640"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D346D3B">
            <w:pPr>
              <w:pageBreakBefore w:val="0"/>
              <w:tabs>
                <w:tab w:val="left" w:pos="0"/>
              </w:tabs>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依据《政府采购促进中小企业发展管理办法》规定享受扶持政策获得政府采购合同的，小微企业不得将合同分包给大中型企业，中型企业不得将合同分包给大型企业。</w:t>
            </w:r>
          </w:p>
        </w:tc>
      </w:tr>
      <w:tr w14:paraId="54D98C5E">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090F602C">
            <w:pPr>
              <w:pageBreakBefore w:val="0"/>
              <w:kinsoku/>
              <w:overflowPunct/>
              <w:topLinePunct w:val="0"/>
              <w:bidi w:val="0"/>
              <w:spacing w:line="440" w:lineRule="exact"/>
              <w:rPr>
                <w:rFonts w:hint="eastAsia" w:ascii="宋体" w:hAnsi="宋体" w:eastAsia="宋体" w:cs="宋体"/>
                <w:b/>
                <w:bCs/>
                <w:color w:val="auto"/>
              </w:rPr>
            </w:pPr>
            <w:r>
              <w:rPr>
                <w:rFonts w:hint="eastAsia" w:ascii="宋体" w:hAnsi="宋体" w:eastAsia="宋体" w:cs="宋体"/>
                <w:b/>
                <w:bCs/>
                <w:color w:val="auto"/>
              </w:rPr>
              <w:t>政府采购支持中小企业（含监狱企业）发展：</w:t>
            </w:r>
          </w:p>
          <w:p w14:paraId="7588D0D3">
            <w:pPr>
              <w:pageBreakBefore w:val="0"/>
              <w:kinsoku/>
              <w:overflowPunct/>
              <w:topLinePunct w:val="0"/>
              <w:bidi w:val="0"/>
              <w:spacing w:line="440" w:lineRule="exac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专门面向中小企业采购（应同时在招标公告中注明）。</w:t>
            </w:r>
          </w:p>
          <w:p w14:paraId="3D95AA2B">
            <w:pPr>
              <w:pageBreakBefore w:val="0"/>
              <w:kinsoku/>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rPr>
              <w:sym w:font="Wingdings" w:char="00A8"/>
            </w:r>
            <w:r>
              <w:rPr>
                <w:rFonts w:hint="eastAsia" w:ascii="宋体" w:hAnsi="宋体" w:eastAsia="宋体" w:cs="宋体"/>
                <w:color w:val="auto"/>
              </w:rPr>
              <w:t xml:space="preserve"> 非专门面向中小企业采购：对于小型或微型企业（含监狱企业）参与本项目投标的，</w:t>
            </w:r>
            <w:r>
              <w:rPr>
                <w:rFonts w:hint="eastAsia" w:ascii="宋体" w:hAnsi="宋体" w:eastAsia="宋体" w:cs="宋体"/>
                <w:color w:val="auto"/>
                <w:highlight w:val="none"/>
              </w:rPr>
              <w:t>给予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%的价格扣除。</w:t>
            </w:r>
          </w:p>
          <w:p w14:paraId="17EC5898">
            <w:pPr>
              <w:pageBreakBefore w:val="0"/>
              <w:kinsoku/>
              <w:overflowPunct/>
              <w:topLinePunct w:val="0"/>
              <w:bidi w:val="0"/>
              <w:spacing w:line="440" w:lineRule="exact"/>
              <w:rPr>
                <w:rFonts w:hint="eastAsia" w:ascii="宋体" w:hAnsi="宋体" w:eastAsia="宋体" w:cs="宋体"/>
                <w:color w:val="auto"/>
              </w:rPr>
            </w:pPr>
            <w:r>
              <w:rPr>
                <w:rFonts w:hint="eastAsia" w:ascii="宋体" w:hAnsi="宋体" w:eastAsia="宋体" w:cs="宋体"/>
                <w:color w:val="auto"/>
              </w:rPr>
              <w:t>注：1）</w:t>
            </w:r>
            <w:r>
              <w:rPr>
                <w:rFonts w:hint="eastAsia" w:ascii="宋体" w:hAnsi="宋体" w:eastAsia="宋体" w:cs="宋体"/>
                <w:color w:val="auto"/>
                <w:lang w:val="en-US" w:eastAsia="zh-CN"/>
              </w:rPr>
              <w:t>投标人</w:t>
            </w:r>
            <w:r>
              <w:rPr>
                <w:rFonts w:hint="eastAsia" w:ascii="宋体" w:hAnsi="宋体" w:eastAsia="宋体" w:cs="宋体"/>
                <w:color w:val="auto"/>
              </w:rPr>
              <w:t>应当提供《中小企业声明函》</w:t>
            </w:r>
            <w:r>
              <w:rPr>
                <w:rFonts w:hint="eastAsia" w:ascii="宋体" w:hAnsi="宋体" w:eastAsia="宋体" w:cs="宋体"/>
                <w:color w:val="auto"/>
                <w:lang w:eastAsia="zh-CN"/>
              </w:rPr>
              <w:t>。</w:t>
            </w:r>
          </w:p>
          <w:p w14:paraId="277DA1A9">
            <w:pPr>
              <w:pageBreakBefore w:val="0"/>
              <w:numPr>
                <w:ilvl w:val="0"/>
                <w:numId w:val="3"/>
              </w:numPr>
              <w:kinsoku/>
              <w:overflowPunct/>
              <w:topLinePunct w:val="0"/>
              <w:bidi w:val="0"/>
              <w:spacing w:line="440" w:lineRule="exact"/>
              <w:jc w:val="left"/>
              <w:rPr>
                <w:rFonts w:hint="eastAsia" w:ascii="宋体" w:hAnsi="宋体" w:eastAsia="宋体" w:cs="宋体"/>
                <w:color w:val="auto"/>
              </w:rPr>
            </w:pPr>
            <w:r>
              <w:rPr>
                <w:rFonts w:hint="eastAsia" w:ascii="宋体" w:hAnsi="宋体" w:eastAsia="宋体" w:cs="宋体"/>
                <w:color w:val="auto"/>
              </w:rPr>
              <w:t xml:space="preserve">监狱企业参加政府采购活动时，应当提供由省级以上监狱管理局、戒毒管理局（含新疆生产建设兵团）出具的属于监狱企业的证明文件。 </w:t>
            </w:r>
          </w:p>
          <w:p w14:paraId="111A6B3F">
            <w:pPr>
              <w:pageBreakBefore w:val="0"/>
              <w:numPr>
                <w:ilvl w:val="0"/>
                <w:numId w:val="3"/>
              </w:numPr>
              <w:tabs>
                <w:tab w:val="left" w:pos="0"/>
              </w:tabs>
              <w:kinsoku/>
              <w:overflowPunct/>
              <w:topLinePunct w:val="0"/>
              <w:bidi w:val="0"/>
              <w:spacing w:line="440" w:lineRule="exact"/>
              <w:ind w:left="0" w:leftChars="0" w:firstLine="0" w:firstLine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在政府采购活动中，残疾人福利性单位视同小型、微型企业，符合条件的残疾人福利性单位应当提供《残疾人福利性单位声明函》，并对声明的真实性负责。</w:t>
            </w:r>
          </w:p>
          <w:p w14:paraId="41D7FEA7">
            <w:pPr>
              <w:pageBreakBefore w:val="0"/>
              <w:numPr>
                <w:ilvl w:val="0"/>
                <w:numId w:val="0"/>
              </w:numPr>
              <w:tabs>
                <w:tab w:val="left" w:pos="0"/>
              </w:tabs>
              <w:kinsoku/>
              <w:overflowPunct/>
              <w:topLinePunct w:val="0"/>
              <w:bidi w:val="0"/>
              <w:spacing w:line="440" w:lineRule="exact"/>
              <w:ind w:lef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强制、优先采购节能产品、环境标志产品政策</w:t>
            </w:r>
          </w:p>
          <w:p w14:paraId="5A0469F2">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（一）政策依据</w:t>
            </w:r>
          </w:p>
          <w:p w14:paraId="49E17252">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1、财政部 发展改革委 生态环境部 市场监管总局《关于调整优化节能产品、环境标志产品政府采购执行机制的通知》（财库〔2019〕9号）。</w:t>
            </w:r>
          </w:p>
          <w:p w14:paraId="4184A036">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2、财政部 生态环境部《关于印发环境标志产品政府采购品目清单的通知》（财库〔2019〕18号）。</w:t>
            </w:r>
          </w:p>
          <w:p w14:paraId="58E69424">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3、财政部 发展改革委《关于印发节能产品政府采购品目清单的通知》（财库〔2019〕19号）。</w:t>
            </w:r>
          </w:p>
          <w:p w14:paraId="38E2A532">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（二）节能产品、环境标志产品的品目</w:t>
            </w:r>
          </w:p>
          <w:p w14:paraId="2449F9FC">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政府采购节能产品、环境标志产品实施品目清单管理，详见《节能产品政府采购品目清单》、《环境标志产品政府采购品目清单》。</w:t>
            </w:r>
          </w:p>
          <w:p w14:paraId="295CBF61">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（三）节能产品、环境标志产品需提供的证明材料</w:t>
            </w:r>
          </w:p>
          <w:p w14:paraId="5E5BFAA4">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采购人拟采购的产品属于品目清单范围的，供应商应当提供《节能产品、环境标志产品强制采购认证证书一览表》和《节能产品、环境标志产品优先采购认证证书一览表》（格式自拟），填写获得国家确定的认证机构出具的、处于有效期之内的节能产品、环境标志产品认证证书相关信息，并在相应表格后提供对应的认证证书扫描件。</w:t>
            </w:r>
          </w:p>
          <w:p w14:paraId="1E7B42C3">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（四）节能产品、环境标志产品采购政策</w:t>
            </w:r>
          </w:p>
          <w:p w14:paraId="4A8790FD">
            <w:pPr>
              <w:pageBreakBefore w:val="0"/>
              <w:kinsoku/>
              <w:overflowPunct/>
              <w:topLinePunct w:val="0"/>
              <w:bidi w:val="0"/>
              <w:spacing w:line="440" w:lineRule="exact"/>
              <w:rPr>
                <w:rFonts w:hint="eastAsia" w:ascii="宋体" w:hAnsi="宋体" w:eastAsia="宋体" w:cs="宋体"/>
                <w:b w:val="0"/>
                <w:bCs w:val="0"/>
                <w:color w:val="auto"/>
                <w:lang w:val="en-US" w:eastAsia="zh-CN"/>
              </w:rPr>
            </w:pPr>
            <w:r>
              <w:rPr>
                <w:rFonts w:hint="eastAsia" w:ascii="宋体" w:hAnsi="宋体" w:eastAsia="宋体" w:cs="宋体"/>
                <w:color w:val="auto"/>
                <w:lang w:val="en-US" w:eastAsia="zh-CN"/>
              </w:rPr>
              <w:t>采购人拟采购的产品属于品目清单范围，且属于强制采购品目的，实行强制采购。本采购文件第五章要求具有强制采购认证证书的产品，供应商必须在《节能产品、环境标志产品强制采购认证证书一览表</w:t>
            </w:r>
            <w:r>
              <w:rPr>
                <w:rFonts w:hint="eastAsia" w:ascii="宋体" w:hAnsi="宋体" w:eastAsia="宋体" w:cs="宋体"/>
                <w:b w:val="0"/>
                <w:bCs w:val="0"/>
                <w:color w:val="auto"/>
                <w:lang w:val="en-US" w:eastAsia="zh-CN"/>
              </w:rPr>
              <w:t>》中，填写所投产品获得的、有效的认证证书相关信息，并提供对应的认证证书扫描件，否则投标、响应无效。</w:t>
            </w:r>
          </w:p>
          <w:p w14:paraId="6D6C739C">
            <w:pPr>
              <w:pageBreakBefore w:val="0"/>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（五）对于列入财政部、国家发改委、信息产业部发布的《无线局域网认证产品政府采购清单》的产品，实行优先采购。优先采购的具体办法详见本采购文件第三章。</w:t>
            </w:r>
          </w:p>
          <w:p w14:paraId="31DE36B4">
            <w:pPr>
              <w:pageBreakBefore w:val="0"/>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六）。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三章。</w:t>
            </w:r>
          </w:p>
          <w:p w14:paraId="0208178B">
            <w:pPr>
              <w:pageBreakBefore w:val="0"/>
              <w:numPr>
                <w:ilvl w:val="0"/>
                <w:numId w:val="0"/>
              </w:numPr>
              <w:tabs>
                <w:tab w:val="left" w:pos="0"/>
              </w:tabs>
              <w:kinsoku/>
              <w:overflowPunct/>
              <w:topLinePunct w:val="0"/>
              <w:bidi w:val="0"/>
              <w:spacing w:line="440" w:lineRule="exact"/>
              <w:ind w:left="0" w:leftChars="0" w:firstLine="0" w:firstLineChars="0"/>
              <w:rPr>
                <w:rFonts w:hint="eastAsia" w:ascii="宋体" w:hAnsi="宋体" w:eastAsia="宋体" w:cs="宋体"/>
                <w:b/>
                <w:bCs/>
                <w:color w:val="000000"/>
                <w:highlight w:val="none"/>
                <w:lang w:val="zh-CN"/>
              </w:rPr>
            </w:pPr>
            <w:r>
              <w:rPr>
                <w:rFonts w:hint="eastAsia" w:ascii="宋体" w:hAnsi="宋体" w:eastAsia="宋体" w:cs="宋体"/>
                <w:highlight w:val="none"/>
              </w:rPr>
              <w:t>本项目按照吉林省财政厅《关于依托政府采购数字金融服务平台开展融资业务有关事项的通知》(吉财采购(2023] 721号)支持申请“政采合同贷”政策。“政采数金平台”联系电话：张经理0431-81888978柯经理0431-81888998。</w:t>
            </w:r>
          </w:p>
        </w:tc>
      </w:tr>
      <w:tr w14:paraId="444B3B98">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4B10F02A">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一、法律责任</w:t>
            </w:r>
          </w:p>
          <w:p w14:paraId="3DD81FBA">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投标人应当遵循诚实信用原则，对资格条件承诺函有关内容的真实性、有效性、合法性负责。如发现承诺内容与事实情况不相符，经调查核实为虚假承诺的，视同“提供虚假材料谋取中标(成交)”，按照《中华人民共和国政府采购法》第七十七条的有关规定进行处理处罚。</w:t>
            </w:r>
          </w:p>
          <w:p w14:paraId="153F179C">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二、不适用信用承诺的情形</w:t>
            </w:r>
          </w:p>
          <w:p w14:paraId="49BC164D">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1.被列入政府采购不良行为记录名单的，被禁止参加政府采购活动且尚在处罚有效期内的;</w:t>
            </w:r>
          </w:p>
          <w:p w14:paraId="10B6DF8B">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2.被有关部门列入失信被执行人、联合惩戒对象、严重违法失信行为记录等情形的;</w:t>
            </w:r>
          </w:p>
          <w:p w14:paraId="72410394">
            <w:pPr>
              <w:pageBreakBefore w:val="0"/>
              <w:tabs>
                <w:tab w:val="left" w:pos="0"/>
              </w:tabs>
              <w:kinsoku/>
              <w:overflowPunct/>
              <w:topLinePunct w:val="0"/>
              <w:bidi w:val="0"/>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b w:val="0"/>
                <w:bCs w:val="0"/>
                <w:color w:val="auto"/>
                <w:szCs w:val="21"/>
                <w:highlight w:val="none"/>
                <w:lang w:val="en-US" w:eastAsia="zh-CN"/>
              </w:rPr>
              <w:t>3.其他法律法规规定的不适用于资格条件信用承诺的情形。</w:t>
            </w:r>
          </w:p>
        </w:tc>
      </w:tr>
      <w:tr w14:paraId="4584FC49">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58405F24">
            <w:pPr>
              <w:pageBreakBefore w:val="0"/>
              <w:tabs>
                <w:tab w:val="left" w:pos="0"/>
              </w:tabs>
              <w:kinsoku/>
              <w:overflowPunct/>
              <w:topLinePunct w:val="0"/>
              <w:bidi w:val="0"/>
              <w:spacing w:line="440" w:lineRule="exact"/>
              <w:rPr>
                <w:rFonts w:hint="eastAsia" w:ascii="宋体" w:hAnsi="宋体" w:eastAsia="宋体" w:cs="宋体"/>
              </w:rPr>
            </w:pPr>
            <w:r>
              <w:rPr>
                <w:rFonts w:hint="eastAsia" w:ascii="宋体" w:hAnsi="宋体" w:eastAsia="宋体" w:cs="宋体"/>
              </w:rPr>
              <w:t>低于成本价不正当竞争预防措施</w:t>
            </w:r>
          </w:p>
          <w:p w14:paraId="6F71DEA6">
            <w:pPr>
              <w:pageBreakBefore w:val="0"/>
              <w:tabs>
                <w:tab w:val="left" w:pos="0"/>
              </w:tabs>
              <w:kinsoku/>
              <w:overflowPunct/>
              <w:topLinePunct w:val="0"/>
              <w:bidi w:val="0"/>
              <w:spacing w:line="440" w:lineRule="exact"/>
              <w:rPr>
                <w:rFonts w:hint="eastAsia" w:ascii="宋体" w:hAnsi="宋体" w:eastAsia="宋体" w:cs="宋体"/>
              </w:rPr>
            </w:pPr>
            <w:r>
              <w:rPr>
                <w:rFonts w:hint="eastAsia" w:ascii="宋体" w:hAnsi="宋体" w:eastAsia="宋体" w:cs="宋体"/>
              </w:rPr>
              <w:t>1. 在评审过程中，</w:t>
            </w:r>
            <w:r>
              <w:rPr>
                <w:rFonts w:hint="eastAsia" w:ascii="宋体" w:hAnsi="宋体" w:eastAsia="宋体" w:cs="宋体"/>
                <w:lang w:eastAsia="zh-CN"/>
              </w:rPr>
              <w:t>投标人</w:t>
            </w:r>
            <w:r>
              <w:rPr>
                <w:rFonts w:hint="eastAsia" w:ascii="宋体" w:hAnsi="宋体" w:eastAsia="宋体" w:cs="宋体"/>
              </w:rPr>
              <w:t>报价过低，有可能影响产品质量或者不能诚信履约的，评标委员会应当要求其在合理的时间内提供书面说明，并提交相关证明材料，</w:t>
            </w:r>
            <w:r>
              <w:rPr>
                <w:rFonts w:hint="eastAsia" w:ascii="宋体" w:hAnsi="宋体" w:eastAsia="宋体" w:cs="宋体"/>
                <w:lang w:eastAsia="zh-CN"/>
              </w:rPr>
              <w:t>投标人</w:t>
            </w:r>
            <w:r>
              <w:rPr>
                <w:rFonts w:hint="eastAsia" w:ascii="宋体" w:hAnsi="宋体" w:eastAsia="宋体" w:cs="宋体"/>
              </w:rPr>
              <w:t>不能证明其报价合理性的，评标委员会应当将其作为无效处理。</w:t>
            </w:r>
            <w:r>
              <w:rPr>
                <w:rFonts w:hint="eastAsia" w:ascii="宋体" w:hAnsi="宋体" w:eastAsia="宋体" w:cs="宋体"/>
                <w:lang w:eastAsia="zh-CN"/>
              </w:rPr>
              <w:t>投标人</w:t>
            </w:r>
            <w:r>
              <w:rPr>
                <w:rFonts w:hint="eastAsia" w:ascii="宋体" w:hAnsi="宋体" w:eastAsia="宋体" w:cs="宋体"/>
              </w:rPr>
              <w:t>的书面说明材料应当按照国家财务会计制度的规定要求，逐项就</w:t>
            </w:r>
            <w:r>
              <w:rPr>
                <w:rFonts w:hint="eastAsia" w:ascii="宋体" w:hAnsi="宋体" w:eastAsia="宋体" w:cs="宋体"/>
                <w:lang w:eastAsia="zh-CN"/>
              </w:rPr>
              <w:t>投标人</w:t>
            </w:r>
            <w:r>
              <w:rPr>
                <w:rFonts w:hint="eastAsia" w:ascii="宋体" w:hAnsi="宋体" w:eastAsia="宋体" w:cs="宋体"/>
              </w:rPr>
              <w:t>提供的货物、工程和服务的主营业务成本、税金及附加、销售费用、管理费用、财务费用等成本构成事项详细陈述）。</w:t>
            </w:r>
          </w:p>
          <w:p w14:paraId="58681B47">
            <w:pPr>
              <w:pageBreakBefore w:val="0"/>
              <w:tabs>
                <w:tab w:val="left" w:pos="0"/>
              </w:tabs>
              <w:kinsoku/>
              <w:overflowPunct/>
              <w:topLinePunct w:val="0"/>
              <w:bidi w:val="0"/>
              <w:spacing w:line="440" w:lineRule="exact"/>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lang w:eastAsia="zh-CN"/>
              </w:rPr>
              <w:t>投标人</w:t>
            </w:r>
            <w:r>
              <w:rPr>
                <w:rFonts w:hint="eastAsia" w:ascii="宋体" w:hAnsi="宋体" w:eastAsia="宋体" w:cs="宋体"/>
              </w:rPr>
              <w:t>书面说明应当签字确认或者加盖公章，否则无效。书面说明的签字确认，由其法定代表人/主要负责人/本人或者其授权代表签字确认。</w:t>
            </w:r>
          </w:p>
          <w:p w14:paraId="05F95909">
            <w:pPr>
              <w:pageBreakBefore w:val="0"/>
              <w:tabs>
                <w:tab w:val="left" w:pos="0"/>
              </w:tabs>
              <w:kinsoku/>
              <w:overflowPunct/>
              <w:topLinePunct w:val="0"/>
              <w:bidi w:val="0"/>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提供书面说明后，评标委员会应当结合采购项目采购需求、专业实际情况、</w:t>
            </w:r>
            <w:r>
              <w:rPr>
                <w:rFonts w:hint="eastAsia" w:ascii="宋体" w:hAnsi="宋体" w:eastAsia="宋体" w:cs="宋体"/>
                <w:lang w:eastAsia="zh-CN"/>
              </w:rPr>
              <w:t>投标人</w:t>
            </w:r>
            <w:r>
              <w:rPr>
                <w:rFonts w:hint="eastAsia" w:ascii="宋体" w:hAnsi="宋体" w:eastAsia="宋体" w:cs="宋体"/>
              </w:rPr>
              <w:t>财务状况报告、与其他</w:t>
            </w:r>
            <w:r>
              <w:rPr>
                <w:rFonts w:hint="eastAsia" w:ascii="宋体" w:hAnsi="宋体" w:eastAsia="宋体" w:cs="宋体"/>
                <w:lang w:eastAsia="zh-CN"/>
              </w:rPr>
              <w:t>投标人</w:t>
            </w:r>
            <w:r>
              <w:rPr>
                <w:rFonts w:hint="eastAsia" w:ascii="宋体" w:hAnsi="宋体" w:eastAsia="宋体" w:cs="宋体"/>
              </w:rPr>
              <w:t>比较情况等就</w:t>
            </w:r>
            <w:r>
              <w:rPr>
                <w:rFonts w:hint="eastAsia" w:ascii="宋体" w:hAnsi="宋体" w:eastAsia="宋体" w:cs="宋体"/>
                <w:lang w:eastAsia="zh-CN"/>
              </w:rPr>
              <w:t>投标人</w:t>
            </w:r>
            <w:r>
              <w:rPr>
                <w:rFonts w:hint="eastAsia" w:ascii="宋体" w:hAnsi="宋体" w:eastAsia="宋体" w:cs="宋体"/>
              </w:rPr>
              <w:t>书面说明进行审查评价。</w:t>
            </w:r>
            <w:r>
              <w:rPr>
                <w:rFonts w:hint="eastAsia" w:ascii="宋体" w:hAnsi="宋体" w:eastAsia="宋体" w:cs="宋体"/>
                <w:lang w:eastAsia="zh-CN"/>
              </w:rPr>
              <w:t>投标人</w:t>
            </w:r>
            <w:r>
              <w:rPr>
                <w:rFonts w:hint="eastAsia" w:ascii="宋体" w:hAnsi="宋体" w:eastAsia="宋体" w:cs="宋体"/>
              </w:rPr>
              <w:t>拒绝或者变相拒绝提供有效书面说明或者书面说明不能证明其报价合理性的或未在规定时间内递交有效书面说明书的，评标委员会应当将其</w:t>
            </w:r>
            <w:r>
              <w:rPr>
                <w:rFonts w:hint="eastAsia" w:ascii="宋体" w:hAnsi="宋体" w:eastAsia="宋体" w:cs="宋体"/>
                <w:lang w:eastAsia="zh-CN"/>
              </w:rPr>
              <w:t>投标文件</w:t>
            </w:r>
            <w:r>
              <w:rPr>
                <w:rFonts w:hint="eastAsia" w:ascii="宋体" w:hAnsi="宋体" w:eastAsia="宋体" w:cs="宋体"/>
              </w:rPr>
              <w:t>作为无效处理。</w:t>
            </w:r>
          </w:p>
        </w:tc>
      </w:tr>
      <w:tr w14:paraId="385E8980">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29B99654">
            <w:pPr>
              <w:pageBreakBefore w:val="0"/>
              <w:kinsoku/>
              <w:overflowPunct/>
              <w:topLinePunct w:val="0"/>
              <w:bidi w:val="0"/>
              <w:spacing w:line="440" w:lineRule="exact"/>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　1.招标公告内容有不一致之处，以最新发布的招标公告内容为准。</w:t>
            </w:r>
          </w:p>
          <w:p w14:paraId="77EB119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b/>
                <w:bCs/>
                <w:color w:val="000000"/>
                <w:highlight w:val="none"/>
                <w:lang w:val="zh-CN"/>
              </w:rPr>
              <w:t>　2.本项目招标公告与招标文件不一致之处，以招标文件为准。</w:t>
            </w:r>
          </w:p>
        </w:tc>
      </w:tr>
    </w:tbl>
    <w:p w14:paraId="72C9B44C">
      <w:pPr>
        <w:pageBreakBefore w:val="0"/>
        <w:kinsoku/>
        <w:overflowPunct/>
        <w:topLinePunct w:val="0"/>
        <w:bidi w:val="0"/>
        <w:spacing w:line="440" w:lineRule="exact"/>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br w:type="page"/>
      </w:r>
    </w:p>
    <w:p w14:paraId="54EF7B93">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36"/>
          <w:szCs w:val="36"/>
          <w:highlight w:val="none"/>
        </w:rPr>
        <w:t>投标须知</w:t>
      </w:r>
    </w:p>
    <w:p w14:paraId="143B637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本项目招标依据为《中华人民共和国政府采购法》、《中华人民共和国政府采购法实施条例》等有关法律、法规及规定。</w:t>
      </w:r>
    </w:p>
    <w:p w14:paraId="6D11CEF1">
      <w:pPr>
        <w:pageBreakBefore w:val="0"/>
        <w:kinsoku/>
        <w:overflowPunct/>
        <w:topLinePunct w:val="0"/>
        <w:bidi w:val="0"/>
        <w:snapToGrid w:val="0"/>
        <w:spacing w:line="440" w:lineRule="exact"/>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8"/>
          <w:szCs w:val="28"/>
          <w:highlight w:val="none"/>
        </w:rPr>
        <w:t>一．总 则</w:t>
      </w:r>
    </w:p>
    <w:p w14:paraId="1F12166F">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1．招标范围</w:t>
      </w:r>
    </w:p>
    <w:p w14:paraId="54D6A32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1.1符合招标公告要求的企业均可对本项目进行密封投标。</w:t>
      </w:r>
    </w:p>
    <w:p w14:paraId="31CC55B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1.2中标人应在签订合同书后在采购人规定的项目实施周期内，完成本项目，并提交相应的资料。</w:t>
      </w:r>
    </w:p>
    <w:p w14:paraId="6232674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1.3本项目服务工作应满足下列要求：</w:t>
      </w:r>
    </w:p>
    <w:p w14:paraId="119ABE7F">
      <w:pPr>
        <w:pageBreakBefore w:val="0"/>
        <w:tabs>
          <w:tab w:val="left" w:pos="7153"/>
        </w:tabs>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（1）应符合国家相关法律法规的规定。</w:t>
      </w:r>
      <w:r>
        <w:rPr>
          <w:rFonts w:hint="eastAsia" w:ascii="宋体" w:hAnsi="宋体" w:eastAsia="宋体" w:cs="宋体"/>
          <w:color w:val="000000"/>
          <w:highlight w:val="none"/>
          <w:lang w:val="zh-CN"/>
        </w:rPr>
        <w:tab/>
      </w:r>
    </w:p>
    <w:p w14:paraId="269AAF1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（2）应符合招标文件要求。</w:t>
      </w:r>
    </w:p>
    <w:p w14:paraId="768E659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（3）应满足采购人要求。</w:t>
      </w:r>
    </w:p>
    <w:p w14:paraId="0552BB09">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2．资金来源</w:t>
      </w:r>
    </w:p>
    <w:p w14:paraId="37320728">
      <w:pPr>
        <w:pageBreakBefore w:val="0"/>
        <w:kinsoku/>
        <w:overflowPunct/>
        <w:topLinePunct w:val="0"/>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lang w:val="zh-CN"/>
        </w:rPr>
        <w:t>2.</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rPr>
        <w:t>投标报价和中标后的费用均以人民币计算和支付。</w:t>
      </w:r>
    </w:p>
    <w:p w14:paraId="6DE7A48D">
      <w:pPr>
        <w:pageBreakBefore w:val="0"/>
        <w:numPr>
          <w:ilvl w:val="0"/>
          <w:numId w:val="4"/>
        </w:numPr>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投标人的合格条件</w:t>
      </w:r>
    </w:p>
    <w:p w14:paraId="3C0A9290">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color w:val="000000"/>
          <w:highlight w:val="none"/>
          <w:lang w:val="zh-CN"/>
        </w:rPr>
        <w:t>详见招标公告</w:t>
      </w:r>
    </w:p>
    <w:p w14:paraId="623C4007">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4．投标费用</w:t>
      </w:r>
    </w:p>
    <w:p w14:paraId="0AF1850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4.1投标人在投标过程中的一切费用，不论中标与否，均由投标人自负，且招标文件售后不退。</w:t>
      </w:r>
    </w:p>
    <w:p w14:paraId="5BDB132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5．现场踏勘</w:t>
      </w:r>
    </w:p>
    <w:p w14:paraId="666819C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5.1投标人自行对现场及其周围环境进行踏勘，现场踏勘期间的交通和食宿由投标人自行安排，费用自理。</w:t>
      </w:r>
    </w:p>
    <w:p w14:paraId="26ECF10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5.2在现场踏勘过程中，投标人如果发生意外人身伤亡、财物或其他损失，除国家法律、法规有规定的之外，采购人均不负责。</w:t>
      </w:r>
    </w:p>
    <w:p w14:paraId="18414DD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5.3采购人向投标人提供的有关现场的数据和资料，是采购人现有的能被投标人利用的资料，采购人对投标人做出的任何推论、理解和结论均不负责任。</w:t>
      </w:r>
    </w:p>
    <w:p w14:paraId="5004521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5.4经采购人允许，投标人可为踏勘目的进入采购人的项目现场，但投标人不得因此使采购人承担有关的责任和蒙受损失。投标人应承担踏勘现场的责任和风险。</w:t>
      </w:r>
    </w:p>
    <w:p w14:paraId="1EB54EE1">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6．投标答疑</w:t>
      </w:r>
    </w:p>
    <w:p w14:paraId="741349B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6.1投标人应在投标人须知前附表规定的时间前，以书面形式将提出的问题送达采购人，以便采购人及时澄清。</w:t>
      </w:r>
    </w:p>
    <w:p w14:paraId="47D99C6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6.2本项目召开答疑会情况见前附表。若召开答疑会，则采购人按投标人须知前附表规定的时间和地点召开投标答疑会，澄清投标人提出的问题。</w:t>
      </w:r>
    </w:p>
    <w:p w14:paraId="285049F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6.3投标答疑会后，采购人在投标人须知前附表规定的时间内，将对投标人所提问题的澄清，以书面方式通知所有购买招标文件的投标人。该澄清内容为招标文件的组成部分。</w:t>
      </w:r>
    </w:p>
    <w:p w14:paraId="78ED613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6.4投标人在收到书面答复后，应在 24小时内以书面或传真的方式通知采购人，确认收悉。</w:t>
      </w:r>
    </w:p>
    <w:p w14:paraId="2F19AFEE">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p>
    <w:p w14:paraId="0295DD76">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二．招 标 文 件</w:t>
      </w:r>
    </w:p>
    <w:p w14:paraId="14B909E1">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7．招标文件的内容</w:t>
      </w:r>
    </w:p>
    <w:p w14:paraId="2F144A8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7.1招标文件由下列文件组成：</w:t>
      </w:r>
    </w:p>
    <w:p w14:paraId="5E60D98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第一章 招标公告</w:t>
      </w:r>
    </w:p>
    <w:p w14:paraId="0C82220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第二章 投标人须知</w:t>
      </w:r>
    </w:p>
    <w:p w14:paraId="507D9FA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第三章 评标办法</w:t>
      </w:r>
    </w:p>
    <w:p w14:paraId="4E77CA5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第四章 合同格式</w:t>
      </w:r>
    </w:p>
    <w:p w14:paraId="6B13944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第五章</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采购需求</w:t>
      </w:r>
    </w:p>
    <w:p w14:paraId="7415954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第六章 投标文件格式</w:t>
      </w:r>
    </w:p>
    <w:p w14:paraId="49F967D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采购人在招标期间按本须知第9条规定发出的所有补遗文件和其它正式有效函件，均是招标文件的组成部分。</w:t>
      </w:r>
    </w:p>
    <w:p w14:paraId="74B9E22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7.2投标人应认真检查招标文件是否完整，若发现缺页或附件不全时，应及时向采购人提出，以便补齐。</w:t>
      </w:r>
    </w:p>
    <w:p w14:paraId="229ABD8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7.3 投标人应认真阅读招标文件，并按招标文件的规定与要求编写投标文件。如果投标文件不符合招标文件的规定和要求，投标人应自行负责。根据本须知第 21 条的规定，不响应招标文件实质性要求的投标文件将被拒绝。</w:t>
      </w:r>
    </w:p>
    <w:p w14:paraId="09696686">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8．招标文件的澄清和解答</w:t>
      </w:r>
    </w:p>
    <w:p w14:paraId="56A82E4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8.1要求对招标文件进行澄清的投标人，均应在知道或者应知其权益受到损害之日起七个工作日内向</w:t>
      </w:r>
      <w:r>
        <w:rPr>
          <w:rFonts w:hint="eastAsia" w:ascii="宋体" w:hAnsi="宋体" w:eastAsia="宋体" w:cs="宋体"/>
          <w:color w:val="000000"/>
          <w:highlight w:val="none"/>
          <w:lang w:val="zh-CN" w:eastAsia="zh-CN"/>
        </w:rPr>
        <w:t>敦化市宏远建设项目管理有限责任公司</w:t>
      </w:r>
      <w:r>
        <w:rPr>
          <w:rFonts w:hint="eastAsia" w:ascii="宋体" w:hAnsi="宋体" w:eastAsia="宋体" w:cs="宋体"/>
          <w:color w:val="000000"/>
          <w:highlight w:val="none"/>
          <w:lang w:val="zh-CN"/>
        </w:rPr>
        <w:t>提出，采购人对收到的澄清要求将视所提问题具体情况在</w:t>
      </w:r>
      <w:r>
        <w:rPr>
          <w:rFonts w:hint="eastAsia" w:ascii="宋体" w:hAnsi="宋体" w:eastAsia="宋体" w:cs="宋体"/>
          <w:color w:val="000000"/>
          <w:highlight w:val="none"/>
          <w:lang w:val="zh-CN" w:eastAsia="zh-CN"/>
        </w:rPr>
        <w:t>敦化市宏远建设项目管理有限责任公司</w:t>
      </w:r>
      <w:r>
        <w:rPr>
          <w:rFonts w:hint="eastAsia" w:ascii="宋体" w:hAnsi="宋体" w:eastAsia="宋体" w:cs="宋体"/>
          <w:color w:val="000000"/>
          <w:highlight w:val="none"/>
          <w:lang w:val="zh-CN"/>
        </w:rPr>
        <w:t>答复澄清。答复中包括所提的问题，但不包括问题的来源。采购代理机构对收到的供应商质疑，将按照政府采购法律规章的规定处理。</w:t>
      </w:r>
    </w:p>
    <w:p w14:paraId="45FCD1F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8.2 采购人或者采购代理机构可以对已发出的招标文件进行必要的澄清或者修改。澄清或者修改的内容可能影响投标文件编制的，采购人或者采购代理机构在投标截止时间至少15日前，以书面形式通知所有获取招标文件的潜在投标人；不足15日的，采购人或者采购代理机构将顺延提交投标文件的截止时间。招标文件的修改、补充文件将以当面交接、传真或电子邮件的方式向潜在投标人发出，并在发布招标公告的媒体上公告。在这种情况下，采购人和投标人受投标截止时间制约的所有权利和义务均相应延长至新的投标截止时间。</w:t>
      </w:r>
    </w:p>
    <w:p w14:paraId="5829216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8.3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2E45F2CB">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9．招标文件的修改</w:t>
      </w:r>
    </w:p>
    <w:p w14:paraId="28755F5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9.1在投标截止期以前，由于各种原因，不管是采购人主动提出，或者是答复投标人澄清要求的，采购人可能会以补遗文件的方式修改招标文件。</w:t>
      </w:r>
    </w:p>
    <w:p w14:paraId="5B98EFD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9.2补遗文件将以书面或传真的方式发给所有购买招标文件的投标人，投标人收到补遗文件后，应在24小时内以书面或传真的方式通知采购人，确认已经收到补遗文件。</w:t>
      </w:r>
    </w:p>
    <w:p w14:paraId="31B7754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9.3为使投标人在编写投标文件有合理的时间将补遗文件的内容考虑进去，采购人可以按照本须知第17条的规定，酌情延长递交投标文件的截止时间。</w:t>
      </w:r>
    </w:p>
    <w:p w14:paraId="44F88AB7">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p>
    <w:p w14:paraId="7209A8EC">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三．投标文件的编制</w:t>
      </w:r>
    </w:p>
    <w:p w14:paraId="65CF542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10．投标文件的语言</w:t>
      </w:r>
    </w:p>
    <w:p w14:paraId="1B67E7E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10.1投标文件及投标人与采购人之间来往的一切信函、文件均使用中文。</w:t>
      </w:r>
    </w:p>
    <w:p w14:paraId="19E6EE5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11．投标文件的组成</w:t>
      </w:r>
    </w:p>
    <w:p w14:paraId="1A93F02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11.1投标人编写的投标文件，应以下目录编制。应包括但不限于且不得少于下列各项内容：</w:t>
      </w:r>
    </w:p>
    <w:p w14:paraId="784BB0A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一、投标函及投标函附录</w:t>
      </w:r>
    </w:p>
    <w:p w14:paraId="28C41B3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二、开标一览表</w:t>
      </w:r>
    </w:p>
    <w:p w14:paraId="11EC657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三、法定代表人身份证明及授权委托书</w:t>
      </w:r>
    </w:p>
    <w:p w14:paraId="1A2CE51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四、投标保证金</w:t>
      </w:r>
    </w:p>
    <w:p w14:paraId="4404DA7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五、资格审查资料</w:t>
      </w:r>
    </w:p>
    <w:p w14:paraId="2331C07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六、服务方案</w:t>
      </w:r>
    </w:p>
    <w:p w14:paraId="2A9B0D6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七、其他资料</w:t>
      </w:r>
    </w:p>
    <w:p w14:paraId="775A54F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11.2投标文件的编制应遵循如下原则，否则，其投标将被拒绝。</w:t>
      </w:r>
    </w:p>
    <w:p w14:paraId="6297B90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（1）投标文件的内容和格式必须按照招标文件第六章《投标文件格式》的内容和要求编制，除采购人另有规定者外，投标人不得修改。</w:t>
      </w:r>
    </w:p>
    <w:p w14:paraId="62550D6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（2）方案应为具有可行性的方案。</w:t>
      </w:r>
    </w:p>
    <w:p w14:paraId="137CB3D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（3）投标文件的装订要整齐、牢固、不易拆散和换页，便于保管和利用；投标文件采用左侧胶装装订方式，具体装订详情见前附表。</w:t>
      </w:r>
    </w:p>
    <w:p w14:paraId="5C38C0A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（4）投标文件除制作文本文件外，还需提供电子版。</w:t>
      </w:r>
    </w:p>
    <w:p w14:paraId="0587F5B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11.3投标文件应印刷清晰整洁，不提倡装帧豪华。高档豪华的投标文件对评标结果不产生任何影响。</w:t>
      </w:r>
    </w:p>
    <w:p w14:paraId="6355CD8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11.4投标文件不退还。</w:t>
      </w:r>
    </w:p>
    <w:p w14:paraId="097D949C">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12．投标报价</w:t>
      </w:r>
    </w:p>
    <w:p w14:paraId="39FE0A0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12.1投标人的投标报价应附投标报价说明和明细；</w:t>
      </w:r>
    </w:p>
    <w:p w14:paraId="06838B6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12.2除非合同中另有规定，投标报价应包括承担本招标项目的成本、利润、税金及风险等全部费用；</w:t>
      </w:r>
    </w:p>
    <w:p w14:paraId="419675D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12.3投标人所报价格在合同实施期间固定不变，即固定价格（如有调整仅限于现行相关部门规定，其它不变）；</w:t>
      </w:r>
    </w:p>
    <w:p w14:paraId="0AE61B7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12.4投标报价应参照相关行业收费标准并予以优惠。</w:t>
      </w:r>
    </w:p>
    <w:p w14:paraId="2774D8C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12.5工作费用按人民币计算，费用支付也按人民币支付。</w:t>
      </w:r>
    </w:p>
    <w:p w14:paraId="22B0DE1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12.6 投标报价计算内容</w:t>
      </w:r>
    </w:p>
    <w:p w14:paraId="69D4B8A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12.6.1 招标文件中要求的工作范围之内。 </w:t>
      </w:r>
    </w:p>
    <w:p w14:paraId="0BD309B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12.6.2 其它为满足招标文件规定的服务标准的配套服务。</w:t>
      </w:r>
    </w:p>
    <w:p w14:paraId="1F8445C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12.7费用报价方式</w:t>
      </w:r>
    </w:p>
    <w:p w14:paraId="529E82F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人应以书面形式详细提供各项工作费用报价和汇总报价，明细报价应等于汇总报价。未能提供工作量明细的工作费用报价应按包干使用，投标人不得以各种理由，拒绝完成费用包干使用的工作，减少费用包干使用的工作量或降低其工作质量。</w:t>
      </w:r>
    </w:p>
    <w:p w14:paraId="18848A7B">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13．投标文件的有效期</w:t>
      </w:r>
    </w:p>
    <w:p w14:paraId="0BAFEFA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13.1投标文件有效期为开标之日后本投标人须知前附表所载明的时间内，在此期限内，所有投标文件均保持有效。</w:t>
      </w:r>
    </w:p>
    <w:p w14:paraId="3E6E639E">
      <w:pPr>
        <w:pageBreakBefore w:val="0"/>
        <w:kinsoku/>
        <w:overflowPunct/>
        <w:topLinePunct w:val="0"/>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lang w:val="zh-CN"/>
        </w:rPr>
        <w:t>13.2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在延长期内，本须知第14条关于投标保证金的规定仍然适用。</w:t>
      </w:r>
    </w:p>
    <w:p w14:paraId="4E04CE0F">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14．投标保证金</w:t>
      </w:r>
    </w:p>
    <w:p w14:paraId="73BA259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14.1投标人在送交投标文件时，应同时按本投标人须知前附表规定的数额提交投标保证金，并作为其投标文件的组成部分。联合体投标的，其投标保证金由牵头人递交，并应符合投标人须知前附表的规定。</w:t>
      </w:r>
    </w:p>
    <w:p w14:paraId="380A634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14.2投标保证金以人民币计，采用形式及相关要求详见投标人须知前附表26条。</w:t>
      </w:r>
    </w:p>
    <w:p w14:paraId="0B83890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14.3投标保证金交纳证明的复印件须装入投标文件的正、副本之中。</w:t>
      </w:r>
    </w:p>
    <w:p w14:paraId="5498DC2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14.4投标保证金在投标文件有效期内保持有效，采购人如果按本须知13.2 款的规定延长了投标文件有效期，则投标保证金的有效期也相应延长。</w:t>
      </w:r>
    </w:p>
    <w:p w14:paraId="0EFE7BC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14.5采购人或采购代理机构应当自中标通知书发出之日起5个工作日内退还未中标投标人的投标保证金，自合同签订之日起5个工作日内退还中标人的投标保证金。</w:t>
      </w:r>
    </w:p>
    <w:p w14:paraId="7254351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14.6 投标人如有下列情况，其投标保证金将不予退还：</w:t>
      </w:r>
    </w:p>
    <w:p w14:paraId="76C812E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（1）在投标文件有效期内撤销投标文件；</w:t>
      </w:r>
    </w:p>
    <w:p w14:paraId="06FB83C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（2）中标人在收到中标通知书后，无正当理由拒签合同协议书或未按招标文件规定提交履约担保或不配合采购人接受履约能力审查的。</w:t>
      </w:r>
    </w:p>
    <w:p w14:paraId="73BC892B">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15．资格审查资料</w:t>
      </w:r>
    </w:p>
    <w:p w14:paraId="01D8EA0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15.1“投标人基本情况表”应附应附投标人营业执照（副本）、开户许可证等相关证件的复印件等材料。</w:t>
      </w:r>
    </w:p>
    <w:p w14:paraId="68D278A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15.2“近年财务状况要求”应附经具有审计资格的会计师事务所出具的财务审计报告或财务报表，包括资产负债表、现金流量表、利润表和财务情况说明书，具体年份要求见投标人须知前附表。</w:t>
      </w:r>
    </w:p>
    <w:p w14:paraId="6A4A608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15.3“近年完成的类似项目情况表”应附中标通知书和(或)合同协议书，具体年份要求见投标人须知前附表。每张表格只填写一个项目，并标明序号。</w:t>
      </w:r>
    </w:p>
    <w:p w14:paraId="0F58512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15.4“近年发生的诉讼及仲裁情况”应说明相关情况，并附法院或仲裁机构作出的判决、裁决等有关法律文书（如有），具体年份要求见投标人须知前附表。</w:t>
      </w:r>
    </w:p>
    <w:p w14:paraId="70393D8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15.5缴纳投标保证金凭证。</w:t>
      </w:r>
    </w:p>
    <w:p w14:paraId="6C766A3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15.6投标人须在中国裁判文书网自行查询本公司、法人行贿犯罪记录，且提供查询页面截图并加盖公章作为无行贿犯罪记录证明。</w:t>
      </w:r>
    </w:p>
    <w:p w14:paraId="214E1EC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投标人须知前附表规定接受联合体投标的，本章第3.5.1项至第3.5.5项规定的表格和资料应包括联合体各方相关情况。</w:t>
      </w:r>
    </w:p>
    <w:p w14:paraId="0DCBFB29">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16．投标文件的签署</w:t>
      </w:r>
    </w:p>
    <w:p w14:paraId="159B248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16.1投标人应按本须知规定，向采购人递交投标文件(正副本份数详见投标人须知前附表)，并明确写明：“正本”和“副本”。</w:t>
      </w:r>
    </w:p>
    <w:p w14:paraId="4E53B10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16.2投标文件的正副本应使用不褪色的墨水书写或打印。</w:t>
      </w:r>
    </w:p>
    <w:p w14:paraId="6875C6B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16.3如果是代理人签署，则必须附有法定代表人出具的授权书。</w:t>
      </w:r>
    </w:p>
    <w:p w14:paraId="38F6A20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16.4投标文件的任何一页如有修改，必须在修改处由法定代表人或经正式授权的代理人签字确认。</w:t>
      </w:r>
    </w:p>
    <w:p w14:paraId="67283BBD">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四．投标文件的递交</w:t>
      </w:r>
    </w:p>
    <w:p w14:paraId="0B80AF52">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17．投标文件的装订、密封和标记</w:t>
      </w:r>
    </w:p>
    <w:p w14:paraId="261A087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17.1投标人应将投标文件装订成册（A4幅面）并在密封封套上标明招标项目名称、招标文件编号、投标人名称、地址、联系方式和邮编，在招标文件规定的投标地点和投标截止时间前递交给采购人。如果投标人没有按照要求密封、标记，采购人对于投标人的误投、错投以及提前拆封概不负责。</w:t>
      </w:r>
    </w:p>
    <w:p w14:paraId="115E66F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17.2投标文件份数投标人须知前附表，当正本与副本内容不一致时，以正本为准，电子文件与文本文件不一致时，以文本文件为准。</w:t>
      </w:r>
    </w:p>
    <w:p w14:paraId="54C5386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17.3</w:t>
      </w:r>
      <w:bookmarkStart w:id="5" w:name="_Toc247085714"/>
      <w:bookmarkEnd w:id="5"/>
      <w:bookmarkStart w:id="6" w:name="_Toc246996200"/>
      <w:bookmarkEnd w:id="6"/>
      <w:bookmarkStart w:id="7" w:name="_Toc152045556"/>
      <w:bookmarkEnd w:id="7"/>
      <w:bookmarkStart w:id="8" w:name="_Toc144974524"/>
      <w:bookmarkEnd w:id="8"/>
      <w:bookmarkStart w:id="9" w:name="_Toc246996943"/>
      <w:bookmarkEnd w:id="9"/>
      <w:bookmarkStart w:id="10" w:name="_Toc152042332"/>
      <w:bookmarkEnd w:id="10"/>
      <w:bookmarkStart w:id="11" w:name="_Toc179632574"/>
      <w:bookmarkEnd w:id="11"/>
      <w:bookmarkStart w:id="12" w:name="_Toc321309190"/>
      <w:r>
        <w:rPr>
          <w:rFonts w:hint="eastAsia" w:ascii="宋体" w:hAnsi="宋体" w:eastAsia="宋体" w:cs="宋体"/>
          <w:color w:val="000000"/>
          <w:highlight w:val="none"/>
          <w:lang w:val="zh-CN"/>
        </w:rPr>
        <w:t>投标文件的密封和标记</w:t>
      </w:r>
      <w:bookmarkEnd w:id="12"/>
    </w:p>
    <w:p w14:paraId="7F94B88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17.3.1 </w:t>
      </w:r>
      <w:r>
        <w:rPr>
          <w:rFonts w:hint="eastAsia" w:ascii="宋体" w:hAnsi="宋体" w:eastAsia="宋体" w:cs="宋体"/>
          <w:highlight w:val="none"/>
        </w:rPr>
        <w:t>正本1份，副本</w:t>
      </w:r>
      <w:r>
        <w:rPr>
          <w:rFonts w:hint="eastAsia" w:ascii="宋体" w:hAnsi="宋体" w:eastAsia="宋体" w:cs="宋体"/>
          <w:highlight w:val="none"/>
          <w:lang w:val="en-US" w:eastAsia="zh-CN"/>
        </w:rPr>
        <w:t>4</w:t>
      </w:r>
      <w:r>
        <w:rPr>
          <w:rFonts w:hint="eastAsia" w:ascii="宋体" w:hAnsi="宋体" w:eastAsia="宋体" w:cs="宋体"/>
          <w:highlight w:val="none"/>
        </w:rPr>
        <w:t>份，</w:t>
      </w:r>
      <w:r>
        <w:rPr>
          <w:rFonts w:hint="eastAsia" w:ascii="宋体" w:hAnsi="宋体" w:eastAsia="宋体" w:cs="宋体"/>
          <w:highlight w:val="none"/>
          <w:lang w:val="en-US" w:eastAsia="zh-CN"/>
        </w:rPr>
        <w:t>正副本单独密封，</w:t>
      </w:r>
      <w:r>
        <w:rPr>
          <w:rFonts w:hint="eastAsia" w:ascii="宋体" w:hAnsi="宋体" w:eastAsia="宋体" w:cs="宋体"/>
          <w:highlight w:val="none"/>
        </w:rPr>
        <w:t>同时提供电子版文件一份（提供U盘且不退）（U盘中电子版投标文件需提供可编辑的word版及PDF版，且须单独密封并提交，且包封上须注明项目名称和公司名称）</w:t>
      </w:r>
      <w:r>
        <w:rPr>
          <w:rFonts w:hint="eastAsia" w:ascii="宋体" w:hAnsi="宋体" w:eastAsia="宋体" w:cs="宋体"/>
          <w:color w:val="000000"/>
          <w:highlight w:val="none"/>
          <w:lang w:val="zh-CN"/>
        </w:rPr>
        <w:t>。</w:t>
      </w:r>
    </w:p>
    <w:p w14:paraId="07FD408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17.3.2电子版(U盘</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rPr>
        <w:t>份)与投标文件同时递交。并单独封装。</w:t>
      </w:r>
    </w:p>
    <w:p w14:paraId="2CD7BF9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17.3.3 未按本章第17.1项至第17.3项要求密封和加写标记的投标文件，采购人不予受理，并退还给投标人。</w:t>
      </w:r>
    </w:p>
    <w:p w14:paraId="2794D43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17.4采购人将拒绝接受并原封退回在其规定的投标截止时间以后送达（收到）的投标文件。</w:t>
      </w:r>
    </w:p>
    <w:p w14:paraId="58626F7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17.5投标人在投标时，有下列情形之一的为无效投标：</w:t>
      </w:r>
    </w:p>
    <w:p w14:paraId="51002FC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（1）在招标文件规定的投标截止时间之后投标的；</w:t>
      </w:r>
    </w:p>
    <w:p w14:paraId="33EC826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（2）未按招标文件规定投标保证金的；</w:t>
      </w:r>
    </w:p>
    <w:p w14:paraId="34A1F62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（3）未购买招标文件参加招标的；</w:t>
      </w:r>
    </w:p>
    <w:p w14:paraId="7493EDD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（4）投标文件夹未按招标文件规定密封的；</w:t>
      </w:r>
    </w:p>
    <w:p w14:paraId="352C896B">
      <w:pPr>
        <w:pageBreakBefore w:val="0"/>
        <w:kinsoku/>
        <w:overflowPunct/>
        <w:topLinePunct w:val="0"/>
        <w:bidi w:val="0"/>
        <w:spacing w:line="440" w:lineRule="exac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（5）投标人法定代表人或其授权代理人未按规定到开标现场的（以及未能证明其合法身份的，如未出示本人身份证件的）：</w:t>
      </w:r>
      <w:r>
        <w:rPr>
          <w:rFonts w:hint="eastAsia" w:ascii="宋体" w:hAnsi="宋体" w:eastAsia="宋体" w:cs="宋体"/>
          <w:color w:val="000000"/>
          <w:highlight w:val="none"/>
          <w:lang w:val="en-US" w:eastAsia="zh-CN"/>
        </w:rPr>
        <w:t>本项目线上开标。</w:t>
      </w:r>
    </w:p>
    <w:p w14:paraId="302B8D9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（6）招标文件规定投标时属于无效投标或者废标的其他情形。</w:t>
      </w:r>
    </w:p>
    <w:p w14:paraId="47C45C0D">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18．递交投标文件的截止期</w:t>
      </w:r>
    </w:p>
    <w:p w14:paraId="14E4872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18.1 投标人必须按招标文件写明的地址，在本投标人须知前附表中所规定的送交投标文件截止期前，将投标文件送达采购人签收。</w:t>
      </w:r>
    </w:p>
    <w:p w14:paraId="7719F09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18.2 采购人可按本须知第9条规定，以补遗文件的方式，酌情延长递交投标文件的截止时间，在此情况下，采购人与投标人在原投标截止时间前的全部权利和义务，将适用于延长后新的投标截止时间。</w:t>
      </w:r>
    </w:p>
    <w:p w14:paraId="23D88DA6">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19．迟到的投标文件</w:t>
      </w:r>
    </w:p>
    <w:p w14:paraId="493C367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19.1 采购人在按本须知第18条规定的送交投标文件截止期以后收到的投标文件，不予开封，并原封退回投标人。</w:t>
      </w:r>
    </w:p>
    <w:p w14:paraId="565E7780">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20．投标文件的更改与撤回</w:t>
      </w:r>
    </w:p>
    <w:p w14:paraId="4C0D666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20.1 在送交投标文件截止期以前，投标人可以更改或撤回投标文件，但必须书面提出，并由投标人的法定代表人或经正式授权的代理人签署。在时间紧迫的情况下，投标人可将撤回投标文件的要求，先传真通知采购人，但应随即补发一份正式书面函件予以确认。更改、撤回的确认书必须在递交投标文件截止期前送达采购人签收。</w:t>
      </w:r>
    </w:p>
    <w:p w14:paraId="7F34651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20.2更改的投标文件应同样按照投标文件送交规定的要求进行编制、密封、标记（在内层信封标明“更改”字样）和发送。</w:t>
      </w:r>
    </w:p>
    <w:p w14:paraId="009F65F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20.3如果在投标文件有效期内撤销的投标文件，则按本须知第14条第14.6款的规定不退还其投标保证金。</w:t>
      </w:r>
    </w:p>
    <w:p w14:paraId="2E903563">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五．开标</w:t>
      </w:r>
    </w:p>
    <w:p w14:paraId="531D33F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21．开标</w:t>
      </w:r>
    </w:p>
    <w:p w14:paraId="3FB8B4C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21.1采购人按本须知前附表第20项、第21项和第35项所规定的时间和地点举行开标会议。</w:t>
      </w:r>
    </w:p>
    <w:p w14:paraId="4EF4840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21.2按规定提交合格撤回通知的投标文件不予开封，并退回给投标人；按本须知第22条规定确定为无效的投标文件，不予送交评审。</w:t>
      </w:r>
    </w:p>
    <w:p w14:paraId="52DBC92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21.3 开标程序：</w:t>
      </w:r>
    </w:p>
    <w:p w14:paraId="6A64063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主持人按下列程序进行开标：</w:t>
      </w:r>
    </w:p>
    <w:p w14:paraId="053201A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(1)宣布开标纪律；</w:t>
      </w:r>
    </w:p>
    <w:p w14:paraId="3E8B274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(2)公布在投标截止时间前递交投标文件的投标人名称，并点名确认投标人是否派人到场；</w:t>
      </w:r>
    </w:p>
    <w:p w14:paraId="088C5CE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(3)宣布开标人、唱标人、记录人、监标人等有关人员姓名；</w:t>
      </w:r>
    </w:p>
    <w:p w14:paraId="4173430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(4)按照投标人须知前附表规定检查投标文件的密封情况；</w:t>
      </w:r>
    </w:p>
    <w:p w14:paraId="0BE96BD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(5)按照投标人须知前附表的规定确定并宣布投标文件开标顺序；</w:t>
      </w:r>
    </w:p>
    <w:p w14:paraId="4A5B506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(6)设有最高投标限价的，公布招标最高投标限价；</w:t>
      </w:r>
    </w:p>
    <w:p w14:paraId="578A457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(7)按照宣布的开标顺序当众开标，公布投标人名称、项目名称、投标保证金的递交情况、投标报价、质量目标、工期及其他内容，并记录在案；</w:t>
      </w:r>
    </w:p>
    <w:p w14:paraId="5F3DE3F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(8)投标人代表、采购人代表、监标人、记录人等有关人员在开标记录上签字确认；</w:t>
      </w:r>
    </w:p>
    <w:p w14:paraId="09FB500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(9)开标结束。</w:t>
      </w:r>
    </w:p>
    <w:p w14:paraId="228278FD">
      <w:pPr>
        <w:pageBreakBefore w:val="0"/>
        <w:kinsoku/>
        <w:overflowPunct/>
        <w:topLinePunct w:val="0"/>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highlight w:val="none"/>
          <w:lang w:val="zh-CN"/>
        </w:rPr>
        <w:t>21.3.4 采购人对开标过程进行记录，并存档备查。</w:t>
      </w:r>
    </w:p>
    <w:p w14:paraId="517971ED">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22．投标文件的有效性</w:t>
      </w:r>
    </w:p>
    <w:p w14:paraId="1738B67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22.1开标时，投标文件出现下列情形之一的，应当作为无效投标文件，不得进入评标。    </w:t>
      </w:r>
    </w:p>
    <w:p w14:paraId="6A011E9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22.1.1投标文件未按照本须知第17条的要求装订、密封和标记的。</w:t>
      </w:r>
    </w:p>
    <w:p w14:paraId="1C231CF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22.1.2本须知第11条规定的投标文件有关内容未按本须知第16条规定加盖投标人印章或未经法定代表人或其委托代理人签字或盖章的。由委托代理人签字或盖章的，但未随投标文件一起提交有效的“授权委托书”的。   </w:t>
      </w:r>
    </w:p>
    <w:p w14:paraId="1DEAB01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22.1.3投标文件的关键内容字迹模糊、无法辨认的。</w:t>
      </w:r>
    </w:p>
    <w:p w14:paraId="2ADA44D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22.1.4投标人未按照招标文件的要求提供投标保证金的。</w:t>
      </w:r>
    </w:p>
    <w:p w14:paraId="626760BD">
      <w:pPr>
        <w:pageBreakBefore w:val="0"/>
        <w:kinsoku/>
        <w:overflowPunct/>
        <w:topLinePunct w:val="0"/>
        <w:bidi w:val="0"/>
        <w:spacing w:line="440" w:lineRule="exact"/>
        <w:rPr>
          <w:rFonts w:hint="eastAsia" w:ascii="宋体" w:hAnsi="宋体" w:eastAsia="宋体" w:cs="宋体"/>
          <w:b/>
          <w:bCs/>
          <w:color w:val="000000"/>
          <w:kern w:val="0"/>
          <w:sz w:val="28"/>
          <w:szCs w:val="28"/>
          <w:highlight w:val="none"/>
        </w:rPr>
      </w:pPr>
      <w:r>
        <w:rPr>
          <w:rFonts w:hint="eastAsia" w:ascii="宋体" w:hAnsi="宋体" w:eastAsia="宋体" w:cs="宋体"/>
          <w:color w:val="000000"/>
          <w:highlight w:val="none"/>
          <w:lang w:val="zh-CN"/>
        </w:rPr>
        <w:t>22.2采购人将有效投标文件，送评标委员会进行评审、比较。</w:t>
      </w:r>
    </w:p>
    <w:p w14:paraId="3702623C">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r>
        <w:rPr>
          <w:rFonts w:hint="eastAsia" w:ascii="宋体" w:hAnsi="宋体" w:eastAsia="宋体" w:cs="宋体"/>
          <w:b/>
          <w:bCs/>
          <w:color w:val="000000"/>
          <w:kern w:val="0"/>
          <w:sz w:val="28"/>
          <w:szCs w:val="28"/>
          <w:highlight w:val="none"/>
        </w:rPr>
        <w:t>六．评标</w:t>
      </w:r>
    </w:p>
    <w:p w14:paraId="046208FC">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23．评标委员会与评标</w:t>
      </w:r>
    </w:p>
    <w:p w14:paraId="503B079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23.1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0C6A1F0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23.2评标委员会成员有下列情形之一的，应当回避：</w:t>
      </w:r>
    </w:p>
    <w:p w14:paraId="517A218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(l)采购人或投标人的主要负责人的近亲属；</w:t>
      </w:r>
    </w:p>
    <w:p w14:paraId="694354C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(2)项目主管部门或者行政监督部门的人员；</w:t>
      </w:r>
    </w:p>
    <w:p w14:paraId="6F71021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(3)与投标人有经济利益关系，可能影响对投标公正评审的；</w:t>
      </w:r>
    </w:p>
    <w:p w14:paraId="0CAF29F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(4)曾因在招标、评标以及其他与招标投标有关活动中从事违法行为而受过行政处罚或刑事处罚的。</w:t>
      </w:r>
    </w:p>
    <w:p w14:paraId="793BF0E5">
      <w:pPr>
        <w:pStyle w:val="9"/>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24．评标过程的保密</w:t>
      </w:r>
    </w:p>
    <w:p w14:paraId="5CC8FFA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24.1开标后，直至授予中标人合同为止，凡属于对投标文件的审查、澄清、评价和比较有关的资料以及中标候选人的推荐情况，与评标有关的其他任何情况均严格保密。</w:t>
      </w:r>
    </w:p>
    <w:p w14:paraId="738EE3B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24.2在投标文件的评审和比较、中标候选人推荐以及授予合同的过程中，投标人向采购人和评标委员会施加影响的任何行为，都将会导致其投标被拒绝。</w:t>
      </w:r>
    </w:p>
    <w:p w14:paraId="2169BBB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24.3中标人确定后，采购人不对未中标人就评标过程以及未能中标原因作出任何解释。未中标人不得向评标委员会组成人员或其他有关人员索问评标过程的情况和材料。</w:t>
      </w:r>
    </w:p>
    <w:p w14:paraId="445EC22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24.4投标文件的澄清</w:t>
      </w:r>
    </w:p>
    <w:p w14:paraId="28B9466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24.4.1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w:t>
      </w:r>
    </w:p>
    <w:p w14:paraId="3E8A1BE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24.5投标文件的初步评审</w:t>
      </w:r>
    </w:p>
    <w:p w14:paraId="71B57B0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24.5.1开标后，评标委员会根据本须知第22条有关规定审查投标文件的有效性。</w:t>
      </w:r>
    </w:p>
    <w:p w14:paraId="2FFA8F0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24.5.2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531406C5">
      <w:pPr>
        <w:pageBreakBefore w:val="0"/>
        <w:kinsoku/>
        <w:overflowPunct/>
        <w:topLinePunct w:val="0"/>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highlight w:val="none"/>
          <w:lang w:val="zh-CN"/>
        </w:rPr>
        <w:t>24.5.3 如果投标文件实质上不响应招标文件的要求，评标委员会将予以拒绝，并且不允许投标人通过修改或撤销其不符合要求的差异或保留，使之成为具有响应性的投标。</w:t>
      </w:r>
    </w:p>
    <w:p w14:paraId="6ED7D8DC">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25．投标文件的评审、比较和否决</w:t>
      </w:r>
    </w:p>
    <w:p w14:paraId="51283E32">
      <w:pPr>
        <w:pageBreakBefore w:val="0"/>
        <w:kinsoku/>
        <w:overflowPunct/>
        <w:topLinePunct w:val="0"/>
        <w:bidi w:val="0"/>
        <w:snapToGrid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25.1 评标委员会将按照本须知第24.5条规定，仅对在实质上响应招标文件要求的投标文件进行评估和比较。    </w:t>
      </w:r>
    </w:p>
    <w:p w14:paraId="62835CB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25.2 在评审过程中，评标委员会可以以书面形式要求投标人就投标文件中含义不明确的内容进行书面说明并提供相关材料。</w:t>
      </w:r>
    </w:p>
    <w:p w14:paraId="6123D6B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25.3评标方法（见招标文件第三章）</w:t>
      </w:r>
    </w:p>
    <w:p w14:paraId="6D7B2CE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25.4经评标委员会评审，认为所有投标都不符合招标文件要求的，可以否决所有投标。所有投标被否决后，采购人应当依法重新招标。</w:t>
      </w:r>
    </w:p>
    <w:p w14:paraId="08863DA8">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26. 评标报告</w:t>
      </w:r>
    </w:p>
    <w:p w14:paraId="6F057C3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26.1评标工作结束时，评标委员会出具评标工作报告。</w:t>
      </w:r>
    </w:p>
    <w:p w14:paraId="05CF1981">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七．授予合同</w:t>
      </w:r>
    </w:p>
    <w:p w14:paraId="610BE383">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27．合同授予的标准</w:t>
      </w:r>
    </w:p>
    <w:p w14:paraId="1FE8138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27.1 本招标项目的合同将授予本次评标的评标委员会推荐的中候选标人。</w:t>
      </w:r>
    </w:p>
    <w:p w14:paraId="6A73995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27.2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p w14:paraId="0CE59F71">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28．</w:t>
      </w:r>
      <w:r>
        <w:rPr>
          <w:rFonts w:hint="eastAsia" w:ascii="宋体" w:hAnsi="宋体" w:eastAsia="宋体" w:cs="宋体"/>
          <w:b/>
          <w:bCs/>
          <w:color w:val="000000"/>
          <w:kern w:val="0"/>
          <w:sz w:val="24"/>
          <w:szCs w:val="24"/>
          <w:highlight w:val="none"/>
          <w:lang w:eastAsia="zh-CN"/>
        </w:rPr>
        <w:t>采购人</w:t>
      </w:r>
      <w:r>
        <w:rPr>
          <w:rFonts w:hint="eastAsia" w:ascii="宋体" w:hAnsi="宋体" w:eastAsia="宋体" w:cs="宋体"/>
          <w:b/>
          <w:bCs/>
          <w:color w:val="000000"/>
          <w:kern w:val="0"/>
          <w:sz w:val="24"/>
          <w:szCs w:val="24"/>
          <w:highlight w:val="none"/>
        </w:rPr>
        <w:t>接受和拒绝投标的权力</w:t>
      </w:r>
    </w:p>
    <w:p w14:paraId="7362462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28.1采购人在发出中标通知书前因项目发生变化或不可抗力等原因有权宣布投标程序无效或拒绝所有投标，并对由此引起的对投标人的影响不承担任何责任，也无须将这样做的理由通知受影响的投标人，但采购人应将投标保证金退还给投标人。</w:t>
      </w:r>
    </w:p>
    <w:p w14:paraId="13C24E03">
      <w:pPr>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rPr>
        <w:t>29．中标通知书</w:t>
      </w:r>
    </w:p>
    <w:p w14:paraId="4031178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29.1在投标有效期内，采购人将书面形式向中标人发出中标通知书，确认其投标已被接受。中标通知书中应写明业主将支付给中标人按合同规定完成工作的总价（即合同价格）。</w:t>
      </w:r>
    </w:p>
    <w:p w14:paraId="493E418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29.2中标通知书是合同文件的组成部分。</w:t>
      </w:r>
    </w:p>
    <w:p w14:paraId="0D02510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30．合同协议书的签署</w:t>
      </w:r>
    </w:p>
    <w:p w14:paraId="347CD3B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30.1招标和中标人应当自中标通知书发出之日起30日内，根据招标文件和中标人的投标文件订立书面合同。</w:t>
      </w:r>
    </w:p>
    <w:p w14:paraId="1AFE134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30.2中标人在收到中标通知书30日内，如不与采购人签订合同，采购人有权委托其他单位负责，中标人不得提出异议，采购人也不承担其相关法律责任。</w:t>
      </w:r>
    </w:p>
    <w:p w14:paraId="4458119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30.3签订合同书时，中标人应出示法定代表人证书或代理人授权书。</w:t>
      </w:r>
    </w:p>
    <w:p w14:paraId="4701315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30.4合同经双方法定代表人或其授权代理人签署并加盖公章后生效。</w:t>
      </w:r>
    </w:p>
    <w:p w14:paraId="5C526BB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30.5如果中标人未能遵守本须知第29.1 款或30.1 款的规定，采购人则可宣布其中标无效，并没收其投标保证金。在此情况下，采购人可根据本须知第26条第26.2 款的规定,将合同授予下一个符合评标及授予合同要求的中标候选人。</w:t>
      </w:r>
    </w:p>
    <w:p w14:paraId="7559EC04">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31．纪律与监督</w:t>
      </w:r>
    </w:p>
    <w:p w14:paraId="599D5A4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31.1采购人应当采取必要的措施，保证评标工作在严格保密的情况下进行。</w:t>
      </w:r>
    </w:p>
    <w:p w14:paraId="5FB4323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31.2投标人在投标过程中不得串通作弊，不得妨碍其他投标人的公平竞争，不得以行贿、弄虚作假等手段骗取中标，也不能采取任何方式向采购人施加压力或干扰，损害招标的公正性和竞争性，否则将被取消投标资格。</w:t>
      </w:r>
    </w:p>
    <w:p w14:paraId="051E558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31.3专家委员会成员应当客观、公正地履行职责，遵守职业道德，对所提出的评审意见承担个人责任。专家委员会成员不得私下接触投标人，不得收受投标人的财物或者其他好处，不得透露对投标文件的评审、中标候选人的推荐情况以及与评标有关的其他情况。</w:t>
      </w:r>
    </w:p>
    <w:p w14:paraId="47B88848">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八．其  他</w:t>
      </w:r>
    </w:p>
    <w:p w14:paraId="0DC58E35">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32．适用法律</w:t>
      </w:r>
    </w:p>
    <w:p w14:paraId="5B7359D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32.1本招标文件受中华人民共和国法律管辖。若发生纠纷，应适用中国法律，通过采购人当地诉讼机构裁决。</w:t>
      </w:r>
    </w:p>
    <w:p w14:paraId="0FD9A5B7">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33．时间标准</w:t>
      </w:r>
    </w:p>
    <w:p w14:paraId="7F24F17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33.1本次招标活动过程中，采购人提及的时间，均以北京时间计算。</w:t>
      </w:r>
    </w:p>
    <w:p w14:paraId="0BC8FB8C">
      <w:pPr>
        <w:pageBreakBefore w:val="0"/>
        <w:kinsoku/>
        <w:overflowPunct/>
        <w:topLinePunct w:val="0"/>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lang w:val="zh-CN"/>
        </w:rPr>
        <w:t>33.2采购人保留更改时间表的权力，如有改动，将及时通知各投标人</w:t>
      </w:r>
      <w:r>
        <w:rPr>
          <w:rFonts w:hint="eastAsia" w:ascii="宋体" w:hAnsi="宋体" w:eastAsia="宋体" w:cs="宋体"/>
          <w:color w:val="000000"/>
          <w:kern w:val="0"/>
          <w:sz w:val="24"/>
          <w:szCs w:val="24"/>
          <w:highlight w:val="none"/>
        </w:rPr>
        <w:t>。</w:t>
      </w:r>
    </w:p>
    <w:p w14:paraId="3A9BC7A7">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34. 双方承诺</w:t>
      </w:r>
    </w:p>
    <w:p w14:paraId="0C1CC7C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34.1参加本次招标的投标人均视为承认本招标文件所有内容。</w:t>
      </w:r>
    </w:p>
    <w:p w14:paraId="62433E4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34.2中标人在确定并</w:t>
      </w:r>
      <w:r>
        <w:rPr>
          <w:rFonts w:hint="eastAsia" w:ascii="宋体" w:hAnsi="宋体" w:eastAsia="宋体" w:cs="宋体"/>
          <w:color w:val="000000"/>
          <w:highlight w:val="none"/>
        </w:rPr>
        <w:t>签订</w:t>
      </w:r>
      <w:r>
        <w:rPr>
          <w:rFonts w:hint="eastAsia" w:ascii="宋体" w:hAnsi="宋体" w:eastAsia="宋体" w:cs="宋体"/>
          <w:color w:val="000000"/>
          <w:highlight w:val="none"/>
          <w:lang w:val="zh-CN"/>
        </w:rPr>
        <w:t>合同后，双方应履行合同各项条款。</w:t>
      </w:r>
      <w:bookmarkStart w:id="13" w:name="_Toc476122608"/>
      <w:bookmarkEnd w:id="13"/>
      <w:bookmarkStart w:id="14" w:name="_Toc373772560"/>
      <w:bookmarkEnd w:id="14"/>
    </w:p>
    <w:p w14:paraId="3C99643E">
      <w:pPr>
        <w:pStyle w:val="18"/>
        <w:pageBreakBefore w:val="0"/>
        <w:kinsoku/>
        <w:overflowPunct/>
        <w:topLinePunct w:val="0"/>
        <w:bidi w:val="0"/>
        <w:spacing w:line="440" w:lineRule="exact"/>
        <w:jc w:val="left"/>
        <w:rPr>
          <w:rFonts w:hint="eastAsia" w:ascii="宋体" w:hAnsi="宋体" w:eastAsia="宋体" w:cs="宋体"/>
          <w:color w:val="000000"/>
          <w:sz w:val="21"/>
          <w:szCs w:val="21"/>
          <w:highlight w:val="none"/>
        </w:rPr>
      </w:pPr>
      <w:bookmarkStart w:id="15" w:name="_Toc20001"/>
      <w:r>
        <w:rPr>
          <w:rFonts w:hint="eastAsia" w:ascii="宋体" w:hAnsi="宋体" w:eastAsia="宋体" w:cs="宋体"/>
          <w:color w:val="000000"/>
          <w:sz w:val="21"/>
          <w:szCs w:val="21"/>
          <w:highlight w:val="none"/>
        </w:rPr>
        <w:t>注：本正文与前附表不一致的，以前附表为准。</w:t>
      </w:r>
      <w:bookmarkEnd w:id="15"/>
    </w:p>
    <w:p w14:paraId="182B336F">
      <w:pPr>
        <w:pageBreakBefore w:val="0"/>
        <w:kinsoku/>
        <w:overflowPunct/>
        <w:topLinePunct w:val="0"/>
        <w:bidi w:val="0"/>
        <w:spacing w:line="44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br w:type="page"/>
      </w:r>
    </w:p>
    <w:p w14:paraId="4A5A80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b/>
          <w:bCs/>
          <w:color w:val="000000"/>
          <w:sz w:val="28"/>
          <w:szCs w:val="28"/>
          <w:highlight w:val="none"/>
        </w:rPr>
        <w:t>政府采购促进中小企业发展管理办法</w:t>
      </w:r>
    </w:p>
    <w:p w14:paraId="6C9878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sz w:val="24"/>
          <w:szCs w:val="24"/>
        </w:rPr>
        <w:t>财库〔2020〕46号</w:t>
      </w:r>
    </w:p>
    <w:p w14:paraId="2E41999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第一条</w:t>
      </w:r>
    </w:p>
    <w:p w14:paraId="5DC8D9B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为了发挥政府采购的政策功能，促进中小企业健康发展，根据《中华人民共和国政府采购法》、《中华人民共和国中小企业促进法》等有关法律法规，制定本办法。</w:t>
      </w:r>
    </w:p>
    <w:p w14:paraId="5FAE9D0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第二条</w:t>
      </w:r>
    </w:p>
    <w:p w14:paraId="3AA7D33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2FC646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符合中小企业划分标准的个体工商户，在政府采购活动中视同中小企业。</w:t>
      </w:r>
    </w:p>
    <w:p w14:paraId="6ABC261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第三条</w:t>
      </w:r>
    </w:p>
    <w:p w14:paraId="4FABF41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采购人在政府采购活动中应当通过加强采购需求管理，落实预留采购份额、价格评审优惠、优先采购等措施，提高中小企业在政府采购中的份额，支持中小企业发展。</w:t>
      </w:r>
    </w:p>
    <w:p w14:paraId="1333361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第四条</w:t>
      </w:r>
    </w:p>
    <w:p w14:paraId="22F55FBA">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在政府采购活动中，供应商提供的货物、工程或者服务符合下列情形的，享受本办法规定的中小企业扶持政策：</w:t>
      </w:r>
    </w:p>
    <w:p w14:paraId="1F84F4A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（一）在货物采购项目中，货物由中小企业制造，即货物由中小企业生产且使用该中小企业商号或者注册商标；</w:t>
      </w:r>
    </w:p>
    <w:p w14:paraId="1575532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（二）在工程采购项目中，工程由中小企业承建，即工程施工单位为中小企业；</w:t>
      </w:r>
    </w:p>
    <w:p w14:paraId="06560B3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307CB66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以联合体形式参加政府采购活动，联合体各方均为中小企业的，联合体视同中小企业。其中，联合体各方均为小微企业的，联合体视同小微企业。</w:t>
      </w:r>
    </w:p>
    <w:p w14:paraId="1799323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第五条</w:t>
      </w:r>
    </w:p>
    <w:p w14:paraId="133CE95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899984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第六条</w:t>
      </w:r>
    </w:p>
    <w:p w14:paraId="27F5198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CA7CEB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符合下列情形之一的，可不专门面向中小企业预留采购份额：</w:t>
      </w:r>
    </w:p>
    <w:p w14:paraId="5D7AD74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（一）法律法规和国家有关政策明确规定优先或者应当面向事业单位、社会组织等非企业主体采购的；</w:t>
      </w:r>
    </w:p>
    <w:p w14:paraId="7056CCA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（二）因确需使用不可替代的专利、专有技术，基础设施限制，或者提供特定公共服务等原因，只能从中小企业之外的供应商处采购的；</w:t>
      </w:r>
    </w:p>
    <w:p w14:paraId="087DFC3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（三）按照本办法规定预留采购份额无法确保充分供应、充分竞争，或者存在可能影响政府采购目标实现的情形；</w:t>
      </w:r>
    </w:p>
    <w:p w14:paraId="1475673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（四）框架协议采购项目；</w:t>
      </w:r>
    </w:p>
    <w:p w14:paraId="5847D7F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（五）省级以上人民政府财政部门规定的其他情形。</w:t>
      </w:r>
    </w:p>
    <w:p w14:paraId="16DAD8B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除上述情形外，其他均为适宜由中小企业提供的情形。</w:t>
      </w:r>
    </w:p>
    <w:p w14:paraId="1DB1B17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48C848E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第七条</w:t>
      </w:r>
    </w:p>
    <w:p w14:paraId="5357CDC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采购限额标准以上，200 万元以下的货物和服务采购项目、400 万元以下的工程采购项目，适宜由中小企业提供的，采购人应当专门面向中小企业采购。</w:t>
      </w:r>
    </w:p>
    <w:p w14:paraId="4489386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第八条</w:t>
      </w:r>
    </w:p>
    <w:p w14:paraId="54217FB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2D6C39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（一）将采购项目整体或者设置采购包专门面向中小企业采购；</w:t>
      </w:r>
    </w:p>
    <w:p w14:paraId="12BF6B6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（二）要求供应商以联合体形式参加采购活动，且联合体中中小企业承担的部分达到一定比例；</w:t>
      </w:r>
    </w:p>
    <w:p w14:paraId="59A7386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7C99C58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第九条</w:t>
      </w:r>
    </w:p>
    <w:p w14:paraId="3D2144A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5F00A4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92FAC1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第十条</w:t>
      </w:r>
    </w:p>
    <w:p w14:paraId="4DBA034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A7BCC2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第十一条</w:t>
      </w:r>
    </w:p>
    <w:p w14:paraId="1521A92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052F243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第十二条</w:t>
      </w:r>
    </w:p>
    <w:p w14:paraId="6E9639E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采购项目涉及中小企业采购的，采购文件应当明确以下内容：</w:t>
      </w:r>
    </w:p>
    <w:p w14:paraId="1B3E3DDA">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（一）预留份额的采购项目或者采购包，明确该项目或相关采购包专门面向中小企业采购，以及相关标的及预算金额；</w:t>
      </w:r>
    </w:p>
    <w:p w14:paraId="0702CC8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（二）要求以联合体形式参加或者合同分包的，明确联合协议或者分包意向协议中中小企业合同金额应当达到的比例，并作为供应商资格条件；</w:t>
      </w:r>
    </w:p>
    <w:p w14:paraId="178BABE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（三）非预留份额的采购项目或者采购包，明确有关价格扣除比例或者价格分加分比例；</w:t>
      </w:r>
    </w:p>
    <w:p w14:paraId="1044543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（四）规定依据本办法规定享受扶持政策获得政府采购合同的，小微企业不得将合同分包给大中型企业，中型企业不得将合同分包给大型企业；</w:t>
      </w:r>
    </w:p>
    <w:p w14:paraId="1761D5F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（五）采购人认为具备相关条件的，明确对中小企业在资金支付期限、预付款比例等方面的优惠措施；</w:t>
      </w:r>
    </w:p>
    <w:p w14:paraId="0E929E8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（六）明确采购标的对应的中小企业划分标准所属行业；</w:t>
      </w:r>
    </w:p>
    <w:p w14:paraId="232AE23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（七）法律法规和省级以上人民政府财政部门规定的其他事项。</w:t>
      </w:r>
    </w:p>
    <w:p w14:paraId="3191DAB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第十三条</w:t>
      </w:r>
    </w:p>
    <w:p w14:paraId="7DE88088">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7126671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第十四条</w:t>
      </w:r>
    </w:p>
    <w:p w14:paraId="41ADAD4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73D221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第十五条</w:t>
      </w:r>
    </w:p>
    <w:p w14:paraId="197B761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鼓励各地区、各部门在采购活动中允许中小企业引入信用担保手段，为中小企业在投标（响应）保证、履约保证等方面提供专业化服务。鼓励中小企业依法合规通过政府采购合同融资。</w:t>
      </w:r>
    </w:p>
    <w:p w14:paraId="015EF2C8">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第十六条</w:t>
      </w:r>
    </w:p>
    <w:p w14:paraId="4FEA092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38A50A9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第十七条</w:t>
      </w:r>
    </w:p>
    <w:p w14:paraId="6E861BB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78EDFF5A">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第十八条</w:t>
      </w:r>
    </w:p>
    <w:p w14:paraId="08098F9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393E7A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第十九条</w:t>
      </w:r>
    </w:p>
    <w:p w14:paraId="0184076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F80D5F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第二十条</w:t>
      </w:r>
    </w:p>
    <w:p w14:paraId="6A2DAB8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7F740F4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第二十一条</w:t>
      </w:r>
    </w:p>
    <w:p w14:paraId="12D68A21">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C318CD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有关规定追究相应责任；涉嫌犯罪的，依法移送有关国家机关处理。</w:t>
      </w:r>
    </w:p>
    <w:p w14:paraId="6E2CCEA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第二十二条</w:t>
      </w:r>
    </w:p>
    <w:p w14:paraId="1F98AB6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对外援助项目、国家相关资格或者资质管理制度另有规定的项目，不适用本办法。</w:t>
      </w:r>
    </w:p>
    <w:p w14:paraId="1849AB7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第二十三条</w:t>
      </w:r>
    </w:p>
    <w:p w14:paraId="3B9E7AE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关于视同中小企业的其他主体的政府采购扶持政策，由财政部会同有关部门另行规定。</w:t>
      </w:r>
    </w:p>
    <w:p w14:paraId="1B75135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第二十四条</w:t>
      </w:r>
    </w:p>
    <w:p w14:paraId="645BB16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省级财政部门可以会同中小企业主管部门根据本办法的规定制定具体实施办法。</w:t>
      </w:r>
    </w:p>
    <w:p w14:paraId="66B0C86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第二十五条</w:t>
      </w:r>
    </w:p>
    <w:p w14:paraId="54C78338">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本办法自2021 年1月1日起施行。 财政部工业和信息化部关于印发〈政府采购促进中小企业发展暂行办法〉的通知》（财库﹝2011﹞181 号）同时废止。</w:t>
      </w:r>
    </w:p>
    <w:p w14:paraId="503EA340">
      <w:pPr>
        <w:keepNext w:val="0"/>
        <w:keepLines w:val="0"/>
        <w:pageBreakBefore w:val="0"/>
        <w:widowControl/>
        <w:suppressLineNumbers w:val="0"/>
        <w:kinsoku/>
        <w:overflowPunct/>
        <w:topLinePunct w:val="0"/>
        <w:bidi w:val="0"/>
        <w:spacing w:line="440" w:lineRule="exact"/>
        <w:jc w:val="center"/>
        <w:rPr>
          <w:rFonts w:hint="eastAsia" w:ascii="宋体" w:hAnsi="宋体" w:eastAsia="宋体" w:cs="宋体"/>
          <w:b/>
          <w:bCs/>
          <w:kern w:val="0"/>
          <w:sz w:val="28"/>
          <w:szCs w:val="28"/>
          <w:lang w:val="en-US" w:eastAsia="zh-CN" w:bidi="ar"/>
        </w:rPr>
      </w:pPr>
      <w:r>
        <w:rPr>
          <w:rFonts w:hint="eastAsia" w:ascii="宋体" w:hAnsi="宋体" w:eastAsia="宋体" w:cs="宋体"/>
          <w:color w:val="000000"/>
          <w:sz w:val="24"/>
          <w:highlight w:val="none"/>
        </w:rPr>
        <w:br w:type="page"/>
      </w:r>
      <w:r>
        <w:rPr>
          <w:rFonts w:hint="eastAsia" w:ascii="宋体" w:hAnsi="宋体" w:eastAsia="宋体" w:cs="宋体"/>
          <w:b/>
          <w:bCs/>
          <w:kern w:val="0"/>
          <w:sz w:val="28"/>
          <w:szCs w:val="28"/>
          <w:lang w:val="en-US" w:eastAsia="zh-CN" w:bidi="ar"/>
        </w:rPr>
        <w:t>财政部司法部关于政府采购支持监狱企业发展有关问题的通知</w:t>
      </w:r>
    </w:p>
    <w:p w14:paraId="6F76BA51">
      <w:pPr>
        <w:keepNext w:val="0"/>
        <w:keepLines w:val="0"/>
        <w:pageBreakBefore w:val="0"/>
        <w:widowControl/>
        <w:suppressLineNumbers w:val="0"/>
        <w:kinsoku/>
        <w:overflowPunct/>
        <w:topLinePunct w:val="0"/>
        <w:bidi w:val="0"/>
        <w:spacing w:line="440" w:lineRule="exact"/>
        <w:jc w:val="center"/>
        <w:rPr>
          <w:rFonts w:hint="eastAsia" w:ascii="宋体" w:hAnsi="宋体" w:eastAsia="宋体" w:cs="宋体"/>
        </w:rPr>
      </w:pPr>
      <w:r>
        <w:rPr>
          <w:rFonts w:hint="eastAsia" w:ascii="宋体" w:hAnsi="宋体" w:eastAsia="宋体" w:cs="宋体"/>
          <w:b/>
          <w:bCs/>
          <w:kern w:val="0"/>
          <w:sz w:val="28"/>
          <w:szCs w:val="28"/>
          <w:lang w:val="en-US" w:eastAsia="zh-CN" w:bidi="ar"/>
        </w:rPr>
        <w:t>(财库〔2014〕68号)</w:t>
      </w:r>
    </w:p>
    <w:p w14:paraId="288CCE42">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19F1410">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D74001C">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DD13A">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547132AF">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4D1CAED">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四、各地区可以结合本地区实际，对监狱企业生产的办公用品、家具用具、车辆维修和提供的保养服务、消防设备等，提出预留份额等政府采购支持措施，加大对监狱企业产品的采购力度。</w:t>
      </w:r>
    </w:p>
    <w:p w14:paraId="7035CBB7">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47D796">
      <w:pPr>
        <w:pStyle w:val="17"/>
        <w:keepNext w:val="0"/>
        <w:keepLines w:val="0"/>
        <w:pageBreakBefore w:val="0"/>
        <w:widowControl/>
        <w:suppressLineNumbers w:val="0"/>
        <w:kinsoku/>
        <w:overflowPunct/>
        <w:topLinePunct w:val="0"/>
        <w:bidi w:val="0"/>
        <w:spacing w:line="440" w:lineRule="exact"/>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中华人民共和国财政部</w:t>
      </w:r>
    </w:p>
    <w:p w14:paraId="2F4ABD5A">
      <w:pPr>
        <w:pStyle w:val="17"/>
        <w:keepNext w:val="0"/>
        <w:keepLines w:val="0"/>
        <w:pageBreakBefore w:val="0"/>
        <w:widowControl/>
        <w:suppressLineNumbers w:val="0"/>
        <w:kinsoku/>
        <w:overflowPunct/>
        <w:topLinePunct w:val="0"/>
        <w:bidi w:val="0"/>
        <w:spacing w:line="440" w:lineRule="exact"/>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中华人民共和国司法部</w:t>
      </w:r>
    </w:p>
    <w:p w14:paraId="349F827C">
      <w:pPr>
        <w:pageBreakBefore w:val="0"/>
        <w:kinsoku/>
        <w:overflowPunct/>
        <w:topLinePunct w:val="0"/>
        <w:bidi w:val="0"/>
        <w:snapToGrid w:val="0"/>
        <w:spacing w:line="440" w:lineRule="exact"/>
        <w:jc w:val="right"/>
        <w:rPr>
          <w:rFonts w:hint="eastAsia" w:ascii="宋体" w:hAnsi="宋体" w:eastAsia="宋体" w:cs="宋体"/>
          <w:b/>
          <w:bCs/>
          <w:color w:val="000000"/>
          <w:kern w:val="0"/>
          <w:highlight w:val="none"/>
        </w:rPr>
      </w:pPr>
      <w:r>
        <w:rPr>
          <w:rFonts w:hint="eastAsia" w:ascii="宋体" w:hAnsi="宋体" w:eastAsia="宋体" w:cs="宋体"/>
          <w:color w:val="auto"/>
          <w:sz w:val="21"/>
          <w:szCs w:val="21"/>
        </w:rPr>
        <w:t>2014年6月10日</w:t>
      </w:r>
      <w:r>
        <w:rPr>
          <w:rFonts w:hint="eastAsia" w:ascii="宋体" w:hAnsi="宋体" w:eastAsia="宋体" w:cs="宋体"/>
          <w:color w:val="000000"/>
          <w:sz w:val="20"/>
          <w:highlight w:val="none"/>
        </w:rPr>
        <w:br w:type="page"/>
      </w:r>
    </w:p>
    <w:p w14:paraId="106DC9D7">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《统计上大中小微型企业划分办法（2017）》修订说明</w:t>
      </w:r>
    </w:p>
    <w:p w14:paraId="2B55AC26">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一、修订背景</w:t>
      </w:r>
    </w:p>
    <w:p w14:paraId="4C3C0D25">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DC13EA7">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4E03289">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二、修订主要内容</w:t>
      </w:r>
    </w:p>
    <w:p w14:paraId="32065862">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3AE1DD6">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将交通运输业中包括的“装卸搬运和运输代理业”修改为“多式联运和运输代理业、装卸搬运”。</w:t>
      </w:r>
    </w:p>
    <w:p w14:paraId="1AF44E89">
      <w:pPr>
        <w:pageBreakBefore w:val="0"/>
        <w:kinsoku/>
        <w:overflowPunct/>
        <w:topLinePunct w:val="0"/>
        <w:bidi w:val="0"/>
        <w:spacing w:line="440" w:lineRule="exact"/>
        <w:ind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kern w:val="0"/>
          <w:sz w:val="21"/>
          <w:szCs w:val="21"/>
          <w:highlight w:val="none"/>
        </w:rPr>
        <w:t>仓储业所包括的行业中类，根据《国民经济行业分类》</w:t>
      </w:r>
      <w:r>
        <w:rPr>
          <w:rFonts w:hint="eastAsia" w:ascii="宋体" w:hAnsi="宋体" w:eastAsia="宋体" w:cs="宋体"/>
          <w:color w:val="000000"/>
          <w:sz w:val="21"/>
          <w:szCs w:val="21"/>
          <w:highlight w:val="none"/>
        </w:rPr>
        <w:t>（GB/T 4754—2017）</w:t>
      </w:r>
      <w:r>
        <w:rPr>
          <w:rFonts w:hint="eastAsia" w:ascii="宋体" w:hAnsi="宋体" w:eastAsia="宋体" w:cs="宋体"/>
          <w:color w:val="000000"/>
          <w:spacing w:val="8"/>
          <w:kern w:val="0"/>
          <w:sz w:val="21"/>
          <w:szCs w:val="21"/>
          <w:highlight w:val="none"/>
        </w:rPr>
        <w:t>调整为“通用仓储，低温仓储，危险品仓储，谷物、棉花等农产品仓储，中药材仓储和其他仓储业”。</w:t>
      </w:r>
    </w:p>
    <w:p w14:paraId="2356051A">
      <w:pPr>
        <w:pageBreakBefore w:val="0"/>
        <w:kinsoku/>
        <w:overflowPunct/>
        <w:topLinePunct w:val="0"/>
        <w:bidi w:val="0"/>
        <w:spacing w:line="440" w:lineRule="exact"/>
        <w:jc w:val="center"/>
        <w:rPr>
          <w:rFonts w:hint="eastAsia" w:ascii="宋体" w:hAnsi="宋体" w:eastAsia="宋体" w:cs="宋体"/>
          <w:b/>
          <w:bCs/>
          <w:color w:val="auto"/>
          <w:sz w:val="36"/>
          <w:szCs w:val="36"/>
          <w:highlight w:val="none"/>
          <w:lang w:val="zh-CN"/>
        </w:rPr>
      </w:pPr>
    </w:p>
    <w:p w14:paraId="1F9FE53F">
      <w:pPr>
        <w:pStyle w:val="20"/>
        <w:pageBreakBefore w:val="0"/>
        <w:tabs>
          <w:tab w:val="left" w:pos="360"/>
        </w:tabs>
        <w:kinsoku/>
        <w:overflowPunct/>
        <w:topLinePunct w:val="0"/>
        <w:bidi w:val="0"/>
        <w:spacing w:line="440" w:lineRule="exact"/>
        <w:ind w:left="0" w:leftChars="0" w:firstLine="0" w:firstLineChars="0"/>
        <w:rPr>
          <w:rFonts w:hint="eastAsia" w:ascii="宋体" w:hAnsi="宋体" w:eastAsia="宋体" w:cs="宋体"/>
          <w:b/>
          <w:bCs/>
          <w:color w:val="auto"/>
          <w:sz w:val="36"/>
          <w:szCs w:val="36"/>
          <w:highlight w:val="none"/>
          <w:lang w:val="zh-CN"/>
        </w:rPr>
      </w:pPr>
    </w:p>
    <w:p w14:paraId="071BC55F">
      <w:pPr>
        <w:pStyle w:val="20"/>
        <w:pageBreakBefore w:val="0"/>
        <w:tabs>
          <w:tab w:val="left" w:pos="360"/>
        </w:tabs>
        <w:kinsoku/>
        <w:overflowPunct/>
        <w:topLinePunct w:val="0"/>
        <w:bidi w:val="0"/>
        <w:spacing w:line="440" w:lineRule="exact"/>
        <w:ind w:left="0" w:leftChars="0" w:firstLine="0" w:firstLineChars="0"/>
        <w:rPr>
          <w:rFonts w:hint="eastAsia" w:ascii="宋体" w:hAnsi="宋体" w:eastAsia="宋体" w:cs="宋体"/>
          <w:b/>
          <w:bCs/>
          <w:color w:val="auto"/>
          <w:sz w:val="36"/>
          <w:szCs w:val="36"/>
          <w:highlight w:val="none"/>
          <w:lang w:val="zh-CN"/>
        </w:rPr>
      </w:pPr>
    </w:p>
    <w:p w14:paraId="5AE4A137">
      <w:pPr>
        <w:pStyle w:val="20"/>
        <w:pageBreakBefore w:val="0"/>
        <w:tabs>
          <w:tab w:val="left" w:pos="360"/>
        </w:tabs>
        <w:kinsoku/>
        <w:overflowPunct/>
        <w:topLinePunct w:val="0"/>
        <w:bidi w:val="0"/>
        <w:spacing w:line="440" w:lineRule="exact"/>
        <w:ind w:left="0" w:leftChars="0" w:firstLine="0" w:firstLineChars="0"/>
        <w:rPr>
          <w:rFonts w:hint="eastAsia" w:ascii="宋体" w:hAnsi="宋体" w:eastAsia="宋体" w:cs="宋体"/>
          <w:b/>
          <w:bCs/>
          <w:color w:val="auto"/>
          <w:sz w:val="36"/>
          <w:szCs w:val="36"/>
          <w:highlight w:val="none"/>
          <w:lang w:val="zh-CN"/>
        </w:rPr>
      </w:pPr>
    </w:p>
    <w:p w14:paraId="7455BF1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65463A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《中小企业划型标准规定（修订征求意见稿）》</w:t>
      </w:r>
    </w:p>
    <w:p w14:paraId="360963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p>
    <w:p w14:paraId="5BBAEA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一、根据《中华人民共和国中小企业促进法》和国民经济社会发展需要，制定本规定。</w:t>
      </w:r>
    </w:p>
    <w:p w14:paraId="67C025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二、中小企业划分为中型、小型、微型三种类型，具体标准根据企业从业人员、营业收入、资产总额等指标以及企业控股</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情况，结合行业特点制定。</w:t>
      </w:r>
    </w:p>
    <w:p w14:paraId="44DF5F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三、本规定适用于《国民经济行业分类》中的以下行业：农、林、牧、渔业，采矿业，制造业，电力、热力、燃气及水生产和供应业，建筑业，批发</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24FF59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四、各行业中小企业划型定量标准为：</w:t>
      </w:r>
    </w:p>
    <w:p w14:paraId="154AE3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（一）农、林、牧、渔业。营业收入2亿元以下的为中小微型企业。其中：营业收入300万元以下的为微型企业；营业收入3000万元以下的为小型企业；营业收入2亿元以下的为中型企业。</w:t>
      </w:r>
    </w:p>
    <w:p w14:paraId="108977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（二）工业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采矿业，制造业，电力、热力、燃气及水生产和供应业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5FE15C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5E071C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7B869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（五）零售业。从业人员300人以下且营业收入5亿元以下的为中小微型企业。其中：从业人员10人以下且营业收入500万元以下的为微型企业；从业人员50人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的为小型企业；从业人员300人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6BE97E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587CDF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（七）信息传输、软件和信息技术服务业。从业人员500人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的为中小微型企业。其中：从业人员10人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的为微型企业；从业人员100人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0D9EF2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6BF544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0C8C6C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、企业规模类型划分以企业有关指标上年度数据为定量依据。</w:t>
      </w:r>
    </w:p>
    <w:p w14:paraId="4800F1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没有上年度完整数据的企业规模类型划分，从业人员、资产总额以划型时的数据为定量依据，营业收入按照以下公式计算：</w:t>
      </w:r>
    </w:p>
    <w:p w14:paraId="772BFF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营业收入（年）=企业实际存续期间营业收入/企业实际存续月数*12。</w:t>
      </w:r>
    </w:p>
    <w:p w14:paraId="5022E7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、不符合中小企业划型定量标准的企业即为大型企业。国家统计部门据此制定大中小微型企业的统计分类。</w:t>
      </w:r>
    </w:p>
    <w:p w14:paraId="0ED9D3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、本规定适用于在中华人民共和国境内依法设立的企业，企业的分支机构除外。</w:t>
      </w:r>
    </w:p>
    <w:p w14:paraId="143BAA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符合中小企业划型定量标准，但有下列情形之一的，视同大型企业：</w:t>
      </w:r>
    </w:p>
    <w:p w14:paraId="541041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单个</w:t>
      </w:r>
      <w:r>
        <w:rPr>
          <w:rFonts w:hint="eastAsia" w:ascii="宋体" w:hAnsi="宋体" w:eastAsia="宋体" w:cs="宋体"/>
          <w:sz w:val="21"/>
          <w:szCs w:val="21"/>
          <w:highlight w:val="none"/>
        </w:rPr>
        <w:t>大型企业或大型企业全资子公司直接控股超过50%的企业；</w:t>
      </w:r>
    </w:p>
    <w:p w14:paraId="7FF70F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两个以上</w:t>
      </w:r>
      <w:r>
        <w:rPr>
          <w:rFonts w:hint="eastAsia" w:ascii="宋体" w:hAnsi="宋体" w:eastAsia="宋体" w:cs="宋体"/>
          <w:sz w:val="21"/>
          <w:szCs w:val="21"/>
          <w:highlight w:val="none"/>
        </w:rPr>
        <w:t>大型企业或大型企业全资子公司直接控股超过50%的企业；</w:t>
      </w:r>
    </w:p>
    <w:p w14:paraId="55EB29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）与大型企业或大型企业全资子公司的法定代表人为同一人的企业。</w:t>
      </w:r>
    </w:p>
    <w:p w14:paraId="6D19BE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、企业规模类型采用自我声明的方式，企业对自我声明内容的真实性负责。</w:t>
      </w:r>
    </w:p>
    <w:p w14:paraId="2E8180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p>
    <w:p w14:paraId="4B93B5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九、本规定由国务院负责中小企业促进工作综合管理部门、国家统计部门会同有关部门根据经济社会发展情况，每5年定期评估，根据评估情况适时修订。</w:t>
      </w:r>
    </w:p>
    <w:p w14:paraId="647160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十、本规定由国务院负责中小企业促进工作综合管理部门、国家统计部门会同有关部门负责解释。各部门各地区不得制定与本规定不一致的中小企业划型标准。</w:t>
      </w:r>
    </w:p>
    <w:p w14:paraId="729A6F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十一、个体工商户参照本规定进行划型。</w:t>
      </w:r>
    </w:p>
    <w:p w14:paraId="1BC7E2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十二、本规定自发布之日起执行，工业和信息化部、国家统计局、国家发展和改革委员会、财政部2011年颁布的《中小企业划型标准规定》同时废止。</w:t>
      </w:r>
    </w:p>
    <w:p w14:paraId="04A0E25C">
      <w:pPr>
        <w:pStyle w:val="7"/>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outlineLvl w:val="9"/>
        <w:rPr>
          <w:rFonts w:hint="eastAsia" w:ascii="宋体" w:hAnsi="宋体" w:eastAsia="宋体" w:cs="宋体"/>
          <w:sz w:val="21"/>
          <w:szCs w:val="21"/>
          <w:highlight w:val="none"/>
          <w:lang w:val="en-US" w:eastAsia="zh-CN"/>
        </w:rPr>
      </w:pPr>
    </w:p>
    <w:p w14:paraId="61D8A6EA">
      <w:pPr>
        <w:pageBreakBefore w:val="0"/>
        <w:kinsoku/>
        <w:overflowPunct/>
        <w:topLinePunct w:val="0"/>
        <w:bidi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F7F1366">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关于《</w:t>
      </w:r>
      <w:r>
        <w:rPr>
          <w:rFonts w:hint="eastAsia" w:ascii="宋体" w:hAnsi="宋体" w:eastAsia="宋体" w:cs="宋体"/>
          <w:b w:val="0"/>
          <w:bCs/>
          <w:sz w:val="21"/>
          <w:szCs w:val="21"/>
          <w:highlight w:val="none"/>
        </w:rPr>
        <w:t>中小企业划型标准规定</w:t>
      </w:r>
      <w:r>
        <w:rPr>
          <w:rFonts w:hint="eastAsia" w:ascii="宋体" w:hAnsi="宋体" w:eastAsia="宋体" w:cs="宋体"/>
          <w:sz w:val="21"/>
          <w:szCs w:val="21"/>
          <w:highlight w:val="none"/>
          <w:lang w:eastAsia="zh-CN"/>
        </w:rPr>
        <w:t>》修订情况的说明</w:t>
      </w:r>
    </w:p>
    <w:p w14:paraId="5DFA9A17">
      <w:pPr>
        <w:keepNext w:val="0"/>
        <w:keepLines w:val="0"/>
        <w:pageBreakBefore w:val="0"/>
        <w:widowControl w:val="0"/>
        <w:kinsoku/>
        <w:wordWrap/>
        <w:overflowPunct/>
        <w:topLinePunct w:val="0"/>
        <w:autoSpaceDE/>
        <w:autoSpaceDN/>
        <w:bidi w:val="0"/>
        <w:adjustRightInd/>
        <w:snapToGrid/>
        <w:spacing w:line="440" w:lineRule="exact"/>
        <w:ind w:right="-334" w:rightChars="-159"/>
        <w:jc w:val="left"/>
        <w:textAlignment w:val="auto"/>
        <w:outlineLvl w:val="9"/>
        <w:rPr>
          <w:rFonts w:hint="eastAsia" w:ascii="宋体" w:hAnsi="宋体" w:eastAsia="宋体" w:cs="宋体"/>
          <w:sz w:val="21"/>
          <w:szCs w:val="21"/>
          <w:highlight w:val="none"/>
          <w:lang w:val="en-US" w:eastAsia="zh-CN"/>
        </w:rPr>
      </w:pPr>
    </w:p>
    <w:p w14:paraId="32EECEEF">
      <w:pPr>
        <w:pStyle w:val="7"/>
        <w:pageBreakBefore w:val="0"/>
        <w:kinsoku/>
        <w:overflowPunct/>
        <w:topLinePunct w:val="0"/>
        <w:bidi w:val="0"/>
        <w:spacing w:beforeLines="0" w:afterLines="0" w:line="4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一、修订背景</w:t>
      </w:r>
    </w:p>
    <w:p w14:paraId="6736CDCF">
      <w:pPr>
        <w:pageBreakBefore w:val="0"/>
        <w:kinsoku/>
        <w:overflowPunct/>
        <w:topLinePunct w:val="0"/>
        <w:bidi w:val="0"/>
        <w:spacing w:beforeLines="0" w:afterLines="0" w:line="440" w:lineRule="exact"/>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现行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中小企业划型标准</w:t>
      </w:r>
      <w:r>
        <w:rPr>
          <w:rFonts w:hint="eastAsia" w:ascii="宋体" w:hAnsi="宋体" w:eastAsia="宋体" w:cs="宋体"/>
          <w:sz w:val="21"/>
          <w:szCs w:val="21"/>
          <w:highlight w:val="none"/>
          <w:lang w:eastAsia="zh-CN"/>
        </w:rPr>
        <w:t>规定》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工信部联企业〔</w:t>
      </w:r>
      <w:r>
        <w:rPr>
          <w:rFonts w:hint="eastAsia" w:ascii="宋体" w:hAnsi="宋体" w:eastAsia="宋体" w:cs="宋体"/>
          <w:sz w:val="21"/>
          <w:szCs w:val="21"/>
          <w:highlight w:val="none"/>
          <w:lang w:val="en-US" w:eastAsia="zh-CN"/>
        </w:rPr>
        <w:t>2011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300号，</w:t>
      </w:r>
      <w:r>
        <w:rPr>
          <w:rFonts w:hint="eastAsia" w:ascii="宋体" w:hAnsi="宋体" w:eastAsia="宋体" w:cs="宋体"/>
          <w:sz w:val="21"/>
          <w:szCs w:val="21"/>
          <w:highlight w:val="none"/>
        </w:rPr>
        <w:t>以下简称《划型标准》）是经国务院同意，由工业和信息化部、</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统计局、</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发展</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改革</w:t>
      </w:r>
      <w:r>
        <w:rPr>
          <w:rFonts w:hint="eastAsia" w:ascii="宋体" w:hAnsi="宋体" w:eastAsia="宋体" w:cs="宋体"/>
          <w:sz w:val="21"/>
          <w:szCs w:val="21"/>
          <w:highlight w:val="none"/>
          <w:lang w:eastAsia="zh-CN"/>
        </w:rPr>
        <w:t>委员会</w:t>
      </w:r>
      <w:r>
        <w:rPr>
          <w:rFonts w:hint="eastAsia" w:ascii="宋体" w:hAnsi="宋体" w:eastAsia="宋体" w:cs="宋体"/>
          <w:sz w:val="21"/>
          <w:szCs w:val="21"/>
          <w:highlight w:val="none"/>
        </w:rPr>
        <w:t>、财政部于2011年6月发布的。《划型标准》</w:t>
      </w:r>
      <w:r>
        <w:rPr>
          <w:rFonts w:hint="eastAsia" w:ascii="宋体" w:hAnsi="宋体" w:eastAsia="宋体" w:cs="宋体"/>
          <w:sz w:val="21"/>
          <w:szCs w:val="21"/>
          <w:highlight w:val="none"/>
          <w:lang w:eastAsia="zh-CN"/>
        </w:rPr>
        <w:t>作为促进中小企业发展政策实施和国民经济统计分类的基础依据，发布十年来，得到了较好地执行，</w:t>
      </w:r>
      <w:r>
        <w:rPr>
          <w:rFonts w:hint="eastAsia" w:ascii="宋体" w:hAnsi="宋体" w:eastAsia="宋体" w:cs="宋体"/>
          <w:sz w:val="21"/>
          <w:szCs w:val="21"/>
          <w:highlight w:val="none"/>
          <w:lang w:val="en-US" w:eastAsia="zh-CN"/>
        </w:rPr>
        <w:t>为各级政府部门制定和实施促进中小企业特别是小微企业发展政策提供了基础数据和决策参考。但随着经济发展和产业结构调整，执行中也遇到了一些问题，主要是：</w:t>
      </w:r>
      <w:r>
        <w:rPr>
          <w:rFonts w:hint="eastAsia" w:ascii="宋体" w:hAnsi="宋体" w:eastAsia="宋体" w:cs="宋体"/>
          <w:b w:val="0"/>
          <w:bCs w:val="0"/>
          <w:sz w:val="21"/>
          <w:szCs w:val="21"/>
          <w:highlight w:val="none"/>
          <w:lang w:val="en-US" w:eastAsia="zh-CN"/>
        </w:rPr>
        <w:t>一是</w:t>
      </w:r>
      <w:r>
        <w:rPr>
          <w:rFonts w:hint="eastAsia" w:ascii="宋体" w:hAnsi="宋体" w:eastAsia="宋体" w:cs="宋体"/>
          <w:b w:val="0"/>
          <w:bCs w:val="0"/>
          <w:sz w:val="21"/>
          <w:szCs w:val="21"/>
          <w:highlight w:val="none"/>
        </w:rPr>
        <w:t>部分中小企业规模过大</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lang w:val="en-US" w:eastAsia="zh-CN"/>
        </w:rPr>
        <w:t>因采用从业人员、营业收入或资产总额双指标并集划型，导致少数从业人员少而营业收入高或资产规模大的企业划入中小企业。</w:t>
      </w:r>
      <w:r>
        <w:rPr>
          <w:rFonts w:hint="eastAsia" w:ascii="宋体" w:hAnsi="宋体" w:eastAsia="宋体" w:cs="宋体"/>
          <w:b w:val="0"/>
          <w:bCs w:val="0"/>
          <w:sz w:val="21"/>
          <w:szCs w:val="21"/>
          <w:highlight w:val="none"/>
          <w:lang w:val="en-US" w:eastAsia="zh-CN"/>
        </w:rPr>
        <w:t>二是</w:t>
      </w:r>
      <w:r>
        <w:rPr>
          <w:rFonts w:hint="eastAsia" w:ascii="宋体" w:hAnsi="宋体" w:eastAsia="宋体" w:cs="宋体"/>
          <w:b w:val="0"/>
          <w:bCs w:val="0"/>
          <w:sz w:val="21"/>
          <w:szCs w:val="21"/>
          <w:highlight w:val="none"/>
        </w:rPr>
        <w:t>行业分类复杂繁琐</w:t>
      </w:r>
      <w:r>
        <w:rPr>
          <w:rFonts w:hint="eastAsia" w:ascii="宋体" w:hAnsi="宋体" w:eastAsia="宋体" w:cs="宋体"/>
          <w:b w:val="0"/>
          <w:bCs w:val="0"/>
          <w:sz w:val="21"/>
          <w:szCs w:val="21"/>
          <w:highlight w:val="none"/>
          <w:lang w:eastAsia="zh-CN"/>
        </w:rPr>
        <w:t>，且未覆盖</w:t>
      </w:r>
      <w:r>
        <w:rPr>
          <w:rFonts w:hint="eastAsia" w:ascii="宋体" w:hAnsi="宋体" w:eastAsia="宋体" w:cs="宋体"/>
          <w:sz w:val="21"/>
          <w:szCs w:val="21"/>
          <w:highlight w:val="none"/>
        </w:rPr>
        <w:t>“教育”门类和“卫生”大类</w:t>
      </w:r>
      <w:r>
        <w:rPr>
          <w:rFonts w:hint="eastAsia" w:ascii="宋体" w:hAnsi="宋体" w:eastAsia="宋体" w:cs="宋体"/>
          <w:b w:val="0"/>
          <w:bCs w:val="0"/>
          <w:sz w:val="21"/>
          <w:szCs w:val="21"/>
          <w:highlight w:val="none"/>
          <w:lang w:eastAsia="zh-CN"/>
        </w:rPr>
        <w:t>。</w:t>
      </w:r>
      <w:bookmarkStart w:id="16" w:name="_Toc534726769"/>
      <w:bookmarkStart w:id="17" w:name="_Toc534744176"/>
      <w:bookmarkStart w:id="18" w:name="_Toc536690535"/>
      <w:r>
        <w:rPr>
          <w:rFonts w:hint="eastAsia" w:ascii="宋体" w:hAnsi="宋体" w:eastAsia="宋体" w:cs="宋体"/>
          <w:b w:val="0"/>
          <w:bCs w:val="0"/>
          <w:sz w:val="21"/>
          <w:szCs w:val="21"/>
          <w:highlight w:val="none"/>
          <w:lang w:val="en-US" w:eastAsia="zh-CN"/>
        </w:rPr>
        <w:t>三是</w:t>
      </w:r>
      <w:r>
        <w:rPr>
          <w:rFonts w:hint="eastAsia" w:ascii="宋体" w:hAnsi="宋体" w:eastAsia="宋体" w:cs="宋体"/>
          <w:b w:val="0"/>
          <w:bCs w:val="0"/>
          <w:sz w:val="21"/>
          <w:szCs w:val="21"/>
          <w:highlight w:val="none"/>
        </w:rPr>
        <w:t>定性标准缺位</w:t>
      </w:r>
      <w:r>
        <w:rPr>
          <w:rFonts w:hint="eastAsia" w:ascii="宋体" w:hAnsi="宋体" w:eastAsia="宋体" w:cs="宋体"/>
          <w:b w:val="0"/>
          <w:bCs w:val="0"/>
          <w:sz w:val="21"/>
          <w:szCs w:val="21"/>
          <w:highlight w:val="none"/>
          <w:lang w:eastAsia="zh-CN"/>
        </w:rPr>
        <w:t>。四</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部分行业划型指标不适合行业大多数企业经营特征</w:t>
      </w:r>
      <w:r>
        <w:rPr>
          <w:rFonts w:hint="eastAsia" w:ascii="宋体" w:hAnsi="宋体" w:eastAsia="宋体" w:cs="宋体"/>
          <w:b w:val="0"/>
          <w:bCs w:val="0"/>
          <w:sz w:val="21"/>
          <w:szCs w:val="21"/>
          <w:highlight w:val="none"/>
          <w:lang w:eastAsia="zh-CN"/>
        </w:rPr>
        <w:t>。五是</w:t>
      </w:r>
      <w:r>
        <w:rPr>
          <w:rFonts w:hint="eastAsia" w:ascii="宋体" w:hAnsi="宋体" w:eastAsia="宋体" w:cs="宋体"/>
          <w:b w:val="0"/>
          <w:bCs w:val="0"/>
          <w:sz w:val="21"/>
          <w:szCs w:val="21"/>
          <w:highlight w:val="none"/>
        </w:rPr>
        <w:t>定量标准需随劳动生产率提高</w:t>
      </w:r>
      <w:r>
        <w:rPr>
          <w:rFonts w:hint="eastAsia" w:ascii="宋体" w:hAnsi="宋体" w:eastAsia="宋体" w:cs="宋体"/>
          <w:b w:val="0"/>
          <w:bCs w:val="0"/>
          <w:sz w:val="21"/>
          <w:szCs w:val="21"/>
          <w:highlight w:val="none"/>
          <w:lang w:eastAsia="zh-CN"/>
        </w:rPr>
        <w:t>等</w:t>
      </w:r>
      <w:r>
        <w:rPr>
          <w:rFonts w:hint="eastAsia" w:ascii="宋体" w:hAnsi="宋体" w:eastAsia="宋体" w:cs="宋体"/>
          <w:b w:val="0"/>
          <w:bCs w:val="0"/>
          <w:sz w:val="21"/>
          <w:szCs w:val="21"/>
          <w:highlight w:val="none"/>
        </w:rPr>
        <w:t>进行调整</w:t>
      </w:r>
      <w:r>
        <w:rPr>
          <w:rFonts w:hint="eastAsia" w:ascii="宋体" w:hAnsi="宋体" w:eastAsia="宋体" w:cs="宋体"/>
          <w:b w:val="0"/>
          <w:bCs w:val="0"/>
          <w:sz w:val="21"/>
          <w:szCs w:val="21"/>
          <w:highlight w:val="none"/>
          <w:lang w:eastAsia="zh-CN"/>
        </w:rPr>
        <w:t>。</w:t>
      </w:r>
    </w:p>
    <w:bookmarkEnd w:id="16"/>
    <w:bookmarkEnd w:id="17"/>
    <w:bookmarkEnd w:id="18"/>
    <w:p w14:paraId="47B7B30A">
      <w:pPr>
        <w:pageBreakBefore w:val="0"/>
        <w:kinsoku/>
        <w:overflowPunct/>
        <w:topLinePunct w:val="0"/>
        <w:bidi w:val="0"/>
        <w:spacing w:beforeLines="0" w:afterLines="0" w:line="440" w:lineRule="exact"/>
        <w:ind w:firstLine="420" w:firstLineChars="200"/>
        <w:outlineLvl w:val="9"/>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二、修订的原则</w:t>
      </w:r>
    </w:p>
    <w:p w14:paraId="6554C97A">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一</w:t>
      </w:r>
      <w:r>
        <w:rPr>
          <w:rFonts w:hint="eastAsia" w:ascii="宋体" w:hAnsi="宋体" w:eastAsia="宋体" w:cs="宋体"/>
          <w:b w:val="0"/>
          <w:bCs w:val="0"/>
          <w:sz w:val="21"/>
          <w:szCs w:val="21"/>
          <w:highlight w:val="none"/>
        </w:rPr>
        <w:t>是坚持问题导向。</w:t>
      </w: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eastAsia="zh-CN"/>
        </w:rPr>
        <w:t>《划型标准》</w:t>
      </w:r>
      <w:r>
        <w:rPr>
          <w:rFonts w:hint="eastAsia" w:ascii="宋体" w:hAnsi="宋体" w:eastAsia="宋体" w:cs="宋体"/>
          <w:sz w:val="21"/>
          <w:szCs w:val="21"/>
          <w:highlight w:val="none"/>
        </w:rPr>
        <w:t>执行中存在的问题，提出解决的方法和路径</w:t>
      </w:r>
      <w:r>
        <w:rPr>
          <w:rFonts w:hint="eastAsia" w:ascii="宋体" w:hAnsi="宋体" w:eastAsia="宋体" w:cs="宋体"/>
          <w:sz w:val="21"/>
          <w:szCs w:val="21"/>
          <w:highlight w:val="none"/>
          <w:lang w:eastAsia="zh-CN"/>
        </w:rPr>
        <w:t>。</w:t>
      </w:r>
    </w:p>
    <w:p w14:paraId="20F3E741">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w:t>
      </w:r>
      <w:r>
        <w:rPr>
          <w:rFonts w:hint="eastAsia" w:ascii="宋体" w:hAnsi="宋体" w:eastAsia="宋体" w:cs="宋体"/>
          <w:b w:val="0"/>
          <w:bCs w:val="0"/>
          <w:sz w:val="21"/>
          <w:szCs w:val="21"/>
          <w:highlight w:val="none"/>
        </w:rPr>
        <w:t>是综合现实发展需要和历史衔接。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划型标准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修订既要适应国</w:t>
      </w:r>
      <w:r>
        <w:rPr>
          <w:rFonts w:hint="eastAsia" w:ascii="宋体" w:hAnsi="宋体" w:eastAsia="宋体" w:cs="宋体"/>
          <w:sz w:val="21"/>
          <w:szCs w:val="21"/>
          <w:highlight w:val="none"/>
          <w:lang w:eastAsia="zh-CN"/>
        </w:rPr>
        <w:t>民</w:t>
      </w:r>
      <w:r>
        <w:rPr>
          <w:rFonts w:hint="eastAsia" w:ascii="宋体" w:hAnsi="宋体" w:eastAsia="宋体" w:cs="宋体"/>
          <w:sz w:val="21"/>
          <w:szCs w:val="21"/>
          <w:highlight w:val="none"/>
        </w:rPr>
        <w:t>经济和促进中小企业发展需要，又要保持相对的稳定性和连续性</w:t>
      </w:r>
      <w:r>
        <w:rPr>
          <w:rFonts w:hint="eastAsia" w:ascii="宋体" w:hAnsi="宋体" w:eastAsia="宋体" w:cs="宋体"/>
          <w:sz w:val="21"/>
          <w:szCs w:val="21"/>
          <w:highlight w:val="none"/>
          <w:lang w:eastAsia="zh-CN"/>
        </w:rPr>
        <w:t>。</w:t>
      </w:r>
    </w:p>
    <w:p w14:paraId="05AE40DD">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rPr>
        <w:t>三是注重与国际一般标准的可比性。</w:t>
      </w:r>
      <w:r>
        <w:rPr>
          <w:rFonts w:hint="eastAsia" w:ascii="宋体" w:hAnsi="宋体" w:eastAsia="宋体" w:cs="宋体"/>
          <w:sz w:val="21"/>
          <w:szCs w:val="21"/>
          <w:highlight w:val="none"/>
        </w:rPr>
        <w:t>借鉴国际经验，结合我国实际</w:t>
      </w:r>
      <w:r>
        <w:rPr>
          <w:rFonts w:hint="eastAsia" w:ascii="宋体" w:hAnsi="宋体" w:eastAsia="宋体" w:cs="宋体"/>
          <w:sz w:val="21"/>
          <w:szCs w:val="21"/>
          <w:highlight w:val="none"/>
          <w:lang w:eastAsia="zh-CN"/>
        </w:rPr>
        <w:t>确定各行业划型指标及标准</w:t>
      </w:r>
      <w:r>
        <w:rPr>
          <w:rFonts w:hint="eastAsia" w:ascii="宋体" w:hAnsi="宋体" w:eastAsia="宋体" w:cs="宋体"/>
          <w:sz w:val="21"/>
          <w:szCs w:val="21"/>
          <w:highlight w:val="none"/>
        </w:rPr>
        <w:t>，为中小企业发展国际比较提供参照</w:t>
      </w:r>
      <w:r>
        <w:rPr>
          <w:rFonts w:hint="eastAsia" w:ascii="宋体" w:hAnsi="宋体" w:eastAsia="宋体" w:cs="宋体"/>
          <w:sz w:val="21"/>
          <w:szCs w:val="21"/>
          <w:highlight w:val="none"/>
          <w:lang w:eastAsia="zh-CN"/>
        </w:rPr>
        <w:t>。</w:t>
      </w:r>
    </w:p>
    <w:p w14:paraId="412BE85F">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四是注重简单易行，便于操作。</w:t>
      </w:r>
      <w:r>
        <w:rPr>
          <w:rFonts w:hint="eastAsia" w:ascii="宋体" w:hAnsi="宋体" w:eastAsia="宋体" w:cs="宋体"/>
          <w:sz w:val="21"/>
          <w:szCs w:val="21"/>
          <w:highlight w:val="none"/>
        </w:rPr>
        <w:t>从实际出发，</w:t>
      </w:r>
      <w:r>
        <w:rPr>
          <w:rFonts w:hint="eastAsia" w:ascii="宋体" w:hAnsi="宋体" w:eastAsia="宋体" w:cs="宋体"/>
          <w:sz w:val="21"/>
          <w:szCs w:val="21"/>
          <w:highlight w:val="none"/>
          <w:lang w:eastAsia="zh-CN"/>
        </w:rPr>
        <w:t>注重</w:t>
      </w:r>
      <w:r>
        <w:rPr>
          <w:rFonts w:hint="eastAsia" w:ascii="宋体" w:hAnsi="宋体" w:eastAsia="宋体" w:cs="宋体"/>
          <w:sz w:val="21"/>
          <w:szCs w:val="21"/>
          <w:highlight w:val="none"/>
        </w:rPr>
        <w:t>易于理解、识别和执行。</w:t>
      </w:r>
    </w:p>
    <w:p w14:paraId="0A3F43B8">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三、修订的主要内容</w:t>
      </w:r>
    </w:p>
    <w:p w14:paraId="0A65D445">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关于行业分类的修订</w:t>
      </w:r>
    </w:p>
    <w:p w14:paraId="42493556">
      <w:pPr>
        <w:pageBreakBefore w:val="0"/>
        <w:kinsoku/>
        <w:overflowPunct/>
        <w:topLinePunct w:val="0"/>
        <w:bidi w:val="0"/>
        <w:spacing w:beforeLines="0" w:afterLines="0" w:line="440" w:lineRule="exact"/>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部分行业分类保持不变</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包括农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渔业，工业，建筑业，批发业，零售业</w:t>
      </w:r>
      <w:r>
        <w:rPr>
          <w:rFonts w:hint="eastAsia" w:ascii="宋体" w:hAnsi="宋体" w:eastAsia="宋体" w:cs="宋体"/>
          <w:sz w:val="21"/>
          <w:szCs w:val="21"/>
          <w:highlight w:val="none"/>
          <w:lang w:eastAsia="zh-CN"/>
        </w:rPr>
        <w:t>，房地产开发经营业等（涉及企业数量约占</w:t>
      </w:r>
      <w:r>
        <w:rPr>
          <w:rFonts w:hint="eastAsia" w:ascii="宋体" w:hAnsi="宋体" w:eastAsia="宋体" w:cs="宋体"/>
          <w:sz w:val="21"/>
          <w:szCs w:val="21"/>
          <w:highlight w:val="none"/>
          <w:lang w:val="en-US" w:eastAsia="zh-CN"/>
        </w:rPr>
        <w:t>60%）。</w:t>
      </w:r>
    </w:p>
    <w:p w14:paraId="1CE59035">
      <w:pPr>
        <w:pageBreakBefore w:val="0"/>
        <w:kinsoku/>
        <w:overflowPunct/>
        <w:topLinePunct w:val="0"/>
        <w:bidi w:val="0"/>
        <w:spacing w:beforeLines="0" w:afterLines="0" w:line="4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二是</w:t>
      </w:r>
      <w:r>
        <w:rPr>
          <w:rFonts w:hint="eastAsia" w:ascii="宋体" w:hAnsi="宋体" w:eastAsia="宋体" w:cs="宋体"/>
          <w:b w:val="0"/>
          <w:bCs w:val="0"/>
          <w:sz w:val="21"/>
          <w:szCs w:val="21"/>
          <w:highlight w:val="none"/>
        </w:rPr>
        <w:t>以门类为基础调整简并行业分类。</w:t>
      </w:r>
      <w:r>
        <w:rPr>
          <w:rFonts w:hint="eastAsia" w:ascii="宋体" w:hAnsi="宋体" w:eastAsia="宋体" w:cs="宋体"/>
          <w:b w:val="0"/>
          <w:bCs w:val="0"/>
          <w:sz w:val="21"/>
          <w:szCs w:val="21"/>
          <w:highlight w:val="none"/>
          <w:lang w:eastAsia="zh-CN"/>
        </w:rPr>
        <w:t>如</w:t>
      </w:r>
      <w:r>
        <w:rPr>
          <w:rFonts w:hint="eastAsia" w:ascii="宋体" w:hAnsi="宋体" w:eastAsia="宋体" w:cs="宋体"/>
          <w:sz w:val="21"/>
          <w:szCs w:val="21"/>
          <w:highlight w:val="none"/>
        </w:rPr>
        <w:t>将住宿业、餐饮业合并，按“住宿和餐饮业”门类统一划型</w:t>
      </w:r>
      <w:r>
        <w:rPr>
          <w:rFonts w:hint="eastAsia" w:ascii="宋体" w:hAnsi="宋体" w:eastAsia="宋体" w:cs="宋体"/>
          <w:sz w:val="21"/>
          <w:szCs w:val="21"/>
          <w:highlight w:val="none"/>
          <w:lang w:eastAsia="zh-CN"/>
        </w:rPr>
        <w:t>；将信息传输业、软件和信息技术服务业合并，按“信息传输、软件和信息技术服务业”门类统一划型；</w:t>
      </w:r>
      <w:r>
        <w:rPr>
          <w:rFonts w:hint="eastAsia" w:ascii="宋体" w:hAnsi="宋体" w:eastAsia="宋体" w:cs="宋体"/>
          <w:b w:val="0"/>
          <w:sz w:val="21"/>
          <w:szCs w:val="21"/>
          <w:highlight w:val="none"/>
        </w:rPr>
        <w:t>将交通运输业、仓储业、邮政业合并，按“交通运输、仓储和邮政业”门类</w:t>
      </w:r>
      <w:r>
        <w:rPr>
          <w:rFonts w:hint="eastAsia" w:ascii="宋体" w:hAnsi="宋体" w:eastAsia="宋体" w:cs="宋体"/>
          <w:b w:val="0"/>
          <w:sz w:val="21"/>
          <w:szCs w:val="21"/>
          <w:highlight w:val="none"/>
          <w:lang w:eastAsia="zh-CN"/>
        </w:rPr>
        <w:t>与工业统一划型。</w:t>
      </w:r>
    </w:p>
    <w:p w14:paraId="04CE9EEA">
      <w:pPr>
        <w:pageBreakBefore w:val="0"/>
        <w:kinsoku/>
        <w:overflowPunct/>
        <w:topLinePunct w:val="0"/>
        <w:bidi w:val="0"/>
        <w:spacing w:beforeLines="0" w:afterLines="0" w:line="440" w:lineRule="exact"/>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三是</w:t>
      </w:r>
      <w:r>
        <w:rPr>
          <w:rFonts w:hint="eastAsia" w:ascii="宋体" w:hAnsi="宋体" w:eastAsia="宋体" w:cs="宋体"/>
          <w:b w:val="0"/>
          <w:bCs w:val="0"/>
          <w:sz w:val="21"/>
          <w:szCs w:val="21"/>
          <w:highlight w:val="none"/>
        </w:rPr>
        <w:t>增加《划型标准》尚未覆盖的行业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如“教育”门类和“卫生”大类。</w:t>
      </w:r>
    </w:p>
    <w:p w14:paraId="763EB618">
      <w:pPr>
        <w:pageBreakBefore w:val="0"/>
        <w:kinsoku/>
        <w:overflowPunct/>
        <w:topLinePunct w:val="0"/>
        <w:bidi w:val="0"/>
        <w:spacing w:beforeLines="0" w:afterLines="0" w:line="440" w:lineRule="exact"/>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四是</w:t>
      </w:r>
      <w:r>
        <w:rPr>
          <w:rFonts w:hint="eastAsia" w:ascii="宋体" w:hAnsi="宋体" w:eastAsia="宋体" w:cs="宋体"/>
          <w:b w:val="0"/>
          <w:bCs w:val="0"/>
          <w:sz w:val="21"/>
          <w:szCs w:val="21"/>
          <w:highlight w:val="none"/>
        </w:rPr>
        <w:t>行业性质或特征相近的行业</w:t>
      </w:r>
      <w:r>
        <w:rPr>
          <w:rFonts w:hint="eastAsia" w:ascii="宋体" w:hAnsi="宋体" w:eastAsia="宋体" w:cs="宋体"/>
          <w:b w:val="0"/>
          <w:bCs w:val="0"/>
          <w:sz w:val="21"/>
          <w:szCs w:val="21"/>
          <w:highlight w:val="none"/>
          <w:lang w:eastAsia="zh-CN"/>
        </w:rPr>
        <w:t>归并</w:t>
      </w:r>
      <w:r>
        <w:rPr>
          <w:rFonts w:hint="eastAsia" w:ascii="宋体" w:hAnsi="宋体" w:eastAsia="宋体" w:cs="宋体"/>
          <w:b w:val="0"/>
          <w:bCs w:val="0"/>
          <w:sz w:val="21"/>
          <w:szCs w:val="21"/>
          <w:highlight w:val="none"/>
        </w:rPr>
        <w:t>划型。</w:t>
      </w:r>
      <w:r>
        <w:rPr>
          <w:rFonts w:hint="eastAsia" w:ascii="宋体" w:hAnsi="宋体" w:eastAsia="宋体" w:cs="宋体"/>
          <w:sz w:val="21"/>
          <w:szCs w:val="21"/>
          <w:highlight w:val="none"/>
        </w:rPr>
        <w:t>将房地产业（房地产开发经营除外），租赁与商务服务业（组织管理服务除外），科学研究和技术服务业，水利、环境和公共设施管理业，居民服务、修理和其他服务业，社会工作，文化、体育和娱乐业，</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新增的教育、卫生等八个行业门类归并统一划型。</w:t>
      </w:r>
    </w:p>
    <w:p w14:paraId="7D0E80BC">
      <w:pPr>
        <w:pageBreakBefore w:val="0"/>
        <w:kinsoku/>
        <w:overflowPunct/>
        <w:topLinePunct w:val="0"/>
        <w:bidi w:val="0"/>
        <w:spacing w:beforeLines="0" w:afterLines="0" w:line="440" w:lineRule="exact"/>
        <w:ind w:firstLine="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五是</w:t>
      </w:r>
      <w:r>
        <w:rPr>
          <w:rFonts w:hint="eastAsia" w:ascii="宋体" w:hAnsi="宋体" w:eastAsia="宋体" w:cs="宋体"/>
          <w:b w:val="0"/>
          <w:bCs w:val="0"/>
          <w:color w:val="auto"/>
          <w:sz w:val="21"/>
          <w:szCs w:val="21"/>
          <w:highlight w:val="none"/>
          <w:lang w:eastAsia="zh-CN"/>
        </w:rPr>
        <w:t>将</w:t>
      </w:r>
      <w:r>
        <w:rPr>
          <w:rFonts w:hint="eastAsia" w:ascii="宋体" w:hAnsi="宋体" w:eastAsia="宋体" w:cs="宋体"/>
          <w:b w:val="0"/>
          <w:bCs w:val="0"/>
          <w:color w:val="auto"/>
          <w:sz w:val="21"/>
          <w:szCs w:val="21"/>
          <w:highlight w:val="none"/>
        </w:rPr>
        <w:t>不属于中小企业</w:t>
      </w:r>
      <w:r>
        <w:rPr>
          <w:rFonts w:hint="eastAsia" w:ascii="宋体" w:hAnsi="宋体" w:eastAsia="宋体" w:cs="宋体"/>
          <w:b w:val="0"/>
          <w:bCs w:val="0"/>
          <w:color w:val="auto"/>
          <w:sz w:val="21"/>
          <w:szCs w:val="21"/>
          <w:highlight w:val="none"/>
          <w:lang w:eastAsia="zh-CN"/>
        </w:rPr>
        <w:t>扶持重点领域</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组织管理服务</w:t>
      </w:r>
      <w:r>
        <w:rPr>
          <w:rFonts w:hint="eastAsia" w:ascii="宋体" w:hAnsi="宋体" w:eastAsia="宋体" w:cs="宋体"/>
          <w:b w:val="0"/>
          <w:bCs w:val="0"/>
          <w:color w:val="auto"/>
          <w:sz w:val="21"/>
          <w:szCs w:val="21"/>
          <w:highlight w:val="none"/>
          <w:lang w:eastAsia="zh-CN"/>
        </w:rPr>
        <w:t>”（属于</w:t>
      </w:r>
      <w:r>
        <w:rPr>
          <w:rFonts w:hint="eastAsia" w:ascii="宋体" w:hAnsi="宋体" w:eastAsia="宋体" w:cs="宋体"/>
          <w:b w:val="0"/>
          <w:bCs w:val="0"/>
          <w:strike w:val="0"/>
          <w:dstrike w:val="0"/>
          <w:color w:val="auto"/>
          <w:sz w:val="21"/>
          <w:szCs w:val="21"/>
          <w:highlight w:val="none"/>
          <w:lang w:eastAsia="zh-CN"/>
        </w:rPr>
        <w:t>租赁和商务服务业门类，主要包括“企业总部管理”“投资与资产管理”“资源与产权交易服务”等</w:t>
      </w:r>
      <w:r>
        <w:rPr>
          <w:rFonts w:hint="eastAsia" w:ascii="宋体" w:hAnsi="宋体" w:eastAsia="宋体" w:cs="宋体"/>
          <w:color w:val="auto"/>
          <w:sz w:val="21"/>
          <w:szCs w:val="21"/>
          <w:highlight w:val="none"/>
          <w:lang w:eastAsia="zh-CN"/>
        </w:rPr>
        <w:t>资产密集型</w:t>
      </w:r>
      <w:r>
        <w:rPr>
          <w:rFonts w:hint="eastAsia" w:ascii="宋体" w:hAnsi="宋体" w:eastAsia="宋体" w:cs="宋体"/>
          <w:b w:val="0"/>
          <w:bCs w:val="0"/>
          <w:strike w:val="0"/>
          <w:dstrike w:val="0"/>
          <w:color w:val="auto"/>
          <w:sz w:val="21"/>
          <w:szCs w:val="21"/>
          <w:highlight w:val="none"/>
          <w:lang w:eastAsia="zh-CN"/>
        </w:rPr>
        <w:t>行业小类）</w:t>
      </w:r>
      <w:r>
        <w:rPr>
          <w:rFonts w:hint="eastAsia" w:ascii="宋体" w:hAnsi="宋体" w:eastAsia="宋体" w:cs="宋体"/>
          <w:color w:val="auto"/>
          <w:sz w:val="21"/>
          <w:szCs w:val="21"/>
          <w:highlight w:val="none"/>
          <w:lang w:eastAsia="zh-CN"/>
        </w:rPr>
        <w:t>采用建筑业指标划型，</w:t>
      </w:r>
      <w:r>
        <w:rPr>
          <w:rFonts w:hint="eastAsia" w:ascii="宋体" w:hAnsi="宋体" w:eastAsia="宋体" w:cs="宋体"/>
          <w:b w:val="0"/>
          <w:color w:val="auto"/>
          <w:sz w:val="21"/>
          <w:szCs w:val="21"/>
          <w:highlight w:val="none"/>
        </w:rPr>
        <w:t>降低其小微企业占比。</w:t>
      </w:r>
    </w:p>
    <w:p w14:paraId="25D3D2EF">
      <w:pPr>
        <w:pageBreakBefore w:val="0"/>
        <w:kinsoku/>
        <w:overflowPunct/>
        <w:topLinePunct w:val="0"/>
        <w:bidi w:val="0"/>
        <w:spacing w:beforeLines="0" w:afterLines="0" w:line="440" w:lineRule="exact"/>
        <w:ind w:firstLine="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修订后，</w:t>
      </w:r>
      <w:r>
        <w:rPr>
          <w:rFonts w:hint="eastAsia" w:ascii="宋体" w:hAnsi="宋体" w:eastAsia="宋体" w:cs="宋体"/>
          <w:color w:val="auto"/>
          <w:sz w:val="21"/>
          <w:szCs w:val="21"/>
          <w:highlight w:val="none"/>
          <w:lang w:eastAsia="zh-CN"/>
        </w:rPr>
        <w:t>行业分类由原来的</w:t>
      </w:r>
      <w:r>
        <w:rPr>
          <w:rFonts w:hint="eastAsia" w:ascii="宋体" w:hAnsi="宋体" w:eastAsia="宋体" w:cs="宋体"/>
          <w:color w:val="auto"/>
          <w:sz w:val="21"/>
          <w:szCs w:val="21"/>
          <w:highlight w:val="none"/>
          <w:lang w:val="en-US" w:eastAsia="zh-CN"/>
        </w:rPr>
        <w:t>16</w:t>
      </w:r>
      <w:r>
        <w:rPr>
          <w:rFonts w:hint="eastAsia" w:ascii="宋体" w:hAnsi="宋体" w:eastAsia="宋体" w:cs="宋体"/>
          <w:sz w:val="21"/>
          <w:szCs w:val="21"/>
          <w:highlight w:val="none"/>
          <w:lang w:val="en-US" w:eastAsia="zh-CN"/>
        </w:rPr>
        <w:t>类减少为9</w:t>
      </w:r>
      <w:r>
        <w:rPr>
          <w:rFonts w:hint="eastAsia" w:ascii="宋体" w:hAnsi="宋体" w:eastAsia="宋体" w:cs="宋体"/>
          <w:sz w:val="21"/>
          <w:szCs w:val="21"/>
          <w:highlight w:val="none"/>
          <w:lang w:eastAsia="zh-CN"/>
        </w:rPr>
        <w:t>类，</w:t>
      </w:r>
      <w:r>
        <w:rPr>
          <w:rFonts w:hint="eastAsia" w:ascii="宋体" w:hAnsi="宋体" w:eastAsia="宋体" w:cs="宋体"/>
          <w:sz w:val="21"/>
          <w:szCs w:val="21"/>
          <w:highlight w:val="none"/>
        </w:rPr>
        <w:t>覆盖</w:t>
      </w:r>
      <w:r>
        <w:rPr>
          <w:rFonts w:hint="eastAsia" w:ascii="宋体" w:hAnsi="宋体" w:eastAsia="宋体" w:cs="宋体"/>
          <w:sz w:val="21"/>
          <w:szCs w:val="21"/>
          <w:highlight w:val="none"/>
          <w:lang w:eastAsia="zh-CN"/>
        </w:rPr>
        <w:t>《国民经济行业分类》（</w:t>
      </w:r>
      <w:r>
        <w:rPr>
          <w:rFonts w:hint="eastAsia" w:ascii="宋体" w:hAnsi="宋体" w:eastAsia="宋体" w:cs="宋体"/>
          <w:sz w:val="21"/>
          <w:szCs w:val="21"/>
          <w:highlight w:val="none"/>
          <w:lang w:val="en-US" w:eastAsia="zh-CN"/>
        </w:rPr>
        <w:t>GB/T 4754-2017）</w:t>
      </w:r>
      <w:r>
        <w:rPr>
          <w:rFonts w:hint="eastAsia" w:ascii="宋体" w:hAnsi="宋体" w:eastAsia="宋体" w:cs="宋体"/>
          <w:sz w:val="21"/>
          <w:szCs w:val="21"/>
          <w:highlight w:val="none"/>
          <w:lang w:eastAsia="zh-CN"/>
        </w:rPr>
        <w:t>除</w:t>
      </w:r>
      <w:r>
        <w:rPr>
          <w:rFonts w:hint="eastAsia" w:ascii="宋体" w:hAnsi="宋体" w:eastAsia="宋体" w:cs="宋体"/>
          <w:color w:val="auto"/>
          <w:sz w:val="21"/>
          <w:szCs w:val="21"/>
          <w:highlight w:val="none"/>
        </w:rPr>
        <w:t>金融业、公共管理和社会组织、国际组织</w:t>
      </w:r>
      <w:r>
        <w:rPr>
          <w:rFonts w:hint="eastAsia" w:ascii="宋体" w:hAnsi="宋体" w:eastAsia="宋体" w:cs="宋体"/>
          <w:color w:val="auto"/>
          <w:sz w:val="21"/>
          <w:szCs w:val="21"/>
          <w:highlight w:val="none"/>
          <w:lang w:eastAsia="zh-CN"/>
        </w:rPr>
        <w:t>三个门类之外的</w:t>
      </w:r>
      <w:r>
        <w:rPr>
          <w:rFonts w:hint="eastAsia" w:ascii="宋体" w:hAnsi="宋体" w:eastAsia="宋体" w:cs="宋体"/>
          <w:sz w:val="21"/>
          <w:szCs w:val="21"/>
          <w:highlight w:val="none"/>
          <w:lang w:eastAsia="zh-CN"/>
        </w:rPr>
        <w:t>所有</w:t>
      </w:r>
      <w:r>
        <w:rPr>
          <w:rFonts w:hint="eastAsia" w:ascii="宋体" w:hAnsi="宋体" w:eastAsia="宋体" w:cs="宋体"/>
          <w:sz w:val="21"/>
          <w:szCs w:val="21"/>
          <w:highlight w:val="none"/>
        </w:rPr>
        <w:t>行业企业。</w:t>
      </w:r>
    </w:p>
    <w:p w14:paraId="5FCC6CAC">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（二）关于划型指标的修订</w:t>
      </w:r>
    </w:p>
    <w:p w14:paraId="456FE936">
      <w:pPr>
        <w:pageBreakBefore w:val="0"/>
        <w:kinsoku/>
        <w:overflowPunct/>
        <w:topLinePunct w:val="0"/>
        <w:bidi w:val="0"/>
        <w:spacing w:beforeLines="0" w:afterLines="0" w:line="440" w:lineRule="exact"/>
        <w:ind w:firstLine="420" w:firstLineChars="200"/>
        <w:jc w:val="both"/>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各行业划型指标基本</w:t>
      </w:r>
      <w:r>
        <w:rPr>
          <w:rFonts w:hint="eastAsia" w:ascii="宋体" w:hAnsi="宋体" w:eastAsia="宋体" w:cs="宋体"/>
          <w:b w:val="0"/>
          <w:sz w:val="21"/>
          <w:szCs w:val="21"/>
          <w:highlight w:val="none"/>
        </w:rPr>
        <w:t>沿用</w:t>
      </w:r>
      <w:r>
        <w:rPr>
          <w:rFonts w:hint="eastAsia" w:ascii="宋体" w:hAnsi="宋体" w:eastAsia="宋体" w:cs="宋体"/>
          <w:b w:val="0"/>
          <w:sz w:val="21"/>
          <w:szCs w:val="21"/>
          <w:highlight w:val="none"/>
          <w:lang w:eastAsia="zh-CN"/>
        </w:rPr>
        <w:t>现行</w:t>
      </w:r>
      <w:r>
        <w:rPr>
          <w:rFonts w:hint="eastAsia" w:ascii="宋体" w:hAnsi="宋体" w:eastAsia="宋体" w:cs="宋体"/>
          <w:b w:val="0"/>
          <w:sz w:val="21"/>
          <w:szCs w:val="21"/>
          <w:highlight w:val="none"/>
        </w:rPr>
        <w:t>《划型标准》，</w:t>
      </w:r>
      <w:r>
        <w:rPr>
          <w:rFonts w:hint="eastAsia" w:ascii="宋体" w:hAnsi="宋体" w:eastAsia="宋体" w:cs="宋体"/>
          <w:b w:val="0"/>
          <w:sz w:val="21"/>
          <w:szCs w:val="21"/>
          <w:highlight w:val="none"/>
          <w:lang w:eastAsia="zh-CN"/>
        </w:rPr>
        <w:t>主要是采用从业人员和营业收入双指标划型，仅有农业采用营业收入、建筑业和组织管理服务采用营业收入和资产总额划型。</w:t>
      </w:r>
    </w:p>
    <w:p w14:paraId="6A1818B3">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关于双指标并集转交集的调整</w:t>
      </w:r>
    </w:p>
    <w:p w14:paraId="3E947848">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本次修订</w:t>
      </w:r>
      <w:r>
        <w:rPr>
          <w:rFonts w:hint="eastAsia" w:ascii="宋体" w:hAnsi="宋体" w:eastAsia="宋体" w:cs="宋体"/>
          <w:sz w:val="21"/>
          <w:szCs w:val="21"/>
          <w:highlight w:val="none"/>
          <w:lang w:eastAsia="zh-CN"/>
        </w:rPr>
        <w:t>借鉴欧盟</w:t>
      </w:r>
      <w:r>
        <w:rPr>
          <w:rFonts w:hint="eastAsia" w:ascii="宋体" w:hAnsi="宋体" w:eastAsia="宋体" w:cs="宋体"/>
          <w:sz w:val="21"/>
          <w:szCs w:val="21"/>
          <w:highlight w:val="none"/>
        </w:rPr>
        <w:t>双指标</w:t>
      </w:r>
      <w:r>
        <w:rPr>
          <w:rFonts w:hint="eastAsia" w:ascii="宋体" w:hAnsi="宋体" w:eastAsia="宋体" w:cs="宋体"/>
          <w:sz w:val="21"/>
          <w:szCs w:val="21"/>
          <w:highlight w:val="none"/>
          <w:lang w:eastAsia="zh-CN"/>
        </w:rPr>
        <w:t>交</w:t>
      </w:r>
      <w:r>
        <w:rPr>
          <w:rFonts w:hint="eastAsia" w:ascii="宋体" w:hAnsi="宋体" w:eastAsia="宋体" w:cs="宋体"/>
          <w:sz w:val="21"/>
          <w:szCs w:val="21"/>
          <w:highlight w:val="none"/>
        </w:rPr>
        <w:t>集模式，</w:t>
      </w:r>
      <w:r>
        <w:rPr>
          <w:rFonts w:hint="eastAsia" w:ascii="宋体" w:hAnsi="宋体" w:eastAsia="宋体" w:cs="宋体"/>
          <w:b w:val="0"/>
          <w:sz w:val="21"/>
          <w:szCs w:val="21"/>
          <w:highlight w:val="none"/>
        </w:rPr>
        <w:t>即双指标同时低于微型、小型、中型</w:t>
      </w:r>
      <w:r>
        <w:rPr>
          <w:rFonts w:hint="eastAsia" w:ascii="宋体" w:hAnsi="宋体" w:eastAsia="宋体" w:cs="宋体"/>
          <w:b w:val="0"/>
          <w:sz w:val="21"/>
          <w:szCs w:val="21"/>
          <w:highlight w:val="none"/>
          <w:lang w:eastAsia="zh-CN"/>
        </w:rPr>
        <w:t>企业</w:t>
      </w:r>
      <w:r>
        <w:rPr>
          <w:rFonts w:hint="eastAsia" w:ascii="宋体" w:hAnsi="宋体" w:eastAsia="宋体" w:cs="宋体"/>
          <w:b w:val="0"/>
          <w:sz w:val="21"/>
          <w:szCs w:val="21"/>
          <w:highlight w:val="none"/>
        </w:rPr>
        <w:t>的阈值标准，才能划入相应</w:t>
      </w:r>
      <w:r>
        <w:rPr>
          <w:rFonts w:hint="eastAsia" w:ascii="宋体" w:hAnsi="宋体" w:eastAsia="宋体" w:cs="宋体"/>
          <w:b w:val="0"/>
          <w:sz w:val="21"/>
          <w:szCs w:val="21"/>
          <w:highlight w:val="none"/>
          <w:lang w:eastAsia="zh-CN"/>
        </w:rPr>
        <w:t>规模</w:t>
      </w:r>
      <w:r>
        <w:rPr>
          <w:rFonts w:hint="eastAsia" w:ascii="宋体" w:hAnsi="宋体" w:eastAsia="宋体" w:cs="宋体"/>
          <w:b w:val="0"/>
          <w:sz w:val="21"/>
          <w:szCs w:val="21"/>
          <w:highlight w:val="none"/>
        </w:rPr>
        <w:t>类型</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强调“小企业要有小企业的样子”</w:t>
      </w:r>
      <w:r>
        <w:rPr>
          <w:rFonts w:hint="eastAsia" w:ascii="宋体" w:hAnsi="宋体" w:eastAsia="宋体" w:cs="宋体"/>
          <w:sz w:val="21"/>
          <w:szCs w:val="21"/>
          <w:highlight w:val="none"/>
          <w:lang w:eastAsia="zh-CN"/>
        </w:rPr>
        <w:t>。这样可有效解决从业人员少、营业收入高或资产总额大的企业划入中小企业的问题，</w:t>
      </w:r>
      <w:r>
        <w:rPr>
          <w:rFonts w:hint="eastAsia" w:ascii="宋体" w:hAnsi="宋体" w:eastAsia="宋体" w:cs="宋体"/>
          <w:sz w:val="21"/>
          <w:szCs w:val="21"/>
          <w:highlight w:val="none"/>
        </w:rPr>
        <w:t>更为客观地反映中小企业的经营规模</w:t>
      </w:r>
      <w:r>
        <w:rPr>
          <w:rFonts w:hint="eastAsia" w:ascii="宋体" w:hAnsi="宋体" w:eastAsia="宋体" w:cs="宋体"/>
          <w:sz w:val="21"/>
          <w:szCs w:val="21"/>
          <w:highlight w:val="none"/>
          <w:lang w:eastAsia="zh-CN"/>
        </w:rPr>
        <w:t>，并可降低从业人员统计口径对企业规模变化的影响。</w:t>
      </w:r>
    </w:p>
    <w:p w14:paraId="641FA8B7">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关于定量指标阈值的调整</w:t>
      </w:r>
    </w:p>
    <w:p w14:paraId="3C2C9FA3">
      <w:pPr>
        <w:pageBreakBefore w:val="0"/>
        <w:kinsoku/>
        <w:overflowPunct/>
        <w:topLinePunct w:val="0"/>
        <w:bidi w:val="0"/>
        <w:spacing w:beforeLines="0" w:afterLines="0"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关于从业人员指标</w:t>
      </w:r>
      <w:r>
        <w:rPr>
          <w:rFonts w:hint="eastAsia" w:ascii="宋体" w:hAnsi="宋体" w:eastAsia="宋体" w:cs="宋体"/>
          <w:b w:val="0"/>
          <w:bCs w:val="0"/>
          <w:sz w:val="21"/>
          <w:szCs w:val="21"/>
          <w:highlight w:val="none"/>
          <w:lang w:eastAsia="zh-CN"/>
        </w:rPr>
        <w:t>阈值。鉴于</w:t>
      </w:r>
      <w:r>
        <w:rPr>
          <w:rFonts w:hint="eastAsia" w:ascii="宋体" w:hAnsi="宋体" w:eastAsia="宋体" w:cs="宋体"/>
          <w:b w:val="0"/>
          <w:bCs w:val="0"/>
          <w:color w:val="000000"/>
          <w:sz w:val="21"/>
          <w:szCs w:val="21"/>
          <w:highlight w:val="none"/>
        </w:rPr>
        <w:t>现行《</w:t>
      </w:r>
      <w:r>
        <w:rPr>
          <w:rFonts w:hint="eastAsia" w:ascii="宋体" w:hAnsi="宋体" w:eastAsia="宋体" w:cs="宋体"/>
          <w:b w:val="0"/>
          <w:bCs w:val="0"/>
          <w:color w:val="000000"/>
          <w:sz w:val="21"/>
          <w:szCs w:val="21"/>
          <w:highlight w:val="none"/>
          <w:lang w:eastAsia="zh-CN"/>
        </w:rPr>
        <w:t>划型</w:t>
      </w:r>
      <w:r>
        <w:rPr>
          <w:rFonts w:hint="eastAsia" w:ascii="宋体" w:hAnsi="宋体" w:eastAsia="宋体" w:cs="宋体"/>
          <w:b w:val="0"/>
          <w:bCs w:val="0"/>
          <w:color w:val="000000"/>
          <w:sz w:val="21"/>
          <w:szCs w:val="21"/>
          <w:highlight w:val="none"/>
        </w:rPr>
        <w:t>标准》从业人员指标标准基本具有国际可比性且符合国情</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rPr>
        <w:t>微型企</w:t>
      </w:r>
      <w:r>
        <w:rPr>
          <w:rFonts w:hint="eastAsia" w:ascii="宋体" w:hAnsi="宋体" w:eastAsia="宋体" w:cs="宋体"/>
          <w:b w:val="0"/>
          <w:color w:val="000000"/>
          <w:sz w:val="21"/>
          <w:szCs w:val="21"/>
          <w:highlight w:val="none"/>
        </w:rPr>
        <w:t>业的人员标准基本与其他国家接近</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中型和小型企业标准与其他国家有</w:t>
      </w:r>
      <w:r>
        <w:rPr>
          <w:rFonts w:hint="eastAsia" w:ascii="宋体" w:hAnsi="宋体" w:eastAsia="宋体" w:cs="宋体"/>
          <w:b w:val="0"/>
          <w:color w:val="000000"/>
          <w:sz w:val="21"/>
          <w:szCs w:val="21"/>
          <w:highlight w:val="none"/>
          <w:lang w:eastAsia="zh-CN"/>
        </w:rPr>
        <w:t>所</w:t>
      </w:r>
      <w:r>
        <w:rPr>
          <w:rFonts w:hint="eastAsia" w:ascii="宋体" w:hAnsi="宋体" w:eastAsia="宋体" w:cs="宋体"/>
          <w:b w:val="0"/>
          <w:color w:val="000000"/>
          <w:sz w:val="21"/>
          <w:szCs w:val="21"/>
          <w:highlight w:val="none"/>
        </w:rPr>
        <w:t>差异，但</w:t>
      </w:r>
      <w:r>
        <w:rPr>
          <w:rFonts w:hint="eastAsia" w:ascii="宋体" w:hAnsi="宋体" w:eastAsia="宋体" w:cs="宋体"/>
          <w:b w:val="0"/>
          <w:color w:val="000000"/>
          <w:sz w:val="21"/>
          <w:szCs w:val="21"/>
          <w:highlight w:val="none"/>
          <w:lang w:eastAsia="zh-CN"/>
        </w:rPr>
        <w:t>基本适应</w:t>
      </w:r>
      <w:r>
        <w:rPr>
          <w:rFonts w:hint="eastAsia" w:ascii="宋体" w:hAnsi="宋体" w:eastAsia="宋体" w:cs="宋体"/>
          <w:b w:val="0"/>
          <w:color w:val="000000"/>
          <w:sz w:val="21"/>
          <w:szCs w:val="21"/>
          <w:highlight w:val="none"/>
        </w:rPr>
        <w:t>我国</w:t>
      </w:r>
      <w:r>
        <w:rPr>
          <w:rFonts w:hint="eastAsia" w:ascii="宋体" w:hAnsi="宋体" w:eastAsia="宋体" w:cs="宋体"/>
          <w:color w:val="000000"/>
          <w:sz w:val="21"/>
          <w:szCs w:val="21"/>
          <w:highlight w:val="none"/>
        </w:rPr>
        <w:t>人口众多</w:t>
      </w:r>
      <w:r>
        <w:rPr>
          <w:rFonts w:hint="eastAsia" w:ascii="宋体" w:hAnsi="宋体" w:eastAsia="宋体" w:cs="宋体"/>
          <w:color w:val="000000"/>
          <w:sz w:val="21"/>
          <w:szCs w:val="21"/>
          <w:highlight w:val="none"/>
          <w:lang w:eastAsia="zh-CN"/>
        </w:rPr>
        <w:t>、</w:t>
      </w:r>
      <w:r>
        <w:rPr>
          <w:rFonts w:hint="eastAsia" w:ascii="宋体" w:hAnsi="宋体" w:eastAsia="宋体" w:cs="宋体"/>
          <w:b w:val="0"/>
          <w:color w:val="000000"/>
          <w:sz w:val="21"/>
          <w:szCs w:val="21"/>
          <w:highlight w:val="none"/>
        </w:rPr>
        <w:t>劳动生产率</w:t>
      </w:r>
      <w:r>
        <w:rPr>
          <w:rFonts w:hint="eastAsia" w:ascii="宋体" w:hAnsi="宋体" w:eastAsia="宋体" w:cs="宋体"/>
          <w:b w:val="0"/>
          <w:color w:val="000000"/>
          <w:sz w:val="21"/>
          <w:szCs w:val="21"/>
          <w:highlight w:val="none"/>
          <w:lang w:eastAsia="zh-CN"/>
        </w:rPr>
        <w:t>相对</w:t>
      </w:r>
      <w:r>
        <w:rPr>
          <w:rFonts w:hint="eastAsia" w:ascii="宋体" w:hAnsi="宋体" w:eastAsia="宋体" w:cs="宋体"/>
          <w:b w:val="0"/>
          <w:color w:val="000000"/>
          <w:sz w:val="21"/>
          <w:szCs w:val="21"/>
          <w:highlight w:val="none"/>
        </w:rPr>
        <w:t>较低</w:t>
      </w:r>
      <w:r>
        <w:rPr>
          <w:rFonts w:hint="eastAsia" w:ascii="宋体" w:hAnsi="宋体" w:eastAsia="宋体" w:cs="宋体"/>
          <w:color w:val="000000"/>
          <w:sz w:val="21"/>
          <w:szCs w:val="21"/>
          <w:highlight w:val="none"/>
        </w:rPr>
        <w:t>的基本国情。</w:t>
      </w:r>
      <w:r>
        <w:rPr>
          <w:rFonts w:hint="eastAsia" w:ascii="宋体" w:hAnsi="宋体" w:eastAsia="宋体" w:cs="宋体"/>
          <w:color w:val="000000"/>
          <w:sz w:val="21"/>
          <w:szCs w:val="21"/>
          <w:highlight w:val="none"/>
          <w:lang w:eastAsia="zh-CN"/>
        </w:rPr>
        <w:t>因此，</w:t>
      </w:r>
      <w:r>
        <w:rPr>
          <w:rFonts w:hint="eastAsia" w:ascii="宋体" w:hAnsi="宋体" w:eastAsia="宋体" w:cs="宋体"/>
          <w:sz w:val="21"/>
          <w:szCs w:val="21"/>
          <w:highlight w:val="none"/>
        </w:rPr>
        <w:t>本次修订</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lang w:eastAsia="zh-CN"/>
        </w:rPr>
        <w:t>指标阈值</w:t>
      </w:r>
      <w:r>
        <w:rPr>
          <w:rFonts w:hint="eastAsia" w:ascii="宋体" w:hAnsi="宋体" w:eastAsia="宋体" w:cs="宋体"/>
          <w:sz w:val="21"/>
          <w:szCs w:val="21"/>
          <w:highlight w:val="none"/>
        </w:rPr>
        <w:t>主要沿用现行《</w:t>
      </w:r>
      <w:r>
        <w:rPr>
          <w:rFonts w:hint="eastAsia" w:ascii="宋体" w:hAnsi="宋体" w:eastAsia="宋体" w:cs="宋体"/>
          <w:sz w:val="21"/>
          <w:szCs w:val="21"/>
          <w:highlight w:val="none"/>
          <w:lang w:eastAsia="zh-CN"/>
        </w:rPr>
        <w:t>划型</w:t>
      </w:r>
      <w:r>
        <w:rPr>
          <w:rFonts w:hint="eastAsia" w:ascii="宋体" w:hAnsi="宋体" w:eastAsia="宋体" w:cs="宋体"/>
          <w:sz w:val="21"/>
          <w:szCs w:val="21"/>
          <w:highlight w:val="none"/>
        </w:rPr>
        <w:t>标准》，仅对</w:t>
      </w:r>
      <w:r>
        <w:rPr>
          <w:rFonts w:hint="eastAsia" w:ascii="宋体" w:hAnsi="宋体" w:eastAsia="宋体" w:cs="宋体"/>
          <w:sz w:val="21"/>
          <w:szCs w:val="21"/>
          <w:highlight w:val="none"/>
          <w:lang w:eastAsia="zh-CN"/>
        </w:rPr>
        <w:t>仓储业，信息传输业、软件和信息技术服务业，</w:t>
      </w:r>
      <w:r>
        <w:rPr>
          <w:rFonts w:hint="eastAsia" w:ascii="宋体" w:hAnsi="宋体" w:eastAsia="宋体" w:cs="宋体"/>
          <w:sz w:val="21"/>
          <w:szCs w:val="21"/>
          <w:highlight w:val="none"/>
        </w:rPr>
        <w:t>物业管理业</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少数</w:t>
      </w:r>
      <w:r>
        <w:rPr>
          <w:rFonts w:hint="eastAsia" w:ascii="宋体" w:hAnsi="宋体" w:eastAsia="宋体" w:cs="宋体"/>
          <w:sz w:val="21"/>
          <w:szCs w:val="21"/>
          <w:highlight w:val="none"/>
          <w:lang w:eastAsia="zh-CN"/>
        </w:rPr>
        <w:t>涉及行业分类调整的</w:t>
      </w:r>
      <w:r>
        <w:rPr>
          <w:rFonts w:hint="eastAsia" w:ascii="宋体" w:hAnsi="宋体" w:eastAsia="宋体" w:cs="宋体"/>
          <w:color w:val="000000"/>
          <w:sz w:val="21"/>
          <w:szCs w:val="21"/>
          <w:highlight w:val="none"/>
          <w:lang w:eastAsia="zh-CN"/>
        </w:rPr>
        <w:t>从业</w:t>
      </w:r>
      <w:r>
        <w:rPr>
          <w:rFonts w:hint="eastAsia" w:ascii="宋体" w:hAnsi="宋体" w:eastAsia="宋体" w:cs="宋体"/>
          <w:sz w:val="21"/>
          <w:szCs w:val="21"/>
          <w:highlight w:val="none"/>
          <w:lang w:eastAsia="zh-CN"/>
        </w:rPr>
        <w:t>人员指标</w:t>
      </w:r>
      <w:r>
        <w:rPr>
          <w:rFonts w:hint="eastAsia" w:ascii="宋体" w:hAnsi="宋体" w:eastAsia="宋体" w:cs="宋体"/>
          <w:sz w:val="21"/>
          <w:szCs w:val="21"/>
          <w:highlight w:val="none"/>
        </w:rPr>
        <w:t>进行调整。</w:t>
      </w:r>
    </w:p>
    <w:p w14:paraId="1710413B">
      <w:pPr>
        <w:pageBreakBefore w:val="0"/>
        <w:kinsoku/>
        <w:overflowPunct/>
        <w:topLinePunct w:val="0"/>
        <w:bidi w:val="0"/>
        <w:spacing w:line="440" w:lineRule="exact"/>
        <w:ind w:firstLine="643"/>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关于财务指标阈值</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参考国际经验，结合我国国情，</w:t>
      </w:r>
      <w:r>
        <w:rPr>
          <w:rFonts w:hint="eastAsia" w:ascii="宋体" w:hAnsi="宋体" w:eastAsia="宋体" w:cs="宋体"/>
          <w:sz w:val="21"/>
          <w:szCs w:val="21"/>
          <w:highlight w:val="none"/>
          <w:lang w:eastAsia="zh-CN"/>
        </w:rPr>
        <w:t>本次修订</w:t>
      </w:r>
      <w:r>
        <w:rPr>
          <w:rFonts w:hint="eastAsia" w:ascii="宋体" w:hAnsi="宋体" w:eastAsia="宋体" w:cs="宋体"/>
          <w:sz w:val="21"/>
          <w:szCs w:val="21"/>
          <w:highlight w:val="none"/>
        </w:rPr>
        <w:t>主要考虑四方面因素影响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劳动生产率提高的影响</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二是双指标划型区间并集转交集的影响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三是定量指标阈值调整与</w:t>
      </w:r>
      <w:r>
        <w:rPr>
          <w:rFonts w:hint="eastAsia" w:ascii="宋体" w:hAnsi="宋体" w:eastAsia="宋体" w:cs="宋体"/>
          <w:b w:val="0"/>
          <w:bCs w:val="0"/>
          <w:sz w:val="21"/>
          <w:szCs w:val="21"/>
          <w:highlight w:val="none"/>
          <w:lang w:eastAsia="zh-CN"/>
        </w:rPr>
        <w:t>部分行业</w:t>
      </w:r>
      <w:r>
        <w:rPr>
          <w:rFonts w:hint="eastAsia" w:ascii="宋体" w:hAnsi="宋体" w:eastAsia="宋体" w:cs="宋体"/>
          <w:b w:val="0"/>
          <w:bCs w:val="0"/>
          <w:sz w:val="21"/>
          <w:szCs w:val="21"/>
          <w:highlight w:val="none"/>
        </w:rPr>
        <w:t>现有统计规模（或限额）口径衔接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四是各行业规模类型</w:t>
      </w:r>
      <w:r>
        <w:rPr>
          <w:rFonts w:hint="eastAsia" w:ascii="宋体" w:hAnsi="宋体" w:eastAsia="宋体" w:cs="宋体"/>
          <w:b w:val="0"/>
          <w:bCs w:val="0"/>
          <w:sz w:val="21"/>
          <w:szCs w:val="21"/>
          <w:highlight w:val="none"/>
          <w:lang w:eastAsia="zh-CN"/>
        </w:rPr>
        <w:t>比例相对稳定</w:t>
      </w:r>
      <w:r>
        <w:rPr>
          <w:rFonts w:hint="eastAsia" w:ascii="宋体" w:hAnsi="宋体" w:eastAsia="宋体" w:cs="宋体"/>
          <w:b w:val="0"/>
          <w:bCs w:val="0"/>
          <w:sz w:val="21"/>
          <w:szCs w:val="21"/>
          <w:highlight w:val="none"/>
        </w:rPr>
        <w:t>。</w:t>
      </w:r>
    </w:p>
    <w:p w14:paraId="582A8304">
      <w:pPr>
        <w:pageBreakBefore w:val="0"/>
        <w:kinsoku/>
        <w:overflowPunct/>
        <w:topLinePunct w:val="0"/>
        <w:bidi w:val="0"/>
        <w:spacing w:line="440" w:lineRule="exact"/>
        <w:ind w:firstLine="643"/>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修订</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各行业</w:t>
      </w:r>
      <w:r>
        <w:rPr>
          <w:rFonts w:hint="eastAsia" w:ascii="宋体" w:hAnsi="宋体" w:eastAsia="宋体" w:cs="宋体"/>
          <w:sz w:val="21"/>
          <w:szCs w:val="21"/>
          <w:highlight w:val="none"/>
        </w:rPr>
        <w:t>各类型企业比例与《划型标准》制定时的大中小微企业类型分布比例</w:t>
      </w:r>
      <w:r>
        <w:rPr>
          <w:rFonts w:hint="eastAsia" w:ascii="宋体" w:hAnsi="宋体" w:eastAsia="宋体" w:cs="宋体"/>
          <w:sz w:val="21"/>
          <w:szCs w:val="21"/>
          <w:highlight w:val="none"/>
          <w:lang w:eastAsia="zh-CN"/>
        </w:rPr>
        <w:t>相对稳定，</w:t>
      </w:r>
      <w:r>
        <w:rPr>
          <w:rFonts w:hint="eastAsia" w:ascii="宋体" w:hAnsi="宋体" w:eastAsia="宋体" w:cs="宋体"/>
          <w:sz w:val="21"/>
          <w:szCs w:val="21"/>
          <w:highlight w:val="none"/>
        </w:rPr>
        <w:t>中小企业特别是小微企业分布维持相对合理比例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所有行业的规模（限额）以上企业中将不再含有微型企业，微型企业均为规模（限额）以下企业。</w:t>
      </w:r>
    </w:p>
    <w:p w14:paraId="55477229">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22" w:firstLineChars="200"/>
        <w:jc w:val="left"/>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（五）</w:t>
      </w:r>
      <w:r>
        <w:rPr>
          <w:rFonts w:hint="eastAsia" w:ascii="宋体" w:hAnsi="宋体" w:eastAsia="宋体" w:cs="宋体"/>
          <w:b/>
          <w:bCs w:val="0"/>
          <w:sz w:val="21"/>
          <w:szCs w:val="21"/>
          <w:highlight w:val="none"/>
        </w:rPr>
        <w:t>增加定性标准</w:t>
      </w:r>
    </w:p>
    <w:p w14:paraId="70117C37">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r>
        <w:rPr>
          <w:rFonts w:hint="eastAsia" w:ascii="宋体" w:hAnsi="宋体" w:eastAsia="宋体" w:cs="宋体"/>
          <w:sz w:val="21"/>
          <w:szCs w:val="21"/>
          <w:highlight w:val="none"/>
        </w:rPr>
        <w:t>。</w:t>
      </w:r>
    </w:p>
    <w:p w14:paraId="7E7271F7">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2" w:firstLineChars="200"/>
        <w:jc w:val="both"/>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（六）增加有关</w:t>
      </w:r>
      <w:r>
        <w:rPr>
          <w:rFonts w:hint="eastAsia" w:ascii="宋体" w:hAnsi="宋体" w:eastAsia="宋体" w:cs="宋体"/>
          <w:b/>
          <w:bCs w:val="0"/>
          <w:sz w:val="21"/>
          <w:szCs w:val="21"/>
          <w:highlight w:val="none"/>
        </w:rPr>
        <w:t>中小企业规模类型</w:t>
      </w:r>
      <w:r>
        <w:rPr>
          <w:rFonts w:hint="eastAsia" w:ascii="宋体" w:hAnsi="宋体" w:eastAsia="宋体" w:cs="宋体"/>
          <w:b/>
          <w:bCs w:val="0"/>
          <w:sz w:val="21"/>
          <w:szCs w:val="21"/>
          <w:highlight w:val="none"/>
          <w:lang w:eastAsia="zh-CN"/>
        </w:rPr>
        <w:t>自我声明及</w:t>
      </w:r>
      <w:r>
        <w:rPr>
          <w:rFonts w:hint="eastAsia" w:ascii="宋体" w:hAnsi="宋体" w:eastAsia="宋体" w:cs="宋体"/>
          <w:b/>
          <w:bCs w:val="0"/>
          <w:sz w:val="21"/>
          <w:szCs w:val="21"/>
          <w:highlight w:val="none"/>
        </w:rPr>
        <w:t>认定</w:t>
      </w:r>
      <w:r>
        <w:rPr>
          <w:rFonts w:hint="eastAsia" w:ascii="宋体" w:hAnsi="宋体" w:eastAsia="宋体" w:cs="宋体"/>
          <w:b/>
          <w:bCs w:val="0"/>
          <w:sz w:val="21"/>
          <w:szCs w:val="21"/>
          <w:highlight w:val="none"/>
          <w:lang w:eastAsia="zh-CN"/>
        </w:rPr>
        <w:t>内容</w:t>
      </w:r>
    </w:p>
    <w:p w14:paraId="6102EC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sz w:val="21"/>
          <w:szCs w:val="21"/>
          <w:highlight w:val="none"/>
        </w:rPr>
        <w:t>中小企业规模类型采用自我声明的方式，企业对自我声明内容的真实性负责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r>
        <w:rPr>
          <w:rFonts w:hint="eastAsia" w:ascii="宋体" w:hAnsi="宋体" w:eastAsia="宋体" w:cs="宋体"/>
          <w:color w:val="auto"/>
          <w:kern w:val="2"/>
          <w:sz w:val="21"/>
          <w:szCs w:val="21"/>
          <w:highlight w:val="none"/>
          <w:lang w:val="en-US" w:eastAsia="zh-CN" w:bidi="ar-SA"/>
        </w:rPr>
        <w:t>同时，明确“</w:t>
      </w: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p>
    <w:p w14:paraId="3A8D7614">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2" w:firstLineChars="200"/>
        <w:jc w:val="both"/>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bCs w:val="0"/>
          <w:sz w:val="21"/>
          <w:szCs w:val="21"/>
          <w:highlight w:val="none"/>
          <w:lang w:val="en-US" w:eastAsia="zh-CN"/>
        </w:rPr>
        <w:t>（七）</w:t>
      </w:r>
      <w:r>
        <w:rPr>
          <w:rFonts w:hint="eastAsia" w:ascii="宋体" w:hAnsi="宋体" w:eastAsia="宋体" w:cs="宋体"/>
          <w:b/>
          <w:bCs w:val="0"/>
          <w:sz w:val="21"/>
          <w:szCs w:val="21"/>
          <w:highlight w:val="none"/>
        </w:rPr>
        <w:t>建立《划型标准》定期评估制度</w:t>
      </w:r>
    </w:p>
    <w:p w14:paraId="5E20AB41">
      <w:pPr>
        <w:pStyle w:val="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借鉴国际经验，设立我国中小企业划型标准定期评估制度：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由国务院促进中小企业发展综合管理部门、国家统计部门会同有关部门根据经济社会发展情况，每5年定期评估，根据评估情况适时修订。</w:t>
      </w:r>
      <w:r>
        <w:rPr>
          <w:rFonts w:hint="eastAsia" w:ascii="宋体" w:hAnsi="宋体" w:eastAsia="宋体" w:cs="宋体"/>
          <w:sz w:val="21"/>
          <w:szCs w:val="21"/>
          <w:highlight w:val="none"/>
          <w:lang w:eastAsia="zh-CN"/>
        </w:rPr>
        <w:t>”</w:t>
      </w:r>
    </w:p>
    <w:p w14:paraId="50172E94">
      <w:pPr>
        <w:pageBreakBefore w:val="0"/>
        <w:kinsoku/>
        <w:overflowPunct/>
        <w:topLinePunct w:val="0"/>
        <w:bidi w:val="0"/>
        <w:spacing w:line="440" w:lineRule="exact"/>
        <w:rPr>
          <w:rFonts w:hint="eastAsia" w:ascii="宋体" w:hAnsi="宋体" w:eastAsia="宋体" w:cs="宋体"/>
        </w:rPr>
      </w:pPr>
      <w:r>
        <w:rPr>
          <w:rFonts w:hint="eastAsia" w:ascii="宋体" w:hAnsi="宋体" w:eastAsia="宋体" w:cs="宋体"/>
        </w:rPr>
        <w:br w:type="page"/>
      </w:r>
    </w:p>
    <w:p w14:paraId="4070A2AC">
      <w:pPr>
        <w:pStyle w:val="18"/>
        <w:pageBreakBefore w:val="0"/>
        <w:kinsoku/>
        <w:overflowPunct/>
        <w:topLinePunct w:val="0"/>
        <w:bidi w:val="0"/>
        <w:spacing w:line="440" w:lineRule="exact"/>
        <w:rPr>
          <w:rFonts w:hint="eastAsia" w:ascii="宋体" w:hAnsi="宋体" w:eastAsia="宋体" w:cs="宋体"/>
          <w:color w:val="000000"/>
          <w:highlight w:val="none"/>
        </w:rPr>
      </w:pPr>
      <w:bookmarkStart w:id="19" w:name="_Toc19440"/>
      <w:r>
        <w:rPr>
          <w:rFonts w:hint="eastAsia" w:ascii="宋体" w:hAnsi="宋体" w:eastAsia="宋体" w:cs="宋体"/>
          <w:color w:val="000000"/>
          <w:sz w:val="36"/>
          <w:szCs w:val="36"/>
          <w:highlight w:val="none"/>
        </w:rPr>
        <w:t>第三章</w:t>
      </w:r>
      <w:bookmarkStart w:id="20" w:name="_Hlt101846155"/>
      <w:bookmarkEnd w:id="20"/>
      <w:bookmarkStart w:id="21" w:name="_Toc183582280"/>
      <w:bookmarkStart w:id="22" w:name="_Toc217446097"/>
      <w:bookmarkStart w:id="23" w:name="_Toc183682415"/>
      <w:bookmarkStart w:id="24" w:name="_Toc208849007"/>
      <w:r>
        <w:rPr>
          <w:rFonts w:hint="eastAsia" w:ascii="宋体" w:hAnsi="宋体" w:eastAsia="宋体" w:cs="宋体"/>
          <w:color w:val="000000"/>
          <w:sz w:val="36"/>
          <w:szCs w:val="36"/>
          <w:highlight w:val="none"/>
        </w:rPr>
        <w:t xml:space="preserve"> 评标方法及标准</w:t>
      </w:r>
      <w:bookmarkEnd w:id="19"/>
    </w:p>
    <w:bookmarkEnd w:id="21"/>
    <w:bookmarkEnd w:id="22"/>
    <w:bookmarkEnd w:id="23"/>
    <w:bookmarkEnd w:id="24"/>
    <w:p w14:paraId="155BB743">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评标办法前附表(一)</w:t>
      </w:r>
    </w:p>
    <w:p w14:paraId="0D44B8AC">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b/>
          <w:bCs/>
          <w:sz w:val="28"/>
          <w:szCs w:val="28"/>
          <w:highlight w:val="none"/>
        </w:rPr>
        <w:t>资格性评审表</w:t>
      </w:r>
    </w:p>
    <w:tbl>
      <w:tblPr>
        <w:tblStyle w:val="21"/>
        <w:tblW w:w="4998" w:type="pct"/>
        <w:tblInd w:w="0" w:type="dxa"/>
        <w:shd w:val="clear" w:color="auto" w:fill="auto"/>
        <w:tblLayout w:type="autofit"/>
        <w:tblCellMar>
          <w:top w:w="0" w:type="dxa"/>
          <w:left w:w="108" w:type="dxa"/>
          <w:bottom w:w="0" w:type="dxa"/>
          <w:right w:w="108" w:type="dxa"/>
        </w:tblCellMar>
      </w:tblPr>
      <w:tblGrid>
        <w:gridCol w:w="741"/>
        <w:gridCol w:w="666"/>
        <w:gridCol w:w="1788"/>
        <w:gridCol w:w="5318"/>
      </w:tblGrid>
      <w:tr w14:paraId="769CF7ED">
        <w:tblPrEx>
          <w:shd w:val="clear" w:color="auto" w:fill="auto"/>
          <w:tblCellMar>
            <w:top w:w="0" w:type="dxa"/>
            <w:left w:w="108" w:type="dxa"/>
            <w:bottom w:w="0" w:type="dxa"/>
            <w:right w:w="108" w:type="dxa"/>
          </w:tblCellMar>
        </w:tblPrEx>
        <w:trPr>
          <w:trHeight w:val="384" w:hRule="atLeast"/>
        </w:trPr>
        <w:tc>
          <w:tcPr>
            <w:tcW w:w="826" w:type="pct"/>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B73D83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条款号</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4AAA21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评审因素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D1B159D">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评审标准</w:t>
            </w:r>
          </w:p>
        </w:tc>
      </w:tr>
      <w:tr w14:paraId="5EAA0B19">
        <w:tblPrEx>
          <w:shd w:val="clear" w:color="auto" w:fill="auto"/>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5B4E82A3">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eastAsia="zh-CN"/>
              </w:rPr>
            </w:pPr>
            <w:r>
              <w:rPr>
                <w:rFonts w:hint="eastAsia" w:ascii="宋体" w:hAnsi="宋体" w:eastAsia="宋体" w:cs="宋体"/>
                <w:kern w:val="0"/>
                <w:highlight w:val="none"/>
              </w:rPr>
              <w:t>2.1.</w:t>
            </w:r>
            <w:r>
              <w:rPr>
                <w:rFonts w:hint="eastAsia" w:ascii="宋体" w:hAnsi="宋体" w:eastAsia="宋体" w:cs="宋体"/>
                <w:kern w:val="0"/>
                <w:highlight w:val="none"/>
                <w:lang w:val="en-US" w:eastAsia="zh-CN"/>
              </w:rPr>
              <w:t>1</w:t>
            </w:r>
          </w:p>
        </w:tc>
        <w:tc>
          <w:tcPr>
            <w:tcW w:w="391" w:type="pct"/>
            <w:vMerge w:val="restart"/>
            <w:tcBorders>
              <w:top w:val="single" w:color="000000" w:sz="2" w:space="0"/>
              <w:left w:val="single" w:color="000000" w:sz="2" w:space="0"/>
              <w:right w:val="single" w:color="000000" w:sz="2" w:space="0"/>
            </w:tcBorders>
            <w:shd w:val="clear" w:color="auto" w:fill="auto"/>
            <w:noWrap w:val="0"/>
            <w:vAlign w:val="center"/>
          </w:tcPr>
          <w:p w14:paraId="116A2A8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资格评审标准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5785E3C">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营业执照</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E65A621">
            <w:pPr>
              <w:pageBreakBefore w:val="0"/>
              <w:kinsoku/>
              <w:overflowPunct/>
              <w:topLinePunct w:val="0"/>
              <w:autoSpaceDE w:val="0"/>
              <w:autoSpaceDN w:val="0"/>
              <w:bidi w:val="0"/>
              <w:adjustRightInd w:val="0"/>
              <w:spacing w:line="440" w:lineRule="exact"/>
              <w:rPr>
                <w:rFonts w:hint="eastAsia" w:ascii="宋体" w:hAnsi="宋体" w:eastAsia="宋体" w:cs="宋体"/>
                <w:kern w:val="0"/>
                <w:highlight w:val="none"/>
              </w:rPr>
            </w:pPr>
            <w:r>
              <w:rPr>
                <w:rFonts w:hint="eastAsia" w:ascii="宋体" w:hAnsi="宋体" w:eastAsia="宋体" w:cs="宋体"/>
                <w:kern w:val="0"/>
                <w:highlight w:val="none"/>
                <w:lang w:val="zh-CN"/>
              </w:rPr>
              <w:t>具备有效的营业执照，投标文件内附营业执照（副本）复印件加盖投标单位公章。</w:t>
            </w:r>
          </w:p>
        </w:tc>
      </w:tr>
      <w:tr w14:paraId="335EE251">
        <w:tblPrEx>
          <w:shd w:val="clear" w:color="auto" w:fill="auto"/>
          <w:tblCellMar>
            <w:top w:w="0" w:type="dxa"/>
            <w:left w:w="108" w:type="dxa"/>
            <w:bottom w:w="0" w:type="dxa"/>
            <w:right w:w="108" w:type="dxa"/>
          </w:tblCellMar>
        </w:tblPrEx>
        <w:trPr>
          <w:trHeight w:val="1397" w:hRule="atLeast"/>
        </w:trPr>
        <w:tc>
          <w:tcPr>
            <w:tcW w:w="435" w:type="pct"/>
            <w:vMerge w:val="continue"/>
            <w:tcBorders>
              <w:left w:val="single" w:color="000000" w:sz="2" w:space="0"/>
              <w:right w:val="single" w:color="000000" w:sz="2" w:space="0"/>
            </w:tcBorders>
            <w:shd w:val="clear" w:color="auto" w:fill="auto"/>
            <w:noWrap w:val="0"/>
            <w:vAlign w:val="center"/>
          </w:tcPr>
          <w:p w14:paraId="4F66217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F1555B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CC8963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财务状况、纳税及社保</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56E44EA">
            <w:pPr>
              <w:pageBreakBefore w:val="0"/>
              <w:widowControl/>
              <w:kinsoku/>
              <w:overflowPunct/>
              <w:topLinePunct w:val="0"/>
              <w:bidi w:val="0"/>
              <w:spacing w:line="440" w:lineRule="exact"/>
              <w:jc w:val="left"/>
              <w:textAlignment w:val="center"/>
              <w:rPr>
                <w:rFonts w:hint="default" w:ascii="宋体" w:hAnsi="宋体" w:eastAsia="宋体" w:cs="宋体"/>
                <w:kern w:val="0"/>
                <w:highlight w:val="none"/>
                <w:lang w:val="en-US" w:eastAsia="zh-CN"/>
              </w:rPr>
            </w:pPr>
            <w:r>
              <w:rPr>
                <w:rFonts w:hint="eastAsia" w:ascii="宋体" w:hAnsi="宋体" w:eastAsia="宋体" w:cs="宋体"/>
                <w:sz w:val="21"/>
                <w:szCs w:val="21"/>
                <w:highlight w:val="none"/>
                <w:lang w:val="en-US" w:eastAsia="zh-CN"/>
              </w:rPr>
              <w:t>具有良好的商业信誉和健全的财务会计制度，近三年（2022年-2024年）财务状况良好，具有经会计师事务所或审计机构出具的财务审计报告（当投标人成立日期在2022年至2023年之间的，提供从成立日期起至2024年之间的经会计师事务所或审计机构出具的财务审计报告，2024年以后新成立的公司无财务审计报告的，提供财务状况良好承诺书）。提供近六个月任意一个月的缴纳社保证明和完税证明。</w:t>
            </w:r>
          </w:p>
        </w:tc>
      </w:tr>
      <w:tr w14:paraId="7F2F0F76">
        <w:tblPrEx>
          <w:shd w:val="clear" w:color="auto" w:fill="auto"/>
          <w:tblCellMar>
            <w:top w:w="0" w:type="dxa"/>
            <w:left w:w="108" w:type="dxa"/>
            <w:bottom w:w="0" w:type="dxa"/>
            <w:right w:w="108" w:type="dxa"/>
          </w:tblCellMar>
        </w:tblPrEx>
        <w:trPr>
          <w:trHeight w:val="272" w:hRule="atLeast"/>
        </w:trPr>
        <w:tc>
          <w:tcPr>
            <w:tcW w:w="435" w:type="pct"/>
            <w:vMerge w:val="continue"/>
            <w:tcBorders>
              <w:left w:val="single" w:color="000000" w:sz="2" w:space="0"/>
              <w:right w:val="single" w:color="000000" w:sz="2" w:space="0"/>
            </w:tcBorders>
            <w:shd w:val="clear" w:color="auto" w:fill="auto"/>
            <w:noWrap w:val="0"/>
            <w:vAlign w:val="center"/>
          </w:tcPr>
          <w:p w14:paraId="7FD881E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9F9AF5C">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EB8657">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授权委托书</w:t>
            </w:r>
          </w:p>
          <w:p w14:paraId="230BE61F">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如有</w:t>
            </w:r>
            <w:r>
              <w:rPr>
                <w:rFonts w:hint="eastAsia" w:ascii="宋体" w:hAnsi="宋体" w:eastAsia="宋体" w:cs="宋体"/>
                <w:color w:val="auto"/>
                <w:szCs w:val="21"/>
                <w:highlight w:val="none"/>
                <w:lang w:val="zh-CN"/>
              </w:rPr>
              <w:t>）</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58A56F">
            <w:pPr>
              <w:pageBreakBefore w:val="0"/>
              <w:kinsoku/>
              <w:overflowPunct/>
              <w:topLinePunct w:val="0"/>
              <w:bidi w:val="0"/>
              <w:adjustRightInd w:val="0"/>
              <w:snapToGrid w:val="0"/>
              <w:spacing w:beforeLines="25"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ascii="宋体" w:hAnsi="宋体" w:eastAsia="宋体" w:cs="宋体"/>
                <w:color w:val="auto"/>
                <w:szCs w:val="21"/>
                <w:highlight w:val="none"/>
                <w:lang w:val="zh-CN"/>
              </w:rPr>
              <w:t>由法定代表人及授权委托人签字并加盖投标人公章的授权委托书。</w:t>
            </w:r>
          </w:p>
        </w:tc>
      </w:tr>
      <w:tr w14:paraId="77FEEF72">
        <w:tblPrEx>
          <w:shd w:val="clear" w:color="auto" w:fill="auto"/>
          <w:tblCellMar>
            <w:top w:w="0" w:type="dxa"/>
            <w:left w:w="108" w:type="dxa"/>
            <w:bottom w:w="0" w:type="dxa"/>
            <w:right w:w="108" w:type="dxa"/>
          </w:tblCellMar>
        </w:tblPrEx>
        <w:trPr>
          <w:trHeight w:val="343" w:hRule="atLeast"/>
        </w:trPr>
        <w:tc>
          <w:tcPr>
            <w:tcW w:w="435" w:type="pct"/>
            <w:vMerge w:val="continue"/>
            <w:tcBorders>
              <w:left w:val="single" w:color="000000" w:sz="2" w:space="0"/>
              <w:right w:val="single" w:color="000000" w:sz="2" w:space="0"/>
            </w:tcBorders>
            <w:shd w:val="clear" w:color="auto" w:fill="auto"/>
            <w:noWrap w:val="0"/>
            <w:vAlign w:val="center"/>
          </w:tcPr>
          <w:p w14:paraId="476078E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77B26F3">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0CC745">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信誉要求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9CCF56">
            <w:pPr>
              <w:pageBreakBefore w:val="0"/>
              <w:kinsoku/>
              <w:overflowPunct/>
              <w:topLinePunct w:val="0"/>
              <w:bidi w:val="0"/>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000000"/>
                <w:highlight w:val="none"/>
                <w:lang w:val="en-US" w:eastAsia="zh-CN"/>
              </w:rPr>
              <w:t>近三年（2022年至今）未被工商行政管理机关在国家企业信用信息公示系统中列入严重违法失信企业名单，不得为“中国政府采购网”政府采购严重违法失信行为记录名单中被财政部门禁止参加政府采购活动的投标人（在处罚决定规定的时间和地域范围内）（详见财[2016]125 号文）；投标人须在中国裁判文书网自行查询本公司近三年（2022年1月至报名截止日）行贿行为记录，且提供查询页面截图并加盖公章作为无行贿行为记录证</w:t>
            </w:r>
            <w:r>
              <w:rPr>
                <w:rFonts w:hint="eastAsia" w:ascii="宋体" w:hAnsi="宋体" w:eastAsia="宋体" w:cs="宋体"/>
                <w:color w:val="auto"/>
                <w:highlight w:val="none"/>
                <w:lang w:val="en-US" w:eastAsia="zh-CN"/>
              </w:rPr>
              <w:t>明</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裁判文书网无行贿行为记录证明查询截图需体现查询时间起止节点</w:t>
            </w:r>
            <w:r>
              <w:rPr>
                <w:rFonts w:hint="eastAsia" w:ascii="宋体" w:hAnsi="宋体" w:eastAsia="宋体" w:cs="宋体"/>
                <w:b/>
                <w:bCs/>
                <w:color w:val="auto"/>
                <w:szCs w:val="21"/>
                <w:highlight w:val="none"/>
              </w:rPr>
              <w:t>）</w:t>
            </w:r>
          </w:p>
          <w:p w14:paraId="13D3492D">
            <w:pPr>
              <w:pageBreakBefore w:val="0"/>
              <w:kinsoku/>
              <w:overflowPunct/>
              <w:topLinePunct w:val="0"/>
              <w:autoSpaceDE w:val="0"/>
              <w:autoSpaceDN w:val="0"/>
              <w:bidi w:val="0"/>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（附由法定代表人或授权委托人签字或盖章并加盖</w:t>
            </w:r>
            <w:r>
              <w:rPr>
                <w:rFonts w:hint="eastAsia" w:ascii="宋体" w:hAnsi="宋体" w:eastAsia="宋体" w:cs="宋体"/>
                <w:b/>
                <w:color w:val="auto"/>
                <w:kern w:val="0"/>
                <w:szCs w:val="21"/>
                <w:highlight w:val="none"/>
                <w:lang w:val="zh-CN"/>
              </w:rPr>
              <w:t>投标人</w:t>
            </w:r>
            <w:r>
              <w:rPr>
                <w:rFonts w:hint="eastAsia" w:ascii="宋体" w:hAnsi="宋体" w:eastAsia="宋体" w:cs="宋体"/>
                <w:b/>
                <w:bCs/>
                <w:color w:val="auto"/>
                <w:szCs w:val="21"/>
                <w:highlight w:val="none"/>
              </w:rPr>
              <w:t>公章的承诺书）</w:t>
            </w:r>
          </w:p>
        </w:tc>
      </w:tr>
      <w:tr w14:paraId="3EFF2DEF">
        <w:tblPrEx>
          <w:tblCellMar>
            <w:top w:w="0" w:type="dxa"/>
            <w:left w:w="108" w:type="dxa"/>
            <w:bottom w:w="0" w:type="dxa"/>
            <w:right w:w="108" w:type="dxa"/>
          </w:tblCellMar>
        </w:tblPrEx>
        <w:trPr>
          <w:trHeight w:val="343" w:hRule="atLeast"/>
        </w:trPr>
        <w:tc>
          <w:tcPr>
            <w:tcW w:w="435" w:type="pct"/>
            <w:vMerge w:val="continue"/>
            <w:tcBorders>
              <w:left w:val="single" w:color="000000" w:sz="2" w:space="0"/>
              <w:right w:val="single" w:color="000000" w:sz="2" w:space="0"/>
            </w:tcBorders>
            <w:shd w:val="clear" w:color="auto" w:fill="auto"/>
            <w:noWrap w:val="0"/>
            <w:vAlign w:val="center"/>
          </w:tcPr>
          <w:p w14:paraId="1912B2F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1136777C">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1EE1D0">
            <w:pPr>
              <w:pageBreakBefore w:val="0"/>
              <w:kinsoku/>
              <w:overflowPunct/>
              <w:topLinePunct w:val="0"/>
              <w:bidi w:val="0"/>
              <w:adjustRightInd w:val="0"/>
              <w:snapToGrid w:val="0"/>
              <w:spacing w:beforeLines="25"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E4D68A">
            <w:pPr>
              <w:pageBreakBefore w:val="0"/>
              <w:kinsoku/>
              <w:overflowPunct/>
              <w:topLinePunct w:val="0"/>
              <w:autoSpaceDE w:val="0"/>
              <w:autoSpaceDN w:val="0"/>
              <w:bidi w:val="0"/>
              <w:spacing w:line="440" w:lineRule="exac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是否按照要求缴纳投标保证金</w:t>
            </w:r>
          </w:p>
        </w:tc>
      </w:tr>
      <w:tr w14:paraId="4DEF900F">
        <w:tblPrEx>
          <w:shd w:val="clear" w:color="auto" w:fill="auto"/>
          <w:tblCellMar>
            <w:top w:w="0" w:type="dxa"/>
            <w:left w:w="108" w:type="dxa"/>
            <w:bottom w:w="0" w:type="dxa"/>
            <w:right w:w="108" w:type="dxa"/>
          </w:tblCellMar>
        </w:tblPrEx>
        <w:trPr>
          <w:trHeight w:val="602" w:hRule="atLeast"/>
        </w:trPr>
        <w:tc>
          <w:tcPr>
            <w:tcW w:w="435" w:type="pct"/>
            <w:vMerge w:val="continue"/>
            <w:tcBorders>
              <w:left w:val="single" w:color="000000" w:sz="2" w:space="0"/>
              <w:right w:val="single" w:color="000000" w:sz="2" w:space="0"/>
            </w:tcBorders>
            <w:shd w:val="clear" w:color="auto" w:fill="auto"/>
            <w:noWrap w:val="0"/>
            <w:vAlign w:val="center"/>
          </w:tcPr>
          <w:p w14:paraId="0042D2F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49C4B1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86479D">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zh-CN"/>
              </w:rPr>
              <w:t>其他要求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83107C">
            <w:pPr>
              <w:pageBreakBefore w:val="0"/>
              <w:kinsoku/>
              <w:overflowPunct/>
              <w:topLinePunct w:val="0"/>
              <w:bidi w:val="0"/>
              <w:adjustRightInd w:val="0"/>
              <w:snapToGrid w:val="0"/>
              <w:spacing w:beforeLines="25" w:line="440" w:lineRule="exact"/>
              <w:rPr>
                <w:rFonts w:hint="eastAsia" w:ascii="宋体" w:hAnsi="宋体" w:eastAsia="宋体" w:cs="宋体"/>
                <w:color w:val="auto"/>
                <w:highlight w:val="none"/>
              </w:rPr>
            </w:pPr>
            <w:r>
              <w:rPr>
                <w:rFonts w:hint="eastAsia" w:ascii="宋体" w:hAnsi="宋体" w:eastAsia="宋体" w:cs="宋体"/>
                <w:color w:val="auto"/>
                <w:highlight w:val="none"/>
              </w:rPr>
              <w:t>1、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CF081F2">
            <w:pPr>
              <w:pageBreakBefore w:val="0"/>
              <w:kinsoku/>
              <w:overflowPunct/>
              <w:topLinePunct w:val="0"/>
              <w:bidi w:val="0"/>
              <w:adjustRightInd w:val="0"/>
              <w:snapToGrid w:val="0"/>
              <w:spacing w:beforeLines="25" w:line="440" w:lineRule="exact"/>
              <w:rPr>
                <w:rFonts w:hint="eastAsia" w:ascii="宋体" w:hAnsi="宋体" w:eastAsia="宋体" w:cs="宋体"/>
                <w:color w:val="auto"/>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highlight w:val="none"/>
              </w:rPr>
              <w:t>、</w:t>
            </w:r>
            <w:r>
              <w:rPr>
                <w:rFonts w:hint="eastAsia" w:ascii="宋体" w:hAnsi="宋体" w:eastAsia="宋体" w:cs="宋体"/>
                <w:color w:val="auto"/>
                <w:highlight w:val="none"/>
              </w:rPr>
              <w:t>法定代表人为同一人的两个及两个以上的法人，母公司与全资子公司/由其控股的子公司不得同时参与本项目</w:t>
            </w:r>
          </w:p>
          <w:p w14:paraId="04F0C256">
            <w:pPr>
              <w:pageBreakBefore w:val="0"/>
              <w:kinsoku/>
              <w:overflowPunct/>
              <w:topLinePunct w:val="0"/>
              <w:bidi w:val="0"/>
              <w:adjustRightInd w:val="0"/>
              <w:snapToGrid w:val="0"/>
              <w:spacing w:beforeLines="25" w:line="44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color w:val="auto"/>
                <w:szCs w:val="21"/>
                <w:highlight w:val="none"/>
              </w:rPr>
              <w:t>（附由法定代表人或授权委托人签字或盖章并加盖</w:t>
            </w:r>
            <w:r>
              <w:rPr>
                <w:rFonts w:hint="eastAsia" w:ascii="宋体" w:hAnsi="宋体" w:eastAsia="宋体" w:cs="宋体"/>
                <w:b/>
                <w:color w:val="auto"/>
                <w:kern w:val="0"/>
                <w:szCs w:val="21"/>
                <w:highlight w:val="none"/>
                <w:lang w:val="zh-CN"/>
              </w:rPr>
              <w:t>投标人</w:t>
            </w:r>
            <w:r>
              <w:rPr>
                <w:rFonts w:hint="eastAsia" w:ascii="宋体" w:hAnsi="宋体" w:eastAsia="宋体" w:cs="宋体"/>
                <w:b/>
                <w:color w:val="auto"/>
                <w:szCs w:val="21"/>
                <w:highlight w:val="none"/>
              </w:rPr>
              <w:t>公章的承诺书）</w:t>
            </w:r>
          </w:p>
        </w:tc>
      </w:tr>
      <w:tr w14:paraId="1DC1A0E6">
        <w:tblPrEx>
          <w:shd w:val="clear" w:color="auto" w:fill="auto"/>
          <w:tblCellMar>
            <w:top w:w="0" w:type="dxa"/>
            <w:left w:w="108" w:type="dxa"/>
            <w:bottom w:w="0" w:type="dxa"/>
            <w:right w:w="108" w:type="dxa"/>
          </w:tblCellMar>
        </w:tblPrEx>
        <w:trPr>
          <w:trHeight w:val="602"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033EACA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bottom w:val="single" w:color="auto" w:sz="4" w:space="0"/>
              <w:right w:val="single" w:color="000000" w:sz="2" w:space="0"/>
            </w:tcBorders>
            <w:shd w:val="clear" w:color="auto" w:fill="auto"/>
            <w:noWrap w:val="0"/>
            <w:vAlign w:val="center"/>
          </w:tcPr>
          <w:p w14:paraId="4C665552">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585F61">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中小企业声明函</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B3DAB9">
            <w:pPr>
              <w:pageBreakBefore w:val="0"/>
              <w:kinsoku/>
              <w:overflowPunct/>
              <w:topLinePunct w:val="0"/>
              <w:bidi w:val="0"/>
              <w:adjustRightInd w:val="0"/>
              <w:snapToGrid w:val="0"/>
              <w:spacing w:beforeLines="25" w:line="440" w:lineRule="exact"/>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本项目为专门面向中小企业的采购项目，供应商需提供中小企业声明函。</w:t>
            </w:r>
          </w:p>
        </w:tc>
      </w:tr>
    </w:tbl>
    <w:p w14:paraId="6357B4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rPr>
        <w:t>注</w:t>
      </w:r>
      <w:r>
        <w:rPr>
          <w:rFonts w:hint="eastAsia" w:ascii="宋体" w:hAnsi="宋体" w:eastAsia="宋体" w:cs="宋体"/>
          <w:highlight w:val="none"/>
          <w:lang w:val="zh-CN"/>
        </w:rPr>
        <w:t>：（1）上述内容中有一项不合格，则</w:t>
      </w:r>
      <w:r>
        <w:rPr>
          <w:rFonts w:hint="eastAsia" w:ascii="宋体" w:hAnsi="宋体" w:eastAsia="宋体" w:cs="宋体"/>
          <w:highlight w:val="none"/>
        </w:rPr>
        <w:t>初步</w:t>
      </w:r>
      <w:r>
        <w:rPr>
          <w:rFonts w:hint="eastAsia" w:ascii="宋体" w:hAnsi="宋体" w:eastAsia="宋体" w:cs="宋体"/>
          <w:highlight w:val="none"/>
          <w:lang w:val="zh-CN"/>
        </w:rPr>
        <w:t>评审不合格，投标按废标处理，不进入后</w:t>
      </w:r>
      <w:r>
        <w:rPr>
          <w:rFonts w:hint="eastAsia" w:ascii="宋体" w:hAnsi="宋体" w:eastAsia="宋体" w:cs="宋体"/>
          <w:highlight w:val="none"/>
          <w:lang w:val="en-US" w:eastAsia="zh-CN"/>
        </w:rPr>
        <w:t>续</w:t>
      </w:r>
      <w:r>
        <w:rPr>
          <w:rFonts w:hint="eastAsia" w:ascii="宋体" w:hAnsi="宋体" w:eastAsia="宋体" w:cs="宋体"/>
          <w:highlight w:val="none"/>
          <w:lang w:val="zh-CN"/>
        </w:rPr>
        <w:t>评审。</w:t>
      </w:r>
    </w:p>
    <w:p w14:paraId="5860E6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lang w:val="zh-CN"/>
        </w:rPr>
        <w:t>每项审查内容合格打“√”，不合格打“×”。评审结论写“合格”或“不合格”。不合格须注明原因。</w:t>
      </w:r>
    </w:p>
    <w:p w14:paraId="7CED957B">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投标人所提供的所有证件均需在有效期内且注册单位名称与投标人的名称一致，如企业名称发生变更，需提供主管部门出具的变更证明材料。</w:t>
      </w:r>
    </w:p>
    <w:p w14:paraId="53ACBEB9">
      <w:pPr>
        <w:pStyle w:val="7"/>
        <w:pageBreakBefore w:val="0"/>
        <w:numPr>
          <w:ilvl w:val="0"/>
          <w:numId w:val="0"/>
        </w:numPr>
        <w:kinsoku/>
        <w:overflowPunct/>
        <w:topLinePunct w:val="0"/>
        <w:bidi w:val="0"/>
        <w:spacing w:line="440" w:lineRule="exact"/>
        <w:rPr>
          <w:rFonts w:hint="eastAsia" w:ascii="宋体" w:hAnsi="宋体" w:eastAsia="宋体" w:cs="宋体"/>
          <w:lang w:val="zh-CN" w:eastAsia="zh-CN"/>
        </w:rPr>
        <w:sectPr>
          <w:footerReference r:id="rId5" w:type="default"/>
          <w:pgSz w:w="11900" w:h="16838"/>
          <w:pgMar w:top="1440" w:right="1800" w:bottom="1440" w:left="1800" w:header="720" w:footer="144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lang w:val="zh-CN" w:eastAsia="zh-CN"/>
        </w:rPr>
        <w:t>（3）吉林省外企业无专用信用报告的无需提供。</w:t>
      </w:r>
    </w:p>
    <w:p w14:paraId="7F453BB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b/>
          <w:bCs/>
          <w:sz w:val="28"/>
          <w:szCs w:val="28"/>
          <w:highlight w:val="none"/>
        </w:rPr>
        <w:t>符合性评审表</w:t>
      </w:r>
    </w:p>
    <w:tbl>
      <w:tblPr>
        <w:tblStyle w:val="21"/>
        <w:tblW w:w="4998" w:type="pct"/>
        <w:tblInd w:w="0" w:type="dxa"/>
        <w:shd w:val="clear" w:color="auto" w:fill="auto"/>
        <w:tblLayout w:type="autofit"/>
        <w:tblCellMar>
          <w:top w:w="0" w:type="dxa"/>
          <w:left w:w="108" w:type="dxa"/>
          <w:bottom w:w="0" w:type="dxa"/>
          <w:right w:w="108" w:type="dxa"/>
        </w:tblCellMar>
      </w:tblPr>
      <w:tblGrid>
        <w:gridCol w:w="741"/>
        <w:gridCol w:w="666"/>
        <w:gridCol w:w="1788"/>
        <w:gridCol w:w="5318"/>
      </w:tblGrid>
      <w:tr w14:paraId="0900A573">
        <w:tblPrEx>
          <w:shd w:val="clear" w:color="auto" w:fill="auto"/>
          <w:tblCellMar>
            <w:top w:w="0" w:type="dxa"/>
            <w:left w:w="108" w:type="dxa"/>
            <w:bottom w:w="0" w:type="dxa"/>
            <w:right w:w="108" w:type="dxa"/>
          </w:tblCellMar>
        </w:tblPrEx>
        <w:trPr>
          <w:trHeight w:val="384" w:hRule="atLeast"/>
        </w:trPr>
        <w:tc>
          <w:tcPr>
            <w:tcW w:w="826" w:type="pct"/>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4855539">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条款号</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3D06BC4">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评审因素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3ED9FCB">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评审标准</w:t>
            </w:r>
          </w:p>
        </w:tc>
      </w:tr>
      <w:tr w14:paraId="42CB05FC">
        <w:tblPrEx>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0611056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highlight w:val="none"/>
              </w:rPr>
              <w:t>2.1.</w:t>
            </w:r>
            <w:r>
              <w:rPr>
                <w:rFonts w:hint="eastAsia" w:ascii="宋体" w:hAnsi="宋体" w:eastAsia="宋体" w:cs="宋体"/>
                <w:kern w:val="0"/>
                <w:highlight w:val="none"/>
                <w:lang w:val="en-US" w:eastAsia="zh-CN"/>
              </w:rPr>
              <w:t>2</w:t>
            </w:r>
          </w:p>
        </w:tc>
        <w:tc>
          <w:tcPr>
            <w:tcW w:w="391" w:type="pct"/>
            <w:vMerge w:val="restart"/>
            <w:tcBorders>
              <w:top w:val="single" w:color="000000" w:sz="2" w:space="0"/>
              <w:left w:val="single" w:color="000000" w:sz="2" w:space="0"/>
              <w:right w:val="single" w:color="000000" w:sz="2" w:space="0"/>
            </w:tcBorders>
            <w:shd w:val="clear" w:color="auto" w:fill="auto"/>
            <w:noWrap w:val="0"/>
            <w:vAlign w:val="center"/>
          </w:tcPr>
          <w:p w14:paraId="546A9E02">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符合性评审标准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DD5451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投标供应商名称</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A6FB52A">
            <w:pPr>
              <w:pageBreakBefore w:val="0"/>
              <w:kinsoku/>
              <w:overflowPunct/>
              <w:topLinePunct w:val="0"/>
              <w:autoSpaceDE w:val="0"/>
              <w:autoSpaceDN w:val="0"/>
              <w:bidi w:val="0"/>
              <w:adjustRightIn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与营业执照一致。</w:t>
            </w:r>
          </w:p>
        </w:tc>
      </w:tr>
      <w:tr w14:paraId="4EE72558">
        <w:tblPrEx>
          <w:tblCellMar>
            <w:top w:w="0" w:type="dxa"/>
            <w:left w:w="108" w:type="dxa"/>
            <w:bottom w:w="0" w:type="dxa"/>
            <w:right w:w="108" w:type="dxa"/>
          </w:tblCellMar>
        </w:tblPrEx>
        <w:trPr>
          <w:trHeight w:val="483" w:hRule="atLeast"/>
        </w:trPr>
        <w:tc>
          <w:tcPr>
            <w:tcW w:w="435" w:type="pct"/>
            <w:vMerge w:val="continue"/>
            <w:tcBorders>
              <w:left w:val="single" w:color="000000" w:sz="2" w:space="0"/>
              <w:right w:val="single" w:color="000000" w:sz="2" w:space="0"/>
            </w:tcBorders>
            <w:shd w:val="clear" w:color="auto" w:fill="auto"/>
            <w:noWrap w:val="0"/>
            <w:vAlign w:val="center"/>
          </w:tcPr>
          <w:p w14:paraId="3AB06F6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C9237B8">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940197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投标函签字盖章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B441553">
            <w:pPr>
              <w:pageBreakBefore w:val="0"/>
              <w:kinsoku/>
              <w:overflowPunct/>
              <w:topLinePunct w:val="0"/>
              <w:autoSpaceDE w:val="0"/>
              <w:autoSpaceDN w:val="0"/>
              <w:bidi w:val="0"/>
              <w:adjustRightIn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有法定代表人</w:t>
            </w:r>
            <w:r>
              <w:rPr>
                <w:rFonts w:hint="eastAsia" w:ascii="宋体" w:hAnsi="宋体" w:eastAsia="宋体" w:cs="宋体"/>
                <w:kern w:val="0"/>
                <w:highlight w:val="none"/>
                <w:lang w:val="en-US" w:eastAsia="zh-CN"/>
              </w:rPr>
              <w:t>或</w:t>
            </w:r>
            <w:r>
              <w:rPr>
                <w:rFonts w:hint="eastAsia" w:ascii="宋体" w:hAnsi="宋体" w:eastAsia="宋体" w:cs="宋体"/>
                <w:kern w:val="0"/>
                <w:highlight w:val="none"/>
                <w:lang w:val="zh-CN"/>
              </w:rPr>
              <w:t>其委托代理人签字并加盖单位章。</w:t>
            </w:r>
          </w:p>
        </w:tc>
      </w:tr>
      <w:tr w14:paraId="3DBD3855">
        <w:tblPrEx>
          <w:shd w:val="clear" w:color="auto" w:fill="auto"/>
          <w:tblCellMar>
            <w:top w:w="0" w:type="dxa"/>
            <w:left w:w="108" w:type="dxa"/>
            <w:bottom w:w="0" w:type="dxa"/>
            <w:right w:w="108" w:type="dxa"/>
          </w:tblCellMar>
        </w:tblPrEx>
        <w:trPr>
          <w:trHeight w:val="1002" w:hRule="atLeast"/>
        </w:trPr>
        <w:tc>
          <w:tcPr>
            <w:tcW w:w="435" w:type="pct"/>
            <w:vMerge w:val="continue"/>
            <w:tcBorders>
              <w:left w:val="single" w:color="000000" w:sz="2" w:space="0"/>
              <w:right w:val="single" w:color="000000" w:sz="2" w:space="0"/>
            </w:tcBorders>
            <w:shd w:val="clear" w:color="auto" w:fill="auto"/>
            <w:noWrap w:val="0"/>
            <w:vAlign w:val="center"/>
          </w:tcPr>
          <w:p w14:paraId="31EC4C4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4FBB365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F2EBD94">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投标文件签字盖章要求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D6BDA2A">
            <w:pPr>
              <w:pageBreakBefore w:val="0"/>
              <w:kinsoku/>
              <w:overflowPunct/>
              <w:topLinePunct w:val="0"/>
              <w:autoSpaceDE w:val="0"/>
              <w:autoSpaceDN w:val="0"/>
              <w:bidi w:val="0"/>
              <w:adjustRightInd w:val="0"/>
              <w:spacing w:line="440" w:lineRule="exact"/>
              <w:rPr>
                <w:rFonts w:hint="eastAsia" w:ascii="宋体" w:hAnsi="宋体" w:eastAsia="宋体" w:cs="宋体"/>
                <w:kern w:val="0"/>
                <w:highlight w:val="none"/>
                <w:lang w:val="zh-CN"/>
              </w:rPr>
            </w:pPr>
            <w:r>
              <w:rPr>
                <w:rFonts w:hint="eastAsia" w:ascii="宋体" w:hAnsi="宋体" w:eastAsia="宋体" w:cs="宋体"/>
                <w:color w:val="auto"/>
                <w:szCs w:val="21"/>
                <w:highlight w:val="none"/>
              </w:rPr>
              <w:t>有法定代表人或其委托代理人签字或加盖单位章。由法定代表人签字的，应附法定代表人身份证明，由代理人签字的，应附授权委托书，身份证明或授权委托书应符合第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格式”的规定</w:t>
            </w:r>
          </w:p>
        </w:tc>
      </w:tr>
      <w:tr w14:paraId="6BE7185F">
        <w:tblPrEx>
          <w:shd w:val="clear" w:color="auto" w:fill="auto"/>
          <w:tblCellMar>
            <w:top w:w="0" w:type="dxa"/>
            <w:left w:w="108" w:type="dxa"/>
            <w:bottom w:w="0" w:type="dxa"/>
            <w:right w:w="108" w:type="dxa"/>
          </w:tblCellMar>
        </w:tblPrEx>
        <w:trPr>
          <w:trHeight w:val="483" w:hRule="atLeast"/>
        </w:trPr>
        <w:tc>
          <w:tcPr>
            <w:tcW w:w="435" w:type="pct"/>
            <w:vMerge w:val="continue"/>
            <w:tcBorders>
              <w:left w:val="single" w:color="000000" w:sz="2" w:space="0"/>
              <w:right w:val="single" w:color="000000" w:sz="2" w:space="0"/>
            </w:tcBorders>
            <w:shd w:val="clear" w:color="auto" w:fill="auto"/>
            <w:noWrap w:val="0"/>
            <w:vAlign w:val="center"/>
          </w:tcPr>
          <w:p w14:paraId="2854EF8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3A2A5B5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1F95CD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投标文件格式</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FCA9CB9">
            <w:pPr>
              <w:pageBreakBefore w:val="0"/>
              <w:kinsoku/>
              <w:overflowPunct/>
              <w:topLinePunct w:val="0"/>
              <w:autoSpaceDE w:val="0"/>
              <w:autoSpaceDN w:val="0"/>
              <w:bidi w:val="0"/>
              <w:adjustRightIn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符合第六</w:t>
            </w:r>
            <w:r>
              <w:rPr>
                <w:rFonts w:hint="eastAsia" w:ascii="宋体" w:hAnsi="宋体" w:eastAsia="宋体" w:cs="宋体"/>
                <w:kern w:val="0"/>
                <w:highlight w:val="none"/>
                <w:lang w:val="en-US" w:eastAsia="zh-CN"/>
              </w:rPr>
              <w:t>章</w:t>
            </w:r>
            <w:r>
              <w:rPr>
                <w:rFonts w:hint="eastAsia" w:ascii="宋体" w:hAnsi="宋体" w:eastAsia="宋体" w:cs="宋体"/>
                <w:kern w:val="0"/>
                <w:highlight w:val="none"/>
                <w:lang w:val="zh-CN"/>
              </w:rPr>
              <w:t>“投标文件格式”的要求。</w:t>
            </w:r>
          </w:p>
        </w:tc>
      </w:tr>
      <w:tr w14:paraId="29949BAE">
        <w:tblPrEx>
          <w:tblCellMar>
            <w:top w:w="0" w:type="dxa"/>
            <w:left w:w="108" w:type="dxa"/>
            <w:bottom w:w="0" w:type="dxa"/>
            <w:right w:w="108" w:type="dxa"/>
          </w:tblCellMar>
        </w:tblPrEx>
        <w:trPr>
          <w:trHeight w:val="400" w:hRule="atLeast"/>
        </w:trPr>
        <w:tc>
          <w:tcPr>
            <w:tcW w:w="435" w:type="pct"/>
            <w:vMerge w:val="continue"/>
            <w:tcBorders>
              <w:left w:val="single" w:color="000000" w:sz="2" w:space="0"/>
              <w:right w:val="single" w:color="000000" w:sz="2" w:space="0"/>
            </w:tcBorders>
            <w:shd w:val="clear" w:color="auto" w:fill="auto"/>
            <w:noWrap w:val="0"/>
            <w:vAlign w:val="center"/>
          </w:tcPr>
          <w:p w14:paraId="5E42F87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31913C9">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94E2E2A">
            <w:pPr>
              <w:pageBreakBefore w:val="0"/>
              <w:kinsoku/>
              <w:overflowPunct/>
              <w:topLinePunct w:val="0"/>
              <w:bidi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bCs/>
                <w:highlight w:val="none"/>
              </w:rPr>
              <w:t>投标内容</w:t>
            </w:r>
          </w:p>
        </w:tc>
        <w:tc>
          <w:tcPr>
            <w:tcW w:w="3123"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0B04F7AB">
            <w:pPr>
              <w:pageBreakBefore w:val="0"/>
              <w:kinsoku/>
              <w:overflowPunct/>
              <w:topLinePunct w:val="0"/>
              <w:bidi w:val="0"/>
              <w:spacing w:line="440" w:lineRule="exact"/>
              <w:jc w:val="left"/>
              <w:rPr>
                <w:rFonts w:hint="eastAsia" w:ascii="宋体" w:hAnsi="宋体" w:eastAsia="宋体" w:cs="宋体"/>
                <w:kern w:val="0"/>
                <w:sz w:val="22"/>
                <w:szCs w:val="22"/>
                <w:highlight w:val="none"/>
                <w:lang w:val="en-US" w:eastAsia="zh-CN"/>
              </w:rPr>
            </w:pPr>
            <w:r>
              <w:rPr>
                <w:rFonts w:hint="eastAsia" w:ascii="宋体" w:hAnsi="宋体" w:eastAsia="宋体" w:cs="宋体"/>
                <w:bCs/>
                <w:highlight w:val="none"/>
              </w:rPr>
              <w:t>符合</w:t>
            </w:r>
            <w:r>
              <w:rPr>
                <w:rFonts w:hint="eastAsia" w:ascii="宋体" w:hAnsi="宋体" w:eastAsia="宋体" w:cs="宋体"/>
                <w:bCs/>
                <w:highlight w:val="none"/>
                <w:lang w:val="en-US" w:eastAsia="zh-CN"/>
              </w:rPr>
              <w:t>招标文件要求</w:t>
            </w:r>
          </w:p>
        </w:tc>
      </w:tr>
      <w:tr w14:paraId="61615F28">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2F05F3D6">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ADE17E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A751270">
            <w:pPr>
              <w:pageBreakBefore w:val="0"/>
              <w:kinsoku/>
              <w:overflowPunct/>
              <w:topLinePunct w:val="0"/>
              <w:bidi w:val="0"/>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合同履行期限</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605B5C6">
            <w:pPr>
              <w:pageBreakBefore w:val="0"/>
              <w:kinsoku/>
              <w:overflowPunct/>
              <w:topLinePunct w:val="0"/>
              <w:bidi w:val="0"/>
              <w:spacing w:line="440" w:lineRule="exact"/>
              <w:jc w:val="left"/>
              <w:rPr>
                <w:rFonts w:hint="eastAsia" w:ascii="宋体" w:hAnsi="宋体" w:eastAsia="宋体" w:cs="宋体"/>
                <w:highlight w:val="none"/>
                <w:lang w:val="zh-CN"/>
              </w:rPr>
            </w:pPr>
            <w:r>
              <w:rPr>
                <w:rFonts w:hint="eastAsia" w:ascii="宋体" w:hAnsi="宋体" w:eastAsia="宋体" w:cs="宋体"/>
                <w:sz w:val="21"/>
                <w:szCs w:val="21"/>
                <w:highlight w:val="none"/>
                <w:lang w:val="en-US" w:eastAsia="zh-CN"/>
              </w:rPr>
              <w:t>签订合同后</w:t>
            </w:r>
            <w:r>
              <w:rPr>
                <w:rFonts w:hint="eastAsia" w:ascii="宋体" w:hAnsi="宋体" w:eastAsia="宋体" w:cs="宋体"/>
                <w:sz w:val="21"/>
                <w:szCs w:val="21"/>
                <w:highlight w:val="none"/>
                <w:lang w:eastAsia="zh-CN"/>
              </w:rPr>
              <w:t>三年</w:t>
            </w:r>
            <w:r>
              <w:rPr>
                <w:rFonts w:hint="eastAsia" w:ascii="宋体" w:hAnsi="宋体" w:eastAsia="宋体" w:cs="宋体"/>
                <w:highlight w:val="none"/>
                <w:lang w:val="zh-CN"/>
              </w:rPr>
              <w:t>。</w:t>
            </w:r>
          </w:p>
        </w:tc>
      </w:tr>
      <w:tr w14:paraId="3C8AE078">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7C0AE64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429F202">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3C08D94">
            <w:pPr>
              <w:pageBreakBefore w:val="0"/>
              <w:kinsoku/>
              <w:overflowPunct/>
              <w:topLinePunct w:val="0"/>
              <w:bidi w:val="0"/>
              <w:spacing w:line="44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highlight w:val="none"/>
                <w:lang w:eastAsia="zh-CN"/>
              </w:rPr>
              <w:t>服务要求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47E4758">
            <w:pPr>
              <w:pageBreakBefore w:val="0"/>
              <w:kinsoku/>
              <w:overflowPunct/>
              <w:topLinePunct w:val="0"/>
              <w:bidi w:val="0"/>
              <w:spacing w:line="440" w:lineRule="exact"/>
              <w:jc w:val="left"/>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提供优质服务</w:t>
            </w:r>
          </w:p>
        </w:tc>
      </w:tr>
      <w:tr w14:paraId="0132A08C">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53D73CA8">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0BF2A9C">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A96CC8F">
            <w:pPr>
              <w:pageBreakBefore w:val="0"/>
              <w:kinsoku/>
              <w:overflowPunct/>
              <w:topLinePunct w:val="0"/>
              <w:bidi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bCs/>
                <w:highlight w:val="none"/>
              </w:rPr>
              <w:t>投标有效期</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331E337">
            <w:pPr>
              <w:pageBreakBefore w:val="0"/>
              <w:kinsoku/>
              <w:overflowPunct/>
              <w:topLinePunct w:val="0"/>
              <w:bidi w:val="0"/>
              <w:spacing w:line="440" w:lineRule="exact"/>
              <w:jc w:val="left"/>
              <w:rPr>
                <w:rFonts w:hint="eastAsia" w:ascii="宋体" w:hAnsi="宋体" w:eastAsia="宋体" w:cs="宋体"/>
                <w:kern w:val="0"/>
                <w:sz w:val="22"/>
                <w:szCs w:val="22"/>
                <w:highlight w:val="none"/>
                <w:lang w:val="zh-CN"/>
              </w:rPr>
            </w:pPr>
            <w:r>
              <w:rPr>
                <w:rFonts w:hint="eastAsia" w:ascii="宋体" w:hAnsi="宋体" w:eastAsia="宋体" w:cs="宋体"/>
                <w:bCs/>
                <w:highlight w:val="none"/>
              </w:rPr>
              <w:t>投标截止之日起90日历天</w:t>
            </w:r>
          </w:p>
        </w:tc>
      </w:tr>
      <w:tr w14:paraId="7F555EF2">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2A712A9B">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97A70F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2BCFB4E">
            <w:pPr>
              <w:pageBreakBefore w:val="0"/>
              <w:kinsoku/>
              <w:overflowPunct/>
              <w:topLinePunct w:val="0"/>
              <w:bidi w:val="0"/>
              <w:adjustRightInd w:val="0"/>
              <w:snapToGri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bCs/>
                <w:kern w:val="15"/>
                <w:highlight w:val="none"/>
              </w:rPr>
              <w:t>权利义务</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A3D50E3">
            <w:pPr>
              <w:pageBreakBefore w:val="0"/>
              <w:kinsoku/>
              <w:overflowPunct/>
              <w:topLinePunct w:val="0"/>
              <w:bidi w:val="0"/>
              <w:adjustRightInd w:val="0"/>
              <w:snapToGri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bCs/>
                <w:kern w:val="15"/>
                <w:highlight w:val="none"/>
              </w:rPr>
              <w:t>符合第四章“合同条款及格式”规定</w:t>
            </w:r>
          </w:p>
        </w:tc>
      </w:tr>
      <w:tr w14:paraId="4CC5E4A8">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746725E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A2E524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A398288">
            <w:pPr>
              <w:pageBreakBefore w:val="0"/>
              <w:kinsoku/>
              <w:overflowPunct/>
              <w:topLinePunct w:val="0"/>
              <w:bidi w:val="0"/>
              <w:adjustRightInd w:val="0"/>
              <w:snapToGrid w:val="0"/>
              <w:spacing w:line="440" w:lineRule="exact"/>
              <w:jc w:val="center"/>
              <w:rPr>
                <w:rFonts w:hint="eastAsia" w:ascii="宋体" w:hAnsi="宋体" w:eastAsia="宋体" w:cs="宋体"/>
                <w:bCs/>
                <w:kern w:val="15"/>
                <w:highlight w:val="none"/>
                <w:lang w:val="en-US" w:eastAsia="zh-CN"/>
              </w:rPr>
            </w:pPr>
            <w:r>
              <w:rPr>
                <w:rFonts w:hint="eastAsia" w:ascii="宋体" w:hAnsi="宋体" w:eastAsia="宋体" w:cs="宋体"/>
                <w:bCs/>
                <w:kern w:val="15"/>
                <w:highlight w:val="none"/>
                <w:lang w:val="en-US" w:eastAsia="zh-CN"/>
              </w:rPr>
              <w:t>投标报价</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19265E2">
            <w:pPr>
              <w:pageBreakBefore w:val="0"/>
              <w:kinsoku/>
              <w:overflowPunct/>
              <w:topLinePunct w:val="0"/>
              <w:bidi w:val="0"/>
              <w:adjustRightInd w:val="0"/>
              <w:snapToGrid w:val="0"/>
              <w:spacing w:line="440" w:lineRule="exact"/>
              <w:rPr>
                <w:rFonts w:hint="eastAsia" w:ascii="宋体" w:hAnsi="宋体" w:eastAsia="宋体" w:cs="宋体"/>
                <w:bCs/>
                <w:kern w:val="15"/>
                <w:highlight w:val="none"/>
                <w:lang w:val="en-US" w:eastAsia="zh-CN"/>
              </w:rPr>
            </w:pPr>
            <w:r>
              <w:rPr>
                <w:rFonts w:hint="eastAsia" w:ascii="宋体" w:hAnsi="宋体" w:eastAsia="宋体" w:cs="宋体"/>
                <w:bCs/>
                <w:kern w:val="15"/>
                <w:highlight w:val="none"/>
                <w:lang w:val="en-US" w:eastAsia="zh-CN"/>
              </w:rPr>
              <w:t>未超过最高限价</w:t>
            </w:r>
          </w:p>
        </w:tc>
      </w:tr>
      <w:tr w14:paraId="1B94058A">
        <w:tblPrEx>
          <w:shd w:val="clear" w:color="auto" w:fill="auto"/>
          <w:tblCellMar>
            <w:top w:w="0" w:type="dxa"/>
            <w:left w:w="108" w:type="dxa"/>
            <w:bottom w:w="0" w:type="dxa"/>
            <w:right w:w="108" w:type="dxa"/>
          </w:tblCellMar>
        </w:tblPrEx>
        <w:trPr>
          <w:trHeight w:val="456" w:hRule="atLeast"/>
        </w:trPr>
        <w:tc>
          <w:tcPr>
            <w:tcW w:w="435" w:type="pct"/>
            <w:vMerge w:val="continue"/>
            <w:tcBorders>
              <w:left w:val="single" w:color="000000" w:sz="2" w:space="0"/>
              <w:right w:val="single" w:color="000000" w:sz="2" w:space="0"/>
            </w:tcBorders>
            <w:shd w:val="clear" w:color="auto" w:fill="auto"/>
            <w:noWrap w:val="0"/>
            <w:vAlign w:val="center"/>
          </w:tcPr>
          <w:p w14:paraId="0E67704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330A25C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1A7318A">
            <w:pPr>
              <w:pageBreakBefore w:val="0"/>
              <w:kinsoku/>
              <w:overflowPunct/>
              <w:topLinePunct w:val="0"/>
              <w:bidi w:val="0"/>
              <w:spacing w:line="440" w:lineRule="exact"/>
              <w:jc w:val="center"/>
              <w:rPr>
                <w:rFonts w:hint="eastAsia" w:ascii="宋体" w:hAnsi="宋体" w:eastAsia="宋体" w:cs="宋体"/>
                <w:kern w:val="0"/>
                <w:sz w:val="22"/>
                <w:szCs w:val="22"/>
                <w:highlight w:val="none"/>
                <w:lang w:val="zh-CN" w:eastAsia="zh-CN"/>
              </w:rPr>
            </w:pPr>
            <w:r>
              <w:rPr>
                <w:rFonts w:hint="eastAsia" w:ascii="宋体" w:hAnsi="宋体" w:eastAsia="宋体" w:cs="宋体"/>
                <w:bCs/>
                <w:highlight w:val="none"/>
                <w:lang w:eastAsia="zh-CN"/>
              </w:rPr>
              <w:t>服务标准与要求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976095">
            <w:pPr>
              <w:pageBreakBefore w:val="0"/>
              <w:kinsoku/>
              <w:overflowPunct/>
              <w:topLinePunct w:val="0"/>
              <w:bidi w:val="0"/>
              <w:spacing w:line="440" w:lineRule="exact"/>
              <w:jc w:val="left"/>
              <w:rPr>
                <w:rFonts w:hint="eastAsia" w:ascii="宋体" w:hAnsi="宋体" w:eastAsia="宋体" w:cs="宋体"/>
                <w:kern w:val="0"/>
                <w:sz w:val="22"/>
                <w:szCs w:val="22"/>
                <w:highlight w:val="none"/>
                <w:lang w:val="zh-CN"/>
              </w:rPr>
            </w:pPr>
            <w:r>
              <w:rPr>
                <w:rFonts w:hint="eastAsia" w:ascii="宋体" w:hAnsi="宋体" w:eastAsia="宋体" w:cs="宋体"/>
                <w:bCs/>
                <w:highlight w:val="none"/>
              </w:rPr>
              <w:t>符合采购需求</w:t>
            </w:r>
            <w:r>
              <w:rPr>
                <w:rFonts w:hint="eastAsia" w:ascii="宋体" w:hAnsi="宋体" w:eastAsia="宋体" w:cs="宋体"/>
                <w:bCs/>
                <w:highlight w:val="none"/>
                <w:lang w:val="zh-CN"/>
              </w:rPr>
              <w:t>中规定的全部内容，附由法定代表人或授权委托人签字或盖章并加盖投标人公章的承诺书。</w:t>
            </w:r>
          </w:p>
        </w:tc>
      </w:tr>
      <w:tr w14:paraId="5DD6E4E7">
        <w:tblPrEx>
          <w:shd w:val="clear" w:color="auto" w:fill="auto"/>
          <w:tblCellMar>
            <w:top w:w="0" w:type="dxa"/>
            <w:left w:w="108" w:type="dxa"/>
            <w:bottom w:w="0" w:type="dxa"/>
            <w:right w:w="108" w:type="dxa"/>
          </w:tblCellMar>
        </w:tblPrEx>
        <w:trPr>
          <w:trHeight w:val="456"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118B3F9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bottom w:val="single" w:color="000000" w:sz="2" w:space="0"/>
              <w:right w:val="single" w:color="000000" w:sz="2" w:space="0"/>
            </w:tcBorders>
            <w:shd w:val="clear" w:color="auto" w:fill="auto"/>
            <w:noWrap w:val="0"/>
            <w:vAlign w:val="center"/>
          </w:tcPr>
          <w:p w14:paraId="5A2CB27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32FAD4C">
            <w:pPr>
              <w:pageBreakBefore w:val="0"/>
              <w:kinsoku/>
              <w:overflowPunct/>
              <w:topLinePunct w:val="0"/>
              <w:bidi w:val="0"/>
              <w:spacing w:line="44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eastAsia="zh-CN"/>
              </w:rPr>
              <w:t>其他要求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D2A581E">
            <w:pPr>
              <w:pageBreakBefore w:val="0"/>
              <w:kinsoku/>
              <w:overflowPunct/>
              <w:topLinePunct w:val="0"/>
              <w:bidi w:val="0"/>
              <w:spacing w:line="440" w:lineRule="exact"/>
              <w:jc w:val="left"/>
              <w:rPr>
                <w:rFonts w:hint="eastAsia" w:ascii="宋体" w:hAnsi="宋体" w:eastAsia="宋体" w:cs="宋体"/>
                <w:bCs/>
                <w:highlight w:val="none"/>
              </w:rPr>
            </w:pPr>
            <w:r>
              <w:rPr>
                <w:rFonts w:hint="eastAsia" w:ascii="宋体" w:hAnsi="宋体" w:eastAsia="宋体" w:cs="宋体"/>
                <w:bCs/>
                <w:highlight w:val="none"/>
              </w:rPr>
              <w:t>满足招标文件的其他实质性要求</w:t>
            </w:r>
          </w:p>
        </w:tc>
      </w:tr>
    </w:tbl>
    <w:p w14:paraId="2865B6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rPr>
        <w:t>注</w:t>
      </w:r>
      <w:r>
        <w:rPr>
          <w:rFonts w:hint="eastAsia" w:ascii="宋体" w:hAnsi="宋体" w:eastAsia="宋体" w:cs="宋体"/>
          <w:highlight w:val="none"/>
          <w:lang w:val="zh-CN"/>
        </w:rPr>
        <w:t>：（1）上述内容中有一项不合格，则</w:t>
      </w:r>
      <w:r>
        <w:rPr>
          <w:rFonts w:hint="eastAsia" w:ascii="宋体" w:hAnsi="宋体" w:eastAsia="宋体" w:cs="宋体"/>
          <w:highlight w:val="none"/>
        </w:rPr>
        <w:t>初步</w:t>
      </w:r>
      <w:r>
        <w:rPr>
          <w:rFonts w:hint="eastAsia" w:ascii="宋体" w:hAnsi="宋体" w:eastAsia="宋体" w:cs="宋体"/>
          <w:highlight w:val="none"/>
          <w:lang w:val="zh-CN"/>
        </w:rPr>
        <w:t>评审不合格，投标按废标处理，不进入后</w:t>
      </w:r>
      <w:r>
        <w:rPr>
          <w:rFonts w:hint="eastAsia" w:ascii="宋体" w:hAnsi="宋体" w:eastAsia="宋体" w:cs="宋体"/>
          <w:highlight w:val="none"/>
          <w:lang w:val="en-US" w:eastAsia="zh-CN"/>
        </w:rPr>
        <w:t>续</w:t>
      </w:r>
      <w:r>
        <w:rPr>
          <w:rFonts w:hint="eastAsia" w:ascii="宋体" w:hAnsi="宋体" w:eastAsia="宋体" w:cs="宋体"/>
          <w:highlight w:val="none"/>
          <w:lang w:val="zh-CN"/>
        </w:rPr>
        <w:t>评审。</w:t>
      </w:r>
    </w:p>
    <w:p w14:paraId="7EC17C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lang w:val="zh-CN"/>
        </w:rPr>
        <w:t>每项审查内容合格打“√”，不合格打“×”。评审结论写“合格”或“不合格”。不合格须注明原因。</w:t>
      </w:r>
    </w:p>
    <w:p w14:paraId="3C95284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投标人所提供的所有证件均需在有效期内且注册单位名称与投标人的名称一致，如企业名称发生变更，需提供主管部门出具的变更证明材料。</w:t>
      </w:r>
    </w:p>
    <w:p w14:paraId="6089FE9D">
      <w:pPr>
        <w:pStyle w:val="7"/>
        <w:pageBreakBefore w:val="0"/>
        <w:numPr>
          <w:ilvl w:val="0"/>
          <w:numId w:val="0"/>
        </w:numPr>
        <w:kinsoku/>
        <w:overflowPunct/>
        <w:topLinePunct w:val="0"/>
        <w:bidi w:val="0"/>
        <w:spacing w:line="440" w:lineRule="exact"/>
        <w:rPr>
          <w:rFonts w:hint="eastAsia" w:ascii="宋体" w:hAnsi="宋体" w:eastAsia="宋体" w:cs="宋体"/>
          <w:lang w:val="zh-CN" w:eastAsia="zh-CN"/>
        </w:rPr>
        <w:sectPr>
          <w:footerReference r:id="rId6" w:type="default"/>
          <w:pgSz w:w="11900" w:h="16838"/>
          <w:pgMar w:top="1440" w:right="1800" w:bottom="1440" w:left="1800" w:header="720" w:footer="144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lang w:val="zh-CN" w:eastAsia="zh-CN"/>
        </w:rPr>
        <w:t>（3）吉林省外企业无专用信用报告的无需提供。</w:t>
      </w:r>
    </w:p>
    <w:p w14:paraId="4C193F3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rPr>
      </w:pPr>
      <w:r>
        <w:rPr>
          <w:rFonts w:hint="eastAsia" w:ascii="宋体" w:hAnsi="宋体" w:eastAsia="宋体" w:cs="宋体"/>
          <w:kern w:val="0"/>
          <w:sz w:val="28"/>
          <w:szCs w:val="28"/>
          <w:highlight w:val="none"/>
        </w:rPr>
        <w:t>评标办法前附表(二)</w:t>
      </w:r>
    </w:p>
    <w:p w14:paraId="2400E00B">
      <w:pPr>
        <w:pageBreakBefore w:val="0"/>
        <w:kinsoku/>
        <w:overflowPunct/>
        <w:topLinePunct w:val="0"/>
        <w:bidi w:val="0"/>
        <w:spacing w:line="440" w:lineRule="exact"/>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详细评审表</w:t>
      </w:r>
    </w:p>
    <w:tbl>
      <w:tblPr>
        <w:tblStyle w:val="21"/>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08"/>
        <w:gridCol w:w="1175"/>
        <w:gridCol w:w="4152"/>
        <w:gridCol w:w="1088"/>
      </w:tblGrid>
      <w:tr w14:paraId="2DC4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078" w:type="pct"/>
            <w:gridSpan w:val="2"/>
            <w:noWrap w:val="0"/>
            <w:vAlign w:val="center"/>
          </w:tcPr>
          <w:p w14:paraId="3ACCFD4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条款号</w:t>
            </w:r>
          </w:p>
        </w:tc>
        <w:tc>
          <w:tcPr>
            <w:tcW w:w="718" w:type="pct"/>
            <w:noWrap w:val="0"/>
            <w:vAlign w:val="center"/>
          </w:tcPr>
          <w:p w14:paraId="4F64114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评审因素</w:t>
            </w:r>
          </w:p>
        </w:tc>
        <w:tc>
          <w:tcPr>
            <w:tcW w:w="3202" w:type="pct"/>
            <w:gridSpan w:val="2"/>
            <w:noWrap w:val="0"/>
            <w:vAlign w:val="center"/>
          </w:tcPr>
          <w:p w14:paraId="2225F679">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评审标准</w:t>
            </w:r>
          </w:p>
        </w:tc>
      </w:tr>
      <w:tr w14:paraId="645E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78" w:type="pct"/>
            <w:gridSpan w:val="2"/>
            <w:noWrap w:val="0"/>
            <w:vAlign w:val="center"/>
          </w:tcPr>
          <w:p w14:paraId="43EE33A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2.2.1</w:t>
            </w:r>
          </w:p>
        </w:tc>
        <w:tc>
          <w:tcPr>
            <w:tcW w:w="718" w:type="pct"/>
            <w:noWrap w:val="0"/>
            <w:vAlign w:val="center"/>
          </w:tcPr>
          <w:p w14:paraId="4B499617">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分值构成</w:t>
            </w:r>
          </w:p>
          <w:p w14:paraId="51CF2885">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(总分100分)</w:t>
            </w:r>
          </w:p>
        </w:tc>
        <w:tc>
          <w:tcPr>
            <w:tcW w:w="3202" w:type="pct"/>
            <w:gridSpan w:val="2"/>
            <w:noWrap w:val="0"/>
            <w:vAlign w:val="center"/>
          </w:tcPr>
          <w:p w14:paraId="26598BAA">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投标报价：</w:t>
            </w:r>
            <w:r>
              <w:rPr>
                <w:rFonts w:hint="eastAsia" w:ascii="宋体" w:hAnsi="宋体" w:eastAsia="宋体" w:cs="宋体"/>
                <w:bCs/>
                <w:spacing w:val="-6"/>
                <w:szCs w:val="21"/>
                <w:highlight w:val="none"/>
                <w:lang w:val="en-US" w:eastAsia="zh-CN"/>
              </w:rPr>
              <w:t>1</w:t>
            </w:r>
            <w:r>
              <w:rPr>
                <w:rFonts w:hint="eastAsia" w:ascii="宋体" w:hAnsi="宋体" w:eastAsia="宋体" w:cs="宋体"/>
                <w:bCs/>
                <w:spacing w:val="-6"/>
                <w:szCs w:val="21"/>
                <w:highlight w:val="none"/>
              </w:rPr>
              <w:t>0分</w:t>
            </w:r>
          </w:p>
          <w:p w14:paraId="1BCA1E09">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技术部分：</w:t>
            </w:r>
            <w:r>
              <w:rPr>
                <w:rFonts w:hint="eastAsia" w:ascii="宋体" w:hAnsi="宋体" w:eastAsia="宋体" w:cs="宋体"/>
                <w:bCs/>
                <w:spacing w:val="-6"/>
                <w:szCs w:val="21"/>
                <w:highlight w:val="none"/>
                <w:lang w:val="en-US" w:eastAsia="zh-CN"/>
              </w:rPr>
              <w:t>70</w:t>
            </w:r>
            <w:r>
              <w:rPr>
                <w:rFonts w:hint="eastAsia" w:ascii="宋体" w:hAnsi="宋体" w:eastAsia="宋体" w:cs="宋体"/>
                <w:bCs/>
                <w:spacing w:val="-6"/>
                <w:szCs w:val="21"/>
                <w:highlight w:val="none"/>
              </w:rPr>
              <w:t>分</w:t>
            </w:r>
          </w:p>
          <w:p w14:paraId="00516142">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商务部分：2</w:t>
            </w:r>
            <w:r>
              <w:rPr>
                <w:rFonts w:hint="eastAsia" w:ascii="宋体" w:hAnsi="宋体" w:eastAsia="宋体" w:cs="宋体"/>
                <w:bCs/>
                <w:spacing w:val="-6"/>
                <w:szCs w:val="21"/>
                <w:highlight w:val="none"/>
                <w:lang w:val="en-US" w:eastAsia="zh-CN"/>
              </w:rPr>
              <w:t>0</w:t>
            </w:r>
            <w:r>
              <w:rPr>
                <w:rFonts w:hint="eastAsia" w:ascii="宋体" w:hAnsi="宋体" w:eastAsia="宋体" w:cs="宋体"/>
                <w:bCs/>
                <w:spacing w:val="-6"/>
                <w:szCs w:val="21"/>
                <w:highlight w:val="none"/>
              </w:rPr>
              <w:t>分</w:t>
            </w:r>
          </w:p>
        </w:tc>
      </w:tr>
      <w:tr w14:paraId="1AAE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078" w:type="pct"/>
            <w:gridSpan w:val="2"/>
            <w:noWrap w:val="0"/>
            <w:vAlign w:val="center"/>
          </w:tcPr>
          <w:p w14:paraId="1ADC946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2.2.2</w:t>
            </w:r>
          </w:p>
        </w:tc>
        <w:tc>
          <w:tcPr>
            <w:tcW w:w="718" w:type="pct"/>
            <w:noWrap w:val="0"/>
            <w:vAlign w:val="center"/>
          </w:tcPr>
          <w:p w14:paraId="03FAAD3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评标基准价计算方法</w:t>
            </w:r>
          </w:p>
        </w:tc>
        <w:tc>
          <w:tcPr>
            <w:tcW w:w="3202" w:type="pct"/>
            <w:gridSpan w:val="2"/>
            <w:noWrap w:val="0"/>
            <w:vAlign w:val="center"/>
          </w:tcPr>
          <w:p w14:paraId="292FDA39">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综合评分法中的价格分统一采用低价优先法计算，即满足招标文件要求且投标价格最低的投标报价为评标基准价，其价格分为满分。</w:t>
            </w:r>
          </w:p>
        </w:tc>
      </w:tr>
      <w:tr w14:paraId="770C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78" w:type="pct"/>
            <w:gridSpan w:val="2"/>
            <w:noWrap w:val="0"/>
            <w:vAlign w:val="center"/>
          </w:tcPr>
          <w:p w14:paraId="3EED0CE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2.2.3</w:t>
            </w:r>
          </w:p>
        </w:tc>
        <w:tc>
          <w:tcPr>
            <w:tcW w:w="718" w:type="pct"/>
            <w:noWrap w:val="0"/>
            <w:vAlign w:val="center"/>
          </w:tcPr>
          <w:p w14:paraId="6634C65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投标报价得分</w:t>
            </w:r>
          </w:p>
        </w:tc>
        <w:tc>
          <w:tcPr>
            <w:tcW w:w="3202" w:type="pct"/>
            <w:gridSpan w:val="2"/>
            <w:noWrap w:val="0"/>
            <w:vAlign w:val="center"/>
          </w:tcPr>
          <w:p w14:paraId="7A58492E">
            <w:pPr>
              <w:pageBreakBefore w:val="0"/>
              <w:kinsoku/>
              <w:overflowPunct/>
              <w:topLinePunct w:val="0"/>
              <w:autoSpaceDE w:val="0"/>
              <w:autoSpaceDN w:val="0"/>
              <w:bidi w:val="0"/>
              <w:adjustRightInd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投标报价得分=(评标基准价／投标报价</w:t>
            </w:r>
            <w:r>
              <w:rPr>
                <w:rFonts w:hint="eastAsia" w:ascii="宋体" w:hAnsi="宋体" w:eastAsia="宋体" w:cs="宋体"/>
                <w:bCs/>
                <w:color w:val="auto"/>
                <w:spacing w:val="-6"/>
                <w:szCs w:val="21"/>
                <w:highlight w:val="none"/>
              </w:rPr>
              <w:t>)×价格权值</w:t>
            </w:r>
            <w:r>
              <w:rPr>
                <w:rFonts w:hint="eastAsia" w:ascii="宋体" w:hAnsi="宋体" w:eastAsia="宋体" w:cs="宋体"/>
                <w:bCs/>
                <w:color w:val="auto"/>
                <w:spacing w:val="-6"/>
                <w:szCs w:val="21"/>
                <w:highlight w:val="none"/>
                <w:lang w:val="en-US" w:eastAsia="zh-CN"/>
              </w:rPr>
              <w:t>1</w:t>
            </w:r>
            <w:r>
              <w:rPr>
                <w:rFonts w:hint="eastAsia" w:ascii="宋体" w:hAnsi="宋体" w:eastAsia="宋体" w:cs="宋体"/>
                <w:bCs/>
                <w:color w:val="auto"/>
                <w:spacing w:val="-6"/>
                <w:szCs w:val="21"/>
                <w:highlight w:val="none"/>
              </w:rPr>
              <w:t>0%</w:t>
            </w:r>
            <w:r>
              <w:rPr>
                <w:rFonts w:hint="eastAsia" w:ascii="宋体" w:hAnsi="宋体" w:eastAsia="宋体" w:cs="宋体"/>
                <w:bCs/>
                <w:spacing w:val="-6"/>
                <w:szCs w:val="21"/>
                <w:highlight w:val="none"/>
              </w:rPr>
              <w:t>×100</w:t>
            </w:r>
          </w:p>
        </w:tc>
      </w:tr>
      <w:tr w14:paraId="4034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078" w:type="pct"/>
            <w:gridSpan w:val="2"/>
            <w:noWrap w:val="0"/>
            <w:vAlign w:val="center"/>
          </w:tcPr>
          <w:p w14:paraId="2973751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条款号</w:t>
            </w:r>
          </w:p>
        </w:tc>
        <w:tc>
          <w:tcPr>
            <w:tcW w:w="718" w:type="pct"/>
            <w:noWrap w:val="0"/>
            <w:vAlign w:val="center"/>
          </w:tcPr>
          <w:p w14:paraId="0A2BD741">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评分因素</w:t>
            </w:r>
          </w:p>
        </w:tc>
        <w:tc>
          <w:tcPr>
            <w:tcW w:w="2537" w:type="pct"/>
            <w:noWrap w:val="0"/>
            <w:vAlign w:val="center"/>
          </w:tcPr>
          <w:p w14:paraId="579C25E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评分标准</w:t>
            </w:r>
          </w:p>
        </w:tc>
        <w:tc>
          <w:tcPr>
            <w:tcW w:w="665" w:type="pct"/>
            <w:tcBorders>
              <w:bottom w:val="single" w:color="auto" w:sz="4" w:space="0"/>
            </w:tcBorders>
            <w:noWrap w:val="0"/>
            <w:vAlign w:val="center"/>
          </w:tcPr>
          <w:p w14:paraId="60B3435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分值</w:t>
            </w:r>
          </w:p>
        </w:tc>
      </w:tr>
      <w:tr w14:paraId="6A5D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restart"/>
            <w:noWrap w:val="0"/>
            <w:vAlign w:val="center"/>
          </w:tcPr>
          <w:p w14:paraId="123F7F4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2.2.4(1)</w:t>
            </w:r>
          </w:p>
          <w:p w14:paraId="19702EC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restart"/>
            <w:noWrap w:val="0"/>
            <w:vAlign w:val="center"/>
          </w:tcPr>
          <w:p w14:paraId="190D2F3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技术部分</w:t>
            </w:r>
          </w:p>
          <w:p w14:paraId="353592CA">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70</w:t>
            </w:r>
            <w:r>
              <w:rPr>
                <w:rFonts w:hint="eastAsia" w:ascii="宋体" w:hAnsi="宋体" w:eastAsia="宋体" w:cs="宋体"/>
                <w:bCs/>
                <w:szCs w:val="21"/>
                <w:highlight w:val="none"/>
                <w:lang w:val="zh-CN"/>
              </w:rPr>
              <w:t>分）</w:t>
            </w:r>
          </w:p>
        </w:tc>
        <w:tc>
          <w:tcPr>
            <w:tcW w:w="718" w:type="pct"/>
            <w:noWrap w:val="0"/>
            <w:vAlign w:val="center"/>
          </w:tcPr>
          <w:p w14:paraId="11EFFB9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需求分析与整体方案（</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p>
        </w:tc>
        <w:tc>
          <w:tcPr>
            <w:tcW w:w="2537" w:type="pct"/>
            <w:noWrap w:val="0"/>
            <w:vAlign w:val="center"/>
          </w:tcPr>
          <w:p w14:paraId="33E34E8D">
            <w:pPr>
              <w:pageBreakBefore w:val="0"/>
              <w:kinsoku/>
              <w:overflowPunct/>
              <w:topLinePunct w:val="0"/>
              <w:bidi w:val="0"/>
              <w:spacing w:line="440" w:lineRule="exact"/>
              <w:rPr>
                <w:rFonts w:hint="eastAsia" w:ascii="宋体" w:hAnsi="宋体" w:eastAsia="宋体" w:cs="宋体"/>
                <w:highlight w:val="none"/>
                <w:lang w:val="en-US" w:eastAsia="zh-CN"/>
              </w:rPr>
            </w:pPr>
            <w:r>
              <w:rPr>
                <w:rFonts w:hint="eastAsia" w:ascii="宋体" w:hAnsi="宋体" w:eastAsia="宋体" w:cs="宋体"/>
                <w:bCs/>
                <w:spacing w:val="-6"/>
                <w:szCs w:val="21"/>
                <w:highlight w:val="none"/>
              </w:rPr>
              <w:t>根据投标人对招标项目的需求理解和综合分析程度，以及制定的整体方案，</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8-6</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5-3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DBFF80A">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r>
      <w:tr w14:paraId="643A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645" w:type="pct"/>
            <w:vMerge w:val="continue"/>
            <w:noWrap w:val="0"/>
            <w:vAlign w:val="center"/>
          </w:tcPr>
          <w:p w14:paraId="65D2351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5EE8DEE7">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3188DD0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工作进度计划及保证措施（</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726120B4">
            <w:pPr>
              <w:pageBreakBefore w:val="0"/>
              <w:kinsoku/>
              <w:overflowPunct/>
              <w:topLinePunct w:val="0"/>
              <w:bidi w:val="0"/>
              <w:spacing w:line="440" w:lineRule="exac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rPr>
              <w:t>对本项目工作进度计划，保证措施完善、可靠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70416ECB">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3926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1D9127C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A34AB6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46A1CC4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质量保证措施</w:t>
            </w:r>
          </w:p>
          <w:p w14:paraId="6902D15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227AE225">
            <w:pPr>
              <w:pageBreakBefore w:val="0"/>
              <w:kinsoku/>
              <w:overflowPunct/>
              <w:topLinePunct w:val="0"/>
              <w:bidi w:val="0"/>
              <w:spacing w:line="440" w:lineRule="exac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lang w:val="en-US" w:eastAsia="zh-CN"/>
              </w:rPr>
              <w:t>对</w:t>
            </w:r>
            <w:r>
              <w:rPr>
                <w:rFonts w:hint="eastAsia" w:ascii="宋体" w:hAnsi="宋体" w:eastAsia="宋体" w:cs="宋体"/>
                <w:bCs/>
                <w:spacing w:val="-6"/>
                <w:szCs w:val="21"/>
                <w:highlight w:val="none"/>
              </w:rPr>
              <w:t>质量管理体系阐述合理、可行，保证措施完善、可靠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7855CC1B">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2124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7D7763C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A84877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274BC04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安全管理目标及</w:t>
            </w:r>
          </w:p>
          <w:p w14:paraId="3A12E23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措施（</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3D1942EC">
            <w:pPr>
              <w:pageBreakBefore w:val="0"/>
              <w:kinsoku/>
              <w:overflowPunct/>
              <w:topLinePunct w:val="0"/>
              <w:bidi w:val="0"/>
              <w:spacing w:line="440" w:lineRule="exac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lang w:val="en-US" w:eastAsia="zh-CN"/>
              </w:rPr>
              <w:t>对</w:t>
            </w:r>
            <w:r>
              <w:rPr>
                <w:rFonts w:hint="eastAsia" w:ascii="宋体" w:hAnsi="宋体" w:eastAsia="宋体" w:cs="宋体"/>
                <w:bCs/>
                <w:spacing w:val="-6"/>
                <w:szCs w:val="21"/>
                <w:highlight w:val="none"/>
              </w:rPr>
              <w:t>管理目标和措施详细合理，可行性及实用性强</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5D02DE7B">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59C5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466AFE2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78863F9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7364908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环境卫生管理目标及措施（</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p>
        </w:tc>
        <w:tc>
          <w:tcPr>
            <w:tcW w:w="2537" w:type="pct"/>
            <w:noWrap w:val="0"/>
            <w:vAlign w:val="center"/>
          </w:tcPr>
          <w:p w14:paraId="18E2BAAD">
            <w:pPr>
              <w:pageBreakBefore w:val="0"/>
              <w:kinsoku/>
              <w:overflowPunct/>
              <w:topLinePunct w:val="0"/>
              <w:bidi w:val="0"/>
              <w:spacing w:line="440" w:lineRule="exac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对</w:t>
            </w:r>
            <w:r>
              <w:rPr>
                <w:rFonts w:hint="eastAsia" w:ascii="宋体" w:hAnsi="宋体" w:eastAsia="宋体" w:cs="宋体"/>
                <w:bCs/>
                <w:szCs w:val="21"/>
                <w:highlight w:val="none"/>
                <w:lang w:val="zh-CN"/>
              </w:rPr>
              <w:t>环境卫生管理目标及措施</w:t>
            </w:r>
            <w:r>
              <w:rPr>
                <w:rFonts w:hint="eastAsia" w:ascii="宋体" w:hAnsi="宋体" w:eastAsia="宋体" w:cs="宋体"/>
                <w:bCs/>
                <w:spacing w:val="-6"/>
                <w:szCs w:val="21"/>
                <w:highlight w:val="none"/>
              </w:rPr>
              <w:t>阐述合理、可行，保证措施完善、可靠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8-6</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5-3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161E0AB6">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8分</w:t>
            </w:r>
          </w:p>
        </w:tc>
      </w:tr>
      <w:tr w14:paraId="11F5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6092F3CA">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17C0C80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7EF5D4CC">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现场文明工作措施（</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49478604">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zCs w:val="21"/>
                <w:highlight w:val="none"/>
                <w:lang w:val="en-US" w:eastAsia="zh-CN"/>
              </w:rPr>
              <w:t>对</w:t>
            </w:r>
            <w:r>
              <w:rPr>
                <w:rFonts w:hint="eastAsia" w:ascii="宋体" w:hAnsi="宋体" w:eastAsia="宋体" w:cs="宋体"/>
                <w:bCs/>
                <w:szCs w:val="21"/>
                <w:highlight w:val="none"/>
                <w:lang w:val="zh-CN"/>
              </w:rPr>
              <w:t>现场文明工作措施完善、符合文明管理规定、可操作性强，</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A04E17C">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75EE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3C3776B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48189FC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1A5A855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劳动力安排计划（</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6AFDD8D5">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zCs w:val="21"/>
                <w:highlight w:val="none"/>
                <w:lang w:val="en-US" w:eastAsia="zh-CN"/>
              </w:rPr>
              <w:t>对</w:t>
            </w:r>
            <w:r>
              <w:rPr>
                <w:rFonts w:hint="eastAsia" w:ascii="宋体" w:hAnsi="宋体" w:eastAsia="宋体" w:cs="宋体"/>
                <w:bCs/>
                <w:szCs w:val="21"/>
                <w:highlight w:val="none"/>
                <w:lang w:val="zh-CN"/>
              </w:rPr>
              <w:t>劳动力计划全面，劳动力安排保证措施合理，可操作性强且针对本项目主要机械、设备安排计划合理符合相关计划要求，</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268CC34">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6A5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507E6A4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3D4C6E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1FA0F9C4">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cs="宋体"/>
                <w:color w:val="000000"/>
                <w:sz w:val="21"/>
                <w:szCs w:val="21"/>
                <w:lang w:val="zh-CN"/>
              </w:rPr>
              <w:t>岗位责任制度</w:t>
            </w: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val="zh-CN"/>
              </w:rPr>
              <w:t>分）</w:t>
            </w:r>
          </w:p>
        </w:tc>
        <w:tc>
          <w:tcPr>
            <w:tcW w:w="2537" w:type="pct"/>
            <w:noWrap w:val="0"/>
            <w:vAlign w:val="center"/>
          </w:tcPr>
          <w:p w14:paraId="6C474ED5">
            <w:pPr>
              <w:pageBreakBefore w:val="0"/>
              <w:kinsoku/>
              <w:overflowPunct/>
              <w:topLinePunct w:val="0"/>
              <w:bidi w:val="0"/>
              <w:spacing w:line="44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对责任制度的完整性、详细性和可操作性等，</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4C561C3E">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4B66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3A7D029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76DF80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60D6F4AF">
            <w:pPr>
              <w:pageBreakBefore w:val="0"/>
              <w:kinsoku/>
              <w:overflowPunct/>
              <w:topLinePunct w:val="0"/>
              <w:autoSpaceDE w:val="0"/>
              <w:autoSpaceDN w:val="0"/>
              <w:bidi w:val="0"/>
              <w:adjustRightInd w:val="0"/>
              <w:spacing w:line="440" w:lineRule="exact"/>
              <w:jc w:val="center"/>
              <w:rPr>
                <w:rFonts w:hint="eastAsia" w:ascii="宋体" w:hAnsi="宋体" w:cs="宋体"/>
                <w:color w:val="000000"/>
                <w:sz w:val="21"/>
                <w:szCs w:val="21"/>
                <w:lang w:val="zh-CN"/>
              </w:rPr>
            </w:pPr>
            <w:r>
              <w:rPr>
                <w:rFonts w:hint="eastAsia" w:ascii="宋体" w:hAnsi="宋体" w:cs="宋体"/>
                <w:color w:val="000000"/>
                <w:sz w:val="21"/>
                <w:szCs w:val="21"/>
                <w:lang w:val="zh-CN"/>
              </w:rPr>
              <w:t>管理方式及人员培训</w:t>
            </w: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val="zh-CN"/>
              </w:rPr>
              <w:t>分）</w:t>
            </w:r>
          </w:p>
        </w:tc>
        <w:tc>
          <w:tcPr>
            <w:tcW w:w="2537" w:type="pct"/>
            <w:noWrap w:val="0"/>
            <w:vAlign w:val="center"/>
          </w:tcPr>
          <w:p w14:paraId="7CBA7050">
            <w:pPr>
              <w:pageBreakBefore w:val="0"/>
              <w:kinsoku/>
              <w:overflowPunct/>
              <w:topLinePunct w:val="0"/>
              <w:bidi w:val="0"/>
              <w:spacing w:line="44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对投标人针对本项目拟采取的管理方式、工作计划、人员</w:t>
            </w:r>
            <w:r>
              <w:rPr>
                <w:rFonts w:hint="eastAsia" w:ascii="宋体" w:hAnsi="宋体" w:eastAsia="宋体" w:cs="宋体"/>
                <w:bCs/>
                <w:szCs w:val="21"/>
                <w:highlight w:val="none"/>
                <w:lang w:val="en-US" w:eastAsia="zh-CN"/>
              </w:rPr>
              <w:fldChar w:fldCharType="begin"/>
            </w:r>
            <w:r>
              <w:rPr>
                <w:rFonts w:hint="eastAsia" w:ascii="宋体" w:hAnsi="宋体" w:eastAsia="宋体" w:cs="宋体"/>
                <w:bCs/>
                <w:szCs w:val="21"/>
                <w:highlight w:val="none"/>
                <w:lang w:val="en-US" w:eastAsia="zh-CN"/>
              </w:rPr>
              <w:instrText xml:space="preserve">HYPERLINK "http://www.fdcew.com/hypx/List_181.html" \t "_blank" </w:instrText>
            </w:r>
            <w:r>
              <w:rPr>
                <w:rFonts w:hint="eastAsia" w:ascii="宋体" w:hAnsi="宋体" w:eastAsia="宋体" w:cs="宋体"/>
                <w:bCs/>
                <w:szCs w:val="21"/>
                <w:highlight w:val="none"/>
                <w:lang w:val="en-US" w:eastAsia="zh-CN"/>
              </w:rPr>
              <w:fldChar w:fldCharType="separate"/>
            </w:r>
            <w:r>
              <w:rPr>
                <w:rFonts w:hint="eastAsia" w:ascii="宋体" w:hAnsi="宋体" w:eastAsia="宋体" w:cs="宋体"/>
                <w:bCs/>
                <w:szCs w:val="21"/>
                <w:highlight w:val="none"/>
                <w:lang w:val="en-US" w:eastAsia="zh-CN"/>
              </w:rPr>
              <w:t>培训</w:t>
            </w:r>
            <w:r>
              <w:rPr>
                <w:rFonts w:hint="eastAsia" w:ascii="宋体" w:hAnsi="宋体" w:eastAsia="宋体" w:cs="宋体"/>
                <w:bCs/>
                <w:szCs w:val="21"/>
                <w:highlight w:val="none"/>
                <w:lang w:val="en-US" w:eastAsia="zh-CN"/>
              </w:rPr>
              <w:fldChar w:fldCharType="end"/>
            </w:r>
            <w:r>
              <w:rPr>
                <w:rFonts w:hint="eastAsia" w:ascii="宋体" w:hAnsi="宋体" w:eastAsia="宋体" w:cs="宋体"/>
                <w:bCs/>
                <w:szCs w:val="21"/>
                <w:highlight w:val="none"/>
                <w:lang w:val="en-US" w:eastAsia="zh-CN"/>
              </w:rPr>
              <w:t>及管理、考核等方案及措施等，</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312F943">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291F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2E6A65B4">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45E2B47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034D9366">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 w:val="0"/>
                <w:bCs w:val="0"/>
                <w:color w:val="auto"/>
                <w:kern w:val="2"/>
                <w:sz w:val="21"/>
                <w:szCs w:val="21"/>
                <w:highlight w:val="none"/>
                <w:lang w:val="zh-CN"/>
              </w:rPr>
              <w:t>应急处理方案</w:t>
            </w: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4BC0DFE5">
            <w:pPr>
              <w:pageBreakBefore w:val="0"/>
              <w:kinsoku/>
              <w:overflowPunct/>
              <w:topLinePunct w:val="0"/>
              <w:bidi w:val="0"/>
              <w:spacing w:line="44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对应急处理措施详细合理性，可行性及实用性，</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5EDBA04E">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4300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5F6808D9">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74F0360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76B8D9A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合理化</w:t>
            </w:r>
          </w:p>
          <w:p w14:paraId="6A98C2D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建议</w:t>
            </w:r>
          </w:p>
          <w:p w14:paraId="0BE32E09">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75AD44D8">
            <w:pPr>
              <w:pageBreakBefore w:val="0"/>
              <w:kinsoku/>
              <w:overflowPunct/>
              <w:topLinePunct w:val="0"/>
              <w:bidi w:val="0"/>
              <w:spacing w:line="440" w:lineRule="exact"/>
              <w:rPr>
                <w:rFonts w:hint="eastAsia" w:ascii="宋体" w:hAnsi="宋体" w:eastAsia="宋体" w:cs="宋体"/>
                <w:bCs/>
                <w:szCs w:val="21"/>
                <w:highlight w:val="none"/>
                <w:lang w:eastAsia="zh-CN"/>
              </w:rPr>
            </w:pPr>
            <w:bookmarkStart w:id="92" w:name="_GoBack"/>
            <w:r>
              <w:rPr>
                <w:rFonts w:hint="eastAsia" w:ascii="宋体" w:hAnsi="宋体" w:eastAsia="宋体" w:cs="宋体"/>
                <w:bCs/>
                <w:szCs w:val="21"/>
                <w:highlight w:val="none"/>
              </w:rPr>
              <w:t>投标人针对本项目提供合理化建议且具有可行性、安全性和经济性</w:t>
            </w:r>
            <w:r>
              <w:rPr>
                <w:rFonts w:hint="eastAsia" w:ascii="宋体" w:hAnsi="宋体" w:eastAsia="宋体" w:cs="宋体"/>
                <w:bCs/>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bookmarkEnd w:id="92"/>
          </w:p>
        </w:tc>
        <w:tc>
          <w:tcPr>
            <w:tcW w:w="665" w:type="pct"/>
            <w:tcBorders>
              <w:bottom w:val="single" w:color="auto" w:sz="4" w:space="0"/>
            </w:tcBorders>
            <w:noWrap w:val="0"/>
            <w:vAlign w:val="center"/>
          </w:tcPr>
          <w:p w14:paraId="4D03B6F3">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r>
      <w:tr w14:paraId="5775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645" w:type="pct"/>
            <w:vMerge w:val="restart"/>
            <w:noWrap w:val="0"/>
            <w:vAlign w:val="center"/>
          </w:tcPr>
          <w:p w14:paraId="203F261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2.2.4(2)</w:t>
            </w:r>
          </w:p>
          <w:p w14:paraId="2F428FBA">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p>
        </w:tc>
        <w:tc>
          <w:tcPr>
            <w:tcW w:w="432" w:type="pct"/>
            <w:vMerge w:val="restart"/>
            <w:noWrap w:val="0"/>
            <w:vAlign w:val="center"/>
          </w:tcPr>
          <w:p w14:paraId="56065D3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商务</w:t>
            </w:r>
          </w:p>
          <w:p w14:paraId="3D4BFEA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部分</w:t>
            </w:r>
          </w:p>
          <w:p w14:paraId="39DA90C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rPr>
              <w:t>分</w:t>
            </w:r>
            <w:r>
              <w:rPr>
                <w:rFonts w:hint="eastAsia" w:ascii="宋体" w:hAnsi="宋体" w:eastAsia="宋体" w:cs="宋体"/>
                <w:bCs/>
                <w:szCs w:val="21"/>
                <w:highlight w:val="none"/>
                <w:lang w:val="zh-CN"/>
              </w:rPr>
              <w:t>）</w:t>
            </w:r>
          </w:p>
        </w:tc>
        <w:tc>
          <w:tcPr>
            <w:tcW w:w="718" w:type="pct"/>
            <w:noWrap w:val="0"/>
            <w:vAlign w:val="center"/>
          </w:tcPr>
          <w:p w14:paraId="3BF06991">
            <w:pPr>
              <w:pageBreakBefore w:val="0"/>
              <w:kinsoku/>
              <w:overflowPunct/>
              <w:topLinePunct w:val="0"/>
              <w:autoSpaceDE w:val="0"/>
              <w:autoSpaceDN w:val="0"/>
              <w:bidi w:val="0"/>
              <w:adjustRightIn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类似业绩经验</w:t>
            </w:r>
          </w:p>
          <w:p w14:paraId="5AED0CB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c>
          <w:tcPr>
            <w:tcW w:w="2537" w:type="pct"/>
            <w:noWrap w:val="0"/>
            <w:vAlign w:val="center"/>
          </w:tcPr>
          <w:p w14:paraId="2943D244">
            <w:pPr>
              <w:pageBreakBefore w:val="0"/>
              <w:kinsoku/>
              <w:overflowPunct/>
              <w:topLinePunct w:val="0"/>
              <w:autoSpaceDE w:val="0"/>
              <w:autoSpaceDN w:val="0"/>
              <w:bidi w:val="0"/>
              <w:adjustRightInd w:val="0"/>
              <w:spacing w:line="440" w:lineRule="exact"/>
              <w:rPr>
                <w:rFonts w:hint="eastAsia" w:ascii="宋体" w:hAnsi="宋体" w:eastAsia="宋体" w:cs="宋体"/>
                <w:highlight w:val="none"/>
              </w:rPr>
            </w:pPr>
            <w:r>
              <w:rPr>
                <w:rFonts w:hint="eastAsia" w:ascii="宋体" w:hAnsi="宋体" w:eastAsia="宋体" w:cs="宋体"/>
                <w:color w:val="auto"/>
                <w:szCs w:val="21"/>
                <w:highlight w:val="none"/>
              </w:rPr>
              <w:t>近三年（20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月1日至</w:t>
            </w:r>
            <w:r>
              <w:rPr>
                <w:rFonts w:hint="eastAsia" w:ascii="宋体" w:hAnsi="宋体" w:eastAsia="宋体" w:cs="宋体"/>
                <w:color w:val="auto"/>
                <w:szCs w:val="21"/>
                <w:highlight w:val="none"/>
                <w:lang w:val="en-US" w:eastAsia="zh-CN"/>
              </w:rPr>
              <w:t>2024年12月31日</w:t>
            </w:r>
            <w:r>
              <w:rPr>
                <w:rFonts w:hint="eastAsia" w:ascii="宋体" w:hAnsi="宋体" w:eastAsia="宋体" w:cs="宋体"/>
                <w:color w:val="auto"/>
                <w:szCs w:val="21"/>
                <w:highlight w:val="none"/>
              </w:rPr>
              <w:t>）完成过类似项目业绩每有一个得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Cs w:val="21"/>
                <w:highlight w:val="none"/>
              </w:rPr>
              <w:t>内须附中标通知书和合同书复印件加盖公章。</w:t>
            </w:r>
          </w:p>
        </w:tc>
        <w:tc>
          <w:tcPr>
            <w:tcW w:w="665" w:type="pct"/>
            <w:noWrap w:val="0"/>
            <w:vAlign w:val="center"/>
          </w:tcPr>
          <w:p w14:paraId="61D0336A">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r>
      <w:tr w14:paraId="627A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45" w:type="pct"/>
            <w:vMerge w:val="continue"/>
            <w:noWrap w:val="0"/>
            <w:vAlign w:val="center"/>
          </w:tcPr>
          <w:p w14:paraId="466CBCC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432" w:type="pct"/>
            <w:vMerge w:val="continue"/>
            <w:noWrap w:val="0"/>
            <w:vAlign w:val="center"/>
          </w:tcPr>
          <w:p w14:paraId="0ED9D30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718" w:type="pct"/>
            <w:noWrap w:val="0"/>
            <w:vAlign w:val="center"/>
          </w:tcPr>
          <w:p w14:paraId="7FD8341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优惠条件</w:t>
            </w:r>
          </w:p>
          <w:p w14:paraId="6B93282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3EFD94FB">
            <w:pPr>
              <w:pageBreakBefore w:val="0"/>
              <w:kinsoku/>
              <w:overflowPunct/>
              <w:topLinePunct w:val="0"/>
              <w:bidi w:val="0"/>
              <w:snapToGrid/>
              <w:spacing w:line="440" w:lineRule="exact"/>
              <w:ind w:firstLine="0" w:firstLineChars="0"/>
              <w:rPr>
                <w:rFonts w:hint="eastAsia" w:ascii="宋体" w:hAnsi="宋体" w:eastAsia="宋体" w:cs="宋体"/>
                <w:bCs/>
                <w:szCs w:val="21"/>
                <w:highlight w:val="none"/>
                <w:lang w:val="en-US" w:eastAsia="zh-CN"/>
              </w:rPr>
            </w:pPr>
            <w:r>
              <w:rPr>
                <w:rFonts w:hint="eastAsia" w:ascii="宋体" w:hAnsi="宋体" w:eastAsia="宋体" w:cs="宋体"/>
                <w:color w:val="auto"/>
                <w:kern w:val="2"/>
                <w:sz w:val="21"/>
                <w:szCs w:val="21"/>
                <w:highlight w:val="none"/>
                <w:lang w:val="en-US" w:eastAsia="zh-CN" w:bidi="ar-SA"/>
              </w:rPr>
              <w:t>根据投标文件提供的</w:t>
            </w:r>
            <w:r>
              <w:rPr>
                <w:rFonts w:hint="eastAsia" w:ascii="宋体" w:hAnsi="宋体" w:eastAsia="宋体" w:cs="宋体"/>
                <w:sz w:val="21"/>
                <w:szCs w:val="21"/>
                <w:highlight w:val="none"/>
                <w:lang w:val="en-US" w:eastAsia="zh-CN"/>
              </w:rPr>
              <w:t>服务承诺</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横向比较，</w:t>
            </w:r>
            <w:r>
              <w:rPr>
                <w:rFonts w:hint="eastAsia" w:ascii="宋体" w:hAnsi="宋体" w:eastAsia="宋体" w:cs="宋体"/>
                <w:b w:val="0"/>
                <w:bCs w:val="0"/>
                <w:color w:val="000000"/>
                <w:sz w:val="21"/>
                <w:szCs w:val="21"/>
              </w:rPr>
              <w:t>优得</w:t>
            </w:r>
            <w:r>
              <w:rPr>
                <w:rFonts w:hint="eastAsia" w:ascii="宋体" w:hAnsi="宋体" w:eastAsia="宋体" w:cs="宋体"/>
                <w:b w:val="0"/>
                <w:bCs w:val="0"/>
                <w:color w:val="000000"/>
                <w:sz w:val="21"/>
                <w:szCs w:val="21"/>
                <w:lang w:val="en-US" w:eastAsia="zh-CN"/>
              </w:rPr>
              <w:t>6-5</w:t>
            </w:r>
            <w:r>
              <w:rPr>
                <w:rFonts w:hint="eastAsia" w:ascii="宋体" w:hAnsi="宋体" w:eastAsia="宋体" w:cs="宋体"/>
                <w:b w:val="0"/>
                <w:bCs w:val="0"/>
                <w:color w:val="000000"/>
                <w:sz w:val="21"/>
                <w:szCs w:val="21"/>
              </w:rPr>
              <w:t xml:space="preserve">分；良得 </w:t>
            </w:r>
            <w:r>
              <w:rPr>
                <w:rFonts w:hint="eastAsia" w:ascii="宋体" w:hAnsi="宋体" w:eastAsia="宋体" w:cs="宋体"/>
                <w:b w:val="0"/>
                <w:bCs w:val="0"/>
                <w:color w:val="000000"/>
                <w:sz w:val="21"/>
                <w:szCs w:val="21"/>
                <w:lang w:val="en-US" w:eastAsia="zh-CN"/>
              </w:rPr>
              <w:t>4-3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r>
              <w:rPr>
                <w:rFonts w:hint="eastAsia" w:ascii="宋体" w:hAnsi="宋体" w:eastAsia="宋体" w:cs="宋体"/>
                <w:b w:val="0"/>
                <w:bCs w:val="0"/>
                <w:color w:val="000000"/>
                <w:sz w:val="21"/>
                <w:szCs w:val="21"/>
                <w:lang w:eastAsia="zh-CN"/>
              </w:rPr>
              <w:t>。</w:t>
            </w:r>
          </w:p>
        </w:tc>
        <w:tc>
          <w:tcPr>
            <w:tcW w:w="665" w:type="pct"/>
            <w:noWrap w:val="0"/>
            <w:vAlign w:val="center"/>
          </w:tcPr>
          <w:p w14:paraId="53A648B2">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r>
      <w:tr w14:paraId="14F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45" w:type="pct"/>
            <w:vMerge w:val="continue"/>
            <w:noWrap w:val="0"/>
            <w:vAlign w:val="center"/>
          </w:tcPr>
          <w:p w14:paraId="7A5A1FD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432" w:type="pct"/>
            <w:vMerge w:val="continue"/>
            <w:noWrap w:val="0"/>
            <w:vAlign w:val="center"/>
          </w:tcPr>
          <w:p w14:paraId="2196E2D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718" w:type="pct"/>
            <w:noWrap w:val="0"/>
            <w:vAlign w:val="center"/>
          </w:tcPr>
          <w:p w14:paraId="26BC32B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服务承诺</w:t>
            </w:r>
          </w:p>
          <w:p w14:paraId="7D81641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1D3A1256">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bCs/>
                <w:szCs w:val="21"/>
                <w:highlight w:val="none"/>
                <w:lang w:val="zh-CN"/>
              </w:rPr>
            </w:pPr>
            <w:r>
              <w:rPr>
                <w:rFonts w:hint="eastAsia" w:ascii="宋体" w:hAnsi="宋体" w:eastAsia="宋体" w:cs="宋体"/>
                <w:color w:val="auto"/>
                <w:kern w:val="2"/>
                <w:sz w:val="21"/>
                <w:szCs w:val="21"/>
                <w:highlight w:val="none"/>
                <w:lang w:val="en-US" w:eastAsia="zh-CN" w:bidi="ar-SA"/>
              </w:rPr>
              <w:t>根据投标文件提供的</w:t>
            </w:r>
            <w:r>
              <w:rPr>
                <w:rFonts w:hint="eastAsia" w:ascii="宋体" w:hAnsi="宋体" w:eastAsia="宋体" w:cs="宋体"/>
                <w:sz w:val="21"/>
                <w:szCs w:val="21"/>
                <w:highlight w:val="none"/>
                <w:lang w:val="en-US" w:eastAsia="zh-CN"/>
              </w:rPr>
              <w:t>优惠条件</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横向比较，</w:t>
            </w:r>
            <w:r>
              <w:rPr>
                <w:rFonts w:hint="eastAsia" w:ascii="宋体" w:hAnsi="宋体" w:eastAsia="宋体" w:cs="宋体"/>
                <w:b w:val="0"/>
                <w:bCs w:val="0"/>
                <w:color w:val="000000"/>
                <w:sz w:val="21"/>
                <w:szCs w:val="21"/>
              </w:rPr>
              <w:t>优得</w:t>
            </w:r>
            <w:r>
              <w:rPr>
                <w:rFonts w:hint="eastAsia" w:ascii="宋体" w:hAnsi="宋体" w:eastAsia="宋体" w:cs="宋体"/>
                <w:b w:val="0"/>
                <w:bCs w:val="0"/>
                <w:color w:val="000000"/>
                <w:sz w:val="21"/>
                <w:szCs w:val="21"/>
                <w:lang w:val="en-US" w:eastAsia="zh-CN"/>
              </w:rPr>
              <w:t>6-5</w:t>
            </w:r>
            <w:r>
              <w:rPr>
                <w:rFonts w:hint="eastAsia" w:ascii="宋体" w:hAnsi="宋体" w:eastAsia="宋体" w:cs="宋体"/>
                <w:b w:val="0"/>
                <w:bCs w:val="0"/>
                <w:color w:val="000000"/>
                <w:sz w:val="21"/>
                <w:szCs w:val="21"/>
              </w:rPr>
              <w:t xml:space="preserve">分；良得 </w:t>
            </w:r>
            <w:r>
              <w:rPr>
                <w:rFonts w:hint="eastAsia" w:ascii="宋体" w:hAnsi="宋体" w:eastAsia="宋体" w:cs="宋体"/>
                <w:b w:val="0"/>
                <w:bCs w:val="0"/>
                <w:color w:val="000000"/>
                <w:sz w:val="21"/>
                <w:szCs w:val="21"/>
                <w:lang w:val="en-US" w:eastAsia="zh-CN"/>
              </w:rPr>
              <w:t>4-3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r>
              <w:rPr>
                <w:rFonts w:hint="eastAsia" w:ascii="宋体" w:hAnsi="宋体" w:eastAsia="宋体" w:cs="宋体"/>
                <w:b w:val="0"/>
                <w:bCs w:val="0"/>
                <w:color w:val="000000"/>
                <w:sz w:val="21"/>
                <w:szCs w:val="21"/>
                <w:lang w:eastAsia="zh-CN"/>
              </w:rPr>
              <w:t>。</w:t>
            </w:r>
          </w:p>
        </w:tc>
        <w:tc>
          <w:tcPr>
            <w:tcW w:w="665" w:type="pct"/>
            <w:noWrap w:val="0"/>
            <w:vAlign w:val="center"/>
          </w:tcPr>
          <w:p w14:paraId="74F8ED47">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r>
      <w:tr w14:paraId="56FB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45" w:type="pct"/>
            <w:noWrap w:val="0"/>
            <w:vAlign w:val="center"/>
          </w:tcPr>
          <w:p w14:paraId="350CD40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2.2.4</w:t>
            </w:r>
            <w:r>
              <w:rPr>
                <w:rFonts w:hint="eastAsia" w:ascii="宋体" w:hAnsi="宋体" w:eastAsia="宋体" w:cs="宋体"/>
                <w:bCs/>
                <w:szCs w:val="21"/>
                <w:highlight w:val="none"/>
                <w:lang w:val="zh-CN"/>
              </w:rPr>
              <w:t>(</w:t>
            </w:r>
            <w:r>
              <w:rPr>
                <w:rFonts w:hint="eastAsia" w:ascii="宋体" w:hAnsi="宋体" w:eastAsia="宋体" w:cs="宋体"/>
                <w:bCs/>
                <w:szCs w:val="21"/>
                <w:highlight w:val="none"/>
              </w:rPr>
              <w:t>3</w:t>
            </w:r>
            <w:r>
              <w:rPr>
                <w:rFonts w:hint="eastAsia" w:ascii="宋体" w:hAnsi="宋体" w:eastAsia="宋体" w:cs="宋体"/>
                <w:bCs/>
                <w:szCs w:val="21"/>
                <w:highlight w:val="none"/>
                <w:lang w:val="zh-CN"/>
              </w:rPr>
              <w:t>)</w:t>
            </w:r>
          </w:p>
        </w:tc>
        <w:tc>
          <w:tcPr>
            <w:tcW w:w="432" w:type="pct"/>
            <w:noWrap w:val="0"/>
            <w:vAlign w:val="center"/>
          </w:tcPr>
          <w:p w14:paraId="5D310D84">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投标报价</w:t>
            </w: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0分</w:t>
            </w:r>
            <w:r>
              <w:rPr>
                <w:rFonts w:hint="eastAsia" w:ascii="宋体" w:hAnsi="宋体" w:eastAsia="宋体" w:cs="宋体"/>
                <w:bCs/>
                <w:szCs w:val="21"/>
                <w:highlight w:val="none"/>
                <w:lang w:val="zh-CN"/>
              </w:rPr>
              <w:t>）</w:t>
            </w:r>
          </w:p>
        </w:tc>
        <w:tc>
          <w:tcPr>
            <w:tcW w:w="718" w:type="pct"/>
            <w:noWrap w:val="0"/>
            <w:vAlign w:val="center"/>
          </w:tcPr>
          <w:p w14:paraId="6F9BC957">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投标报价（</w:t>
            </w: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rPr>
              <w:t>分</w:t>
            </w:r>
            <w:r>
              <w:rPr>
                <w:rFonts w:hint="eastAsia" w:ascii="宋体" w:hAnsi="宋体" w:eastAsia="宋体" w:cs="宋体"/>
                <w:bCs/>
                <w:szCs w:val="21"/>
                <w:highlight w:val="none"/>
                <w:lang w:val="zh-CN"/>
              </w:rPr>
              <w:t>）</w:t>
            </w:r>
          </w:p>
        </w:tc>
        <w:tc>
          <w:tcPr>
            <w:tcW w:w="2537" w:type="pct"/>
            <w:noWrap w:val="0"/>
            <w:vAlign w:val="center"/>
          </w:tcPr>
          <w:p w14:paraId="75C4669B">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r>
              <w:rPr>
                <w:rFonts w:hint="eastAsia" w:ascii="宋体" w:hAnsi="宋体" w:eastAsia="宋体" w:cs="宋体"/>
                <w:bCs/>
                <w:spacing w:val="-6"/>
                <w:szCs w:val="21"/>
                <w:highlight w:val="none"/>
              </w:rPr>
              <w:t>投标报价得分=(评标基准价／投标报价)×价格权值</w:t>
            </w:r>
            <w:r>
              <w:rPr>
                <w:rFonts w:hint="eastAsia" w:ascii="宋体" w:hAnsi="宋体" w:eastAsia="宋体" w:cs="宋体"/>
                <w:bCs/>
                <w:spacing w:val="-6"/>
                <w:szCs w:val="21"/>
                <w:highlight w:val="none"/>
                <w:lang w:val="en-US" w:eastAsia="zh-CN"/>
              </w:rPr>
              <w:t>1</w:t>
            </w:r>
            <w:r>
              <w:rPr>
                <w:rFonts w:hint="eastAsia" w:ascii="宋体" w:hAnsi="宋体" w:eastAsia="宋体" w:cs="宋体"/>
                <w:bCs/>
                <w:spacing w:val="-6"/>
                <w:szCs w:val="21"/>
                <w:highlight w:val="none"/>
              </w:rPr>
              <w:t>0%×100</w:t>
            </w:r>
          </w:p>
        </w:tc>
        <w:tc>
          <w:tcPr>
            <w:tcW w:w="665" w:type="pct"/>
            <w:noWrap w:val="0"/>
            <w:vAlign w:val="center"/>
          </w:tcPr>
          <w:p w14:paraId="0D59EEA0">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0分</w:t>
            </w:r>
          </w:p>
        </w:tc>
      </w:tr>
    </w:tbl>
    <w:p w14:paraId="738D8432">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1.评标方法 </w:t>
      </w:r>
    </w:p>
    <w:p w14:paraId="7C92B772">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本次评标采用综合评分法。评标委员会对满足招标文件实质性要求的投标文件，按照本章第2.2 款规定的评分标准进行打分，并按得分由高到低顺序推荐中标候选人，或根据</w:t>
      </w:r>
      <w:r>
        <w:rPr>
          <w:rFonts w:hint="eastAsia" w:ascii="宋体" w:hAnsi="宋体" w:eastAsia="宋体" w:cs="宋体"/>
          <w:highlight w:val="none"/>
          <w:lang w:eastAsia="zh-CN"/>
        </w:rPr>
        <w:t>采购人</w:t>
      </w:r>
      <w:r>
        <w:rPr>
          <w:rFonts w:hint="eastAsia" w:ascii="宋体" w:hAnsi="宋体" w:eastAsia="宋体" w:cs="宋体"/>
          <w:highlight w:val="none"/>
        </w:rPr>
        <w:t xml:space="preserve">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78C23AE4">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2.评审标准 </w:t>
      </w:r>
    </w:p>
    <w:p w14:paraId="7F3D074B">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2.1  初步评审标准 </w:t>
      </w:r>
    </w:p>
    <w:p w14:paraId="02BE003D">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2.1.1 形式评审标准：见评标办法前附表。 </w:t>
      </w:r>
    </w:p>
    <w:p w14:paraId="68EB543E">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2.1.2 资格评审标准：见评标办法前附表。 </w:t>
      </w:r>
    </w:p>
    <w:p w14:paraId="37A4528D">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2.1.3 响应性评审标准：见评标办法前附表。 </w:t>
      </w:r>
    </w:p>
    <w:p w14:paraId="1B97519C">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highlight w:val="none"/>
        </w:rPr>
        <w:t xml:space="preserve">2.2  分值构成与评分标准 </w:t>
      </w:r>
    </w:p>
    <w:p w14:paraId="5FC3EEAA">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2.2.1 分值构成 </w:t>
      </w:r>
    </w:p>
    <w:p w14:paraId="5D9C9578">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（1）技术部分：见评标办法前附表； </w:t>
      </w:r>
    </w:p>
    <w:p w14:paraId="482991EA">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（2）投标报价：见评标办法前附表； </w:t>
      </w:r>
    </w:p>
    <w:p w14:paraId="30D6D499">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（3）商务部分：见评标办法前附表。 </w:t>
      </w:r>
    </w:p>
    <w:p w14:paraId="0BEACFAC">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2.2.2 评标基准价计算 </w:t>
      </w:r>
    </w:p>
    <w:p w14:paraId="720BC20E">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见评标办法前附表。 </w:t>
      </w:r>
    </w:p>
    <w:p w14:paraId="675D9700">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2.2.3 投标报价得分计算 </w:t>
      </w:r>
    </w:p>
    <w:p w14:paraId="2615FECF">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见评标办法前附表。 </w:t>
      </w:r>
    </w:p>
    <w:p w14:paraId="479D4A15">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2.2.4 评分标准 </w:t>
      </w:r>
    </w:p>
    <w:p w14:paraId="7E5E9761">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（1）技术部分评分标准：见评标办法前附表； </w:t>
      </w:r>
    </w:p>
    <w:p w14:paraId="353646F8">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（2）投标报价评分标准：见评标办法前附表； </w:t>
      </w:r>
    </w:p>
    <w:p w14:paraId="34469442">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（3）评分标准：见评标办法前附表。 </w:t>
      </w:r>
    </w:p>
    <w:p w14:paraId="61CF4799">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b/>
          <w:highlight w:val="none"/>
        </w:rPr>
        <w:t xml:space="preserve">3.评标程序 </w:t>
      </w:r>
    </w:p>
    <w:p w14:paraId="77BB4390">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3.1  初步评审 </w:t>
      </w:r>
    </w:p>
    <w:p w14:paraId="3A8167C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6E5EA4F">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初步评审阶段，采购人或者采购代理机构首先应当依法对投标人的资格进行审查，并将审查结果提交给评标委员会；评标委员会依据本章初步评审记录表规定的标准对投标文件进行初步评审。</w:t>
      </w:r>
    </w:p>
    <w:p w14:paraId="4D149CE1">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3.1.2  投标人有以下情形之一的，评标委员会应当否决其投标： </w:t>
      </w:r>
    </w:p>
    <w:p w14:paraId="3C9FEB38">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（1）投标文件没有对招标文件的实质性要求和条件作出响应，或者对招标文件的偏差超出招标文件规定的偏差范围或最高项数； </w:t>
      </w:r>
    </w:p>
    <w:p w14:paraId="3CDAC6D5">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（2）有串通投标、弄虚作假、行贿等违法行为。 </w:t>
      </w:r>
    </w:p>
    <w:p w14:paraId="45B76EDE">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3.1.3  投标报价有算术错误及其他错误的，评标委员会按以下原则要求投标人对投标报价进行修正，并要求投标人书面澄清确认。投标人拒不澄清确认的，评标委员会应当否决其投标： </w:t>
      </w:r>
    </w:p>
    <w:p w14:paraId="31FA2098">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（1）投标文件中开标一览表（报价表）内容与投标文件中相应内容不一致的，以开标一览表（报价表）为准； </w:t>
      </w:r>
    </w:p>
    <w:p w14:paraId="232035E9">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（2）投标文件中的大写金额与小写金额不一致的，以大写金额为准；</w:t>
      </w:r>
    </w:p>
    <w:p w14:paraId="461F3751">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（3）总价金额与单价金额不一致的，以单价金额为准，但单价金额小数点有明显错误的除外；</w:t>
      </w:r>
    </w:p>
    <w:p w14:paraId="1478EDEB">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（4）单价金额小数点或者百分比有明显错位的，以开标一览表的总价为准，并修改单价；</w:t>
      </w:r>
    </w:p>
    <w:p w14:paraId="0578F90C">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3.1.4 投标人存在下列情形之一的，投标无效：</w:t>
      </w:r>
    </w:p>
    <w:p w14:paraId="664A5785">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（1）投标文件未按采购文件要求签署、盖章的；</w:t>
      </w:r>
    </w:p>
    <w:p w14:paraId="52C23C45">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（2）不具备采购文件中规定的资格要求的；</w:t>
      </w:r>
    </w:p>
    <w:p w14:paraId="43D9FDD3">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（3）报价超过采购文件中规定的预算金额或者最高限价的；</w:t>
      </w:r>
    </w:p>
    <w:p w14:paraId="6CF88CD4">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（4）投标文件含有采购人不能接受的附加条件的;</w:t>
      </w:r>
    </w:p>
    <w:p w14:paraId="63AF9E1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（5）法律、法规和采购文件规定的其他无效情形。</w:t>
      </w:r>
    </w:p>
    <w:p w14:paraId="0FBF14DF">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3.1.4有下列情形之一的，视为投标人串通投标，其投标无效：</w:t>
      </w:r>
    </w:p>
    <w:p w14:paraId="7C99D969">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（1）不同投标人的投标文件由同一单位或者个人编制；</w:t>
      </w:r>
    </w:p>
    <w:p w14:paraId="31B758CF">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（2）不同投标人委托同一单位或者个人办理投标事宜；</w:t>
      </w:r>
    </w:p>
    <w:p w14:paraId="456F0BD4">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（3）不同投标人的投标文件载明的项目管理成员或者联系人员为同一人；</w:t>
      </w:r>
    </w:p>
    <w:p w14:paraId="7F2ECEC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（4）不同投标人的投标文件异常一致或者投标报价呈规律性差异；</w:t>
      </w:r>
    </w:p>
    <w:p w14:paraId="697BA582">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（5）不同投标人的投标文件相互混装；</w:t>
      </w:r>
    </w:p>
    <w:p w14:paraId="5B0B1F8C">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b/>
          <w:highlight w:val="none"/>
        </w:rPr>
        <w:t xml:space="preserve">3.2  详细评审 </w:t>
      </w:r>
    </w:p>
    <w:p w14:paraId="10801244">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3.2.1只有通过初步评审的投标人才能进入后续评审。评标委员会按本章第2.2 款规定的量化因素和分值进行打分，并计算出综合评估得分。 </w:t>
      </w:r>
    </w:p>
    <w:p w14:paraId="10C9DE0B">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（1）按本章第2.2.4（1）目规定的评审因素和分值对技术部分计算出得分A； </w:t>
      </w:r>
    </w:p>
    <w:p w14:paraId="176529ED">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（2）按本章第2.2.4（2）目规定的评审因素和分值对投标报价部分计算出得分B； </w:t>
      </w:r>
    </w:p>
    <w:p w14:paraId="713C01F4">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（3）按本章第2.2.4（3）目规定的评审因素和分值对商务部分计算出得分C； </w:t>
      </w:r>
    </w:p>
    <w:p w14:paraId="5951083B">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3.2.2 评分分值计算保留小数点后两位，小数点后第三位“四舍五入”。 </w:t>
      </w:r>
    </w:p>
    <w:p w14:paraId="2EAB5185">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3.2.3 得分汇总E=A+B+C。</w:t>
      </w:r>
    </w:p>
    <w:p w14:paraId="4E56F1C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3.2.4 供应商得分E=（E1+E2+E3+E4+E5）/</w:t>
      </w:r>
      <w:r>
        <w:rPr>
          <w:rFonts w:hint="eastAsia" w:ascii="宋体" w:hAnsi="宋体" w:eastAsia="宋体" w:cs="宋体"/>
          <w:highlight w:val="none"/>
          <w:lang w:val="en-US" w:eastAsia="zh-CN"/>
        </w:rPr>
        <w:t>5</w:t>
      </w:r>
    </w:p>
    <w:p w14:paraId="29259FC0">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01DB7FA8">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3.2.6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F031B0">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3.3  投标文件的澄清 </w:t>
      </w:r>
    </w:p>
    <w:p w14:paraId="55F09E02">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27B759EC">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3.3.2  澄清、说明或补正不得超出投标文件的范围且不得改变投标文件的实质性内容，并构成投标文件的组成部分。 </w:t>
      </w:r>
    </w:p>
    <w:p w14:paraId="6E73BDF5">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3.3.3  评标委员会对投标人提交的澄清、说明或补正有疑问的，可以要求投标人进一步澄清、说明或补正，直至满足评标委员会的要求。 </w:t>
      </w:r>
    </w:p>
    <w:p w14:paraId="7383AA44">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3.4  评标结果 </w:t>
      </w:r>
    </w:p>
    <w:p w14:paraId="4E8AD133">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3.4.1 除第二章“投标人须知”前附表授权直接确定中标人外，评标委员会按照得分由高到低的顺序推荐中标候选人，并标明排序。 </w:t>
      </w:r>
    </w:p>
    <w:p w14:paraId="5BF64548">
      <w:pPr>
        <w:pageBreakBefore w:val="0"/>
        <w:kinsoku/>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3.4.2  评标委员会完成评标后，应当向</w:t>
      </w:r>
      <w:r>
        <w:rPr>
          <w:rFonts w:hint="eastAsia" w:ascii="宋体" w:hAnsi="宋体" w:eastAsia="宋体" w:cs="宋体"/>
          <w:highlight w:val="none"/>
          <w:lang w:eastAsia="zh-CN"/>
        </w:rPr>
        <w:t>采购人</w:t>
      </w:r>
      <w:r>
        <w:rPr>
          <w:rFonts w:hint="eastAsia" w:ascii="宋体" w:hAnsi="宋体" w:eastAsia="宋体" w:cs="宋体"/>
          <w:highlight w:val="none"/>
        </w:rPr>
        <w:t>提交书面评标报告和中标候选人名单。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7CB649EF">
      <w:pPr>
        <w:pageBreakBefore w:val="0"/>
        <w:kinsoku/>
        <w:overflowPunct/>
        <w:topLinePunct w:val="0"/>
        <w:bidi w:val="0"/>
        <w:spacing w:line="440" w:lineRule="exact"/>
        <w:rPr>
          <w:rFonts w:hint="eastAsia" w:ascii="宋体" w:hAnsi="宋体" w:eastAsia="宋体" w:cs="宋体"/>
        </w:rPr>
      </w:pPr>
      <w:r>
        <w:rPr>
          <w:rFonts w:hint="eastAsia" w:ascii="宋体" w:hAnsi="宋体" w:eastAsia="宋体" w:cs="宋体"/>
        </w:rPr>
        <w:br w:type="page"/>
      </w:r>
    </w:p>
    <w:p w14:paraId="2F768142">
      <w:pPr>
        <w:pageBreakBefore w:val="0"/>
        <w:numPr>
          <w:ilvl w:val="0"/>
          <w:numId w:val="6"/>
        </w:numPr>
        <w:kinsoku/>
        <w:overflowPunct/>
        <w:topLinePunct w:val="0"/>
        <w:bidi w:val="0"/>
        <w:spacing w:line="440" w:lineRule="exact"/>
        <w:jc w:val="center"/>
        <w:outlineLvl w:val="0"/>
        <w:rPr>
          <w:rFonts w:hint="eastAsia" w:ascii="宋体" w:hAnsi="宋体" w:eastAsia="宋体" w:cs="宋体"/>
          <w:b/>
          <w:bCs/>
          <w:color w:val="000000"/>
          <w:sz w:val="36"/>
          <w:szCs w:val="36"/>
          <w:highlight w:val="none"/>
        </w:rPr>
      </w:pPr>
      <w:bookmarkStart w:id="25" w:name="_Toc7822"/>
      <w:r>
        <w:rPr>
          <w:rFonts w:hint="eastAsia" w:ascii="宋体" w:hAnsi="宋体" w:eastAsia="宋体" w:cs="宋体"/>
          <w:b/>
          <w:bCs/>
          <w:color w:val="000000"/>
          <w:sz w:val="36"/>
          <w:szCs w:val="36"/>
          <w:highlight w:val="none"/>
        </w:rPr>
        <w:t xml:space="preserve"> </w:t>
      </w:r>
      <w:bookmarkStart w:id="26" w:name="_Toc29903"/>
      <w:r>
        <w:rPr>
          <w:rFonts w:hint="eastAsia" w:ascii="宋体" w:hAnsi="宋体" w:eastAsia="宋体" w:cs="宋体"/>
          <w:b/>
          <w:bCs/>
          <w:color w:val="000000"/>
          <w:sz w:val="36"/>
          <w:szCs w:val="36"/>
          <w:highlight w:val="none"/>
        </w:rPr>
        <w:t>合同主要条款及格式</w:t>
      </w:r>
      <w:bookmarkEnd w:id="25"/>
      <w:bookmarkEnd w:id="26"/>
      <w:r>
        <w:rPr>
          <w:rFonts w:hint="eastAsia" w:ascii="宋体" w:hAnsi="宋体" w:eastAsia="宋体" w:cs="宋体"/>
          <w:b/>
          <w:bCs/>
          <w:color w:val="000000"/>
          <w:sz w:val="36"/>
          <w:szCs w:val="36"/>
          <w:highlight w:val="none"/>
        </w:rPr>
        <w:t>（仅供参考）</w:t>
      </w:r>
    </w:p>
    <w:p w14:paraId="7AC5000D">
      <w:pPr>
        <w:pageBreakBefore w:val="0"/>
        <w:kinsoku/>
        <w:overflowPunct/>
        <w:topLinePunct w:val="0"/>
        <w:bidi w:val="0"/>
        <w:spacing w:line="440" w:lineRule="exact"/>
        <w:jc w:val="center"/>
        <w:rPr>
          <w:rFonts w:hint="eastAsia" w:ascii="宋体" w:hAnsi="宋体" w:eastAsia="宋体" w:cs="宋体"/>
          <w:b/>
          <w:bCs/>
          <w:color w:val="auto"/>
          <w:sz w:val="44"/>
          <w:szCs w:val="4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双方</w:t>
      </w:r>
      <w:r>
        <w:rPr>
          <w:rFonts w:hint="eastAsia" w:ascii="宋体" w:hAnsi="宋体" w:eastAsia="宋体" w:cs="宋体"/>
          <w:color w:val="auto"/>
          <w:sz w:val="24"/>
          <w:highlight w:val="none"/>
        </w:rPr>
        <w:t>实际签订</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为准</w:t>
      </w:r>
      <w:r>
        <w:rPr>
          <w:rFonts w:hint="eastAsia" w:ascii="宋体" w:hAnsi="宋体" w:eastAsia="宋体" w:cs="宋体"/>
          <w:color w:val="auto"/>
          <w:sz w:val="24"/>
          <w:highlight w:val="none"/>
          <w:lang w:eastAsia="zh-CN"/>
        </w:rPr>
        <w:t>）</w:t>
      </w:r>
    </w:p>
    <w:p w14:paraId="7D08FEE6">
      <w:pPr>
        <w:pageBreakBefore w:val="0"/>
        <w:kinsoku/>
        <w:overflowPunct/>
        <w:topLinePunct w:val="0"/>
        <w:bidi w:val="0"/>
        <w:spacing w:line="440" w:lineRule="exact"/>
        <w:rPr>
          <w:rFonts w:hint="eastAsia" w:ascii="宋体" w:hAnsi="宋体" w:eastAsia="宋体" w:cs="宋体"/>
          <w:b/>
          <w:bCs/>
          <w:highlight w:val="none"/>
          <w:lang w:val="en-US" w:eastAsia="zh-CN"/>
        </w:rPr>
      </w:pPr>
      <w:r>
        <w:rPr>
          <w:rFonts w:hint="eastAsia" w:ascii="宋体" w:hAnsi="宋体" w:eastAsia="宋体" w:cs="宋体"/>
          <w:highlight w:val="none"/>
        </w:rPr>
        <w:t xml:space="preserve">      </w:t>
      </w:r>
    </w:p>
    <w:p w14:paraId="607A9F3D">
      <w:pPr>
        <w:tabs>
          <w:tab w:val="left" w:pos="2969"/>
        </w:tabs>
        <w:spacing w:before="68"/>
        <w:ind w:left="107"/>
        <w:jc w:val="center"/>
        <w:rPr>
          <w:rStyle w:val="34"/>
          <w:rFonts w:ascii="宋体" w:hAnsi="宋体"/>
          <w:b/>
          <w:sz w:val="32"/>
          <w:szCs w:val="32"/>
          <w:highlight w:val="none"/>
        </w:rPr>
      </w:pPr>
      <w:r>
        <w:rPr>
          <w:rStyle w:val="34"/>
          <w:rFonts w:ascii="宋体" w:hAnsi="宋体"/>
          <w:b/>
          <w:sz w:val="32"/>
          <w:szCs w:val="32"/>
          <w:highlight w:val="none"/>
          <w:u w:val="single"/>
        </w:rPr>
        <w:t xml:space="preserve"> </w:t>
      </w:r>
      <w:r>
        <w:rPr>
          <w:rStyle w:val="34"/>
          <w:rFonts w:ascii="宋体" w:hAnsi="宋体"/>
          <w:b/>
          <w:sz w:val="32"/>
          <w:szCs w:val="32"/>
          <w:highlight w:val="none"/>
          <w:u w:val="single"/>
        </w:rPr>
        <w:tab/>
      </w:r>
      <w:r>
        <w:rPr>
          <w:rStyle w:val="34"/>
          <w:rFonts w:ascii="宋体" w:hAnsi="宋体"/>
          <w:b/>
          <w:sz w:val="32"/>
          <w:szCs w:val="32"/>
          <w:highlight w:val="none"/>
        </w:rPr>
        <w:t>政府采购</w:t>
      </w:r>
    </w:p>
    <w:p w14:paraId="6F64DEAB">
      <w:pPr>
        <w:pStyle w:val="41"/>
        <w:rPr>
          <w:rStyle w:val="34"/>
          <w:sz w:val="24"/>
          <w:szCs w:val="24"/>
          <w:highlight w:val="none"/>
        </w:rPr>
      </w:pPr>
    </w:p>
    <w:p w14:paraId="22A9B558">
      <w:pPr>
        <w:spacing w:line="200" w:lineRule="exact"/>
        <w:jc w:val="left"/>
        <w:rPr>
          <w:rStyle w:val="34"/>
          <w:rFonts w:ascii="宋体" w:hAnsi="宋体"/>
          <w:sz w:val="16"/>
          <w:szCs w:val="16"/>
          <w:highlight w:val="none"/>
        </w:rPr>
      </w:pPr>
    </w:p>
    <w:p w14:paraId="2FD35551">
      <w:pPr>
        <w:spacing w:line="200" w:lineRule="exact"/>
        <w:jc w:val="left"/>
        <w:rPr>
          <w:rStyle w:val="34"/>
          <w:rFonts w:ascii="宋体" w:hAnsi="宋体"/>
          <w:sz w:val="16"/>
          <w:szCs w:val="16"/>
          <w:highlight w:val="none"/>
        </w:rPr>
      </w:pPr>
    </w:p>
    <w:p w14:paraId="27C02A76">
      <w:pPr>
        <w:spacing w:before="199"/>
        <w:ind w:left="2665" w:right="2559"/>
        <w:jc w:val="center"/>
        <w:rPr>
          <w:rStyle w:val="34"/>
          <w:rFonts w:hint="eastAsia" w:ascii="宋体" w:hAnsi="宋体"/>
          <w:b/>
          <w:sz w:val="44"/>
          <w:szCs w:val="44"/>
          <w:highlight w:val="none"/>
          <w:lang w:val="en-US" w:eastAsia="zh-CN"/>
        </w:rPr>
      </w:pPr>
      <w:r>
        <w:rPr>
          <w:rStyle w:val="34"/>
          <w:rFonts w:hint="eastAsia" w:ascii="宋体" w:hAnsi="宋体"/>
          <w:b/>
          <w:sz w:val="44"/>
          <w:szCs w:val="44"/>
          <w:highlight w:val="none"/>
          <w:lang w:val="en-US" w:eastAsia="zh-CN"/>
        </w:rPr>
        <w:t>合 同 书</w:t>
      </w:r>
    </w:p>
    <w:p w14:paraId="1DA293F5">
      <w:pPr>
        <w:spacing w:before="199"/>
        <w:ind w:left="2665" w:right="2559"/>
        <w:jc w:val="center"/>
        <w:rPr>
          <w:rStyle w:val="34"/>
          <w:rFonts w:ascii="宋体" w:hAnsi="宋体"/>
          <w:b/>
          <w:sz w:val="24"/>
          <w:szCs w:val="21"/>
          <w:highlight w:val="none"/>
        </w:rPr>
      </w:pPr>
      <w:r>
        <w:rPr>
          <w:rStyle w:val="34"/>
          <w:rFonts w:ascii="宋体" w:hAnsi="宋体"/>
          <w:b/>
          <w:sz w:val="24"/>
          <w:szCs w:val="21"/>
          <w:highlight w:val="none"/>
        </w:rPr>
        <w:t>（服务类）</w:t>
      </w:r>
    </w:p>
    <w:p w14:paraId="57552161">
      <w:pPr>
        <w:pStyle w:val="42"/>
        <w:spacing w:before="1"/>
        <w:rPr>
          <w:rStyle w:val="34"/>
          <w:rFonts w:ascii="宋体" w:hAnsi="宋体"/>
          <w:b/>
          <w:sz w:val="24"/>
          <w:szCs w:val="22"/>
          <w:highlight w:val="none"/>
        </w:rPr>
      </w:pPr>
    </w:p>
    <w:p w14:paraId="24D9FACF">
      <w:pPr>
        <w:spacing w:before="1"/>
        <w:ind w:left="1687"/>
        <w:jc w:val="left"/>
        <w:rPr>
          <w:rStyle w:val="34"/>
          <w:rFonts w:ascii="宋体" w:hAnsi="宋体"/>
          <w:b/>
          <w:w w:val="95"/>
          <w:sz w:val="24"/>
          <w:szCs w:val="21"/>
          <w:highlight w:val="none"/>
        </w:rPr>
      </w:pPr>
    </w:p>
    <w:p w14:paraId="57286ABB">
      <w:pPr>
        <w:spacing w:before="1"/>
        <w:ind w:left="1687"/>
        <w:jc w:val="left"/>
        <w:rPr>
          <w:rStyle w:val="34"/>
          <w:rFonts w:ascii="宋体" w:hAnsi="宋体"/>
          <w:b/>
          <w:w w:val="95"/>
          <w:sz w:val="24"/>
          <w:szCs w:val="21"/>
          <w:highlight w:val="none"/>
        </w:rPr>
      </w:pPr>
    </w:p>
    <w:p w14:paraId="0545E6A5">
      <w:pPr>
        <w:spacing w:before="1"/>
        <w:ind w:left="1687"/>
        <w:jc w:val="left"/>
        <w:rPr>
          <w:rStyle w:val="34"/>
          <w:rFonts w:ascii="宋体" w:hAnsi="宋体"/>
          <w:b/>
          <w:w w:val="95"/>
          <w:sz w:val="24"/>
          <w:szCs w:val="21"/>
          <w:highlight w:val="none"/>
        </w:rPr>
      </w:pPr>
    </w:p>
    <w:p w14:paraId="3AF624F9">
      <w:pPr>
        <w:spacing w:before="1"/>
        <w:ind w:left="1687"/>
        <w:jc w:val="left"/>
        <w:rPr>
          <w:rStyle w:val="34"/>
          <w:rFonts w:ascii="宋体" w:hAnsi="宋体"/>
          <w:b/>
          <w:w w:val="95"/>
          <w:sz w:val="24"/>
          <w:szCs w:val="21"/>
          <w:highlight w:val="none"/>
        </w:rPr>
      </w:pPr>
    </w:p>
    <w:p w14:paraId="2D7D3A57">
      <w:pPr>
        <w:spacing w:before="1"/>
        <w:ind w:left="1687"/>
        <w:jc w:val="left"/>
        <w:rPr>
          <w:rStyle w:val="34"/>
          <w:rFonts w:ascii="宋体" w:hAnsi="宋体"/>
          <w:b/>
          <w:w w:val="95"/>
          <w:sz w:val="24"/>
          <w:szCs w:val="21"/>
          <w:highlight w:val="none"/>
        </w:rPr>
      </w:pPr>
    </w:p>
    <w:p w14:paraId="004ACDE3">
      <w:pPr>
        <w:spacing w:before="1"/>
        <w:ind w:left="1687"/>
        <w:jc w:val="left"/>
        <w:rPr>
          <w:rStyle w:val="34"/>
          <w:rFonts w:ascii="宋体" w:hAnsi="宋体"/>
          <w:b/>
          <w:w w:val="95"/>
          <w:sz w:val="24"/>
          <w:szCs w:val="21"/>
          <w:highlight w:val="none"/>
        </w:rPr>
      </w:pPr>
    </w:p>
    <w:p w14:paraId="03FBDE3D">
      <w:pPr>
        <w:spacing w:before="1"/>
        <w:ind w:left="1687"/>
        <w:jc w:val="left"/>
        <w:rPr>
          <w:rStyle w:val="34"/>
          <w:rFonts w:ascii="宋体" w:hAnsi="宋体"/>
          <w:b/>
          <w:w w:val="95"/>
          <w:sz w:val="24"/>
          <w:szCs w:val="21"/>
          <w:highlight w:val="none"/>
        </w:rPr>
      </w:pPr>
    </w:p>
    <w:p w14:paraId="2659D2BB">
      <w:pPr>
        <w:spacing w:before="1"/>
        <w:ind w:left="1687"/>
        <w:jc w:val="left"/>
        <w:rPr>
          <w:rStyle w:val="34"/>
          <w:rFonts w:ascii="宋体" w:hAnsi="宋体"/>
          <w:b/>
          <w:sz w:val="24"/>
          <w:szCs w:val="21"/>
          <w:highlight w:val="none"/>
        </w:rPr>
      </w:pPr>
      <w:r>
        <w:rPr>
          <w:rStyle w:val="34"/>
          <w:rFonts w:ascii="宋体" w:hAnsi="宋体"/>
          <w:b/>
          <w:w w:val="95"/>
          <w:sz w:val="24"/>
          <w:szCs w:val="21"/>
          <w:highlight w:val="none"/>
        </w:rPr>
        <w:t>采购编号：</w:t>
      </w:r>
    </w:p>
    <w:p w14:paraId="7F923AC1">
      <w:pPr>
        <w:pStyle w:val="42"/>
        <w:rPr>
          <w:rStyle w:val="34"/>
          <w:rFonts w:ascii="宋体" w:hAnsi="宋体"/>
          <w:b/>
          <w:sz w:val="24"/>
          <w:szCs w:val="22"/>
          <w:highlight w:val="none"/>
        </w:rPr>
      </w:pPr>
    </w:p>
    <w:p w14:paraId="321BA6C4">
      <w:pPr>
        <w:pStyle w:val="42"/>
        <w:spacing w:before="1"/>
        <w:rPr>
          <w:rStyle w:val="34"/>
          <w:rFonts w:ascii="宋体" w:hAnsi="宋体"/>
          <w:b/>
          <w:sz w:val="24"/>
          <w:szCs w:val="22"/>
          <w:highlight w:val="none"/>
        </w:rPr>
      </w:pPr>
    </w:p>
    <w:p w14:paraId="7C689C22">
      <w:pPr>
        <w:ind w:left="1687"/>
        <w:jc w:val="left"/>
        <w:rPr>
          <w:rStyle w:val="34"/>
          <w:rFonts w:ascii="宋体" w:hAnsi="宋体"/>
          <w:b/>
          <w:sz w:val="24"/>
          <w:szCs w:val="21"/>
          <w:highlight w:val="none"/>
        </w:rPr>
      </w:pPr>
      <w:r>
        <w:rPr>
          <w:rStyle w:val="34"/>
          <w:rFonts w:ascii="宋体" w:hAnsi="宋体"/>
          <w:b/>
          <w:w w:val="95"/>
          <w:sz w:val="24"/>
          <w:szCs w:val="21"/>
          <w:highlight w:val="none"/>
        </w:rPr>
        <w:t>项目名称：</w:t>
      </w:r>
    </w:p>
    <w:p w14:paraId="16BA0137">
      <w:pPr>
        <w:pStyle w:val="41"/>
        <w:rPr>
          <w:rStyle w:val="34"/>
          <w:sz w:val="24"/>
          <w:szCs w:val="24"/>
          <w:highlight w:val="none"/>
        </w:rPr>
      </w:pPr>
    </w:p>
    <w:p w14:paraId="33A0997C">
      <w:pPr>
        <w:spacing w:line="200" w:lineRule="exact"/>
        <w:jc w:val="left"/>
        <w:rPr>
          <w:rStyle w:val="34"/>
          <w:rFonts w:ascii="宋体" w:hAnsi="宋体"/>
          <w:sz w:val="20"/>
          <w:szCs w:val="20"/>
          <w:highlight w:val="none"/>
        </w:rPr>
      </w:pPr>
    </w:p>
    <w:p w14:paraId="2F44C6D6">
      <w:pPr>
        <w:spacing w:line="200" w:lineRule="exact"/>
        <w:jc w:val="left"/>
        <w:rPr>
          <w:rStyle w:val="34"/>
          <w:rFonts w:ascii="宋体" w:hAnsi="宋体"/>
          <w:sz w:val="20"/>
          <w:szCs w:val="20"/>
          <w:highlight w:val="none"/>
        </w:rPr>
      </w:pPr>
    </w:p>
    <w:p w14:paraId="1B2E0139">
      <w:pPr>
        <w:spacing w:line="200" w:lineRule="exact"/>
        <w:jc w:val="left"/>
        <w:rPr>
          <w:rStyle w:val="34"/>
          <w:rFonts w:ascii="宋体" w:hAnsi="宋体"/>
          <w:sz w:val="20"/>
          <w:szCs w:val="20"/>
          <w:highlight w:val="none"/>
        </w:rPr>
      </w:pPr>
    </w:p>
    <w:p w14:paraId="18F127C1">
      <w:pPr>
        <w:spacing w:line="200" w:lineRule="exact"/>
        <w:jc w:val="left"/>
        <w:rPr>
          <w:rStyle w:val="34"/>
          <w:rFonts w:ascii="宋体" w:hAnsi="宋体"/>
          <w:sz w:val="20"/>
          <w:szCs w:val="20"/>
          <w:highlight w:val="none"/>
        </w:rPr>
      </w:pPr>
    </w:p>
    <w:p w14:paraId="7A6CE25E">
      <w:pPr>
        <w:spacing w:line="200" w:lineRule="exact"/>
        <w:jc w:val="left"/>
        <w:rPr>
          <w:rStyle w:val="34"/>
          <w:rFonts w:ascii="宋体" w:hAnsi="宋体"/>
          <w:sz w:val="20"/>
          <w:szCs w:val="20"/>
          <w:highlight w:val="none"/>
        </w:rPr>
      </w:pPr>
    </w:p>
    <w:p w14:paraId="5E6B3AB7">
      <w:pPr>
        <w:spacing w:line="200" w:lineRule="exact"/>
        <w:jc w:val="left"/>
        <w:rPr>
          <w:rStyle w:val="34"/>
          <w:rFonts w:ascii="宋体" w:hAnsi="宋体"/>
          <w:sz w:val="20"/>
          <w:szCs w:val="20"/>
          <w:highlight w:val="none"/>
        </w:rPr>
      </w:pPr>
    </w:p>
    <w:p w14:paraId="181246C2">
      <w:pPr>
        <w:spacing w:line="200" w:lineRule="exact"/>
        <w:jc w:val="left"/>
        <w:rPr>
          <w:rStyle w:val="34"/>
          <w:rFonts w:ascii="宋体" w:hAnsi="宋体"/>
          <w:sz w:val="20"/>
          <w:szCs w:val="20"/>
          <w:highlight w:val="none"/>
        </w:rPr>
      </w:pPr>
    </w:p>
    <w:p w14:paraId="33E58AD2">
      <w:pPr>
        <w:spacing w:before="1" w:line="364" w:lineRule="auto"/>
        <w:ind w:left="518" w:right="-22"/>
        <w:jc w:val="left"/>
        <w:rPr>
          <w:rStyle w:val="34"/>
          <w:rFonts w:ascii="宋体" w:hAnsi="宋体"/>
          <w:spacing w:val="-1"/>
          <w:highlight w:val="none"/>
        </w:rPr>
      </w:pPr>
    </w:p>
    <w:p w14:paraId="432B3C1D">
      <w:pPr>
        <w:spacing w:before="1" w:line="364" w:lineRule="auto"/>
        <w:ind w:left="518" w:right="-22"/>
        <w:jc w:val="left"/>
        <w:rPr>
          <w:rStyle w:val="34"/>
          <w:rFonts w:ascii="宋体" w:hAnsi="宋体"/>
          <w:spacing w:val="-1"/>
          <w:highlight w:val="none"/>
        </w:rPr>
      </w:pPr>
    </w:p>
    <w:p w14:paraId="6A94D587">
      <w:pPr>
        <w:pStyle w:val="43"/>
        <w:widowControl w:val="0"/>
        <w:numPr>
          <w:ilvl w:val="0"/>
          <w:numId w:val="0"/>
        </w:numPr>
        <w:spacing w:line="360" w:lineRule="auto"/>
        <w:jc w:val="both"/>
        <w:rPr>
          <w:rStyle w:val="34"/>
          <w:rFonts w:ascii="宋体" w:hAnsi="宋体"/>
          <w:spacing w:val="-1"/>
          <w:highlight w:val="none"/>
        </w:rPr>
      </w:pPr>
    </w:p>
    <w:p w14:paraId="16F5FA92">
      <w:pPr>
        <w:pStyle w:val="43"/>
        <w:widowControl w:val="0"/>
        <w:numPr>
          <w:ilvl w:val="0"/>
          <w:numId w:val="0"/>
        </w:numPr>
        <w:spacing w:line="360" w:lineRule="auto"/>
        <w:jc w:val="both"/>
        <w:rPr>
          <w:rStyle w:val="34"/>
          <w:rFonts w:ascii="宋体" w:hAnsi="宋体"/>
          <w:spacing w:val="-1"/>
          <w:highlight w:val="none"/>
        </w:rPr>
      </w:pPr>
    </w:p>
    <w:p w14:paraId="7B278891">
      <w:pPr>
        <w:spacing w:before="1" w:line="364" w:lineRule="auto"/>
        <w:ind w:left="518" w:right="-22"/>
        <w:jc w:val="left"/>
        <w:rPr>
          <w:rStyle w:val="34"/>
          <w:rFonts w:ascii="宋体" w:hAnsi="宋体"/>
          <w:spacing w:val="-1"/>
          <w:highlight w:val="none"/>
        </w:rPr>
      </w:pPr>
    </w:p>
    <w:p w14:paraId="34BC1D9C">
      <w:pPr>
        <w:pageBreakBefore w:val="0"/>
        <w:widowControl/>
        <w:kinsoku/>
        <w:wordWrap/>
        <w:overflowPunct/>
        <w:topLinePunct w:val="0"/>
        <w:autoSpaceDE/>
        <w:autoSpaceDN/>
        <w:bidi w:val="0"/>
        <w:adjustRightInd/>
        <w:snapToGrid/>
        <w:spacing w:line="360" w:lineRule="auto"/>
        <w:ind w:left="518" w:right="-22"/>
        <w:jc w:val="left"/>
        <w:textAlignment w:val="baseline"/>
        <w:rPr>
          <w:rStyle w:val="34"/>
          <w:rFonts w:ascii="宋体" w:hAnsi="宋体"/>
          <w:spacing w:val="-1"/>
          <w:highlight w:val="none"/>
        </w:rPr>
      </w:pPr>
      <w:r>
        <w:rPr>
          <w:rStyle w:val="34"/>
          <w:rFonts w:ascii="宋体" w:hAnsi="宋体"/>
          <w:spacing w:val="-1"/>
          <w:highlight w:val="none"/>
        </w:rPr>
        <w:t>注：本合同仅为合同的参考文本，合同签订双方可根据项目的具体要求进行修订。</w:t>
      </w:r>
    </w:p>
    <w:p w14:paraId="6D9D5AA7">
      <w:pPr>
        <w:pageBreakBefore w:val="0"/>
        <w:widowControl/>
        <w:kinsoku/>
        <w:wordWrap/>
        <w:overflowPunct/>
        <w:topLinePunct w:val="0"/>
        <w:autoSpaceDE/>
        <w:autoSpaceDN/>
        <w:bidi w:val="0"/>
        <w:adjustRightInd/>
        <w:snapToGrid/>
        <w:spacing w:line="360" w:lineRule="auto"/>
        <w:ind w:left="518" w:right="-22" w:firstLine="420" w:firstLineChars="200"/>
        <w:jc w:val="left"/>
        <w:textAlignment w:val="baseline"/>
        <w:rPr>
          <w:rStyle w:val="34"/>
          <w:rFonts w:hint="default" w:ascii="宋体" w:hAnsi="宋体" w:eastAsia="宋体"/>
          <w:highlight w:val="none"/>
          <w:u w:val="single"/>
          <w:lang w:val="en-US" w:eastAsia="zh-CN"/>
        </w:rPr>
      </w:pPr>
      <w:r>
        <w:rPr>
          <w:rStyle w:val="34"/>
          <w:rFonts w:ascii="宋体" w:hAnsi="宋体"/>
          <w:highlight w:val="none"/>
        </w:rPr>
        <w:t>甲方（采购人）：</w:t>
      </w:r>
      <w:r>
        <w:rPr>
          <w:rStyle w:val="34"/>
          <w:rFonts w:hint="eastAsia" w:ascii="宋体" w:hAnsi="宋体"/>
          <w:highlight w:val="none"/>
          <w:u w:val="single"/>
          <w:lang w:val="en-US" w:eastAsia="zh-CN"/>
        </w:rPr>
        <w:t xml:space="preserve">                            </w:t>
      </w:r>
    </w:p>
    <w:p w14:paraId="344B7199">
      <w:pPr>
        <w:pageBreakBefore w:val="0"/>
        <w:widowControl/>
        <w:kinsoku/>
        <w:wordWrap/>
        <w:overflowPunct/>
        <w:topLinePunct w:val="0"/>
        <w:autoSpaceDE/>
        <w:autoSpaceDN/>
        <w:bidi w:val="0"/>
        <w:adjustRightInd/>
        <w:snapToGrid/>
        <w:spacing w:line="360" w:lineRule="auto"/>
        <w:ind w:left="518" w:firstLine="420" w:firstLineChars="200"/>
        <w:jc w:val="left"/>
        <w:textAlignment w:val="baseline"/>
        <w:rPr>
          <w:rStyle w:val="34"/>
          <w:rFonts w:hint="default" w:ascii="宋体" w:hAnsi="宋体" w:eastAsia="宋体"/>
          <w:highlight w:val="none"/>
          <w:u w:val="single"/>
          <w:lang w:val="en-US" w:eastAsia="zh-CN"/>
        </w:rPr>
      </w:pPr>
      <w:r>
        <w:rPr>
          <w:rStyle w:val="34"/>
          <w:rFonts w:ascii="宋体" w:hAnsi="宋体"/>
          <w:highlight w:val="none"/>
        </w:rPr>
        <w:t>乙方（中标人）：</w:t>
      </w:r>
      <w:r>
        <w:rPr>
          <w:rStyle w:val="34"/>
          <w:rFonts w:hint="eastAsia" w:ascii="宋体" w:hAnsi="宋体"/>
          <w:highlight w:val="none"/>
          <w:u w:val="single"/>
          <w:lang w:val="en-US" w:eastAsia="zh-CN"/>
        </w:rPr>
        <w:t xml:space="preserve">                            </w:t>
      </w:r>
    </w:p>
    <w:p w14:paraId="68A7A3EF">
      <w:pPr>
        <w:pStyle w:val="41"/>
        <w:pageBreakBefore w:val="0"/>
        <w:widowControl/>
        <w:kinsoku/>
        <w:wordWrap/>
        <w:overflowPunct/>
        <w:topLinePunct w:val="0"/>
        <w:autoSpaceDE/>
        <w:autoSpaceDN/>
        <w:bidi w:val="0"/>
        <w:adjustRightInd/>
        <w:snapToGrid/>
        <w:spacing w:before="0" w:after="0" w:line="360" w:lineRule="auto"/>
        <w:ind w:left="420" w:leftChars="200" w:firstLine="420" w:firstLineChars="200"/>
        <w:textAlignment w:val="baseline"/>
        <w:rPr>
          <w:rStyle w:val="34"/>
          <w:rFonts w:ascii="宋体" w:hAnsi="宋体" w:eastAsia="宋体"/>
          <w:b w:val="0"/>
          <w:bCs w:val="0"/>
          <w:sz w:val="21"/>
          <w:highlight w:val="none"/>
        </w:rPr>
      </w:pPr>
      <w:r>
        <w:rPr>
          <w:rStyle w:val="34"/>
          <w:rFonts w:ascii="宋体" w:hAnsi="宋体" w:eastAsia="宋体"/>
          <w:b w:val="0"/>
          <w:bCs w:val="0"/>
          <w:sz w:val="21"/>
          <w:highlight w:val="none"/>
        </w:rPr>
        <w:t>根</w:t>
      </w:r>
      <w:r>
        <w:rPr>
          <w:rStyle w:val="34"/>
          <w:rFonts w:ascii="宋体" w:hAnsi="宋体" w:eastAsia="宋体"/>
          <w:b w:val="0"/>
          <w:bCs w:val="0"/>
          <w:spacing w:val="-8"/>
          <w:sz w:val="21"/>
          <w:highlight w:val="none"/>
        </w:rPr>
        <w:t>据</w:t>
      </w:r>
      <w:r>
        <w:rPr>
          <w:rStyle w:val="34"/>
          <w:rFonts w:ascii="宋体" w:hAnsi="宋体" w:eastAsia="宋体"/>
          <w:b w:val="0"/>
          <w:bCs w:val="0"/>
          <w:sz w:val="21"/>
          <w:highlight w:val="none"/>
        </w:rPr>
        <w:t>《中华人民共和国合同法</w:t>
      </w:r>
      <w:r>
        <w:rPr>
          <w:rStyle w:val="34"/>
          <w:rFonts w:ascii="宋体" w:hAnsi="宋体" w:eastAsia="宋体"/>
          <w:b w:val="0"/>
          <w:bCs w:val="0"/>
          <w:spacing w:val="-8"/>
          <w:sz w:val="21"/>
          <w:highlight w:val="none"/>
        </w:rPr>
        <w:t>》</w:t>
      </w:r>
      <w:r>
        <w:rPr>
          <w:rStyle w:val="34"/>
          <w:rFonts w:ascii="宋体" w:hAnsi="宋体" w:eastAsia="宋体"/>
          <w:b w:val="0"/>
          <w:bCs w:val="0"/>
          <w:spacing w:val="-15"/>
          <w:sz w:val="21"/>
          <w:highlight w:val="none"/>
        </w:rPr>
        <w:t>、</w:t>
      </w:r>
      <w:r>
        <w:rPr>
          <w:rStyle w:val="34"/>
          <w:rFonts w:ascii="宋体" w:hAnsi="宋体" w:eastAsia="宋体"/>
          <w:b w:val="0"/>
          <w:bCs w:val="0"/>
          <w:sz w:val="21"/>
          <w:highlight w:val="none"/>
        </w:rPr>
        <w:t>《中华人民共和国政府采购法</w:t>
      </w:r>
      <w:r>
        <w:rPr>
          <w:rStyle w:val="34"/>
          <w:rFonts w:ascii="宋体" w:hAnsi="宋体" w:eastAsia="宋体"/>
          <w:b w:val="0"/>
          <w:bCs w:val="0"/>
          <w:spacing w:val="-8"/>
          <w:sz w:val="21"/>
          <w:highlight w:val="none"/>
        </w:rPr>
        <w:t>》</w:t>
      </w:r>
      <w:r>
        <w:rPr>
          <w:rStyle w:val="34"/>
          <w:rFonts w:ascii="宋体" w:hAnsi="宋体" w:eastAsia="宋体"/>
          <w:b w:val="0"/>
          <w:bCs w:val="0"/>
          <w:sz w:val="21"/>
          <w:highlight w:val="none"/>
        </w:rPr>
        <w:t>及</w:t>
      </w:r>
      <w:r>
        <w:rPr>
          <w:rStyle w:val="34"/>
          <w:rFonts w:ascii="宋体" w:hAnsi="宋体" w:eastAsia="宋体"/>
          <w:b w:val="0"/>
          <w:bCs w:val="0"/>
          <w:spacing w:val="-27"/>
          <w:sz w:val="21"/>
          <w:highlight w:val="none"/>
        </w:rPr>
        <w:t xml:space="preserve"> </w:t>
      </w:r>
      <w:r>
        <w:rPr>
          <w:rStyle w:val="34"/>
          <w:rFonts w:ascii="宋体" w:hAnsi="宋体" w:eastAsia="宋体"/>
          <w:b w:val="0"/>
          <w:bCs w:val="0"/>
          <w:sz w:val="21"/>
          <w:highlight w:val="none"/>
        </w:rPr>
        <w:t>“</w:t>
      </w:r>
      <w:r>
        <w:rPr>
          <w:rStyle w:val="34"/>
          <w:rFonts w:hint="eastAsia" w:ascii="宋体" w:hAnsi="宋体" w:eastAsia="宋体"/>
          <w:b w:val="0"/>
          <w:bCs w:val="0"/>
          <w:sz w:val="21"/>
          <w:highlight w:val="none"/>
          <w:lang w:eastAsia="zh-CN"/>
        </w:rPr>
        <w:t>敦化市公安局食堂用工及服务人员采购项目</w:t>
      </w:r>
      <w:r>
        <w:rPr>
          <w:rStyle w:val="34"/>
          <w:rFonts w:ascii="宋体" w:hAnsi="宋体" w:eastAsia="宋体"/>
          <w:b w:val="0"/>
          <w:bCs w:val="0"/>
          <w:sz w:val="21"/>
          <w:highlight w:val="none"/>
        </w:rPr>
        <w:t>”（项目编号：</w:t>
      </w:r>
      <w:r>
        <w:rPr>
          <w:rStyle w:val="34"/>
          <w:rFonts w:hint="eastAsia" w:ascii="宋体" w:hAnsi="宋体" w:eastAsia="宋体"/>
          <w:b w:val="0"/>
          <w:bCs w:val="0"/>
          <w:sz w:val="21"/>
          <w:highlight w:val="none"/>
          <w:u w:val="single"/>
          <w:lang w:val="en-US" w:eastAsia="zh-CN"/>
        </w:rPr>
        <w:t xml:space="preserve">          </w:t>
      </w:r>
      <w:r>
        <w:rPr>
          <w:rStyle w:val="34"/>
          <w:rFonts w:ascii="宋体" w:hAnsi="宋体" w:eastAsia="宋体"/>
          <w:b w:val="0"/>
          <w:bCs w:val="0"/>
          <w:sz w:val="21"/>
          <w:highlight w:val="none"/>
        </w:rPr>
        <w:t>）招标文件的要求和招标结果，经甲乙双方协商一致，签订本合同。</w:t>
      </w:r>
    </w:p>
    <w:p w14:paraId="6B3371C0">
      <w:pPr>
        <w:pageBreakBefore w:val="0"/>
        <w:widowControl/>
        <w:kinsoku/>
        <w:wordWrap/>
        <w:overflowPunct/>
        <w:topLinePunct w:val="0"/>
        <w:autoSpaceDE/>
        <w:autoSpaceDN/>
        <w:bidi w:val="0"/>
        <w:adjustRightInd/>
        <w:snapToGrid/>
        <w:spacing w:line="360" w:lineRule="auto"/>
        <w:ind w:left="518"/>
        <w:jc w:val="left"/>
        <w:textAlignment w:val="baseline"/>
        <w:rPr>
          <w:rStyle w:val="34"/>
          <w:rFonts w:ascii="宋体" w:hAnsi="宋体"/>
          <w:b/>
          <w:highlight w:val="none"/>
        </w:rPr>
      </w:pPr>
      <w:r>
        <w:rPr>
          <w:rStyle w:val="34"/>
          <w:rFonts w:ascii="宋体" w:hAnsi="宋体"/>
          <w:b/>
          <w:highlight w:val="none"/>
        </w:rPr>
        <w:t>第一条 服务内容、依据及工作要求</w:t>
      </w:r>
    </w:p>
    <w:p w14:paraId="15213DDA">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34"/>
          <w:rFonts w:ascii="宋体" w:hAnsi="宋体"/>
          <w:highlight w:val="none"/>
        </w:rPr>
      </w:pPr>
      <w:r>
        <w:rPr>
          <w:rStyle w:val="34"/>
          <w:rFonts w:ascii="宋体" w:hAnsi="宋体"/>
          <w:highlight w:val="none"/>
        </w:rPr>
        <w:t>（一）服务研究范围及具体内容</w:t>
      </w:r>
    </w:p>
    <w:p w14:paraId="37E41E4B">
      <w:pPr>
        <w:pageBreakBefore w:val="0"/>
        <w:widowControl/>
        <w:kinsoku/>
        <w:wordWrap/>
        <w:overflowPunct/>
        <w:topLinePunct w:val="0"/>
        <w:autoSpaceDE/>
        <w:autoSpaceDN/>
        <w:bidi w:val="0"/>
        <w:adjustRightInd/>
        <w:snapToGrid/>
        <w:spacing w:line="360" w:lineRule="auto"/>
        <w:ind w:right="410" w:firstLine="776" w:firstLineChars="400"/>
        <w:jc w:val="left"/>
        <w:textAlignment w:val="baseline"/>
        <w:rPr>
          <w:rStyle w:val="34"/>
          <w:rFonts w:ascii="宋体" w:hAnsi="宋体"/>
          <w:highlight w:val="none"/>
        </w:rPr>
      </w:pPr>
      <w:r>
        <w:rPr>
          <w:rStyle w:val="34"/>
          <w:rFonts w:ascii="宋体" w:hAnsi="宋体"/>
          <w:spacing w:val="-8"/>
          <w:highlight w:val="none"/>
        </w:rPr>
        <w:t>乙方通过接受甲方的委托，对本项目进行服务</w:t>
      </w:r>
      <w:r>
        <w:rPr>
          <w:rStyle w:val="34"/>
          <w:rFonts w:ascii="宋体" w:hAnsi="宋体"/>
          <w:highlight w:val="none"/>
        </w:rPr>
        <w:t>。</w:t>
      </w:r>
    </w:p>
    <w:p w14:paraId="0B8E985C">
      <w:pPr>
        <w:pageBreakBefore w:val="0"/>
        <w:widowControl/>
        <w:kinsoku/>
        <w:wordWrap/>
        <w:overflowPunct/>
        <w:topLinePunct w:val="0"/>
        <w:autoSpaceDE/>
        <w:autoSpaceDN/>
        <w:bidi w:val="0"/>
        <w:adjustRightInd/>
        <w:snapToGrid/>
        <w:spacing w:line="360" w:lineRule="auto"/>
        <w:ind w:right="410" w:firstLine="840" w:firstLineChars="400"/>
        <w:jc w:val="left"/>
        <w:textAlignment w:val="baseline"/>
        <w:rPr>
          <w:rStyle w:val="34"/>
          <w:rFonts w:hint="default" w:ascii="宋体" w:hAnsi="宋体" w:cs="Times New Roman"/>
          <w:spacing w:val="0"/>
          <w:sz w:val="21"/>
          <w:highlight w:val="none"/>
          <w:u w:val="single"/>
          <w:lang w:val="en-US" w:eastAsia="zh-CN"/>
        </w:rPr>
      </w:pPr>
      <w:r>
        <w:rPr>
          <w:rStyle w:val="34"/>
          <w:rFonts w:ascii="宋体" w:hAnsi="宋体"/>
          <w:highlight w:val="none"/>
        </w:rPr>
        <w:t>主要包括以下内容：</w:t>
      </w:r>
      <w:r>
        <w:rPr>
          <w:rStyle w:val="34"/>
          <w:rFonts w:hint="eastAsia" w:ascii="宋体" w:hAnsi="宋体"/>
          <w:highlight w:val="none"/>
          <w:lang w:eastAsia="zh-CN"/>
        </w:rPr>
        <w:t>敦化市公安局食堂用工及服务人员采购项目</w:t>
      </w:r>
      <w:r>
        <w:rPr>
          <w:rStyle w:val="34"/>
          <w:rFonts w:hint="eastAsia" w:ascii="宋体" w:hAnsi="宋体" w:cs="Times New Roman"/>
          <w:spacing w:val="0"/>
          <w:sz w:val="21"/>
          <w:highlight w:val="none"/>
          <w:u w:val="none"/>
          <w:lang w:val="en-US" w:eastAsia="zh-CN"/>
        </w:rPr>
        <w:t>。</w:t>
      </w:r>
    </w:p>
    <w:p w14:paraId="7263434D">
      <w:pPr>
        <w:pageBreakBefore w:val="0"/>
        <w:widowControl/>
        <w:numPr>
          <w:ilvl w:val="0"/>
          <w:numId w:val="7"/>
        </w:numPr>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服务依据</w:t>
      </w:r>
    </w:p>
    <w:p w14:paraId="65391C3D">
      <w:pPr>
        <w:pageBreakBefore w:val="0"/>
        <w:widowControl/>
        <w:kinsoku/>
        <w:wordWrap/>
        <w:overflowPunct/>
        <w:topLinePunct w:val="0"/>
        <w:autoSpaceDE/>
        <w:autoSpaceDN/>
        <w:bidi w:val="0"/>
        <w:adjustRightInd/>
        <w:snapToGrid/>
        <w:spacing w:line="360" w:lineRule="auto"/>
        <w:ind w:left="518" w:right="408" w:firstLine="420"/>
        <w:jc w:val="left"/>
        <w:textAlignment w:val="baseline"/>
        <w:rPr>
          <w:rStyle w:val="34"/>
          <w:rFonts w:ascii="宋体" w:hAnsi="宋体"/>
          <w:highlight w:val="none"/>
        </w:rPr>
      </w:pPr>
      <w:r>
        <w:rPr>
          <w:rStyle w:val="34"/>
          <w:rFonts w:ascii="宋体" w:hAnsi="宋体"/>
          <w:highlight w:val="none"/>
        </w:rPr>
        <w:t>（三）服务成果要求</w:t>
      </w:r>
    </w:p>
    <w:p w14:paraId="17D17630">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提交服务成果时间（或服务期）：</w:t>
      </w:r>
    </w:p>
    <w:p w14:paraId="7B5E967B">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提交服务成果地点（或服务地点）：</w:t>
      </w:r>
    </w:p>
    <w:p w14:paraId="2659285A">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乙方必须按投标文件承诺的服务响应条款向甲方提供服务 ：</w:t>
      </w:r>
    </w:p>
    <w:p w14:paraId="0AD0B6EE">
      <w:pPr>
        <w:pageBreakBefore w:val="0"/>
        <w:widowControl/>
        <w:kinsoku/>
        <w:wordWrap/>
        <w:overflowPunct/>
        <w:topLinePunct w:val="0"/>
        <w:autoSpaceDE/>
        <w:autoSpaceDN/>
        <w:bidi w:val="0"/>
        <w:adjustRightInd/>
        <w:snapToGrid/>
        <w:spacing w:line="360" w:lineRule="auto"/>
        <w:ind w:left="940"/>
        <w:jc w:val="left"/>
        <w:textAlignment w:val="baseline"/>
        <w:rPr>
          <w:rStyle w:val="34"/>
          <w:rFonts w:ascii="宋体" w:hAnsi="宋体"/>
          <w:b/>
          <w:highlight w:val="none"/>
        </w:rPr>
      </w:pPr>
      <w:r>
        <w:rPr>
          <w:rStyle w:val="34"/>
          <w:rFonts w:ascii="宋体" w:hAnsi="宋体"/>
          <w:b/>
          <w:highlight w:val="none"/>
        </w:rPr>
        <w:t>第二条 服务要求</w:t>
      </w:r>
    </w:p>
    <w:p w14:paraId="7281C7C9">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（一）完成时间</w:t>
      </w:r>
    </w:p>
    <w:p w14:paraId="27CB6FB6">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hint="eastAsia" w:ascii="宋体" w:hAnsi="宋体"/>
          <w:highlight w:val="none"/>
        </w:rPr>
        <w:t>合同签订之日起</w:t>
      </w:r>
      <w:r>
        <w:rPr>
          <w:rStyle w:val="34"/>
          <w:rFonts w:hint="eastAsia" w:ascii="宋体" w:hAnsi="宋体"/>
          <w:highlight w:val="none"/>
          <w:lang w:val="en-US" w:eastAsia="zh-CN"/>
        </w:rPr>
        <w:t>3年</w:t>
      </w:r>
      <w:r>
        <w:rPr>
          <w:rStyle w:val="34"/>
          <w:rFonts w:ascii="宋体" w:hAnsi="宋体"/>
          <w:highlight w:val="none"/>
        </w:rPr>
        <w:t>。</w:t>
      </w:r>
    </w:p>
    <w:p w14:paraId="4B7822D5">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（二）乙方必须能够满足甲方24小时的服务要求。</w:t>
      </w:r>
    </w:p>
    <w:p w14:paraId="6EA78B76">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（三）乙方不得将甲方委托的业务转包第三方（或个人），否则甲方有权取消其中标资格。</w:t>
      </w:r>
    </w:p>
    <w:p w14:paraId="58F5C68D">
      <w:pPr>
        <w:pageBreakBefore w:val="0"/>
        <w:widowControl/>
        <w:kinsoku/>
        <w:wordWrap/>
        <w:overflowPunct/>
        <w:topLinePunct w:val="0"/>
        <w:autoSpaceDE/>
        <w:autoSpaceDN/>
        <w:bidi w:val="0"/>
        <w:adjustRightInd/>
        <w:snapToGrid/>
        <w:spacing w:line="360" w:lineRule="auto"/>
        <w:ind w:left="940" w:right="945" w:hanging="3"/>
        <w:jc w:val="left"/>
        <w:textAlignment w:val="baseline"/>
        <w:rPr>
          <w:rStyle w:val="34"/>
          <w:rFonts w:ascii="宋体" w:hAnsi="宋体"/>
          <w:b/>
          <w:highlight w:val="none"/>
        </w:rPr>
      </w:pPr>
      <w:r>
        <w:rPr>
          <w:rStyle w:val="34"/>
          <w:rFonts w:ascii="宋体" w:hAnsi="宋体"/>
          <w:b/>
          <w:highlight w:val="none"/>
        </w:rPr>
        <w:t>第三条 服务项目合同价格及付款方式</w:t>
      </w:r>
    </w:p>
    <w:p w14:paraId="0221857F">
      <w:pPr>
        <w:pageBreakBefore w:val="0"/>
        <w:widowControl/>
        <w:kinsoku/>
        <w:wordWrap/>
        <w:overflowPunct/>
        <w:topLinePunct w:val="0"/>
        <w:autoSpaceDE/>
        <w:autoSpaceDN/>
        <w:bidi w:val="0"/>
        <w:adjustRightInd/>
        <w:snapToGrid/>
        <w:spacing w:line="360" w:lineRule="auto"/>
        <w:ind w:left="938"/>
        <w:jc w:val="left"/>
        <w:textAlignment w:val="baseline"/>
        <w:rPr>
          <w:rStyle w:val="34"/>
          <w:rFonts w:hint="default" w:ascii="宋体" w:hAnsi="宋体" w:eastAsia="宋体"/>
          <w:highlight w:val="none"/>
          <w:lang w:val="en-US" w:eastAsia="zh-CN"/>
        </w:rPr>
      </w:pPr>
      <w:r>
        <w:rPr>
          <w:rStyle w:val="34"/>
          <w:rFonts w:ascii="宋体" w:hAnsi="宋体"/>
          <w:highlight w:val="none"/>
        </w:rPr>
        <w:t>（一）</w:t>
      </w:r>
      <w:r>
        <w:rPr>
          <w:rStyle w:val="34"/>
          <w:rFonts w:hint="eastAsia" w:ascii="宋体" w:hAnsi="宋体"/>
          <w:highlight w:val="none"/>
          <w:lang w:val="en-US" w:eastAsia="zh-CN"/>
        </w:rPr>
        <w:t>合同方式：总价合同</w:t>
      </w:r>
    </w:p>
    <w:p w14:paraId="5F046903">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hint="eastAsia" w:ascii="宋体" w:hAnsi="宋体"/>
          <w:highlight w:val="none"/>
          <w:lang w:eastAsia="zh-CN"/>
        </w:rPr>
        <w:t>（</w:t>
      </w:r>
      <w:r>
        <w:rPr>
          <w:rStyle w:val="34"/>
          <w:rFonts w:hint="eastAsia" w:ascii="宋体" w:hAnsi="宋体"/>
          <w:highlight w:val="none"/>
          <w:lang w:val="en-US" w:eastAsia="zh-CN"/>
        </w:rPr>
        <w:t>二</w:t>
      </w:r>
      <w:r>
        <w:rPr>
          <w:rStyle w:val="34"/>
          <w:rFonts w:hint="eastAsia" w:ascii="宋体" w:hAnsi="宋体"/>
          <w:highlight w:val="none"/>
          <w:lang w:eastAsia="zh-CN"/>
        </w:rPr>
        <w:t>）</w:t>
      </w:r>
      <w:r>
        <w:rPr>
          <w:rStyle w:val="34"/>
          <w:rFonts w:ascii="宋体" w:hAnsi="宋体"/>
          <w:highlight w:val="none"/>
        </w:rPr>
        <w:t>合同价格</w:t>
      </w:r>
    </w:p>
    <w:p w14:paraId="5C68FBD8">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本合同金额为（大写）</w:t>
      </w:r>
      <w:r>
        <w:rPr>
          <w:rStyle w:val="34"/>
          <w:rFonts w:hint="eastAsia" w:ascii="宋体" w:hAnsi="宋体"/>
          <w:highlight w:val="none"/>
          <w:u w:val="single"/>
          <w:lang w:val="en-US" w:eastAsia="zh-CN"/>
        </w:rPr>
        <w:t xml:space="preserve">            </w:t>
      </w:r>
      <w:r>
        <w:rPr>
          <w:rStyle w:val="34"/>
          <w:rFonts w:ascii="宋体" w:hAnsi="宋体"/>
          <w:highlight w:val="none"/>
        </w:rPr>
        <w:t>人民币（￥</w:t>
      </w:r>
      <w:r>
        <w:rPr>
          <w:rStyle w:val="34"/>
          <w:rFonts w:ascii="宋体" w:hAnsi="宋体"/>
          <w:highlight w:val="none"/>
          <w:u w:val="single"/>
        </w:rPr>
        <w:t xml:space="preserve">　　　　　　 </w:t>
      </w:r>
      <w:r>
        <w:rPr>
          <w:rStyle w:val="34"/>
          <w:rFonts w:ascii="宋体" w:hAnsi="宋体"/>
          <w:highlight w:val="none"/>
        </w:rPr>
        <w:t>元）</w:t>
      </w:r>
    </w:p>
    <w:p w14:paraId="3B98837A">
      <w:pPr>
        <w:pageBreakBefore w:val="0"/>
        <w:widowControl/>
        <w:numPr>
          <w:ilvl w:val="0"/>
          <w:numId w:val="7"/>
        </w:numPr>
        <w:tabs>
          <w:tab w:val="left" w:pos="6399"/>
        </w:tabs>
        <w:kinsoku/>
        <w:wordWrap/>
        <w:overflowPunct/>
        <w:topLinePunct w:val="0"/>
        <w:autoSpaceDE/>
        <w:autoSpaceDN/>
        <w:bidi w:val="0"/>
        <w:adjustRightInd/>
        <w:snapToGrid/>
        <w:spacing w:line="360" w:lineRule="auto"/>
        <w:ind w:left="938" w:leftChars="0" w:right="406" w:firstLine="0" w:firstLineChars="0"/>
        <w:jc w:val="left"/>
        <w:textAlignment w:val="baseline"/>
        <w:rPr>
          <w:rStyle w:val="34"/>
          <w:rFonts w:ascii="宋体" w:hAnsi="宋体"/>
          <w:highlight w:val="none"/>
        </w:rPr>
      </w:pPr>
      <w:r>
        <w:rPr>
          <w:rStyle w:val="34"/>
          <w:rFonts w:ascii="宋体" w:hAnsi="宋体"/>
          <w:highlight w:val="none"/>
        </w:rPr>
        <w:t>结算方式</w:t>
      </w:r>
    </w:p>
    <w:p w14:paraId="3EE725EC">
      <w:pPr>
        <w:pageBreakBefore w:val="0"/>
        <w:widowControl/>
        <w:numPr>
          <w:ilvl w:val="0"/>
          <w:numId w:val="0"/>
        </w:numPr>
        <w:tabs>
          <w:tab w:val="left" w:pos="6399"/>
        </w:tabs>
        <w:kinsoku/>
        <w:wordWrap/>
        <w:overflowPunct/>
        <w:topLinePunct w:val="0"/>
        <w:autoSpaceDE/>
        <w:autoSpaceDN/>
        <w:bidi w:val="0"/>
        <w:adjustRightInd/>
        <w:snapToGrid/>
        <w:spacing w:line="360" w:lineRule="auto"/>
        <w:ind w:left="938" w:leftChars="0" w:right="406" w:rightChars="0"/>
        <w:jc w:val="left"/>
        <w:textAlignment w:val="baseline"/>
        <w:rPr>
          <w:rStyle w:val="34"/>
          <w:rFonts w:ascii="宋体" w:hAnsi="宋体"/>
          <w:highlight w:val="none"/>
        </w:rPr>
      </w:pPr>
      <w:r>
        <w:rPr>
          <w:rStyle w:val="34"/>
          <w:rFonts w:ascii="宋体" w:hAnsi="宋体"/>
          <w:highlight w:val="none"/>
        </w:rPr>
        <w:t>1、结算方式</w:t>
      </w:r>
    </w:p>
    <w:p w14:paraId="0BC86C37">
      <w:pPr>
        <w:pageBreakBefore w:val="0"/>
        <w:widowControl/>
        <w:tabs>
          <w:tab w:val="left" w:pos="6399"/>
        </w:tabs>
        <w:kinsoku/>
        <w:wordWrap/>
        <w:overflowPunct/>
        <w:topLinePunct w:val="0"/>
        <w:autoSpaceDE/>
        <w:autoSpaceDN/>
        <w:bidi w:val="0"/>
        <w:adjustRightInd/>
        <w:snapToGrid/>
        <w:spacing w:line="360" w:lineRule="auto"/>
        <w:ind w:left="438" w:right="406" w:firstLine="499" w:firstLineChars="238"/>
        <w:jc w:val="left"/>
        <w:textAlignment w:val="baseline"/>
        <w:rPr>
          <w:rStyle w:val="34"/>
          <w:rFonts w:ascii="宋体" w:hAnsi="宋体"/>
          <w:highlight w:val="none"/>
        </w:rPr>
      </w:pPr>
      <w:r>
        <w:rPr>
          <w:rStyle w:val="34"/>
          <w:rFonts w:hint="eastAsia" w:ascii="宋体" w:hAnsi="宋体" w:cs="宋体"/>
          <w:bCs/>
          <w:szCs w:val="21"/>
          <w:highlight w:val="none"/>
          <w:lang w:val="zh-CN" w:eastAsia="zh-CN"/>
        </w:rPr>
        <w:t>签定合同后支付 60%，规划初稿提交后支付20%，规划成果通过甲方评审后支付 20%</w:t>
      </w:r>
      <w:r>
        <w:rPr>
          <w:rStyle w:val="34"/>
          <w:rFonts w:ascii="宋体" w:hAnsi="宋体"/>
          <w:highlight w:val="none"/>
        </w:rPr>
        <w:t>。</w:t>
      </w:r>
    </w:p>
    <w:p w14:paraId="1510CA3C">
      <w:pPr>
        <w:pageBreakBefore w:val="0"/>
        <w:widowControl/>
        <w:numPr>
          <w:ilvl w:val="0"/>
          <w:numId w:val="8"/>
        </w:numPr>
        <w:kinsoku/>
        <w:wordWrap/>
        <w:overflowPunct/>
        <w:topLinePunct w:val="0"/>
        <w:autoSpaceDE/>
        <w:autoSpaceDN/>
        <w:bidi w:val="0"/>
        <w:adjustRightInd/>
        <w:snapToGrid/>
        <w:spacing w:line="360" w:lineRule="auto"/>
        <w:ind w:left="518" w:right="408" w:firstLine="420"/>
        <w:jc w:val="left"/>
        <w:textAlignment w:val="baseline"/>
        <w:rPr>
          <w:rStyle w:val="34"/>
          <w:rFonts w:ascii="宋体" w:hAnsi="宋体"/>
          <w:highlight w:val="none"/>
        </w:rPr>
      </w:pPr>
      <w:r>
        <w:rPr>
          <w:rStyle w:val="34"/>
          <w:rFonts w:ascii="宋体" w:hAnsi="宋体"/>
          <w:highlight w:val="none"/>
        </w:rPr>
        <w:t>乙方凭以下文件与甲方结算款项：合同、乙方开具的有效正式发票、中标通知书。因甲方使用的是财政资金，甲方在前款规定的付款时间为向财政部门提出办理财政支付申请手续的时间（不含财政部门审核的时间），在规定时间内提出支付申请手续后即视为甲方已经按期支付</w:t>
      </w:r>
      <w:r>
        <w:rPr>
          <w:rStyle w:val="34"/>
          <w:rFonts w:hint="eastAsia" w:ascii="宋体" w:hAnsi="宋体"/>
          <w:highlight w:val="none"/>
          <w:lang w:eastAsia="zh-CN"/>
        </w:rPr>
        <w:t>，不构成违约。但因此影响到乙方的工作进度，乙方也不构成相应的违约责任。</w:t>
      </w:r>
    </w:p>
    <w:p w14:paraId="334CEF06">
      <w:pPr>
        <w:pageBreakBefore w:val="0"/>
        <w:widowControl/>
        <w:kinsoku/>
        <w:wordWrap/>
        <w:overflowPunct/>
        <w:topLinePunct w:val="0"/>
        <w:autoSpaceDE/>
        <w:autoSpaceDN/>
        <w:bidi w:val="0"/>
        <w:adjustRightInd/>
        <w:snapToGrid/>
        <w:spacing w:line="360" w:lineRule="auto"/>
        <w:ind w:left="937" w:leftChars="446" w:right="1154"/>
        <w:jc w:val="left"/>
        <w:textAlignment w:val="baseline"/>
        <w:rPr>
          <w:rStyle w:val="34"/>
          <w:rFonts w:ascii="宋体" w:hAnsi="宋体"/>
          <w:b/>
          <w:highlight w:val="none"/>
        </w:rPr>
      </w:pPr>
      <w:r>
        <w:rPr>
          <w:rStyle w:val="34"/>
          <w:rFonts w:ascii="宋体" w:hAnsi="宋体"/>
          <w:b/>
          <w:highlight w:val="none"/>
        </w:rPr>
        <w:t>第四条 履行合同的地点、期限</w:t>
      </w:r>
    </w:p>
    <w:p w14:paraId="1EAF14B4">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1、合同履行地点：</w:t>
      </w:r>
      <w:r>
        <w:rPr>
          <w:rStyle w:val="34"/>
          <w:rFonts w:hint="eastAsia" w:ascii="宋体" w:hAnsi="宋体"/>
          <w:highlight w:val="none"/>
          <w:lang w:val="en-US" w:eastAsia="zh-CN"/>
        </w:rPr>
        <w:t xml:space="preserve">             </w:t>
      </w:r>
      <w:r>
        <w:rPr>
          <w:rStyle w:val="34"/>
          <w:rFonts w:ascii="宋体" w:hAnsi="宋体"/>
          <w:highlight w:val="none"/>
        </w:rPr>
        <w:t>。</w:t>
      </w:r>
    </w:p>
    <w:p w14:paraId="5D983C41">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2、服务期限：签订合同之日至</w:t>
      </w:r>
      <w:r>
        <w:rPr>
          <w:rStyle w:val="34"/>
          <w:rFonts w:hint="eastAsia" w:ascii="宋体" w:hAnsi="宋体"/>
          <w:highlight w:val="none"/>
          <w:u w:val="single"/>
          <w:lang w:val="en-US" w:eastAsia="zh-CN"/>
        </w:rPr>
        <w:t xml:space="preserve">     </w:t>
      </w:r>
      <w:r>
        <w:rPr>
          <w:rStyle w:val="34"/>
          <w:rFonts w:ascii="宋体" w:hAnsi="宋体"/>
          <w:highlight w:val="none"/>
        </w:rPr>
        <w:t>年</w:t>
      </w:r>
      <w:r>
        <w:rPr>
          <w:rStyle w:val="34"/>
          <w:rFonts w:hint="eastAsia" w:ascii="宋体" w:hAnsi="宋体"/>
          <w:highlight w:val="none"/>
          <w:u w:val="single"/>
          <w:lang w:val="en-US" w:eastAsia="zh-CN"/>
        </w:rPr>
        <w:t xml:space="preserve">    </w:t>
      </w:r>
      <w:r>
        <w:rPr>
          <w:rStyle w:val="34"/>
          <w:rFonts w:ascii="宋体" w:hAnsi="宋体"/>
          <w:highlight w:val="none"/>
        </w:rPr>
        <w:t>月</w:t>
      </w:r>
      <w:r>
        <w:rPr>
          <w:rStyle w:val="34"/>
          <w:rFonts w:hint="eastAsia" w:ascii="宋体" w:hAnsi="宋体"/>
          <w:highlight w:val="none"/>
          <w:u w:val="single"/>
          <w:lang w:val="en-US" w:eastAsia="zh-CN"/>
        </w:rPr>
        <w:t xml:space="preserve">     </w:t>
      </w:r>
      <w:r>
        <w:rPr>
          <w:rStyle w:val="34"/>
          <w:rFonts w:ascii="宋体" w:hAnsi="宋体"/>
          <w:highlight w:val="none"/>
        </w:rPr>
        <w:t>日，服务期内采购金额使用完毕后，合同自动终止。</w:t>
      </w:r>
    </w:p>
    <w:p w14:paraId="64E16048">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b/>
          <w:highlight w:val="none"/>
        </w:rPr>
      </w:pPr>
      <w:r>
        <w:rPr>
          <w:rStyle w:val="34"/>
          <w:rFonts w:ascii="宋体" w:hAnsi="宋体"/>
          <w:b/>
          <w:highlight w:val="none"/>
        </w:rPr>
        <w:t>第五条 项目联络</w:t>
      </w:r>
    </w:p>
    <w:p w14:paraId="5D305B94">
      <w:pPr>
        <w:pageBreakBefore w:val="0"/>
        <w:widowControl/>
        <w:kinsoku/>
        <w:wordWrap/>
        <w:overflowPunct/>
        <w:topLinePunct w:val="0"/>
        <w:autoSpaceDE/>
        <w:autoSpaceDN/>
        <w:bidi w:val="0"/>
        <w:adjustRightInd/>
        <w:snapToGrid/>
        <w:spacing w:line="360" w:lineRule="auto"/>
        <w:ind w:left="518" w:right="409" w:firstLine="420"/>
        <w:jc w:val="left"/>
        <w:textAlignment w:val="baseline"/>
        <w:rPr>
          <w:rStyle w:val="34"/>
          <w:rFonts w:ascii="宋体" w:hAnsi="宋体"/>
          <w:highlight w:val="none"/>
        </w:rPr>
      </w:pPr>
      <w:r>
        <w:rPr>
          <w:rStyle w:val="34"/>
          <w:rFonts w:ascii="宋体" w:hAnsi="宋体"/>
          <w:spacing w:val="-10"/>
          <w:highlight w:val="none"/>
        </w:rPr>
        <w:t>双方确定：在本合同有效期内，甲方指定为甲方项目联系人，乙方指定为乙方项目联系人。项目联</w:t>
      </w:r>
      <w:r>
        <w:rPr>
          <w:rStyle w:val="34"/>
          <w:rFonts w:ascii="宋体" w:hAnsi="宋体"/>
          <w:highlight w:val="none"/>
        </w:rPr>
        <w:t>系人担当以下职责：</w:t>
      </w:r>
    </w:p>
    <w:p w14:paraId="454D166C">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spacing w:val="-1"/>
          <w:highlight w:val="none"/>
        </w:rPr>
        <w:t>1、传递资料；</w:t>
      </w:r>
    </w:p>
    <w:p w14:paraId="3066E9BA">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spacing w:val="-1"/>
          <w:highlight w:val="none"/>
        </w:rPr>
        <w:t>2、收发文件；</w:t>
      </w:r>
    </w:p>
    <w:p w14:paraId="7E43519D">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spacing w:val="-1"/>
          <w:highlight w:val="none"/>
        </w:rPr>
        <w:t>3、业务联系。</w:t>
      </w:r>
    </w:p>
    <w:p w14:paraId="01257AC2">
      <w:pPr>
        <w:pageBreakBefore w:val="0"/>
        <w:widowControl/>
        <w:kinsoku/>
        <w:wordWrap/>
        <w:overflowPunct/>
        <w:topLinePunct w:val="0"/>
        <w:autoSpaceDE/>
        <w:autoSpaceDN/>
        <w:bidi w:val="0"/>
        <w:adjustRightInd/>
        <w:snapToGrid/>
        <w:spacing w:line="360" w:lineRule="auto"/>
        <w:ind w:left="518" w:right="407" w:firstLine="420"/>
        <w:jc w:val="left"/>
        <w:textAlignment w:val="baseline"/>
        <w:rPr>
          <w:rStyle w:val="34"/>
          <w:rFonts w:ascii="宋体" w:hAnsi="宋体"/>
          <w:highlight w:val="none"/>
        </w:rPr>
      </w:pPr>
      <w:r>
        <w:rPr>
          <w:rStyle w:val="34"/>
          <w:rFonts w:ascii="宋体" w:hAnsi="宋体"/>
          <w:spacing w:val="-7"/>
          <w:highlight w:val="none"/>
        </w:rPr>
        <w:t>一方变更项目联系人的，应当及时以书面形式通知另一方。未及时通知以致影响本合同履行、造成</w:t>
      </w:r>
      <w:r>
        <w:rPr>
          <w:rStyle w:val="34"/>
          <w:rFonts w:ascii="宋体" w:hAnsi="宋体"/>
          <w:highlight w:val="none"/>
        </w:rPr>
        <w:t>损失的，应承担相应的责任。</w:t>
      </w:r>
    </w:p>
    <w:p w14:paraId="65B1B610">
      <w:pPr>
        <w:pStyle w:val="41"/>
        <w:pageBreakBefore w:val="0"/>
        <w:widowControl/>
        <w:kinsoku/>
        <w:wordWrap/>
        <w:overflowPunct/>
        <w:topLinePunct w:val="0"/>
        <w:autoSpaceDE/>
        <w:autoSpaceDN/>
        <w:bidi w:val="0"/>
        <w:adjustRightInd/>
        <w:snapToGrid/>
        <w:spacing w:before="0" w:after="0" w:line="360" w:lineRule="auto"/>
        <w:ind w:left="540" w:firstLine="422" w:firstLineChars="200"/>
        <w:textAlignment w:val="baseline"/>
        <w:rPr>
          <w:rStyle w:val="34"/>
          <w:highlight w:val="none"/>
        </w:rPr>
      </w:pPr>
      <w:r>
        <w:rPr>
          <w:rStyle w:val="34"/>
          <w:rFonts w:ascii="宋体" w:hAnsi="宋体" w:eastAsia="宋体" w:cs="宋体"/>
          <w:sz w:val="21"/>
          <w:highlight w:val="none"/>
        </w:rPr>
        <w:t>第六 条违约责任</w:t>
      </w:r>
    </w:p>
    <w:p w14:paraId="169605B6">
      <w:pPr>
        <w:pageBreakBefore w:val="0"/>
        <w:widowControl/>
        <w:kinsoku/>
        <w:wordWrap/>
        <w:overflowPunct/>
        <w:topLinePunct w:val="0"/>
        <w:autoSpaceDE/>
        <w:autoSpaceDN/>
        <w:bidi w:val="0"/>
        <w:adjustRightInd/>
        <w:snapToGrid/>
        <w:spacing w:line="360" w:lineRule="auto"/>
        <w:ind w:left="518" w:right="407" w:firstLine="420"/>
        <w:textAlignment w:val="baseline"/>
        <w:rPr>
          <w:rStyle w:val="34"/>
          <w:rFonts w:ascii="宋体" w:hAnsi="宋体"/>
          <w:highlight w:val="none"/>
        </w:rPr>
      </w:pPr>
      <w:r>
        <w:rPr>
          <w:rStyle w:val="34"/>
          <w:rFonts w:ascii="宋体" w:hAnsi="宋体"/>
          <w:highlight w:val="none"/>
        </w:rPr>
        <w:t>1、若乙方未能按工作任务单约定时间提交约定的工作成果，每逾期一天按该工作任务单服务费的</w:t>
      </w:r>
      <w:r>
        <w:rPr>
          <w:rStyle w:val="34"/>
          <w:rFonts w:ascii="宋体" w:hAnsi="宋体"/>
          <w:spacing w:val="-5"/>
          <w:highlight w:val="none"/>
        </w:rPr>
        <w:t>向甲方支付违约金，违约金总额不超过该工作任务单服务费总价，逾期超过</w:t>
      </w:r>
      <w:r>
        <w:rPr>
          <w:rStyle w:val="34"/>
          <w:rFonts w:ascii="宋体" w:hAnsi="宋体"/>
          <w:spacing w:val="52"/>
          <w:highlight w:val="none"/>
          <w:u w:val="single"/>
        </w:rPr>
        <w:t xml:space="preserve">  </w:t>
      </w:r>
      <w:r>
        <w:rPr>
          <w:rStyle w:val="34"/>
          <w:rFonts w:ascii="宋体" w:hAnsi="宋体"/>
          <w:spacing w:val="-7"/>
          <w:highlight w:val="none"/>
        </w:rPr>
        <w:t>的，甲方有权解除合同</w:t>
      </w:r>
      <w:r>
        <w:rPr>
          <w:rStyle w:val="34"/>
          <w:rFonts w:ascii="宋体" w:hAnsi="宋体"/>
          <w:highlight w:val="none"/>
        </w:rPr>
        <w:t>并要求乙方赔偿因此而造成的直接损失。</w:t>
      </w:r>
    </w:p>
    <w:p w14:paraId="03FBC838">
      <w:pPr>
        <w:pageBreakBefore w:val="0"/>
        <w:widowControl/>
        <w:kinsoku/>
        <w:wordWrap/>
        <w:overflowPunct/>
        <w:topLinePunct w:val="0"/>
        <w:autoSpaceDE/>
        <w:autoSpaceDN/>
        <w:bidi w:val="0"/>
        <w:adjustRightInd/>
        <w:snapToGrid/>
        <w:spacing w:line="360" w:lineRule="auto"/>
        <w:ind w:left="518" w:right="407" w:firstLine="420"/>
        <w:textAlignment w:val="baseline"/>
        <w:rPr>
          <w:rStyle w:val="34"/>
          <w:rFonts w:ascii="宋体" w:hAnsi="宋体"/>
          <w:highlight w:val="none"/>
        </w:rPr>
      </w:pPr>
      <w:r>
        <w:rPr>
          <w:rStyle w:val="34"/>
          <w:rFonts w:ascii="宋体" w:hAnsi="宋体"/>
          <w:highlight w:val="none"/>
        </w:rPr>
        <w:t>2</w:t>
      </w:r>
      <w:r>
        <w:rPr>
          <w:rStyle w:val="34"/>
          <w:rFonts w:ascii="宋体" w:hAnsi="宋体"/>
          <w:spacing w:val="-10"/>
          <w:highlight w:val="none"/>
        </w:rPr>
        <w:t>、若甲方未能按合同约定的时间支付应付合同价款，每逾期一天按该工作任务单服务费的</w:t>
      </w:r>
      <w:r>
        <w:rPr>
          <w:rStyle w:val="34"/>
          <w:rFonts w:ascii="宋体" w:hAnsi="宋体"/>
          <w:spacing w:val="101"/>
          <w:highlight w:val="none"/>
          <w:u w:val="single"/>
        </w:rPr>
        <w:t xml:space="preserve"> </w:t>
      </w:r>
      <w:r>
        <w:rPr>
          <w:rStyle w:val="34"/>
          <w:rFonts w:ascii="宋体" w:hAnsi="宋体"/>
          <w:highlight w:val="none"/>
        </w:rPr>
        <w:t>向乙</w:t>
      </w:r>
      <w:r>
        <w:rPr>
          <w:rStyle w:val="34"/>
          <w:rFonts w:ascii="宋体" w:hAnsi="宋体"/>
          <w:spacing w:val="-6"/>
          <w:highlight w:val="none"/>
        </w:rPr>
        <w:t>方支付违约金，违约金总额不超过该工作任务单服务费总价，逾期超过</w:t>
      </w:r>
      <w:r>
        <w:rPr>
          <w:rStyle w:val="34"/>
          <w:rFonts w:ascii="宋体" w:hAnsi="宋体"/>
          <w:highlight w:val="none"/>
          <w:u w:val="single"/>
        </w:rPr>
        <w:t xml:space="preserve">   </w:t>
      </w:r>
      <w:r>
        <w:rPr>
          <w:rStyle w:val="34"/>
          <w:rFonts w:ascii="宋体" w:hAnsi="宋体"/>
          <w:spacing w:val="-7"/>
          <w:highlight w:val="none"/>
        </w:rPr>
        <w:t>的，乙方有权解除合同并要</w:t>
      </w:r>
      <w:r>
        <w:rPr>
          <w:rStyle w:val="34"/>
          <w:rFonts w:ascii="宋体" w:hAnsi="宋体"/>
          <w:highlight w:val="none"/>
        </w:rPr>
        <w:t>求甲方赔偿因此而造成的直接损失。</w:t>
      </w:r>
    </w:p>
    <w:p w14:paraId="2FF0D751">
      <w:pPr>
        <w:pageBreakBefore w:val="0"/>
        <w:widowControl/>
        <w:kinsoku/>
        <w:wordWrap/>
        <w:overflowPunct/>
        <w:topLinePunct w:val="0"/>
        <w:autoSpaceDE/>
        <w:autoSpaceDN/>
        <w:bidi w:val="0"/>
        <w:adjustRightInd/>
        <w:snapToGrid/>
        <w:spacing w:line="360" w:lineRule="auto"/>
        <w:ind w:left="518" w:right="410" w:firstLine="420"/>
        <w:textAlignment w:val="baseline"/>
        <w:rPr>
          <w:rStyle w:val="34"/>
          <w:rFonts w:ascii="宋体" w:hAnsi="宋体"/>
          <w:highlight w:val="none"/>
        </w:rPr>
      </w:pPr>
      <w:r>
        <w:rPr>
          <w:rStyle w:val="34"/>
          <w:rFonts w:ascii="宋体" w:hAnsi="宋体"/>
          <w:highlight w:val="none"/>
        </w:rPr>
        <w:t>3、若乙方违反保密条款的约定，将保密资料用于其它用途，或以任何方式泄露给第三方，则乙方</w:t>
      </w:r>
      <w:r>
        <w:rPr>
          <w:rStyle w:val="34"/>
          <w:rFonts w:ascii="宋体" w:hAnsi="宋体"/>
          <w:spacing w:val="-6"/>
          <w:highlight w:val="none"/>
        </w:rPr>
        <w:t>须按合同暂定价的两倍向甲方支付违约金，如违约金不足以赔偿甲方损失的，甲方仍有权向乙方追索全</w:t>
      </w:r>
      <w:r>
        <w:rPr>
          <w:rStyle w:val="34"/>
          <w:rFonts w:ascii="宋体" w:hAnsi="宋体"/>
          <w:highlight w:val="none"/>
        </w:rPr>
        <w:t>部损失。</w:t>
      </w:r>
    </w:p>
    <w:p w14:paraId="4CEC7CBF">
      <w:pPr>
        <w:pageBreakBefore w:val="0"/>
        <w:widowControl/>
        <w:kinsoku/>
        <w:wordWrap/>
        <w:overflowPunct/>
        <w:topLinePunct w:val="0"/>
        <w:autoSpaceDE/>
        <w:autoSpaceDN/>
        <w:bidi w:val="0"/>
        <w:adjustRightInd/>
        <w:snapToGrid/>
        <w:spacing w:line="360" w:lineRule="auto"/>
        <w:ind w:left="518" w:right="303" w:firstLine="420"/>
        <w:jc w:val="left"/>
        <w:textAlignment w:val="baseline"/>
        <w:rPr>
          <w:rStyle w:val="34"/>
          <w:rFonts w:ascii="宋体" w:hAnsi="宋体"/>
          <w:highlight w:val="none"/>
        </w:rPr>
      </w:pPr>
      <w:r>
        <w:rPr>
          <w:rStyle w:val="34"/>
          <w:rFonts w:ascii="宋体" w:hAnsi="宋体"/>
          <w:highlight w:val="none"/>
        </w:rPr>
        <w:t>4</w:t>
      </w:r>
      <w:r>
        <w:rPr>
          <w:rStyle w:val="34"/>
          <w:rFonts w:ascii="宋体" w:hAnsi="宋体"/>
          <w:spacing w:val="-11"/>
          <w:highlight w:val="none"/>
        </w:rPr>
        <w:t xml:space="preserve">、合同履行期间，由于工程停建而终止工作任务单或甲方要求取消工作任务单时，已进行工作的， </w:t>
      </w:r>
      <w:r>
        <w:rPr>
          <w:rStyle w:val="34"/>
          <w:rFonts w:ascii="宋体" w:hAnsi="宋体"/>
          <w:highlight w:val="none"/>
        </w:rPr>
        <w:t>按实际工作量支付费用。</w:t>
      </w:r>
    </w:p>
    <w:p w14:paraId="6F6FEFD8">
      <w:pPr>
        <w:pageBreakBefore w:val="0"/>
        <w:widowControl/>
        <w:kinsoku/>
        <w:wordWrap/>
        <w:overflowPunct/>
        <w:topLinePunct w:val="0"/>
        <w:autoSpaceDE/>
        <w:autoSpaceDN/>
        <w:bidi w:val="0"/>
        <w:adjustRightInd/>
        <w:snapToGrid/>
        <w:spacing w:line="360" w:lineRule="auto"/>
        <w:ind w:left="518" w:right="419" w:firstLine="420"/>
        <w:jc w:val="left"/>
        <w:textAlignment w:val="baseline"/>
        <w:rPr>
          <w:rStyle w:val="34"/>
          <w:rFonts w:ascii="宋体" w:hAnsi="宋体"/>
          <w:highlight w:val="none"/>
        </w:rPr>
      </w:pPr>
      <w:r>
        <w:rPr>
          <w:rStyle w:val="34"/>
          <w:rFonts w:ascii="宋体" w:hAnsi="宋体"/>
          <w:highlight w:val="none"/>
        </w:rPr>
        <w:t>5、对于乙方违反相关规范及合同约定的行为，甲方有权要求乙方限期改正，乙方拒绝改正的，甲方有权单方解除该部分合同。</w:t>
      </w:r>
    </w:p>
    <w:p w14:paraId="5ADCD558">
      <w:pPr>
        <w:pageBreakBefore w:val="0"/>
        <w:widowControl/>
        <w:kinsoku/>
        <w:wordWrap/>
        <w:overflowPunct/>
        <w:topLinePunct w:val="0"/>
        <w:autoSpaceDE/>
        <w:autoSpaceDN/>
        <w:bidi w:val="0"/>
        <w:adjustRightInd/>
        <w:snapToGrid/>
        <w:spacing w:line="360" w:lineRule="auto"/>
        <w:ind w:left="518" w:right="419" w:firstLine="420"/>
        <w:jc w:val="left"/>
        <w:textAlignment w:val="baseline"/>
        <w:rPr>
          <w:rStyle w:val="34"/>
          <w:rFonts w:ascii="宋体" w:hAnsi="宋体"/>
          <w:highlight w:val="none"/>
        </w:rPr>
      </w:pPr>
      <w:r>
        <w:rPr>
          <w:rStyle w:val="34"/>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14:paraId="593C1DAE">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b/>
          <w:highlight w:val="none"/>
        </w:rPr>
      </w:pPr>
      <w:r>
        <w:rPr>
          <w:rStyle w:val="34"/>
          <w:rFonts w:ascii="宋体" w:hAnsi="宋体"/>
          <w:b/>
          <w:highlight w:val="none"/>
        </w:rPr>
        <w:t>第七条 保密条款</w:t>
      </w:r>
    </w:p>
    <w:p w14:paraId="3D5BE6A4">
      <w:pPr>
        <w:pageBreakBefore w:val="0"/>
        <w:widowControl/>
        <w:kinsoku/>
        <w:wordWrap/>
        <w:overflowPunct/>
        <w:topLinePunct w:val="0"/>
        <w:autoSpaceDE/>
        <w:autoSpaceDN/>
        <w:bidi w:val="0"/>
        <w:adjustRightInd/>
        <w:snapToGrid/>
        <w:spacing w:line="360" w:lineRule="auto"/>
        <w:ind w:left="518" w:right="409" w:firstLine="420"/>
        <w:textAlignment w:val="baseline"/>
        <w:rPr>
          <w:rStyle w:val="34"/>
          <w:rFonts w:ascii="宋体" w:hAnsi="宋体"/>
          <w:highlight w:val="none"/>
        </w:rPr>
      </w:pPr>
      <w:r>
        <w:rPr>
          <w:rStyle w:val="34"/>
          <w:rFonts w:ascii="宋体" w:hAnsi="宋体"/>
          <w:spacing w:val="-10"/>
          <w:highlight w:val="none"/>
        </w:rPr>
        <w:t>在任何期间内，乙方及乙方工作员对本项目全部资料和甲方提供的资料均应严格保密，未经甲方书</w:t>
      </w:r>
      <w:r>
        <w:rPr>
          <w:rStyle w:val="34"/>
          <w:rFonts w:ascii="宋体" w:hAnsi="宋体"/>
          <w:spacing w:val="-9"/>
          <w:highlight w:val="none"/>
        </w:rPr>
        <w:t>面允许，乙方及乙方工作人员均不得泄露或者提供给第三方或用于本合同以外的项目，否则，甲方将按</w:t>
      </w:r>
      <w:r>
        <w:rPr>
          <w:rStyle w:val="34"/>
          <w:rFonts w:ascii="宋体" w:hAnsi="宋体"/>
          <w:highlight w:val="none"/>
        </w:rPr>
        <w:t>本合同约定追究乙方的违约责任。</w:t>
      </w:r>
    </w:p>
    <w:p w14:paraId="4B0ADF03">
      <w:pPr>
        <w:pageBreakBefore w:val="0"/>
        <w:widowControl/>
        <w:kinsoku/>
        <w:wordWrap/>
        <w:overflowPunct/>
        <w:topLinePunct w:val="0"/>
        <w:autoSpaceDE/>
        <w:autoSpaceDN/>
        <w:bidi w:val="0"/>
        <w:adjustRightInd/>
        <w:snapToGrid/>
        <w:spacing w:line="360" w:lineRule="auto"/>
        <w:ind w:left="938"/>
        <w:textAlignment w:val="baseline"/>
        <w:rPr>
          <w:rStyle w:val="34"/>
          <w:rFonts w:ascii="宋体" w:hAnsi="宋体"/>
          <w:b/>
          <w:highlight w:val="none"/>
        </w:rPr>
      </w:pPr>
      <w:r>
        <w:rPr>
          <w:rStyle w:val="34"/>
          <w:rFonts w:ascii="宋体" w:hAnsi="宋体"/>
          <w:b/>
          <w:highlight w:val="none"/>
        </w:rPr>
        <w:t>第八条 成果归属</w:t>
      </w:r>
    </w:p>
    <w:p w14:paraId="76474658">
      <w:pPr>
        <w:pageBreakBefore w:val="0"/>
        <w:widowControl/>
        <w:kinsoku/>
        <w:wordWrap/>
        <w:overflowPunct/>
        <w:topLinePunct w:val="0"/>
        <w:autoSpaceDE/>
        <w:autoSpaceDN/>
        <w:bidi w:val="0"/>
        <w:adjustRightInd/>
        <w:snapToGrid/>
        <w:spacing w:line="360" w:lineRule="auto"/>
        <w:ind w:left="938" w:right="-22" w:hanging="1"/>
        <w:textAlignment w:val="baseline"/>
        <w:rPr>
          <w:rStyle w:val="34"/>
          <w:rFonts w:ascii="宋体" w:hAnsi="宋体"/>
          <w:highlight w:val="none"/>
        </w:rPr>
      </w:pPr>
      <w:r>
        <w:rPr>
          <w:rStyle w:val="34"/>
          <w:rFonts w:ascii="宋体" w:hAnsi="宋体"/>
          <w:highlight w:val="none"/>
        </w:rPr>
        <w:t>本合同的工作成果（包括知识产权）及利用工作成果所完成的新技术成果归</w:t>
      </w:r>
      <w:r>
        <w:rPr>
          <w:rStyle w:val="34"/>
          <w:rFonts w:ascii="宋体" w:hAnsi="宋体"/>
          <w:highlight w:val="none"/>
          <w:u w:val="single"/>
        </w:rPr>
        <w:t>甲方</w:t>
      </w:r>
      <w:r>
        <w:rPr>
          <w:rStyle w:val="34"/>
          <w:rFonts w:ascii="宋体" w:hAnsi="宋体"/>
          <w:highlight w:val="none"/>
        </w:rPr>
        <w:t>所有。</w:t>
      </w:r>
    </w:p>
    <w:p w14:paraId="79745FFE">
      <w:pPr>
        <w:pageBreakBefore w:val="0"/>
        <w:widowControl/>
        <w:kinsoku/>
        <w:wordWrap/>
        <w:overflowPunct/>
        <w:topLinePunct w:val="0"/>
        <w:autoSpaceDE/>
        <w:autoSpaceDN/>
        <w:bidi w:val="0"/>
        <w:adjustRightInd/>
        <w:snapToGrid/>
        <w:spacing w:line="360" w:lineRule="auto"/>
        <w:ind w:left="938" w:right="-22" w:hanging="1"/>
        <w:textAlignment w:val="baseline"/>
        <w:rPr>
          <w:rStyle w:val="34"/>
          <w:rFonts w:ascii="宋体" w:hAnsi="宋体"/>
          <w:b/>
          <w:highlight w:val="none"/>
        </w:rPr>
      </w:pPr>
      <w:r>
        <w:rPr>
          <w:rStyle w:val="34"/>
          <w:rFonts w:ascii="宋体" w:hAnsi="宋体"/>
          <w:b/>
          <w:highlight w:val="none"/>
        </w:rPr>
        <w:t>第九条 不可抗力情况</w:t>
      </w:r>
    </w:p>
    <w:p w14:paraId="519FA4F9">
      <w:pPr>
        <w:pageBreakBefore w:val="0"/>
        <w:widowControl/>
        <w:kinsoku/>
        <w:wordWrap/>
        <w:overflowPunct/>
        <w:topLinePunct w:val="0"/>
        <w:autoSpaceDE/>
        <w:autoSpaceDN/>
        <w:bidi w:val="0"/>
        <w:adjustRightInd/>
        <w:snapToGrid/>
        <w:spacing w:line="360" w:lineRule="auto"/>
        <w:ind w:left="518" w:right="407" w:firstLine="478"/>
        <w:textAlignment w:val="baseline"/>
        <w:rPr>
          <w:rStyle w:val="34"/>
          <w:rFonts w:ascii="宋体" w:hAnsi="宋体"/>
          <w:highlight w:val="none"/>
        </w:rPr>
      </w:pPr>
      <w:r>
        <w:rPr>
          <w:rStyle w:val="34"/>
          <w:rFonts w:ascii="宋体" w:hAnsi="宋体"/>
          <w:highlight w:val="none"/>
        </w:rPr>
        <w:t>在本合同履行过程中发生不可抗力（包括但不限于自然灾害、政府行为、社会突发事件原因）致</w:t>
      </w:r>
      <w:r>
        <w:rPr>
          <w:rStyle w:val="34"/>
          <w:rFonts w:ascii="宋体" w:hAnsi="宋体"/>
          <w:spacing w:val="-6"/>
          <w:highlight w:val="none"/>
        </w:rPr>
        <w:t>使本合同无法继续履行，乙方应及时将不可抗力的情况通知甲方，双方可协商解决。不可抗力持续超过</w:t>
      </w:r>
      <w:r>
        <w:rPr>
          <w:rStyle w:val="34"/>
          <w:rFonts w:ascii="宋体" w:hAnsi="宋体"/>
          <w:highlight w:val="none"/>
        </w:rPr>
        <w:t>60</w:t>
      </w:r>
      <w:r>
        <w:rPr>
          <w:rStyle w:val="34"/>
          <w:rFonts w:ascii="宋体" w:hAnsi="宋体"/>
          <w:spacing w:val="-8"/>
          <w:highlight w:val="none"/>
        </w:rPr>
        <w:t xml:space="preserve"> 日且甲、乙双方又无法协商解决的，甲方有权单方解除本合同。对乙方实际完成的工作，甲方有权决定予以适当补偿；对于不可抗力持续期间乙方受到的损失或者支出的费用由乙方自行负责。</w:t>
      </w:r>
    </w:p>
    <w:p w14:paraId="4A019FE2">
      <w:pPr>
        <w:pageBreakBefore w:val="0"/>
        <w:widowControl/>
        <w:kinsoku/>
        <w:wordWrap/>
        <w:overflowPunct/>
        <w:topLinePunct w:val="0"/>
        <w:autoSpaceDE/>
        <w:autoSpaceDN/>
        <w:bidi w:val="0"/>
        <w:adjustRightInd/>
        <w:snapToGrid/>
        <w:spacing w:line="360" w:lineRule="auto"/>
        <w:ind w:left="938"/>
        <w:textAlignment w:val="baseline"/>
        <w:rPr>
          <w:rStyle w:val="34"/>
          <w:rFonts w:ascii="宋体" w:hAnsi="宋体"/>
          <w:b/>
          <w:highlight w:val="none"/>
        </w:rPr>
      </w:pPr>
      <w:r>
        <w:rPr>
          <w:rStyle w:val="34"/>
          <w:rFonts w:ascii="宋体" w:hAnsi="宋体"/>
          <w:b/>
          <w:highlight w:val="none"/>
        </w:rPr>
        <w:t>第十条 争议解决</w:t>
      </w:r>
    </w:p>
    <w:p w14:paraId="215627E1">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1、本合同的签署、履行、解释及因本合同所发生的争议均适用中国法律。</w:t>
      </w:r>
    </w:p>
    <w:p w14:paraId="337A8744">
      <w:pPr>
        <w:pageBreakBefore w:val="0"/>
        <w:widowControl/>
        <w:kinsoku/>
        <w:wordWrap/>
        <w:overflowPunct/>
        <w:topLinePunct w:val="0"/>
        <w:autoSpaceDE/>
        <w:autoSpaceDN/>
        <w:bidi w:val="0"/>
        <w:adjustRightInd/>
        <w:snapToGrid/>
        <w:spacing w:line="360" w:lineRule="auto"/>
        <w:ind w:left="438" w:right="419" w:firstLine="499" w:firstLineChars="238"/>
        <w:jc w:val="left"/>
        <w:textAlignment w:val="baseline"/>
        <w:rPr>
          <w:rStyle w:val="34"/>
          <w:rFonts w:ascii="宋体" w:hAnsi="宋体"/>
          <w:highlight w:val="none"/>
        </w:rPr>
      </w:pPr>
      <w:r>
        <w:rPr>
          <w:rStyle w:val="34"/>
          <w:rFonts w:ascii="宋体" w:hAnsi="宋体"/>
          <w:highlight w:val="none"/>
        </w:rPr>
        <w:t>2、双方因本合同发生的一切争议，应首先通过协商解决，如协商不成，均提交甲方所在地有管辖权的人民法院审理。</w:t>
      </w:r>
    </w:p>
    <w:p w14:paraId="7F12D629">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b/>
          <w:highlight w:val="none"/>
        </w:rPr>
      </w:pPr>
      <w:r>
        <w:rPr>
          <w:rStyle w:val="34"/>
          <w:rFonts w:ascii="宋体" w:hAnsi="宋体"/>
          <w:b/>
          <w:highlight w:val="none"/>
        </w:rPr>
        <w:t>第十一条 其他</w:t>
      </w:r>
    </w:p>
    <w:p w14:paraId="22EDC0C4">
      <w:pPr>
        <w:pageBreakBefore w:val="0"/>
        <w:widowControl/>
        <w:kinsoku/>
        <w:wordWrap/>
        <w:overflowPunct/>
        <w:topLinePunct w:val="0"/>
        <w:autoSpaceDE/>
        <w:autoSpaceDN/>
        <w:bidi w:val="0"/>
        <w:adjustRightInd/>
        <w:snapToGrid/>
        <w:spacing w:line="360" w:lineRule="auto"/>
        <w:ind w:left="438" w:right="419" w:firstLine="499" w:firstLineChars="238"/>
        <w:jc w:val="left"/>
        <w:textAlignment w:val="baseline"/>
        <w:rPr>
          <w:rStyle w:val="34"/>
          <w:rFonts w:ascii="宋体" w:hAnsi="宋体"/>
          <w:highlight w:val="none"/>
        </w:rPr>
      </w:pPr>
      <w:r>
        <w:rPr>
          <w:rStyle w:val="34"/>
          <w:rFonts w:ascii="宋体" w:hAnsi="宋体"/>
          <w:highlight w:val="none"/>
        </w:rPr>
        <w:t>1、本合同所有附件、招标文件、投标文件、中标通知书均为合同的有效组成部分，与本合同具有同等法律效力。</w:t>
      </w:r>
    </w:p>
    <w:p w14:paraId="7C6B6415">
      <w:pPr>
        <w:pageBreakBefore w:val="0"/>
        <w:widowControl/>
        <w:kinsoku/>
        <w:wordWrap/>
        <w:overflowPunct/>
        <w:topLinePunct w:val="0"/>
        <w:autoSpaceDE/>
        <w:autoSpaceDN/>
        <w:bidi w:val="0"/>
        <w:adjustRightInd/>
        <w:snapToGrid/>
        <w:spacing w:line="360" w:lineRule="auto"/>
        <w:ind w:left="438" w:right="419" w:firstLine="499" w:firstLineChars="238"/>
        <w:jc w:val="left"/>
        <w:textAlignment w:val="baseline"/>
        <w:rPr>
          <w:rStyle w:val="34"/>
          <w:rFonts w:ascii="宋体" w:hAnsi="宋体"/>
          <w:highlight w:val="none"/>
        </w:rPr>
      </w:pPr>
      <w:r>
        <w:rPr>
          <w:rStyle w:val="34"/>
          <w:rFonts w:ascii="宋体" w:hAnsi="宋体"/>
          <w:highlight w:val="none"/>
        </w:rPr>
        <w:t>2、在执行本合同的过程中，所有经双方签署确认的文件（包括进场确认书、退场确认书、补充合同）即成为本合同的有效组成部分。</w:t>
      </w:r>
    </w:p>
    <w:p w14:paraId="4D9969B4">
      <w:pPr>
        <w:pageBreakBefore w:val="0"/>
        <w:widowControl/>
        <w:kinsoku/>
        <w:wordWrap/>
        <w:overflowPunct/>
        <w:topLinePunct w:val="0"/>
        <w:autoSpaceDE/>
        <w:autoSpaceDN/>
        <w:bidi w:val="0"/>
        <w:adjustRightInd/>
        <w:snapToGrid/>
        <w:spacing w:line="360" w:lineRule="auto"/>
        <w:ind w:left="420" w:right="419" w:firstLine="420" w:firstLineChars="200"/>
        <w:jc w:val="left"/>
        <w:textAlignment w:val="baseline"/>
        <w:rPr>
          <w:rStyle w:val="34"/>
          <w:rFonts w:ascii="宋体" w:hAnsi="宋体"/>
          <w:highlight w:val="none"/>
        </w:rPr>
      </w:pPr>
      <w:r>
        <w:rPr>
          <w:rStyle w:val="34"/>
          <w:rFonts w:ascii="宋体" w:hAnsi="宋体"/>
          <w:highlight w:val="none"/>
        </w:rPr>
        <w:t>3</w:t>
      </w:r>
      <w:r>
        <w:rPr>
          <w:rStyle w:val="34"/>
          <w:rFonts w:ascii="宋体" w:hAnsi="宋体"/>
          <w:spacing w:val="-1"/>
          <w:highlight w:val="none"/>
        </w:rPr>
        <w:t>、双方明确：本合同所载明的通信地址为各类通知、文书送达的地址，无论收件人是否签收，该</w:t>
      </w:r>
      <w:r>
        <w:rPr>
          <w:rStyle w:val="34"/>
          <w:rFonts w:ascii="宋体" w:hAnsi="宋体"/>
          <w:spacing w:val="-2"/>
          <w:highlight w:val="none"/>
        </w:rPr>
        <w:t xml:space="preserve">通知、文书自寄出之日起视为送达。如地址有变更，变更方应当自变更之日起 </w:t>
      </w:r>
      <w:r>
        <w:rPr>
          <w:rStyle w:val="34"/>
          <w:rFonts w:ascii="宋体" w:hAnsi="宋体"/>
          <w:highlight w:val="none"/>
        </w:rPr>
        <w:t>10</w:t>
      </w:r>
      <w:r>
        <w:rPr>
          <w:rStyle w:val="34"/>
          <w:rFonts w:ascii="宋体" w:hAnsi="宋体"/>
          <w:spacing w:val="-11"/>
          <w:highlight w:val="none"/>
        </w:rPr>
        <w:t xml:space="preserve"> 个工作日内通知另一方。</w:t>
      </w:r>
    </w:p>
    <w:p w14:paraId="382A8B0B">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4、本合同自双方签字盖章之日起生效，如有未尽事宜，经双方协商后可签订补充合同。</w:t>
      </w:r>
    </w:p>
    <w:p w14:paraId="6E76969F">
      <w:pPr>
        <w:pageBreakBefore w:val="0"/>
        <w:widowControl/>
        <w:kinsoku/>
        <w:wordWrap/>
        <w:overflowPunct/>
        <w:topLinePunct w:val="0"/>
        <w:autoSpaceDE/>
        <w:autoSpaceDN/>
        <w:bidi w:val="0"/>
        <w:adjustRightInd/>
        <w:snapToGrid/>
        <w:spacing w:line="360" w:lineRule="auto"/>
        <w:ind w:left="938"/>
        <w:jc w:val="left"/>
        <w:textAlignment w:val="baseline"/>
        <w:rPr>
          <w:rStyle w:val="34"/>
          <w:rFonts w:ascii="宋体" w:hAnsi="宋体"/>
          <w:highlight w:val="none"/>
        </w:rPr>
      </w:pPr>
      <w:r>
        <w:rPr>
          <w:rStyle w:val="34"/>
          <w:rFonts w:ascii="宋体" w:hAnsi="宋体"/>
          <w:highlight w:val="none"/>
        </w:rPr>
        <w:t>5、本合同及其附件一式</w:t>
      </w:r>
      <w:r>
        <w:rPr>
          <w:rStyle w:val="34"/>
          <w:rFonts w:ascii="宋体" w:hAnsi="宋体"/>
          <w:highlight w:val="none"/>
          <w:u w:val="single"/>
        </w:rPr>
        <w:t>肆</w:t>
      </w:r>
      <w:r>
        <w:rPr>
          <w:rStyle w:val="34"/>
          <w:rFonts w:ascii="宋体" w:hAnsi="宋体"/>
          <w:highlight w:val="none"/>
        </w:rPr>
        <w:t>份，甲乙双方各执</w:t>
      </w:r>
      <w:r>
        <w:rPr>
          <w:rStyle w:val="34"/>
          <w:rFonts w:ascii="宋体" w:hAnsi="宋体"/>
          <w:highlight w:val="none"/>
          <w:u w:val="single"/>
        </w:rPr>
        <w:t>贰</w:t>
      </w:r>
      <w:r>
        <w:rPr>
          <w:rStyle w:val="34"/>
          <w:rFonts w:ascii="宋体" w:hAnsi="宋体"/>
          <w:highlight w:val="none"/>
        </w:rPr>
        <w:t>份，均具有同等法律效力。</w:t>
      </w:r>
    </w:p>
    <w:p w14:paraId="3F4DE0E7">
      <w:pPr>
        <w:pageBreakBefore w:val="0"/>
        <w:widowControl/>
        <w:kinsoku/>
        <w:wordWrap/>
        <w:overflowPunct/>
        <w:topLinePunct w:val="0"/>
        <w:autoSpaceDE/>
        <w:autoSpaceDN/>
        <w:bidi w:val="0"/>
        <w:adjustRightInd/>
        <w:snapToGrid/>
        <w:spacing w:line="360" w:lineRule="auto"/>
        <w:ind w:left="518"/>
        <w:jc w:val="left"/>
        <w:textAlignment w:val="baseline"/>
        <w:rPr>
          <w:rStyle w:val="34"/>
          <w:rFonts w:ascii="宋体" w:hAnsi="宋体"/>
          <w:highlight w:val="none"/>
        </w:rPr>
      </w:pPr>
      <w:r>
        <w:rPr>
          <w:rStyle w:val="34"/>
          <w:rFonts w:ascii="宋体" w:hAnsi="宋体"/>
          <w:highlight w:val="none"/>
        </w:rPr>
        <w:t>（以下无正文）</w:t>
      </w:r>
    </w:p>
    <w:p w14:paraId="6E79BD9A">
      <w:pPr>
        <w:tabs>
          <w:tab w:val="left" w:pos="3772"/>
        </w:tabs>
        <w:spacing w:line="360" w:lineRule="auto"/>
        <w:ind w:left="938" w:right="32" w:rightChars="0"/>
        <w:jc w:val="left"/>
        <w:rPr>
          <w:rStyle w:val="34"/>
          <w:rFonts w:ascii="宋体" w:hAnsi="宋体"/>
          <w:spacing w:val="-16"/>
          <w:highlight w:val="none"/>
        </w:rPr>
      </w:pPr>
      <w:r>
        <w:rPr>
          <w:rStyle w:val="34"/>
          <w:rFonts w:ascii="宋体" w:hAnsi="宋体"/>
          <w:highlight w:val="none"/>
        </w:rPr>
        <w:t>甲方：</w:t>
      </w:r>
      <w:r>
        <w:rPr>
          <w:rStyle w:val="34"/>
          <w:rFonts w:ascii="宋体" w:hAnsi="宋体"/>
          <w:highlight w:val="none"/>
          <w:u w:val="single"/>
        </w:rPr>
        <w:t xml:space="preserve">        </w:t>
      </w:r>
      <w:r>
        <w:rPr>
          <w:rStyle w:val="34"/>
          <w:rFonts w:hint="eastAsia" w:ascii="宋体" w:hAnsi="宋体"/>
          <w:highlight w:val="none"/>
          <w:u w:val="single"/>
          <w:lang w:val="en-US" w:eastAsia="zh-CN"/>
        </w:rPr>
        <w:t xml:space="preserve">            </w:t>
      </w:r>
      <w:r>
        <w:rPr>
          <w:rStyle w:val="34"/>
          <w:rFonts w:ascii="宋体" w:hAnsi="宋体"/>
          <w:highlight w:val="none"/>
          <w:u w:val="single"/>
        </w:rPr>
        <w:t xml:space="preserve">   </w:t>
      </w:r>
      <w:r>
        <w:rPr>
          <w:rStyle w:val="34"/>
          <w:rFonts w:ascii="宋体" w:hAnsi="宋体"/>
          <w:highlight w:val="none"/>
        </w:rPr>
        <w:t>（盖章</w:t>
      </w:r>
      <w:r>
        <w:rPr>
          <w:rStyle w:val="34"/>
          <w:rFonts w:ascii="宋体" w:hAnsi="宋体"/>
          <w:spacing w:val="-16"/>
          <w:highlight w:val="none"/>
        </w:rPr>
        <w:t xml:space="preserve">） </w:t>
      </w:r>
    </w:p>
    <w:p w14:paraId="68F9EE37">
      <w:pPr>
        <w:tabs>
          <w:tab w:val="left" w:pos="3772"/>
        </w:tabs>
        <w:spacing w:line="360" w:lineRule="auto"/>
        <w:ind w:left="938" w:right="5670"/>
        <w:jc w:val="left"/>
        <w:rPr>
          <w:rStyle w:val="34"/>
          <w:rFonts w:hint="default" w:ascii="宋体" w:hAnsi="宋体" w:eastAsia="宋体"/>
          <w:highlight w:val="none"/>
          <w:u w:val="single"/>
          <w:lang w:val="en-US" w:eastAsia="zh-CN"/>
        </w:rPr>
      </w:pPr>
      <w:r>
        <w:rPr>
          <w:rStyle w:val="34"/>
          <w:rFonts w:ascii="宋体" w:hAnsi="宋体"/>
          <w:highlight w:val="none"/>
        </w:rPr>
        <w:t>法定代表人：</w:t>
      </w:r>
      <w:r>
        <w:rPr>
          <w:rStyle w:val="34"/>
          <w:rFonts w:hint="eastAsia" w:ascii="宋体" w:hAnsi="宋体"/>
          <w:highlight w:val="none"/>
          <w:u w:val="single"/>
          <w:lang w:val="en-US" w:eastAsia="zh-CN"/>
        </w:rPr>
        <w:t xml:space="preserve">                    </w:t>
      </w:r>
    </w:p>
    <w:p w14:paraId="44B32B4C">
      <w:pPr>
        <w:tabs>
          <w:tab w:val="left" w:pos="2304"/>
          <w:tab w:val="left" w:pos="2723"/>
          <w:tab w:val="left" w:pos="3143"/>
        </w:tabs>
        <w:spacing w:line="360" w:lineRule="auto"/>
        <w:ind w:left="938"/>
        <w:jc w:val="left"/>
        <w:rPr>
          <w:rStyle w:val="34"/>
          <w:rFonts w:ascii="宋体" w:hAnsi="宋体"/>
          <w:highlight w:val="none"/>
        </w:rPr>
      </w:pPr>
      <w:r>
        <w:rPr>
          <w:rStyle w:val="34"/>
          <w:rFonts w:ascii="宋体" w:hAnsi="宋体"/>
          <w:highlight w:val="none"/>
        </w:rPr>
        <w:t>签订时间：</w:t>
      </w:r>
      <w:r>
        <w:rPr>
          <w:rStyle w:val="34"/>
          <w:rFonts w:ascii="宋体" w:hAnsi="宋体"/>
          <w:highlight w:val="none"/>
        </w:rPr>
        <w:tab/>
      </w:r>
      <w:r>
        <w:rPr>
          <w:rStyle w:val="34"/>
          <w:rFonts w:ascii="宋体" w:hAnsi="宋体"/>
          <w:highlight w:val="none"/>
        </w:rPr>
        <w:t>年</w:t>
      </w:r>
      <w:r>
        <w:rPr>
          <w:rStyle w:val="34"/>
          <w:rFonts w:ascii="宋体" w:hAnsi="宋体"/>
          <w:highlight w:val="none"/>
        </w:rPr>
        <w:tab/>
      </w:r>
      <w:r>
        <w:rPr>
          <w:rStyle w:val="34"/>
          <w:rFonts w:ascii="宋体" w:hAnsi="宋体"/>
          <w:highlight w:val="none"/>
        </w:rPr>
        <w:t>月</w:t>
      </w:r>
      <w:r>
        <w:rPr>
          <w:rStyle w:val="34"/>
          <w:rFonts w:ascii="宋体" w:hAnsi="宋体"/>
          <w:highlight w:val="none"/>
        </w:rPr>
        <w:tab/>
      </w:r>
      <w:r>
        <w:rPr>
          <w:rStyle w:val="34"/>
          <w:rFonts w:ascii="宋体" w:hAnsi="宋体"/>
          <w:highlight w:val="none"/>
        </w:rPr>
        <w:t>日</w:t>
      </w:r>
    </w:p>
    <w:p w14:paraId="32944433">
      <w:pPr>
        <w:tabs>
          <w:tab w:val="left" w:pos="3668"/>
        </w:tabs>
        <w:spacing w:line="360" w:lineRule="auto"/>
        <w:ind w:left="938" w:right="32" w:rightChars="0"/>
        <w:jc w:val="left"/>
        <w:rPr>
          <w:rStyle w:val="34"/>
          <w:rFonts w:ascii="宋体" w:hAnsi="宋体"/>
          <w:spacing w:val="-17"/>
          <w:highlight w:val="none"/>
        </w:rPr>
      </w:pPr>
      <w:r>
        <w:rPr>
          <w:rStyle w:val="34"/>
          <w:rFonts w:ascii="宋体" w:hAnsi="宋体"/>
          <w:highlight w:val="none"/>
        </w:rPr>
        <w:t>乙方：</w:t>
      </w:r>
      <w:r>
        <w:rPr>
          <w:rStyle w:val="34"/>
          <w:rFonts w:ascii="宋体" w:hAnsi="宋体"/>
          <w:highlight w:val="none"/>
          <w:u w:val="single"/>
        </w:rPr>
        <w:t xml:space="preserve">       </w:t>
      </w:r>
      <w:r>
        <w:rPr>
          <w:rStyle w:val="34"/>
          <w:rFonts w:hint="eastAsia" w:ascii="宋体" w:hAnsi="宋体"/>
          <w:highlight w:val="none"/>
          <w:u w:val="single"/>
          <w:lang w:val="en-US" w:eastAsia="zh-CN"/>
        </w:rPr>
        <w:t xml:space="preserve">            </w:t>
      </w:r>
      <w:r>
        <w:rPr>
          <w:rStyle w:val="34"/>
          <w:rFonts w:ascii="宋体" w:hAnsi="宋体"/>
          <w:highlight w:val="none"/>
          <w:u w:val="single"/>
        </w:rPr>
        <w:t xml:space="preserve">    </w:t>
      </w:r>
      <w:r>
        <w:rPr>
          <w:rStyle w:val="34"/>
          <w:rFonts w:ascii="宋体" w:hAnsi="宋体"/>
          <w:highlight w:val="none"/>
        </w:rPr>
        <w:t>（盖章</w:t>
      </w:r>
      <w:r>
        <w:rPr>
          <w:rStyle w:val="34"/>
          <w:rFonts w:ascii="宋体" w:hAnsi="宋体"/>
          <w:spacing w:val="-17"/>
          <w:highlight w:val="none"/>
        </w:rPr>
        <w:t xml:space="preserve">） </w:t>
      </w:r>
    </w:p>
    <w:p w14:paraId="5351F06B">
      <w:pPr>
        <w:tabs>
          <w:tab w:val="left" w:pos="3668"/>
        </w:tabs>
        <w:spacing w:line="360" w:lineRule="auto"/>
        <w:ind w:left="938" w:right="5775"/>
        <w:jc w:val="left"/>
        <w:rPr>
          <w:rStyle w:val="34"/>
          <w:rFonts w:hint="default" w:ascii="宋体" w:hAnsi="宋体" w:eastAsia="宋体"/>
          <w:highlight w:val="none"/>
          <w:u w:val="single"/>
          <w:lang w:val="en-US" w:eastAsia="zh-CN"/>
        </w:rPr>
      </w:pPr>
      <w:r>
        <w:rPr>
          <w:rStyle w:val="34"/>
          <w:rFonts w:ascii="宋体" w:hAnsi="宋体"/>
          <w:highlight w:val="none"/>
        </w:rPr>
        <w:t>法定代表人：</w:t>
      </w:r>
      <w:r>
        <w:rPr>
          <w:rStyle w:val="34"/>
          <w:rFonts w:hint="eastAsia" w:ascii="宋体" w:hAnsi="宋体"/>
          <w:highlight w:val="none"/>
          <w:u w:val="single"/>
          <w:lang w:val="en-US" w:eastAsia="zh-CN"/>
        </w:rPr>
        <w:t xml:space="preserve">                  </w:t>
      </w:r>
    </w:p>
    <w:p w14:paraId="1C5BD9DD">
      <w:pPr>
        <w:spacing w:line="360" w:lineRule="auto"/>
        <w:ind w:left="938" w:right="-22"/>
        <w:jc w:val="left"/>
        <w:rPr>
          <w:rStyle w:val="34"/>
          <w:rFonts w:ascii="宋体" w:hAnsi="宋体"/>
          <w:highlight w:val="none"/>
        </w:rPr>
      </w:pPr>
      <w:r>
        <w:rPr>
          <w:rStyle w:val="34"/>
          <w:rFonts w:ascii="宋体" w:hAnsi="宋体"/>
          <w:highlight w:val="none"/>
        </w:rPr>
        <w:t xml:space="preserve">开户行： </w:t>
      </w:r>
      <w:r>
        <w:rPr>
          <w:rStyle w:val="34"/>
          <w:rFonts w:hint="eastAsia" w:ascii="宋体" w:hAnsi="宋体"/>
          <w:highlight w:val="none"/>
          <w:lang w:val="en-US" w:eastAsia="zh-CN"/>
        </w:rPr>
        <w:t xml:space="preserve">                </w:t>
      </w:r>
      <w:r>
        <w:rPr>
          <w:rStyle w:val="34"/>
          <w:rFonts w:ascii="宋体" w:hAnsi="宋体"/>
          <w:highlight w:val="none"/>
        </w:rPr>
        <w:t xml:space="preserve">户 名 ： </w:t>
      </w:r>
      <w:r>
        <w:rPr>
          <w:rStyle w:val="34"/>
          <w:rFonts w:hint="eastAsia" w:ascii="宋体" w:hAnsi="宋体"/>
          <w:highlight w:val="none"/>
          <w:lang w:val="en-US" w:eastAsia="zh-CN"/>
        </w:rPr>
        <w:t xml:space="preserve">                   </w:t>
      </w:r>
      <w:r>
        <w:rPr>
          <w:rStyle w:val="34"/>
          <w:rFonts w:ascii="宋体" w:hAnsi="宋体"/>
          <w:highlight w:val="none"/>
        </w:rPr>
        <w:t>账号：</w:t>
      </w:r>
    </w:p>
    <w:p w14:paraId="7132C3AB">
      <w:pPr>
        <w:tabs>
          <w:tab w:val="left" w:pos="2304"/>
          <w:tab w:val="left" w:pos="2724"/>
          <w:tab w:val="left" w:pos="3143"/>
        </w:tabs>
        <w:spacing w:line="360" w:lineRule="auto"/>
        <w:ind w:left="938"/>
        <w:jc w:val="left"/>
        <w:rPr>
          <w:rStyle w:val="34"/>
          <w:rFonts w:ascii="宋体" w:hAnsi="宋体"/>
          <w:highlight w:val="none"/>
        </w:rPr>
      </w:pPr>
      <w:r>
        <w:rPr>
          <w:rStyle w:val="34"/>
          <w:rFonts w:ascii="宋体" w:hAnsi="宋体"/>
          <w:highlight w:val="none"/>
        </w:rPr>
        <w:t>签订时间：</w:t>
      </w:r>
      <w:r>
        <w:rPr>
          <w:rStyle w:val="34"/>
          <w:rFonts w:ascii="宋体" w:hAnsi="宋体"/>
          <w:highlight w:val="none"/>
        </w:rPr>
        <w:tab/>
      </w:r>
      <w:r>
        <w:rPr>
          <w:rStyle w:val="34"/>
          <w:rFonts w:ascii="宋体" w:hAnsi="宋体"/>
          <w:highlight w:val="none"/>
        </w:rPr>
        <w:t>年</w:t>
      </w:r>
      <w:r>
        <w:rPr>
          <w:rStyle w:val="34"/>
          <w:rFonts w:ascii="宋体" w:hAnsi="宋体"/>
          <w:highlight w:val="none"/>
        </w:rPr>
        <w:tab/>
      </w:r>
      <w:r>
        <w:rPr>
          <w:rStyle w:val="34"/>
          <w:rFonts w:ascii="宋体" w:hAnsi="宋体"/>
          <w:highlight w:val="none"/>
        </w:rPr>
        <w:t>月</w:t>
      </w:r>
      <w:r>
        <w:rPr>
          <w:rStyle w:val="34"/>
          <w:rFonts w:ascii="宋体" w:hAnsi="宋体"/>
          <w:highlight w:val="none"/>
        </w:rPr>
        <w:tab/>
      </w:r>
      <w:r>
        <w:rPr>
          <w:rStyle w:val="34"/>
          <w:rFonts w:ascii="宋体" w:hAnsi="宋体"/>
          <w:highlight w:val="none"/>
        </w:rPr>
        <w:t>日</w:t>
      </w:r>
    </w:p>
    <w:p w14:paraId="0AD23C8B">
      <w:pPr>
        <w:pStyle w:val="8"/>
        <w:pageBreakBefore w:val="0"/>
        <w:kinsoku/>
        <w:overflowPunct/>
        <w:topLinePunct w:val="0"/>
        <w:bidi w:val="0"/>
        <w:spacing w:line="440" w:lineRule="exact"/>
        <w:ind w:firstLine="800" w:firstLineChars="250"/>
        <w:rPr>
          <w:rFonts w:hint="default" w:ascii="宋体" w:hAnsi="宋体" w:eastAsia="宋体" w:cs="宋体"/>
          <w:highlight w:val="none"/>
          <w:lang w:val="en-US" w:eastAsia="zh-CN"/>
        </w:rPr>
      </w:pPr>
    </w:p>
    <w:p w14:paraId="2188D6A1">
      <w:pPr>
        <w:pageBreakBefore w:val="0"/>
        <w:kinsoku/>
        <w:overflowPunct/>
        <w:topLinePunct w:val="0"/>
        <w:autoSpaceDE w:val="0"/>
        <w:autoSpaceDN w:val="0"/>
        <w:bidi w:val="0"/>
        <w:adjustRightInd w:val="0"/>
        <w:spacing w:line="440" w:lineRule="exact"/>
        <w:rPr>
          <w:rFonts w:hint="eastAsia" w:ascii="宋体" w:hAnsi="宋体" w:eastAsia="宋体" w:cs="宋体"/>
          <w:color w:val="000000"/>
          <w:sz w:val="24"/>
          <w:szCs w:val="24"/>
          <w:highlight w:val="none"/>
        </w:rPr>
      </w:pPr>
    </w:p>
    <w:p w14:paraId="03F4666B">
      <w:pPr>
        <w:pageBreakBefore w:val="0"/>
        <w:kinsoku/>
        <w:overflowPunct/>
        <w:topLinePunct w:val="0"/>
        <w:bidi w:val="0"/>
        <w:spacing w:line="440" w:lineRule="exact"/>
        <w:rPr>
          <w:rFonts w:hint="eastAsia" w:ascii="宋体" w:hAnsi="宋体" w:eastAsia="宋体" w:cs="宋体"/>
          <w:kern w:val="0"/>
          <w:sz w:val="28"/>
          <w:szCs w:val="28"/>
          <w:highlight w:val="none"/>
        </w:rPr>
      </w:pPr>
      <w:r>
        <w:rPr>
          <w:rFonts w:hint="eastAsia" w:ascii="宋体" w:hAnsi="宋体" w:eastAsia="宋体" w:cs="宋体"/>
          <w:color w:val="000000"/>
          <w:highlight w:val="none"/>
        </w:rPr>
        <w:br w:type="page"/>
      </w:r>
    </w:p>
    <w:p w14:paraId="2379C20E">
      <w:pPr>
        <w:pageBreakBefore w:val="0"/>
        <w:numPr>
          <w:ilvl w:val="0"/>
          <w:numId w:val="6"/>
        </w:numPr>
        <w:kinsoku/>
        <w:overflowPunct/>
        <w:topLinePunct w:val="0"/>
        <w:bidi w:val="0"/>
        <w:spacing w:line="440" w:lineRule="exact"/>
        <w:ind w:left="0" w:leftChars="0" w:firstLine="0" w:firstLineChars="0"/>
        <w:jc w:val="center"/>
        <w:outlineLvl w:val="0"/>
        <w:rPr>
          <w:rFonts w:hint="eastAsia" w:ascii="宋体" w:hAnsi="宋体" w:eastAsia="宋体" w:cs="宋体"/>
          <w:b/>
          <w:bCs/>
          <w:color w:val="000000"/>
          <w:sz w:val="36"/>
          <w:szCs w:val="36"/>
          <w:highlight w:val="none"/>
        </w:rPr>
      </w:pPr>
      <w:bookmarkStart w:id="27" w:name="_Toc27921"/>
      <w:r>
        <w:rPr>
          <w:rFonts w:hint="eastAsia" w:ascii="宋体" w:hAnsi="宋体" w:eastAsia="宋体" w:cs="宋体"/>
          <w:b/>
          <w:bCs/>
          <w:color w:val="000000"/>
          <w:sz w:val="36"/>
          <w:szCs w:val="36"/>
          <w:highlight w:val="none"/>
        </w:rPr>
        <w:t>采购需求</w:t>
      </w:r>
      <w:bookmarkEnd w:id="27"/>
    </w:p>
    <w:p w14:paraId="396F30FF">
      <w:pPr>
        <w:spacing w:line="560" w:lineRule="exact"/>
        <w:rPr>
          <w:rStyle w:val="34"/>
          <w:rFonts w:ascii="仿宋_GB2312" w:eastAsia="仿宋_GB2312"/>
          <w:sz w:val="32"/>
          <w:szCs w:val="32"/>
        </w:rPr>
      </w:pPr>
      <w:bookmarkStart w:id="28" w:name="_Toc28123"/>
      <w:bookmarkStart w:id="29" w:name="_Toc17726"/>
      <w:r>
        <w:rPr>
          <w:rFonts w:hint="eastAsia" w:ascii="宋体" w:hAnsi="宋体" w:eastAsia="宋体" w:cs="宋体"/>
          <w:b/>
          <w:color w:val="000000"/>
          <w:sz w:val="21"/>
          <w:szCs w:val="21"/>
          <w:highlight w:val="none"/>
          <w:lang w:val="en-US" w:eastAsia="zh-CN"/>
        </w:rPr>
        <w:t xml:space="preserve">    </w:t>
      </w:r>
    </w:p>
    <w:p w14:paraId="11BDCD6F">
      <w:pPr>
        <w:keepNext w:val="0"/>
        <w:keepLines w:val="0"/>
        <w:pageBreakBefore w:val="0"/>
        <w:widowControl w:val="0"/>
        <w:kinsoku/>
        <w:wordWrap/>
        <w:overflowPunct/>
        <w:topLinePunct w:val="0"/>
        <w:autoSpaceDE/>
        <w:autoSpaceDN/>
        <w:bidi w:val="0"/>
        <w:adjustRightInd/>
        <w:snapToGrid/>
        <w:spacing w:line="440" w:lineRule="exact"/>
        <w:ind w:left="0" w:right="0" w:firstLine="640" w:firstLineChars="200"/>
        <w:jc w:val="both"/>
        <w:textAlignment w:val="auto"/>
        <w:rPr>
          <w:rFonts w:hint="eastAsia" w:ascii="宋体" w:hAnsi="宋体" w:eastAsia="宋体" w:cs="宋体"/>
          <w:b/>
          <w:color w:val="000000"/>
          <w:sz w:val="21"/>
          <w:szCs w:val="21"/>
          <w:highlight w:val="none"/>
          <w:lang w:val="en-US" w:eastAsia="zh-CN"/>
        </w:rPr>
      </w:pPr>
      <w:r>
        <w:rPr>
          <w:rStyle w:val="34"/>
          <w:rFonts w:hint="eastAsia" w:ascii="仿宋_GB2312" w:eastAsia="仿宋_GB2312"/>
          <w:sz w:val="32"/>
          <w:szCs w:val="32"/>
        </w:rPr>
        <w:t>确定的数量、质量及生产期限等标准进行生产，生产标准符合《机动车号牌监制规范》（GA/T1287-2016）质量要求。</w:t>
      </w:r>
      <w:r>
        <w:rPr>
          <w:rFonts w:hint="eastAsia" w:ascii="宋体" w:hAnsi="宋体" w:eastAsia="宋体" w:cs="宋体"/>
          <w:b/>
          <w:color w:val="000000"/>
          <w:sz w:val="21"/>
          <w:szCs w:val="21"/>
          <w:highlight w:val="none"/>
          <w:lang w:val="en-US" w:eastAsia="zh-CN"/>
        </w:rPr>
        <w:t xml:space="preserve">  </w:t>
      </w:r>
    </w:p>
    <w:p w14:paraId="63A65720">
      <w:pPr>
        <w:spacing w:line="560" w:lineRule="exact"/>
        <w:ind w:firstLine="640" w:firstLineChars="200"/>
        <w:rPr>
          <w:rFonts w:hint="eastAsia" w:ascii="宋体" w:hAnsi="宋体" w:eastAsia="宋体" w:cs="宋体"/>
          <w:b/>
          <w:color w:val="000000"/>
          <w:sz w:val="21"/>
          <w:szCs w:val="21"/>
          <w:highlight w:val="none"/>
          <w:lang w:val="en-US" w:eastAsia="zh-CN"/>
        </w:rPr>
      </w:pPr>
      <w:r>
        <w:rPr>
          <w:rStyle w:val="34"/>
          <w:rFonts w:hint="eastAsia" w:ascii="仿宋_GB2312" w:eastAsia="仿宋_GB2312"/>
          <w:sz w:val="32"/>
          <w:szCs w:val="32"/>
        </w:rPr>
        <w:t>严格管理提供的数据、信息，因管理不善，造成数据信息等丢失、外泄，应承担相应法律责任。严守公安网络安全保密制度。</w:t>
      </w:r>
      <w:r>
        <w:rPr>
          <w:rFonts w:hint="eastAsia" w:ascii="宋体" w:hAnsi="宋体" w:eastAsia="宋体" w:cs="宋体"/>
          <w:b/>
          <w:color w:val="000000"/>
          <w:sz w:val="21"/>
          <w:szCs w:val="21"/>
          <w:highlight w:val="none"/>
          <w:lang w:val="en-US" w:eastAsia="zh-CN"/>
        </w:rPr>
        <w:t xml:space="preserve">  </w:t>
      </w:r>
    </w:p>
    <w:p w14:paraId="162516F1">
      <w:pPr>
        <w:bidi w:val="0"/>
        <w:rPr>
          <w:rFonts w:hint="eastAsia"/>
          <w:lang w:val="en-US" w:eastAsia="zh-CN"/>
        </w:rPr>
      </w:pPr>
    </w:p>
    <w:p w14:paraId="28AC74CF">
      <w:pPr>
        <w:tabs>
          <w:tab w:val="left" w:pos="657"/>
        </w:tabs>
        <w:bidi w:val="0"/>
        <w:jc w:val="left"/>
        <w:rPr>
          <w:rStyle w:val="34"/>
          <w:rFonts w:hint="eastAsia" w:ascii="仿宋_GB2312" w:hAnsi="Times New Roman" w:eastAsia="仿宋_GB2312" w:cs="Times New Roman"/>
          <w:sz w:val="32"/>
          <w:szCs w:val="32"/>
          <w:lang w:val="en-US" w:eastAsia="zh-CN"/>
        </w:rPr>
      </w:pPr>
      <w:r>
        <w:rPr>
          <w:rFonts w:hint="eastAsia"/>
          <w:lang w:val="en-US" w:eastAsia="zh-CN"/>
        </w:rPr>
        <w:tab/>
      </w:r>
      <w:r>
        <w:rPr>
          <w:rStyle w:val="34"/>
          <w:rFonts w:hint="eastAsia" w:ascii="仿宋_GB2312" w:hAnsi="Times New Roman" w:eastAsia="仿宋_GB2312" w:cs="Times New Roman"/>
          <w:sz w:val="32"/>
          <w:szCs w:val="32"/>
          <w:lang w:val="en-US" w:eastAsia="zh-CN"/>
        </w:rPr>
        <w:t>车辆信息提供完成之后，</w:t>
      </w:r>
      <w:r>
        <w:rPr>
          <w:rStyle w:val="34"/>
          <w:rFonts w:hint="eastAsia" w:ascii="仿宋_GB2312" w:hAnsi="Times New Roman" w:eastAsia="仿宋_GB2312" w:cs="Times New Roman"/>
          <w:sz w:val="32"/>
          <w:szCs w:val="32"/>
        </w:rPr>
        <w:t>机动车号牌</w:t>
      </w:r>
      <w:r>
        <w:rPr>
          <w:rStyle w:val="34"/>
          <w:rFonts w:hint="eastAsia" w:ascii="仿宋_GB2312" w:hAnsi="Times New Roman" w:eastAsia="仿宋_GB2312" w:cs="Times New Roman"/>
          <w:sz w:val="32"/>
          <w:szCs w:val="32"/>
          <w:lang w:val="en-US" w:eastAsia="zh-CN"/>
        </w:rPr>
        <w:t>应在半个小时之内制作完成并送到采购人指定地点。</w:t>
      </w:r>
    </w:p>
    <w:p w14:paraId="1393FA53">
      <w:pPr>
        <w:tabs>
          <w:tab w:val="left" w:pos="657"/>
        </w:tabs>
        <w:bidi w:val="0"/>
        <w:jc w:val="left"/>
        <w:rPr>
          <w:rStyle w:val="34"/>
          <w:rFonts w:hint="default" w:ascii="仿宋_GB2312" w:hAnsi="Times New Roman" w:eastAsia="仿宋_GB2312" w:cs="Times New Roman"/>
          <w:sz w:val="32"/>
          <w:szCs w:val="32"/>
          <w:lang w:val="en-US" w:eastAsia="zh-CN"/>
        </w:rPr>
      </w:pPr>
      <w:r>
        <w:rPr>
          <w:rStyle w:val="34"/>
          <w:rFonts w:hint="eastAsia" w:ascii="仿宋_GB2312" w:hAnsi="Times New Roman" w:eastAsia="仿宋_GB2312" w:cs="Times New Roman"/>
          <w:sz w:val="32"/>
          <w:szCs w:val="32"/>
          <w:lang w:val="en-US" w:eastAsia="zh-CN"/>
        </w:rPr>
        <w:t xml:space="preserve">    本项目预计三年委托加工</w:t>
      </w:r>
      <w:r>
        <w:rPr>
          <w:rStyle w:val="34"/>
          <w:rFonts w:hint="eastAsia" w:ascii="仿宋_GB2312" w:eastAsia="仿宋_GB2312"/>
          <w:sz w:val="32"/>
          <w:szCs w:val="32"/>
        </w:rPr>
        <w:t>机动车号牌</w:t>
      </w:r>
      <w:r>
        <w:rPr>
          <w:rStyle w:val="34"/>
          <w:rFonts w:hint="eastAsia" w:ascii="仿宋_GB2312" w:hAnsi="Times New Roman" w:eastAsia="仿宋_GB2312" w:cs="Times New Roman"/>
          <w:sz w:val="32"/>
          <w:szCs w:val="32"/>
          <w:lang w:val="en-US" w:eastAsia="zh-CN"/>
        </w:rPr>
        <w:t>为36000副，单副加工</w:t>
      </w:r>
      <w:r>
        <w:rPr>
          <w:rStyle w:val="34"/>
          <w:rFonts w:hint="eastAsia" w:ascii="仿宋_GB2312" w:eastAsia="仿宋_GB2312"/>
          <w:sz w:val="32"/>
          <w:szCs w:val="32"/>
        </w:rPr>
        <w:t>机动车号牌</w:t>
      </w:r>
      <w:r>
        <w:rPr>
          <w:rStyle w:val="34"/>
          <w:rFonts w:hint="eastAsia" w:ascii="仿宋_GB2312" w:eastAsia="仿宋_GB2312"/>
          <w:sz w:val="32"/>
          <w:szCs w:val="32"/>
          <w:lang w:val="en-US"/>
        </w:rPr>
        <w:t>费用为100元共计360万元。供应商报价应为投标单价乘以36000副得到的总价。</w:t>
      </w:r>
    </w:p>
    <w:p w14:paraId="234E57B2">
      <w:pPr>
        <w:tabs>
          <w:tab w:val="left" w:pos="657"/>
        </w:tabs>
        <w:bidi w:val="0"/>
        <w:jc w:val="left"/>
        <w:rPr>
          <w:rStyle w:val="34"/>
          <w:rFonts w:hint="default" w:ascii="仿宋_GB2312" w:hAnsi="Times New Roman" w:eastAsia="仿宋_GB2312" w:cs="Times New Roman"/>
          <w:sz w:val="32"/>
          <w:szCs w:val="32"/>
          <w:lang w:val="en-US" w:eastAsia="zh-CN"/>
        </w:rPr>
        <w:sectPr>
          <w:pgSz w:w="11900" w:h="16838"/>
          <w:pgMar w:top="1440" w:right="1800" w:bottom="1440" w:left="1800" w:header="720" w:footer="1440" w:gutter="0"/>
          <w:pgBorders>
            <w:top w:val="none" w:sz="0" w:space="0"/>
            <w:left w:val="none" w:sz="0" w:space="0"/>
            <w:bottom w:val="none" w:sz="0" w:space="0"/>
            <w:right w:val="none" w:sz="0" w:space="0"/>
          </w:pgBorders>
          <w:pgNumType w:fmt="decimal"/>
          <w:cols w:space="720" w:num="1"/>
        </w:sectPr>
      </w:pPr>
      <w:r>
        <w:rPr>
          <w:rStyle w:val="34"/>
          <w:rFonts w:hint="eastAsia" w:ascii="仿宋_GB2312" w:hAnsi="Times New Roman" w:eastAsia="仿宋_GB2312" w:cs="Times New Roman"/>
          <w:sz w:val="32"/>
          <w:szCs w:val="32"/>
          <w:lang w:val="en-US" w:eastAsia="zh-CN"/>
        </w:rPr>
        <w:t xml:space="preserve">    </w:t>
      </w:r>
    </w:p>
    <w:bookmarkEnd w:id="28"/>
    <w:bookmarkEnd w:id="29"/>
    <w:p w14:paraId="3C99690E">
      <w:pPr>
        <w:pageBreakBefore w:val="0"/>
        <w:kinsoku/>
        <w:overflowPunct/>
        <w:topLinePunct w:val="0"/>
        <w:bidi w:val="0"/>
        <w:spacing w:line="440" w:lineRule="exact"/>
        <w:rPr>
          <w:rFonts w:hint="eastAsia" w:ascii="宋体" w:hAnsi="宋体" w:eastAsia="宋体" w:cs="宋体"/>
          <w:color w:val="000000"/>
          <w:sz w:val="36"/>
          <w:szCs w:val="36"/>
          <w:highlight w:val="none"/>
          <w:lang w:val="zh-CN"/>
        </w:rPr>
      </w:pPr>
      <w:bookmarkStart w:id="30" w:name="_Toc21815"/>
    </w:p>
    <w:p w14:paraId="185FC173">
      <w:pPr>
        <w:pStyle w:val="18"/>
        <w:pageBreakBefore w:val="0"/>
        <w:kinsoku/>
        <w:overflowPunct/>
        <w:topLinePunct w:val="0"/>
        <w:bidi w:val="0"/>
        <w:spacing w:line="440" w:lineRule="exact"/>
        <w:jc w:val="center"/>
        <w:rPr>
          <w:rFonts w:hint="eastAsia" w:ascii="宋体" w:hAnsi="宋体" w:eastAsia="宋体" w:cs="宋体"/>
          <w:color w:val="000000"/>
          <w:highlight w:val="none"/>
          <w:lang w:val="zh-CN"/>
        </w:rPr>
      </w:pPr>
      <w:bookmarkStart w:id="31" w:name="_Toc25832"/>
      <w:r>
        <w:rPr>
          <w:rFonts w:hint="eastAsia" w:ascii="宋体" w:hAnsi="宋体" w:eastAsia="宋体" w:cs="宋体"/>
          <w:color w:val="000000"/>
          <w:sz w:val="36"/>
          <w:szCs w:val="36"/>
          <w:highlight w:val="none"/>
          <w:lang w:val="zh-CN"/>
        </w:rPr>
        <w:t>第六章 投标文件格式</w:t>
      </w:r>
      <w:bookmarkEnd w:id="30"/>
      <w:bookmarkEnd w:id="31"/>
    </w:p>
    <w:p w14:paraId="223B0AFB">
      <w:pPr>
        <w:pageBreakBefore w:val="0"/>
        <w:kinsoku/>
        <w:overflowPunct/>
        <w:topLinePunct w:val="0"/>
        <w:bidi w:val="0"/>
        <w:snapToGrid w:val="0"/>
        <w:spacing w:line="440" w:lineRule="exact"/>
        <w:jc w:val="center"/>
        <w:rPr>
          <w:rFonts w:hint="eastAsia" w:ascii="宋体" w:hAnsi="宋体" w:eastAsia="宋体" w:cs="宋体"/>
          <w:color w:val="000000"/>
          <w:kern w:val="0"/>
          <w:highlight w:val="none"/>
        </w:rPr>
      </w:pPr>
    </w:p>
    <w:p w14:paraId="7CD058F8">
      <w:pPr>
        <w:pStyle w:val="16"/>
        <w:pageBreakBefore w:val="0"/>
        <w:kinsoku/>
        <w:overflowPunct/>
        <w:topLinePunct w:val="0"/>
        <w:bidi w:val="0"/>
        <w:snapToGrid w:val="0"/>
        <w:spacing w:line="440" w:lineRule="exact"/>
        <w:jc w:val="right"/>
        <w:outlineLvl w:val="0"/>
        <w:rPr>
          <w:rFonts w:hint="eastAsia" w:ascii="宋体" w:hAnsi="宋体" w:eastAsia="宋体" w:cs="宋体"/>
          <w:b/>
          <w:bCs/>
          <w:color w:val="000000"/>
          <w:sz w:val="32"/>
          <w:szCs w:val="32"/>
          <w:highlight w:val="none"/>
        </w:rPr>
      </w:pPr>
      <w:bookmarkStart w:id="32" w:name="_Toc22080"/>
      <w:bookmarkStart w:id="33" w:name="_Toc1921"/>
      <w:r>
        <w:rPr>
          <w:rFonts w:hint="eastAsia" w:ascii="宋体" w:hAnsi="宋体" w:eastAsia="宋体" w:cs="宋体"/>
          <w:b/>
          <w:bCs/>
          <w:color w:val="000000"/>
          <w:sz w:val="32"/>
          <w:szCs w:val="32"/>
          <w:highlight w:val="none"/>
        </w:rPr>
        <w:t>正本或副本</w:t>
      </w:r>
      <w:bookmarkEnd w:id="32"/>
      <w:bookmarkEnd w:id="33"/>
    </w:p>
    <w:p w14:paraId="7A7A9FDF">
      <w:pPr>
        <w:pageBreakBefore w:val="0"/>
        <w:kinsoku/>
        <w:overflowPunct/>
        <w:topLinePunct w:val="0"/>
        <w:bidi w:val="0"/>
        <w:spacing w:line="440" w:lineRule="exact"/>
        <w:rPr>
          <w:rFonts w:hint="eastAsia" w:ascii="宋体" w:hAnsi="宋体" w:eastAsia="宋体" w:cs="宋体"/>
        </w:rPr>
      </w:pPr>
    </w:p>
    <w:p w14:paraId="22F3FF96">
      <w:pPr>
        <w:pStyle w:val="16"/>
        <w:pageBreakBefore w:val="0"/>
        <w:kinsoku/>
        <w:overflowPunct/>
        <w:topLinePunct w:val="0"/>
        <w:bidi w:val="0"/>
        <w:snapToGrid w:val="0"/>
        <w:spacing w:line="440" w:lineRule="exact"/>
        <w:jc w:val="center"/>
        <w:outlineLvl w:val="0"/>
        <w:rPr>
          <w:rFonts w:hint="eastAsia" w:ascii="宋体" w:hAnsi="宋体" w:eastAsia="宋体" w:cs="宋体"/>
          <w:b/>
          <w:bCs/>
          <w:color w:val="000000"/>
          <w:sz w:val="44"/>
          <w:szCs w:val="44"/>
          <w:highlight w:val="none"/>
        </w:rPr>
      </w:pPr>
      <w:bookmarkStart w:id="34" w:name="_Toc25217"/>
      <w:r>
        <w:rPr>
          <w:rFonts w:hint="eastAsia" w:ascii="宋体" w:hAnsi="宋体" w:eastAsia="宋体" w:cs="宋体"/>
          <w:b/>
          <w:bCs/>
          <w:color w:val="000000"/>
          <w:sz w:val="36"/>
          <w:szCs w:val="36"/>
          <w:highlight w:val="none"/>
          <w:u w:val="single"/>
        </w:rPr>
        <w:t>（项目名称）</w:t>
      </w:r>
      <w:bookmarkEnd w:id="34"/>
    </w:p>
    <w:p w14:paraId="70CC13A3">
      <w:pPr>
        <w:pStyle w:val="16"/>
        <w:pageBreakBefore w:val="0"/>
        <w:kinsoku/>
        <w:overflowPunct/>
        <w:topLinePunct w:val="0"/>
        <w:bidi w:val="0"/>
        <w:snapToGrid w:val="0"/>
        <w:spacing w:line="440" w:lineRule="exact"/>
        <w:jc w:val="center"/>
        <w:rPr>
          <w:rFonts w:hint="eastAsia" w:ascii="宋体" w:hAnsi="宋体" w:eastAsia="宋体" w:cs="宋体"/>
          <w:color w:val="000000"/>
          <w:highlight w:val="none"/>
        </w:rPr>
      </w:pPr>
    </w:p>
    <w:p w14:paraId="78493263">
      <w:pPr>
        <w:pageBreakBefore w:val="0"/>
        <w:kinsoku/>
        <w:overflowPunct/>
        <w:topLinePunct w:val="0"/>
        <w:bidi w:val="0"/>
        <w:spacing w:line="440" w:lineRule="exact"/>
        <w:rPr>
          <w:rFonts w:hint="eastAsia" w:ascii="宋体" w:hAnsi="宋体" w:eastAsia="宋体" w:cs="宋体"/>
        </w:rPr>
      </w:pPr>
    </w:p>
    <w:p w14:paraId="51C274EB">
      <w:pPr>
        <w:pStyle w:val="16"/>
        <w:pageBreakBefore w:val="0"/>
        <w:kinsoku/>
        <w:overflowPunct/>
        <w:topLinePunct w:val="0"/>
        <w:bidi w:val="0"/>
        <w:snapToGrid w:val="0"/>
        <w:spacing w:line="440" w:lineRule="exact"/>
        <w:jc w:val="center"/>
        <w:outlineLvl w:val="0"/>
        <w:rPr>
          <w:rFonts w:hint="eastAsia" w:ascii="宋体" w:hAnsi="宋体" w:eastAsia="宋体" w:cs="宋体"/>
          <w:b/>
          <w:bCs/>
          <w:color w:val="000000"/>
          <w:sz w:val="52"/>
          <w:szCs w:val="52"/>
          <w:highlight w:val="none"/>
        </w:rPr>
      </w:pPr>
      <w:bookmarkStart w:id="35" w:name="_Toc12946"/>
      <w:bookmarkStart w:id="36" w:name="_Toc26466"/>
      <w:r>
        <w:rPr>
          <w:rFonts w:hint="eastAsia" w:ascii="宋体" w:hAnsi="宋体" w:eastAsia="宋体" w:cs="宋体"/>
          <w:b/>
          <w:bCs/>
          <w:color w:val="000000"/>
          <w:sz w:val="44"/>
          <w:szCs w:val="44"/>
          <w:highlight w:val="none"/>
        </w:rPr>
        <w:t>投 标 文 件</w:t>
      </w:r>
      <w:bookmarkEnd w:id="35"/>
      <w:bookmarkEnd w:id="36"/>
    </w:p>
    <w:p w14:paraId="69BB7E05">
      <w:pPr>
        <w:pStyle w:val="16"/>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p>
    <w:p w14:paraId="1BE47B39">
      <w:pPr>
        <w:pStyle w:val="16"/>
        <w:pageBreakBefore w:val="0"/>
        <w:kinsoku/>
        <w:overflowPunct/>
        <w:topLinePunct w:val="0"/>
        <w:bidi w:val="0"/>
        <w:snapToGrid w:val="0"/>
        <w:spacing w:line="440" w:lineRule="exact"/>
        <w:jc w:val="center"/>
        <w:rPr>
          <w:rFonts w:hint="eastAsia" w:ascii="宋体" w:hAnsi="宋体" w:eastAsia="宋体" w:cs="宋体"/>
          <w:color w:val="000000"/>
          <w:highlight w:val="none"/>
          <w:lang w:eastAsia="zh-CN"/>
        </w:rPr>
      </w:pPr>
      <w:r>
        <w:rPr>
          <w:rFonts w:hint="eastAsia" w:ascii="宋体" w:hAnsi="宋体" w:eastAsia="宋体" w:cs="宋体"/>
          <w:sz w:val="28"/>
          <w:szCs w:val="44"/>
          <w:lang w:val="en-US" w:eastAsia="zh-CN"/>
        </w:rPr>
        <w:t>项目</w:t>
      </w:r>
      <w:r>
        <w:rPr>
          <w:rFonts w:hint="eastAsia" w:ascii="宋体" w:hAnsi="宋体" w:eastAsia="宋体" w:cs="宋体"/>
          <w:sz w:val="28"/>
          <w:szCs w:val="44"/>
        </w:rPr>
        <w:t>编号</w:t>
      </w:r>
      <w:r>
        <w:rPr>
          <w:rFonts w:hint="eastAsia" w:ascii="宋体" w:hAnsi="宋体" w:eastAsia="宋体" w:cs="宋体"/>
          <w:sz w:val="28"/>
          <w:szCs w:val="44"/>
          <w:lang w:eastAsia="zh-CN"/>
        </w:rPr>
        <w:t>：</w:t>
      </w:r>
    </w:p>
    <w:p w14:paraId="00835A32">
      <w:pPr>
        <w:pageBreakBefore w:val="0"/>
        <w:kinsoku/>
        <w:overflowPunct/>
        <w:topLinePunct w:val="0"/>
        <w:bidi w:val="0"/>
        <w:snapToGrid w:val="0"/>
        <w:spacing w:line="440" w:lineRule="exact"/>
        <w:rPr>
          <w:rFonts w:hint="eastAsia" w:ascii="宋体" w:hAnsi="宋体" w:eastAsia="宋体" w:cs="宋体"/>
          <w:color w:val="000000"/>
          <w:highlight w:val="none"/>
        </w:rPr>
      </w:pPr>
    </w:p>
    <w:p w14:paraId="3D0F8280">
      <w:pPr>
        <w:pageBreakBefore w:val="0"/>
        <w:kinsoku/>
        <w:overflowPunct/>
        <w:topLinePunct w:val="0"/>
        <w:bidi w:val="0"/>
        <w:spacing w:line="440" w:lineRule="exact"/>
        <w:rPr>
          <w:rFonts w:hint="eastAsia" w:ascii="宋体" w:hAnsi="宋体" w:eastAsia="宋体" w:cs="宋体"/>
        </w:rPr>
      </w:pPr>
      <w:bookmarkStart w:id="37" w:name="_Toc11848"/>
    </w:p>
    <w:p w14:paraId="5E7B1D89">
      <w:pPr>
        <w:pageBreakBefore w:val="0"/>
        <w:kinsoku/>
        <w:overflowPunct/>
        <w:topLinePunct w:val="0"/>
        <w:bidi w:val="0"/>
        <w:spacing w:line="440" w:lineRule="exact"/>
        <w:rPr>
          <w:rFonts w:hint="eastAsia" w:ascii="宋体" w:hAnsi="宋体" w:eastAsia="宋体" w:cs="宋体"/>
        </w:rPr>
      </w:pPr>
    </w:p>
    <w:p w14:paraId="00BE3B4E">
      <w:pPr>
        <w:pageBreakBefore w:val="0"/>
        <w:kinsoku/>
        <w:overflowPunct/>
        <w:topLinePunct w:val="0"/>
        <w:bidi w:val="0"/>
        <w:spacing w:line="440" w:lineRule="exact"/>
        <w:rPr>
          <w:rFonts w:hint="eastAsia" w:ascii="宋体" w:hAnsi="宋体" w:eastAsia="宋体" w:cs="宋体"/>
        </w:rPr>
      </w:pPr>
    </w:p>
    <w:p w14:paraId="2F363E49">
      <w:pPr>
        <w:pageBreakBefore w:val="0"/>
        <w:kinsoku/>
        <w:overflowPunct/>
        <w:topLinePunct w:val="0"/>
        <w:bidi w:val="0"/>
        <w:spacing w:line="440" w:lineRule="exact"/>
        <w:rPr>
          <w:rFonts w:hint="eastAsia" w:ascii="宋体" w:hAnsi="宋体" w:eastAsia="宋体" w:cs="宋体"/>
        </w:rPr>
      </w:pPr>
    </w:p>
    <w:p w14:paraId="7BC3847E">
      <w:pPr>
        <w:pageBreakBefore w:val="0"/>
        <w:kinsoku/>
        <w:overflowPunct/>
        <w:topLinePunct w:val="0"/>
        <w:bidi w:val="0"/>
        <w:spacing w:line="440" w:lineRule="exact"/>
        <w:rPr>
          <w:rFonts w:hint="eastAsia" w:ascii="宋体" w:hAnsi="宋体" w:eastAsia="宋体" w:cs="宋体"/>
        </w:rPr>
      </w:pPr>
    </w:p>
    <w:p w14:paraId="3C1BDD79">
      <w:pPr>
        <w:pageBreakBefore w:val="0"/>
        <w:kinsoku/>
        <w:overflowPunct/>
        <w:topLinePunct w:val="0"/>
        <w:bidi w:val="0"/>
        <w:spacing w:line="440" w:lineRule="exact"/>
        <w:rPr>
          <w:rFonts w:hint="eastAsia" w:ascii="宋体" w:hAnsi="宋体" w:eastAsia="宋体" w:cs="宋体"/>
        </w:rPr>
      </w:pPr>
    </w:p>
    <w:p w14:paraId="0C495E30">
      <w:pPr>
        <w:pageBreakBefore w:val="0"/>
        <w:kinsoku/>
        <w:overflowPunct/>
        <w:topLinePunct w:val="0"/>
        <w:bidi w:val="0"/>
        <w:spacing w:line="440" w:lineRule="exact"/>
        <w:rPr>
          <w:rFonts w:hint="eastAsia" w:ascii="宋体" w:hAnsi="宋体" w:eastAsia="宋体" w:cs="宋体"/>
        </w:rPr>
      </w:pPr>
    </w:p>
    <w:p w14:paraId="5FAEB575">
      <w:pPr>
        <w:pageBreakBefore w:val="0"/>
        <w:kinsoku/>
        <w:overflowPunct/>
        <w:topLinePunct w:val="0"/>
        <w:bidi w:val="0"/>
        <w:spacing w:line="440" w:lineRule="exact"/>
        <w:rPr>
          <w:rFonts w:hint="eastAsia" w:ascii="宋体" w:hAnsi="宋体" w:eastAsia="宋体" w:cs="宋体"/>
        </w:rPr>
      </w:pPr>
    </w:p>
    <w:p w14:paraId="7A95F9B2">
      <w:pPr>
        <w:pageBreakBefore w:val="0"/>
        <w:kinsoku/>
        <w:overflowPunct/>
        <w:topLinePunct w:val="0"/>
        <w:bidi w:val="0"/>
        <w:spacing w:line="440" w:lineRule="exact"/>
        <w:rPr>
          <w:rFonts w:hint="eastAsia" w:ascii="宋体" w:hAnsi="宋体" w:eastAsia="宋体" w:cs="宋体"/>
        </w:rPr>
      </w:pPr>
    </w:p>
    <w:p w14:paraId="0C03E0C6">
      <w:pPr>
        <w:pageBreakBefore w:val="0"/>
        <w:kinsoku/>
        <w:overflowPunct/>
        <w:topLinePunct w:val="0"/>
        <w:bidi w:val="0"/>
        <w:snapToGrid w:val="0"/>
        <w:spacing w:line="440" w:lineRule="exact"/>
        <w:jc w:val="left"/>
        <w:outlineLvl w:val="0"/>
        <w:rPr>
          <w:rFonts w:hint="eastAsia" w:ascii="宋体" w:hAnsi="宋体" w:eastAsia="宋体" w:cs="宋体"/>
          <w:color w:val="000000"/>
          <w:sz w:val="28"/>
          <w:szCs w:val="28"/>
          <w:highlight w:val="none"/>
        </w:rPr>
      </w:pPr>
      <w:bookmarkStart w:id="38" w:name="_Toc25302"/>
      <w:r>
        <w:rPr>
          <w:rFonts w:hint="eastAsia" w:ascii="宋体" w:hAnsi="宋体" w:eastAsia="宋体" w:cs="宋体"/>
          <w:color w:val="000000"/>
          <w:sz w:val="28"/>
          <w:szCs w:val="28"/>
          <w:highlight w:val="none"/>
        </w:rPr>
        <w:t>投标人名称：(盖公章)</w:t>
      </w:r>
      <w:bookmarkEnd w:id="37"/>
      <w:bookmarkEnd w:id="38"/>
    </w:p>
    <w:p w14:paraId="171681AC">
      <w:pPr>
        <w:pageBreakBefore w:val="0"/>
        <w:kinsoku/>
        <w:overflowPunct/>
        <w:topLinePunct w:val="0"/>
        <w:bidi w:val="0"/>
        <w:snapToGrid w:val="0"/>
        <w:spacing w:line="440" w:lineRule="exact"/>
        <w:ind w:firstLine="957" w:firstLineChars="342"/>
        <w:rPr>
          <w:rFonts w:hint="eastAsia" w:ascii="宋体" w:hAnsi="宋体" w:eastAsia="宋体" w:cs="宋体"/>
          <w:color w:val="000000"/>
          <w:sz w:val="28"/>
          <w:szCs w:val="28"/>
          <w:highlight w:val="none"/>
          <w:u w:val="single"/>
        </w:rPr>
      </w:pPr>
    </w:p>
    <w:p w14:paraId="7B988DCA">
      <w:pPr>
        <w:pageBreakBefore w:val="0"/>
        <w:kinsoku/>
        <w:overflowPunct/>
        <w:topLinePunct w:val="0"/>
        <w:bidi w:val="0"/>
        <w:snapToGrid w:val="0"/>
        <w:spacing w:line="440" w:lineRule="exact"/>
        <w:outlineLvl w:val="0"/>
        <w:rPr>
          <w:rFonts w:hint="eastAsia" w:ascii="宋体" w:hAnsi="宋体" w:eastAsia="宋体" w:cs="宋体"/>
          <w:color w:val="000000"/>
          <w:sz w:val="28"/>
          <w:szCs w:val="28"/>
          <w:highlight w:val="none"/>
        </w:rPr>
      </w:pPr>
      <w:bookmarkStart w:id="39" w:name="_Toc13267"/>
      <w:bookmarkStart w:id="40" w:name="_Toc7977"/>
      <w:r>
        <w:rPr>
          <w:rFonts w:hint="eastAsia" w:ascii="宋体" w:hAnsi="宋体" w:eastAsia="宋体" w:cs="宋体"/>
          <w:color w:val="000000"/>
          <w:sz w:val="28"/>
          <w:szCs w:val="28"/>
          <w:highlight w:val="none"/>
        </w:rPr>
        <w:t>法定代表人或其授权委托代理人：(签字或盖章)</w:t>
      </w:r>
      <w:bookmarkEnd w:id="39"/>
      <w:bookmarkEnd w:id="40"/>
    </w:p>
    <w:p w14:paraId="305A1BA3">
      <w:pPr>
        <w:pStyle w:val="7"/>
        <w:pageBreakBefore w:val="0"/>
        <w:kinsoku/>
        <w:overflowPunct/>
        <w:topLinePunct w:val="0"/>
        <w:bidi w:val="0"/>
        <w:spacing w:line="440" w:lineRule="exact"/>
        <w:rPr>
          <w:rFonts w:hint="eastAsia" w:ascii="宋体" w:hAnsi="宋体" w:eastAsia="宋体" w:cs="宋体"/>
          <w:highlight w:val="none"/>
        </w:rPr>
      </w:pPr>
    </w:p>
    <w:p w14:paraId="08366241">
      <w:pPr>
        <w:pageBreakBefore w:val="0"/>
        <w:kinsoku/>
        <w:overflowPunct/>
        <w:topLinePunct w:val="0"/>
        <w:bidi w:val="0"/>
        <w:snapToGrid w:val="0"/>
        <w:spacing w:line="440" w:lineRule="exact"/>
        <w:jc w:val="center"/>
        <w:outlineLvl w:val="0"/>
        <w:rPr>
          <w:rFonts w:hint="eastAsia" w:ascii="宋体" w:hAnsi="宋体" w:eastAsia="宋体" w:cs="宋体"/>
          <w:color w:val="000000"/>
          <w:sz w:val="28"/>
          <w:szCs w:val="28"/>
          <w:highlight w:val="none"/>
        </w:rPr>
      </w:pPr>
      <w:bookmarkStart w:id="41" w:name="_Toc27899"/>
      <w:bookmarkStart w:id="42" w:name="_Toc4589"/>
      <w:r>
        <w:rPr>
          <w:rFonts w:hint="eastAsia" w:ascii="宋体" w:hAnsi="宋体" w:eastAsia="宋体" w:cs="宋体"/>
          <w:color w:val="000000"/>
          <w:sz w:val="28"/>
          <w:szCs w:val="28"/>
          <w:highlight w:val="none"/>
        </w:rPr>
        <w:t>年    月    日</w:t>
      </w:r>
      <w:bookmarkEnd w:id="41"/>
      <w:bookmarkEnd w:id="42"/>
    </w:p>
    <w:p w14:paraId="11797AE0">
      <w:pPr>
        <w:pageBreakBefore w:val="0"/>
        <w:kinsoku/>
        <w:overflowPunct/>
        <w:topLinePunct w:val="0"/>
        <w:bidi w:val="0"/>
        <w:snapToGrid w:val="0"/>
        <w:spacing w:line="440" w:lineRule="exact"/>
        <w:jc w:val="center"/>
        <w:rPr>
          <w:rFonts w:hint="eastAsia" w:ascii="宋体" w:hAnsi="宋体" w:eastAsia="宋体" w:cs="宋体"/>
          <w:color w:val="000000"/>
          <w:sz w:val="28"/>
          <w:szCs w:val="28"/>
          <w:highlight w:val="none"/>
        </w:rPr>
      </w:pPr>
    </w:p>
    <w:p w14:paraId="10AF3F6A">
      <w:pPr>
        <w:pageBreakBefore w:val="0"/>
        <w:kinsoku/>
        <w:overflowPunct/>
        <w:topLinePunct w:val="0"/>
        <w:bidi w:val="0"/>
        <w:snapToGrid w:val="0"/>
        <w:spacing w:line="440" w:lineRule="exact"/>
        <w:jc w:val="center"/>
        <w:rPr>
          <w:rFonts w:hint="eastAsia" w:ascii="宋体" w:hAnsi="宋体" w:eastAsia="宋体" w:cs="宋体"/>
          <w:sz w:val="28"/>
          <w:szCs w:val="28"/>
          <w:highlight w:val="none"/>
        </w:rPr>
      </w:pPr>
    </w:p>
    <w:p w14:paraId="05CE69EA">
      <w:pPr>
        <w:pageBreakBefore w:val="0"/>
        <w:kinsoku/>
        <w:overflowPunct/>
        <w:topLinePunct w:val="0"/>
        <w:bidi w:val="0"/>
        <w:snapToGrid w:val="0"/>
        <w:spacing w:line="440"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目   录</w:t>
      </w:r>
    </w:p>
    <w:p w14:paraId="73D29E0A">
      <w:pPr>
        <w:pStyle w:val="19"/>
        <w:pageBreakBefore w:val="0"/>
        <w:kinsoku/>
        <w:overflowPunct/>
        <w:topLinePunct w:val="0"/>
        <w:bidi w:val="0"/>
        <w:spacing w:line="440" w:lineRule="exact"/>
        <w:ind w:firstLine="240"/>
        <w:rPr>
          <w:rFonts w:hint="eastAsia" w:ascii="宋体" w:hAnsi="宋体" w:eastAsia="宋体" w:cs="宋体"/>
          <w:highlight w:val="none"/>
        </w:rPr>
      </w:pPr>
    </w:p>
    <w:p w14:paraId="7595FDEF">
      <w:pPr>
        <w:pageBreakBefore w:val="0"/>
        <w:numPr>
          <w:ilvl w:val="0"/>
          <w:numId w:val="9"/>
        </w:numPr>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43" w:name="_Toc24863"/>
      <w:bookmarkStart w:id="44" w:name="_Toc9875"/>
      <w:r>
        <w:rPr>
          <w:rFonts w:hint="eastAsia" w:ascii="宋体" w:hAnsi="宋体" w:eastAsia="宋体" w:cs="宋体"/>
          <w:color w:val="000000"/>
          <w:kern w:val="0"/>
          <w:sz w:val="24"/>
          <w:szCs w:val="24"/>
          <w:highlight w:val="none"/>
        </w:rPr>
        <w:t>投标函及投标函附录</w:t>
      </w:r>
      <w:bookmarkEnd w:id="43"/>
      <w:bookmarkEnd w:id="44"/>
    </w:p>
    <w:p w14:paraId="2F1E4F35">
      <w:pPr>
        <w:pageBreakBefore w:val="0"/>
        <w:numPr>
          <w:ilvl w:val="0"/>
          <w:numId w:val="9"/>
        </w:numPr>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45" w:name="_Toc17236"/>
      <w:bookmarkStart w:id="46" w:name="_Toc24820"/>
      <w:r>
        <w:rPr>
          <w:rFonts w:hint="eastAsia" w:ascii="宋体" w:hAnsi="宋体" w:eastAsia="宋体" w:cs="宋体"/>
          <w:color w:val="000000"/>
          <w:kern w:val="0"/>
          <w:sz w:val="24"/>
          <w:szCs w:val="24"/>
          <w:highlight w:val="none"/>
        </w:rPr>
        <w:t>开标一览表</w:t>
      </w:r>
      <w:bookmarkEnd w:id="45"/>
      <w:bookmarkEnd w:id="46"/>
    </w:p>
    <w:p w14:paraId="2B3720DE">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47" w:name="_Toc23397"/>
      <w:bookmarkStart w:id="48" w:name="_Toc14437"/>
      <w:r>
        <w:rPr>
          <w:rFonts w:hint="eastAsia" w:ascii="宋体" w:hAnsi="宋体" w:eastAsia="宋体" w:cs="宋体"/>
          <w:color w:val="000000"/>
          <w:kern w:val="0"/>
          <w:sz w:val="24"/>
          <w:szCs w:val="24"/>
          <w:highlight w:val="none"/>
        </w:rPr>
        <w:t>三、法定代表人身份证明及授权委托书</w:t>
      </w:r>
      <w:bookmarkEnd w:id="47"/>
      <w:bookmarkEnd w:id="48"/>
    </w:p>
    <w:p w14:paraId="397FF09F">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49" w:name="_Toc30645"/>
      <w:bookmarkStart w:id="50" w:name="_Toc16231"/>
      <w:r>
        <w:rPr>
          <w:rFonts w:hint="eastAsia" w:ascii="宋体" w:hAnsi="宋体" w:eastAsia="宋体" w:cs="宋体"/>
          <w:color w:val="000000"/>
          <w:kern w:val="0"/>
          <w:sz w:val="24"/>
          <w:szCs w:val="24"/>
          <w:highlight w:val="none"/>
        </w:rPr>
        <w:t>四、投标保证金</w:t>
      </w:r>
      <w:bookmarkEnd w:id="49"/>
      <w:bookmarkEnd w:id="50"/>
    </w:p>
    <w:p w14:paraId="77643FC9">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51" w:name="_Toc24375"/>
      <w:bookmarkStart w:id="52" w:name="_Toc21392"/>
      <w:r>
        <w:rPr>
          <w:rFonts w:hint="eastAsia" w:ascii="宋体" w:hAnsi="宋体" w:eastAsia="宋体" w:cs="宋体"/>
          <w:color w:val="000000"/>
          <w:kern w:val="0"/>
          <w:sz w:val="24"/>
          <w:szCs w:val="24"/>
          <w:highlight w:val="none"/>
        </w:rPr>
        <w:t>五、</w:t>
      </w:r>
      <w:bookmarkEnd w:id="51"/>
      <w:r>
        <w:rPr>
          <w:rFonts w:hint="eastAsia" w:ascii="宋体" w:hAnsi="宋体" w:eastAsia="宋体" w:cs="宋体"/>
          <w:color w:val="000000"/>
          <w:kern w:val="0"/>
          <w:sz w:val="24"/>
          <w:szCs w:val="24"/>
          <w:highlight w:val="none"/>
        </w:rPr>
        <w:t>资格审查资料</w:t>
      </w:r>
      <w:bookmarkEnd w:id="52"/>
    </w:p>
    <w:p w14:paraId="5A959E99">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53" w:name="_Toc27378"/>
      <w:bookmarkStart w:id="54" w:name="_Toc29321"/>
      <w:r>
        <w:rPr>
          <w:rFonts w:hint="eastAsia" w:ascii="宋体" w:hAnsi="宋体" w:eastAsia="宋体" w:cs="宋体"/>
          <w:color w:val="000000"/>
          <w:kern w:val="0"/>
          <w:sz w:val="24"/>
          <w:szCs w:val="24"/>
          <w:highlight w:val="none"/>
        </w:rPr>
        <w:t>六、</w:t>
      </w:r>
      <w:bookmarkEnd w:id="53"/>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bCs/>
          <w:color w:val="000000"/>
          <w:kern w:val="0"/>
          <w:sz w:val="24"/>
          <w:szCs w:val="24"/>
          <w:highlight w:val="none"/>
        </w:rPr>
        <w:t>方案</w:t>
      </w:r>
      <w:bookmarkEnd w:id="54"/>
    </w:p>
    <w:p w14:paraId="625C17FF">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55" w:name="_Toc10542"/>
      <w:bookmarkStart w:id="56" w:name="_Toc28462"/>
      <w:r>
        <w:rPr>
          <w:rFonts w:hint="eastAsia" w:ascii="宋体" w:hAnsi="宋体" w:eastAsia="宋体" w:cs="宋体"/>
          <w:color w:val="000000"/>
          <w:kern w:val="0"/>
          <w:sz w:val="24"/>
          <w:szCs w:val="24"/>
          <w:highlight w:val="none"/>
        </w:rPr>
        <w:t>七、</w:t>
      </w:r>
      <w:bookmarkEnd w:id="55"/>
      <w:bookmarkStart w:id="57" w:name="_Toc8548"/>
      <w:bookmarkEnd w:id="57"/>
      <w:bookmarkStart w:id="58" w:name="_Toc23151"/>
      <w:r>
        <w:rPr>
          <w:rFonts w:hint="eastAsia" w:ascii="宋体" w:hAnsi="宋体" w:eastAsia="宋体" w:cs="宋体"/>
          <w:color w:val="000000"/>
          <w:kern w:val="0"/>
          <w:sz w:val="24"/>
          <w:szCs w:val="24"/>
          <w:highlight w:val="none"/>
        </w:rPr>
        <w:t>其他资料</w:t>
      </w:r>
      <w:bookmarkEnd w:id="56"/>
      <w:bookmarkEnd w:id="58"/>
    </w:p>
    <w:p w14:paraId="5EA44D27">
      <w:pPr>
        <w:pStyle w:val="5"/>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p>
    <w:p w14:paraId="0E785F7D">
      <w:pPr>
        <w:pStyle w:val="5"/>
        <w:pageBreakBefore w:val="0"/>
        <w:kinsoku/>
        <w:overflowPunct/>
        <w:topLinePunct w:val="0"/>
        <w:bidi w:val="0"/>
        <w:snapToGrid w:val="0"/>
        <w:spacing w:line="440" w:lineRule="exact"/>
        <w:outlineLvl w:val="0"/>
        <w:rPr>
          <w:rFonts w:hint="eastAsia" w:ascii="宋体" w:hAnsi="宋体" w:eastAsia="宋体" w:cs="宋体"/>
          <w:b/>
          <w:bCs/>
          <w:color w:val="000000"/>
          <w:sz w:val="24"/>
          <w:szCs w:val="24"/>
          <w:highlight w:val="none"/>
        </w:rPr>
      </w:pPr>
      <w:bookmarkStart w:id="59" w:name="_Toc22782"/>
      <w:bookmarkStart w:id="60" w:name="_Toc23289"/>
      <w:r>
        <w:rPr>
          <w:rFonts w:hint="eastAsia" w:ascii="宋体" w:hAnsi="宋体" w:eastAsia="宋体" w:cs="宋体"/>
          <w:b/>
          <w:bCs/>
          <w:color w:val="000000"/>
          <w:sz w:val="24"/>
          <w:szCs w:val="24"/>
          <w:highlight w:val="none"/>
        </w:rPr>
        <w:t>注：投标人可依据自身情况增加目录内容，且须编制页码</w:t>
      </w:r>
      <w:bookmarkEnd w:id="59"/>
      <w:bookmarkEnd w:id="60"/>
    </w:p>
    <w:p w14:paraId="47A111DA">
      <w:pPr>
        <w:pStyle w:val="5"/>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p>
    <w:p w14:paraId="466AD65B">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3507F64C">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39E93102">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6B008649">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6EE99B92">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693BF21B">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48038F0C">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152DC387">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3CBC723F">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r>
        <w:rPr>
          <w:rFonts w:hint="eastAsia" w:ascii="宋体" w:hAnsi="宋体" w:eastAsia="宋体" w:cs="宋体"/>
          <w:color w:val="000000"/>
          <w:kern w:val="0"/>
          <w:sz w:val="24"/>
          <w:szCs w:val="24"/>
          <w:highlight w:val="none"/>
        </w:rPr>
        <w:br w:type="page"/>
      </w:r>
      <w:bookmarkStart w:id="61" w:name="_Toc25676"/>
      <w:bookmarkStart w:id="62" w:name="_Toc30467"/>
      <w:r>
        <w:rPr>
          <w:rFonts w:hint="eastAsia" w:ascii="宋体" w:hAnsi="宋体" w:eastAsia="宋体" w:cs="宋体"/>
          <w:b/>
          <w:bCs/>
          <w:color w:val="000000"/>
          <w:kern w:val="0"/>
          <w:sz w:val="30"/>
          <w:szCs w:val="30"/>
          <w:highlight w:val="none"/>
        </w:rPr>
        <w:t>一、投标函及投标函附录</w:t>
      </w:r>
      <w:bookmarkEnd w:id="61"/>
      <w:bookmarkEnd w:id="62"/>
    </w:p>
    <w:p w14:paraId="485CCF64">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u w:val="single"/>
        </w:rPr>
      </w:pPr>
      <w:r>
        <w:rPr>
          <w:rFonts w:hint="eastAsia" w:ascii="宋体" w:hAnsi="宋体" w:eastAsia="宋体" w:cs="宋体"/>
          <w:b/>
          <w:bCs/>
          <w:color w:val="000000"/>
          <w:kern w:val="0"/>
          <w:sz w:val="30"/>
          <w:szCs w:val="30"/>
          <w:highlight w:val="none"/>
        </w:rPr>
        <w:t>（一）投标函</w:t>
      </w:r>
    </w:p>
    <w:p w14:paraId="6CC2982B">
      <w:pPr>
        <w:pageBreakBefore w:val="0"/>
        <w:kinsoku/>
        <w:overflowPunct/>
        <w:topLinePunct w:val="0"/>
        <w:autoSpaceDE w:val="0"/>
        <w:autoSpaceDN w:val="0"/>
        <w:bidi w:val="0"/>
        <w:adjustRightInd w:val="0"/>
        <w:snapToGrid w:val="0"/>
        <w:spacing w:line="440" w:lineRule="exact"/>
        <w:ind w:firstLine="210" w:firstLineChars="100"/>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u w:val="single"/>
        </w:rPr>
        <w:t>(</w:t>
      </w:r>
      <w:r>
        <w:rPr>
          <w:rFonts w:hint="eastAsia" w:ascii="宋体" w:hAnsi="宋体" w:eastAsia="宋体" w:cs="宋体"/>
          <w:color w:val="000000"/>
          <w:kern w:val="0"/>
          <w:highlight w:val="none"/>
          <w:u w:val="single"/>
          <w:lang w:eastAsia="zh-CN"/>
        </w:rPr>
        <w:t>采购人</w:t>
      </w:r>
      <w:r>
        <w:rPr>
          <w:rFonts w:hint="eastAsia" w:ascii="宋体" w:hAnsi="宋体" w:eastAsia="宋体" w:cs="宋体"/>
          <w:color w:val="000000"/>
          <w:kern w:val="0"/>
          <w:highlight w:val="none"/>
          <w:u w:val="single"/>
        </w:rPr>
        <w:t>名称)：</w:t>
      </w:r>
    </w:p>
    <w:p w14:paraId="57BDCCE3">
      <w:pPr>
        <w:pageBreakBefore w:val="0"/>
        <w:kinsoku/>
        <w:overflowPunct/>
        <w:topLinePunct w:val="0"/>
        <w:bidi w:val="0"/>
        <w:snapToGrid w:val="0"/>
        <w:spacing w:line="440" w:lineRule="exact"/>
        <w:ind w:left="210" w:leftChars="100" w:firstLine="210" w:firstLineChars="100"/>
        <w:rPr>
          <w:rFonts w:hint="eastAsia" w:ascii="宋体" w:hAnsi="宋体" w:eastAsia="宋体" w:cs="宋体"/>
          <w:color w:val="000000"/>
          <w:highlight w:val="none"/>
        </w:rPr>
      </w:pPr>
      <w:r>
        <w:rPr>
          <w:rFonts w:hint="eastAsia" w:ascii="宋体" w:hAnsi="宋体" w:eastAsia="宋体" w:cs="宋体"/>
          <w:color w:val="000000"/>
          <w:kern w:val="0"/>
          <w:highlight w:val="none"/>
        </w:rPr>
        <w:t>1.我方已仔细研究了</w:t>
      </w:r>
      <w:r>
        <w:rPr>
          <w:rFonts w:hint="eastAsia" w:ascii="宋体" w:hAnsi="宋体" w:eastAsia="宋体" w:cs="宋体"/>
          <w:color w:val="000000"/>
          <w:kern w:val="0"/>
          <w:highlight w:val="none"/>
          <w:u w:val="single"/>
        </w:rPr>
        <w:t xml:space="preserve"> </w:t>
      </w:r>
      <w:r>
        <w:rPr>
          <w:rFonts w:hint="eastAsia" w:ascii="宋体" w:hAnsi="宋体" w:eastAsia="宋体" w:cs="宋体"/>
          <w:color w:val="auto"/>
          <w:kern w:val="0"/>
          <w:szCs w:val="21"/>
          <w:highlight w:val="none"/>
          <w:u w:val="single"/>
        </w:rPr>
        <w:t xml:space="preserve"> (项目名称)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招标文件的全部内容，我方愿按的合同方式，以</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)元的投标总价报价，合同履行期限为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，按合同约定实施</w:t>
      </w:r>
      <w:r>
        <w:rPr>
          <w:rFonts w:hint="eastAsia" w:ascii="宋体" w:hAnsi="宋体" w:eastAsia="宋体" w:cs="宋体"/>
          <w:color w:val="000000"/>
          <w:kern w:val="0"/>
          <w:highlight w:val="none"/>
          <w:lang w:eastAsia="zh-CN"/>
        </w:rPr>
        <w:t>并</w:t>
      </w:r>
      <w:r>
        <w:rPr>
          <w:rFonts w:hint="eastAsia" w:ascii="宋体" w:hAnsi="宋体" w:eastAsia="宋体" w:cs="宋体"/>
          <w:color w:val="000000"/>
          <w:kern w:val="0"/>
          <w:highlight w:val="none"/>
        </w:rPr>
        <w:t>完成上述招标项目。</w:t>
      </w:r>
    </w:p>
    <w:p w14:paraId="6733D452">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2.我方承诺在投标有效期</w:t>
      </w:r>
      <w:r>
        <w:rPr>
          <w:rFonts w:hint="eastAsia" w:ascii="宋体" w:hAnsi="宋体" w:eastAsia="宋体" w:cs="宋体"/>
          <w:color w:val="000000"/>
          <w:kern w:val="0"/>
          <w:highlight w:val="none"/>
          <w:u w:val="single"/>
        </w:rPr>
        <w:t>90</w:t>
      </w:r>
      <w:r>
        <w:rPr>
          <w:rFonts w:hint="eastAsia" w:ascii="宋体" w:hAnsi="宋体" w:eastAsia="宋体" w:cs="宋体"/>
          <w:color w:val="000000"/>
          <w:kern w:val="0"/>
          <w:highlight w:val="none"/>
        </w:rPr>
        <w:t>日内不修改、撤销投标文件。</w:t>
      </w:r>
    </w:p>
    <w:p w14:paraId="48CDF795">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3.随同本投标函提交投标保证金一份，金额为人民币(大写)</w:t>
      </w:r>
      <w:r>
        <w:rPr>
          <w:rFonts w:hint="eastAsia" w:ascii="宋体" w:hAnsi="宋体" w:eastAsia="宋体" w:cs="宋体"/>
          <w:color w:val="000000"/>
          <w:kern w:val="0"/>
          <w:highlight w:val="none"/>
          <w:u w:val="single"/>
          <w:lang w:val="en-US" w:eastAsia="zh-CN"/>
        </w:rPr>
        <w:t xml:space="preserve">  /  </w:t>
      </w:r>
      <w:r>
        <w:rPr>
          <w:rFonts w:hint="eastAsia" w:ascii="宋体" w:hAnsi="宋体" w:eastAsia="宋体" w:cs="宋体"/>
          <w:color w:val="000000"/>
          <w:kern w:val="0"/>
          <w:highlight w:val="none"/>
        </w:rPr>
        <w:t>元(¥)。</w:t>
      </w:r>
    </w:p>
    <w:p w14:paraId="4786FB30">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4.如我方中标：</w:t>
      </w:r>
    </w:p>
    <w:p w14:paraId="04994816">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(1)我方承诺在收到中标通知书后，在中标通知书规定的期限内与你方签订合同，并遵守合同中关于权利和义务的约定；并按照招标文件中采购需求的要求执行。</w:t>
      </w:r>
    </w:p>
    <w:p w14:paraId="3F46C27C">
      <w:pPr>
        <w:pageBreakBefore w:val="0"/>
        <w:kinsoku/>
        <w:overflowPunct/>
        <w:topLinePunct w:val="0"/>
        <w:autoSpaceDE w:val="0"/>
        <w:autoSpaceDN w:val="0"/>
        <w:bidi w:val="0"/>
        <w:adjustRightInd w:val="0"/>
        <w:snapToGrid w:val="0"/>
        <w:spacing w:line="440" w:lineRule="exact"/>
        <w:ind w:firstLine="380" w:firstLineChars="200"/>
        <w:jc w:val="left"/>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rPr>
        <w:t>(2）</w:t>
      </w:r>
      <w:r>
        <w:rPr>
          <w:rFonts w:hint="eastAsia" w:ascii="宋体" w:hAnsi="宋体" w:eastAsia="宋体" w:cs="宋体"/>
          <w:color w:val="000000"/>
          <w:kern w:val="0"/>
          <w:highlight w:val="none"/>
        </w:rPr>
        <w:t>按照招标文件中采购需求的要求执行，如我方违约，承担一切责任。</w:t>
      </w:r>
    </w:p>
    <w:p w14:paraId="0E81CE48">
      <w:pPr>
        <w:pageBreakBefore w:val="0"/>
        <w:kinsoku/>
        <w:overflowPunct/>
        <w:topLinePunct w:val="0"/>
        <w:autoSpaceDE w:val="0"/>
        <w:autoSpaceDN w:val="0"/>
        <w:bidi w:val="0"/>
        <w:adjustRightInd w:val="0"/>
        <w:snapToGrid w:val="0"/>
        <w:spacing w:line="440" w:lineRule="exact"/>
        <w:ind w:firstLine="380" w:firstLineChars="200"/>
        <w:jc w:val="left"/>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rPr>
        <w:t>(3)</w:t>
      </w:r>
      <w:r>
        <w:rPr>
          <w:rFonts w:hint="eastAsia" w:ascii="宋体" w:hAnsi="宋体" w:eastAsia="宋体" w:cs="宋体"/>
          <w:color w:val="000000"/>
          <w:kern w:val="0"/>
          <w:highlight w:val="none"/>
        </w:rPr>
        <w:t>如我方中标，将按照采购文件规定的收费标准缴纳采购代理服务费。</w:t>
      </w:r>
    </w:p>
    <w:p w14:paraId="42505FA2">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w:t>
      </w:r>
      <w:r>
        <w:rPr>
          <w:rFonts w:hint="eastAsia" w:ascii="宋体" w:hAnsi="宋体" w:eastAsia="宋体" w:cs="宋体"/>
          <w:color w:val="000000"/>
          <w:kern w:val="0"/>
          <w:highlight w:val="none"/>
          <w:lang w:val="en-US" w:eastAsia="zh-CN"/>
        </w:rPr>
        <w:t>4</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完全理解贵方不一定要接受最低报价的投标或收到的任何投标。</w:t>
      </w:r>
    </w:p>
    <w:p w14:paraId="2E2F0520">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(5)我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如果在规定的投标有效期内撤回投标，则我们的投标保证金可被贵方没收。</w:t>
      </w:r>
    </w:p>
    <w:p w14:paraId="5FA5C6F8">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(6)我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 xml:space="preserve">同意向贵方提供贵方可能要求的与本投标有关的任何证据或资料。  </w:t>
      </w:r>
    </w:p>
    <w:p w14:paraId="2B2C3DC9">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5.我方在此声明，所递交的投标文件及有关资料内容完整、真实和准确。</w:t>
      </w:r>
    </w:p>
    <w:p w14:paraId="03A4C03B">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6．</w:t>
      </w:r>
      <w:r>
        <w:rPr>
          <w:rFonts w:hint="eastAsia" w:ascii="宋体" w:hAnsi="宋体" w:eastAsia="宋体" w:cs="宋体"/>
          <w:color w:val="000000"/>
          <w:kern w:val="0"/>
          <w:highlight w:val="none"/>
          <w:u w:val="single"/>
        </w:rPr>
        <w:t>(其他补充说明)</w:t>
      </w:r>
      <w:r>
        <w:rPr>
          <w:rFonts w:hint="eastAsia" w:ascii="宋体" w:hAnsi="宋体" w:eastAsia="宋体" w:cs="宋体"/>
          <w:color w:val="000000"/>
          <w:kern w:val="0"/>
          <w:highlight w:val="none"/>
          <w:u w:val="single"/>
          <w:lang w:val="en-US" w:eastAsia="zh-CN"/>
        </w:rPr>
        <w:t xml:space="preserve">       </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w:t>
      </w:r>
    </w:p>
    <w:p w14:paraId="448A724B">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p>
    <w:p w14:paraId="6279EB31">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 标 人：(盖单位章)</w:t>
      </w:r>
    </w:p>
    <w:p w14:paraId="5BD8F1C4">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lang w:val="en-US" w:eastAsia="zh-CN"/>
        </w:rPr>
        <w:t>或</w:t>
      </w:r>
      <w:r>
        <w:rPr>
          <w:rFonts w:hint="eastAsia" w:ascii="宋体" w:hAnsi="宋体" w:eastAsia="宋体" w:cs="宋体"/>
          <w:color w:val="000000"/>
          <w:kern w:val="0"/>
          <w:highlight w:val="none"/>
        </w:rPr>
        <w:t>其授权委托代理人：(签字)</w:t>
      </w:r>
    </w:p>
    <w:p w14:paraId="28055701">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地    址：</w:t>
      </w:r>
    </w:p>
    <w:p w14:paraId="717B5784">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网    址：</w:t>
      </w:r>
    </w:p>
    <w:p w14:paraId="54E2E239">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电    话：</w:t>
      </w:r>
    </w:p>
    <w:p w14:paraId="6B3FD2B8">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传    真：</w:t>
      </w:r>
    </w:p>
    <w:p w14:paraId="288AFC31">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邮政编码：</w:t>
      </w:r>
    </w:p>
    <w:p w14:paraId="1D544F08">
      <w:pPr>
        <w:pageBreakBefore w:val="0"/>
        <w:kinsoku/>
        <w:overflowPunct/>
        <w:topLinePunct w:val="0"/>
        <w:bidi w:val="0"/>
        <w:snapToGrid w:val="0"/>
        <w:spacing w:line="440" w:lineRule="exact"/>
        <w:jc w:val="center"/>
        <w:rPr>
          <w:rFonts w:hint="eastAsia" w:ascii="宋体" w:hAnsi="宋体" w:eastAsia="宋体" w:cs="宋体"/>
          <w:color w:val="000000"/>
          <w:kern w:val="0"/>
          <w:highlight w:val="none"/>
          <w:u w:val="single"/>
        </w:rPr>
      </w:pPr>
    </w:p>
    <w:p w14:paraId="2A9C54CB">
      <w:pPr>
        <w:pageBreakBefore w:val="0"/>
        <w:kinsoku/>
        <w:overflowPunct/>
        <w:topLinePunct w:val="0"/>
        <w:bidi w:val="0"/>
        <w:snapToGrid w:val="0"/>
        <w:spacing w:line="44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highlight w:val="none"/>
        </w:rPr>
        <w:t>年   月   日</w:t>
      </w:r>
    </w:p>
    <w:p w14:paraId="3391D91B">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br w:type="page"/>
      </w:r>
      <w:bookmarkStart w:id="63" w:name="_Toc152045790"/>
      <w:bookmarkEnd w:id="63"/>
      <w:bookmarkStart w:id="64" w:name="_Toc144974859"/>
      <w:bookmarkEnd w:id="64"/>
      <w:bookmarkStart w:id="65" w:name="_Toc247085876"/>
      <w:bookmarkEnd w:id="65"/>
      <w:bookmarkStart w:id="66" w:name="_Toc179632810"/>
      <w:bookmarkEnd w:id="66"/>
      <w:bookmarkStart w:id="67" w:name="_Toc246996358"/>
      <w:bookmarkEnd w:id="67"/>
      <w:bookmarkStart w:id="68" w:name="_Toc246997101"/>
      <w:bookmarkEnd w:id="68"/>
      <w:bookmarkStart w:id="69" w:name="_Toc152042579"/>
      <w:bookmarkEnd w:id="69"/>
      <w:bookmarkStart w:id="70" w:name="_Toc363457205"/>
      <w:r>
        <w:rPr>
          <w:rFonts w:hint="eastAsia" w:ascii="宋体" w:hAnsi="宋体" w:eastAsia="宋体" w:cs="宋体"/>
          <w:b/>
          <w:bCs/>
          <w:color w:val="000000"/>
          <w:kern w:val="0"/>
          <w:sz w:val="30"/>
          <w:szCs w:val="30"/>
          <w:highlight w:val="none"/>
        </w:rPr>
        <w:t>（二）投标函附录</w:t>
      </w:r>
      <w:bookmarkEnd w:id="70"/>
    </w:p>
    <w:p w14:paraId="311FF17C">
      <w:pPr>
        <w:pageBreakBefore w:val="0"/>
        <w:kinsoku/>
        <w:overflowPunct/>
        <w:topLinePunct w:val="0"/>
        <w:bidi w:val="0"/>
        <w:snapToGrid w:val="0"/>
        <w:spacing w:line="440" w:lineRule="exact"/>
        <w:rPr>
          <w:rFonts w:hint="eastAsia" w:ascii="宋体" w:hAnsi="宋体" w:eastAsia="宋体" w:cs="宋体"/>
          <w:color w:val="000000"/>
          <w:sz w:val="20"/>
          <w:szCs w:val="20"/>
          <w:highlight w:val="none"/>
        </w:rPr>
      </w:pPr>
    </w:p>
    <w:tbl>
      <w:tblPr>
        <w:tblStyle w:val="21"/>
        <w:tblW w:w="9377" w:type="dxa"/>
        <w:jc w:val="center"/>
        <w:tblLayout w:type="fixed"/>
        <w:tblCellMar>
          <w:top w:w="0" w:type="dxa"/>
          <w:left w:w="108" w:type="dxa"/>
          <w:bottom w:w="0" w:type="dxa"/>
          <w:right w:w="108" w:type="dxa"/>
        </w:tblCellMar>
      </w:tblPr>
      <w:tblGrid>
        <w:gridCol w:w="1001"/>
        <w:gridCol w:w="1701"/>
        <w:gridCol w:w="5103"/>
        <w:gridCol w:w="1572"/>
      </w:tblGrid>
      <w:tr w14:paraId="59A0BC55">
        <w:tblPrEx>
          <w:tblCellMar>
            <w:top w:w="0" w:type="dxa"/>
            <w:left w:w="108" w:type="dxa"/>
            <w:bottom w:w="0" w:type="dxa"/>
            <w:right w:w="108" w:type="dxa"/>
          </w:tblCellMar>
        </w:tblPrEx>
        <w:trPr>
          <w:trHeight w:val="590"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67C888D4">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1701" w:type="dxa"/>
            <w:tcBorders>
              <w:top w:val="single" w:color="auto" w:sz="4" w:space="0"/>
              <w:left w:val="nil"/>
              <w:bottom w:val="single" w:color="auto" w:sz="4" w:space="0"/>
              <w:right w:val="single" w:color="auto" w:sz="4" w:space="0"/>
            </w:tcBorders>
            <w:noWrap w:val="0"/>
            <w:vAlign w:val="center"/>
          </w:tcPr>
          <w:p w14:paraId="00070469">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条款名称</w:t>
            </w:r>
          </w:p>
        </w:tc>
        <w:tc>
          <w:tcPr>
            <w:tcW w:w="5103" w:type="dxa"/>
            <w:tcBorders>
              <w:top w:val="single" w:color="auto" w:sz="4" w:space="0"/>
              <w:left w:val="nil"/>
              <w:bottom w:val="single" w:color="auto" w:sz="4" w:space="0"/>
              <w:right w:val="single" w:color="auto" w:sz="4" w:space="0"/>
            </w:tcBorders>
            <w:noWrap w:val="0"/>
            <w:vAlign w:val="center"/>
          </w:tcPr>
          <w:p w14:paraId="3F6EC37D">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约定内容</w:t>
            </w:r>
          </w:p>
        </w:tc>
        <w:tc>
          <w:tcPr>
            <w:tcW w:w="1572" w:type="dxa"/>
            <w:tcBorders>
              <w:top w:val="single" w:color="auto" w:sz="4" w:space="0"/>
              <w:left w:val="nil"/>
              <w:bottom w:val="single" w:color="auto" w:sz="4" w:space="0"/>
              <w:right w:val="single" w:color="auto" w:sz="4" w:space="0"/>
            </w:tcBorders>
            <w:noWrap w:val="0"/>
            <w:vAlign w:val="center"/>
          </w:tcPr>
          <w:p w14:paraId="29394AE6">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是否响应</w:t>
            </w:r>
          </w:p>
        </w:tc>
      </w:tr>
      <w:tr w14:paraId="0A7684AF">
        <w:tblPrEx>
          <w:tblCellMar>
            <w:top w:w="0" w:type="dxa"/>
            <w:left w:w="108" w:type="dxa"/>
            <w:bottom w:w="0" w:type="dxa"/>
            <w:right w:w="108" w:type="dxa"/>
          </w:tblCellMar>
        </w:tblPrEx>
        <w:trPr>
          <w:trHeight w:val="605"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450D9D45">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w:t>
            </w:r>
          </w:p>
        </w:tc>
        <w:tc>
          <w:tcPr>
            <w:tcW w:w="1701" w:type="dxa"/>
            <w:tcBorders>
              <w:top w:val="single" w:color="auto" w:sz="4" w:space="0"/>
              <w:left w:val="nil"/>
              <w:bottom w:val="single" w:color="auto" w:sz="4" w:space="0"/>
              <w:right w:val="single" w:color="auto" w:sz="4" w:space="0"/>
            </w:tcBorders>
            <w:noWrap w:val="0"/>
            <w:vAlign w:val="center"/>
          </w:tcPr>
          <w:p w14:paraId="045458A0">
            <w:pPr>
              <w:pageBreakBefore w:val="0"/>
              <w:kinsoku/>
              <w:overflowPunct/>
              <w:topLinePunct w:val="0"/>
              <w:bidi w:val="0"/>
              <w:spacing w:line="440" w:lineRule="exact"/>
              <w:ind w:left="210" w:leftChars="100" w:firstLine="0" w:firstLineChars="0"/>
              <w:jc w:val="center"/>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合同履行期限(交货期限)</w:t>
            </w:r>
          </w:p>
        </w:tc>
        <w:tc>
          <w:tcPr>
            <w:tcW w:w="5103" w:type="dxa"/>
            <w:tcBorders>
              <w:top w:val="single" w:color="auto" w:sz="4" w:space="0"/>
              <w:left w:val="nil"/>
              <w:bottom w:val="single" w:color="auto" w:sz="4" w:space="0"/>
              <w:right w:val="single" w:color="auto" w:sz="4" w:space="0"/>
            </w:tcBorders>
            <w:noWrap w:val="0"/>
            <w:vAlign w:val="center"/>
          </w:tcPr>
          <w:p w14:paraId="11D000D6">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sz w:val="21"/>
                <w:szCs w:val="21"/>
                <w:highlight w:val="none"/>
                <w:lang w:val="en-US" w:eastAsia="zh-CN"/>
              </w:rPr>
              <w:t>签订合同后</w:t>
            </w:r>
            <w:r>
              <w:rPr>
                <w:rFonts w:hint="eastAsia" w:ascii="宋体" w:hAnsi="宋体" w:eastAsia="宋体" w:cs="宋体"/>
                <w:sz w:val="21"/>
                <w:szCs w:val="21"/>
                <w:highlight w:val="none"/>
                <w:lang w:eastAsia="zh-CN"/>
              </w:rPr>
              <w:t>三年</w:t>
            </w:r>
          </w:p>
        </w:tc>
        <w:tc>
          <w:tcPr>
            <w:tcW w:w="1572" w:type="dxa"/>
            <w:tcBorders>
              <w:top w:val="single" w:color="auto" w:sz="4" w:space="0"/>
              <w:left w:val="nil"/>
              <w:bottom w:val="single" w:color="auto" w:sz="4" w:space="0"/>
              <w:right w:val="single" w:color="auto" w:sz="4" w:space="0"/>
            </w:tcBorders>
            <w:noWrap w:val="0"/>
            <w:vAlign w:val="center"/>
          </w:tcPr>
          <w:p w14:paraId="64495000">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6A8111EC">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774054C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w:t>
            </w:r>
          </w:p>
        </w:tc>
        <w:tc>
          <w:tcPr>
            <w:tcW w:w="1701" w:type="dxa"/>
            <w:tcBorders>
              <w:top w:val="single" w:color="auto" w:sz="4" w:space="0"/>
              <w:left w:val="nil"/>
              <w:bottom w:val="single" w:color="auto" w:sz="4" w:space="0"/>
              <w:right w:val="single" w:color="auto" w:sz="4" w:space="0"/>
            </w:tcBorders>
            <w:noWrap w:val="0"/>
            <w:vAlign w:val="center"/>
          </w:tcPr>
          <w:p w14:paraId="16CAD7B0">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服务</w:t>
            </w:r>
            <w:r>
              <w:rPr>
                <w:rFonts w:hint="eastAsia" w:ascii="宋体" w:hAnsi="宋体" w:eastAsia="宋体" w:cs="宋体"/>
                <w:color w:val="000000"/>
                <w:highlight w:val="none"/>
                <w:lang w:val="zh-CN"/>
              </w:rPr>
              <w:t>要求</w:t>
            </w:r>
          </w:p>
        </w:tc>
        <w:tc>
          <w:tcPr>
            <w:tcW w:w="5103" w:type="dxa"/>
            <w:tcBorders>
              <w:top w:val="single" w:color="auto" w:sz="4" w:space="0"/>
              <w:left w:val="nil"/>
              <w:bottom w:val="single" w:color="auto" w:sz="4" w:space="0"/>
              <w:right w:val="single" w:color="auto" w:sz="4" w:space="0"/>
            </w:tcBorders>
            <w:noWrap w:val="0"/>
            <w:vAlign w:val="center"/>
          </w:tcPr>
          <w:p w14:paraId="379631E6">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提供优质服务</w:t>
            </w:r>
          </w:p>
        </w:tc>
        <w:tc>
          <w:tcPr>
            <w:tcW w:w="1572" w:type="dxa"/>
            <w:tcBorders>
              <w:top w:val="single" w:color="auto" w:sz="4" w:space="0"/>
              <w:left w:val="nil"/>
              <w:bottom w:val="single" w:color="auto" w:sz="4" w:space="0"/>
              <w:right w:val="single" w:color="auto" w:sz="4" w:space="0"/>
            </w:tcBorders>
            <w:noWrap w:val="0"/>
            <w:vAlign w:val="center"/>
          </w:tcPr>
          <w:p w14:paraId="33620358">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6EA3DF5F">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EAC665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p>
        </w:tc>
        <w:tc>
          <w:tcPr>
            <w:tcW w:w="1701" w:type="dxa"/>
            <w:tcBorders>
              <w:top w:val="single" w:color="auto" w:sz="4" w:space="0"/>
              <w:left w:val="nil"/>
              <w:bottom w:val="single" w:color="auto" w:sz="4" w:space="0"/>
              <w:right w:val="single" w:color="auto" w:sz="4" w:space="0"/>
            </w:tcBorders>
            <w:noWrap w:val="0"/>
            <w:vAlign w:val="center"/>
          </w:tcPr>
          <w:p w14:paraId="5F7440D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投标有效期</w:t>
            </w:r>
          </w:p>
        </w:tc>
        <w:tc>
          <w:tcPr>
            <w:tcW w:w="5103" w:type="dxa"/>
            <w:tcBorders>
              <w:top w:val="single" w:color="auto" w:sz="4" w:space="0"/>
              <w:left w:val="nil"/>
              <w:bottom w:val="single" w:color="auto" w:sz="4" w:space="0"/>
              <w:right w:val="single" w:color="auto" w:sz="4" w:space="0"/>
            </w:tcBorders>
            <w:noWrap w:val="0"/>
            <w:vAlign w:val="center"/>
          </w:tcPr>
          <w:p w14:paraId="66FF64EF">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90日</w:t>
            </w:r>
          </w:p>
        </w:tc>
        <w:tc>
          <w:tcPr>
            <w:tcW w:w="1572" w:type="dxa"/>
            <w:tcBorders>
              <w:top w:val="single" w:color="auto" w:sz="4" w:space="0"/>
              <w:left w:val="nil"/>
              <w:bottom w:val="single" w:color="auto" w:sz="4" w:space="0"/>
              <w:right w:val="single" w:color="auto" w:sz="4" w:space="0"/>
            </w:tcBorders>
            <w:noWrap w:val="0"/>
            <w:vAlign w:val="center"/>
          </w:tcPr>
          <w:p w14:paraId="5895D097">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264C692D">
        <w:tblPrEx>
          <w:tblCellMar>
            <w:top w:w="0" w:type="dxa"/>
            <w:left w:w="108" w:type="dxa"/>
            <w:bottom w:w="0" w:type="dxa"/>
            <w:right w:w="108" w:type="dxa"/>
          </w:tblCellMar>
        </w:tblPrEx>
        <w:trPr>
          <w:trHeight w:val="53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0E6EF30D">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rPr>
              <w:t>4</w:t>
            </w:r>
          </w:p>
        </w:tc>
        <w:tc>
          <w:tcPr>
            <w:tcW w:w="1701" w:type="dxa"/>
            <w:tcBorders>
              <w:top w:val="single" w:color="auto" w:sz="4" w:space="0"/>
              <w:left w:val="nil"/>
              <w:bottom w:val="single" w:color="auto" w:sz="4" w:space="0"/>
              <w:right w:val="single" w:color="auto" w:sz="4" w:space="0"/>
            </w:tcBorders>
            <w:noWrap w:val="0"/>
            <w:vAlign w:val="center"/>
          </w:tcPr>
          <w:p w14:paraId="2C032860">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权利义务</w:t>
            </w:r>
          </w:p>
        </w:tc>
        <w:tc>
          <w:tcPr>
            <w:tcW w:w="5103" w:type="dxa"/>
            <w:tcBorders>
              <w:top w:val="single" w:color="auto" w:sz="4" w:space="0"/>
              <w:left w:val="nil"/>
              <w:bottom w:val="single" w:color="auto" w:sz="4" w:space="0"/>
              <w:right w:val="single" w:color="auto" w:sz="4" w:space="0"/>
            </w:tcBorders>
            <w:noWrap w:val="0"/>
            <w:vAlign w:val="center"/>
          </w:tcPr>
          <w:p w14:paraId="6D220D46">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符合第四章“合同条款及格式”规定</w:t>
            </w:r>
          </w:p>
        </w:tc>
        <w:tc>
          <w:tcPr>
            <w:tcW w:w="1572" w:type="dxa"/>
            <w:tcBorders>
              <w:top w:val="single" w:color="auto" w:sz="4" w:space="0"/>
              <w:left w:val="nil"/>
              <w:bottom w:val="single" w:color="auto" w:sz="4" w:space="0"/>
              <w:right w:val="single" w:color="auto" w:sz="4" w:space="0"/>
            </w:tcBorders>
            <w:noWrap w:val="0"/>
            <w:vAlign w:val="center"/>
          </w:tcPr>
          <w:p w14:paraId="2732E908">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10D188F6">
        <w:tblPrEx>
          <w:tblCellMar>
            <w:top w:w="0" w:type="dxa"/>
            <w:left w:w="108" w:type="dxa"/>
            <w:bottom w:w="0" w:type="dxa"/>
            <w:right w:w="108" w:type="dxa"/>
          </w:tblCellMar>
        </w:tblPrEx>
        <w:trPr>
          <w:trHeight w:val="57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448847C5">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rPr>
              <w:t>5</w:t>
            </w:r>
          </w:p>
        </w:tc>
        <w:tc>
          <w:tcPr>
            <w:tcW w:w="1701" w:type="dxa"/>
            <w:tcBorders>
              <w:top w:val="single" w:color="auto" w:sz="4" w:space="0"/>
              <w:left w:val="nil"/>
              <w:bottom w:val="single" w:color="auto" w:sz="4" w:space="0"/>
              <w:right w:val="single" w:color="auto" w:sz="4" w:space="0"/>
            </w:tcBorders>
            <w:noWrap w:val="0"/>
            <w:vAlign w:val="center"/>
          </w:tcPr>
          <w:p w14:paraId="2C88891C">
            <w:pPr>
              <w:pageBreakBefore w:val="0"/>
              <w:kinsoku/>
              <w:overflowPunct/>
              <w:topLinePunct w:val="0"/>
              <w:bidi w:val="0"/>
              <w:spacing w:line="440" w:lineRule="exact"/>
              <w:jc w:val="center"/>
              <w:rPr>
                <w:rFonts w:hint="eastAsia" w:ascii="宋体" w:hAnsi="宋体" w:eastAsia="宋体" w:cs="宋体"/>
                <w:color w:val="000000"/>
                <w:highlight w:val="yellow"/>
                <w:lang w:val="zh-CN"/>
              </w:rPr>
            </w:pPr>
            <w:r>
              <w:rPr>
                <w:rFonts w:hint="eastAsia" w:ascii="宋体" w:hAnsi="宋体" w:eastAsia="宋体" w:cs="宋体"/>
                <w:bCs/>
                <w:highlight w:val="none"/>
              </w:rPr>
              <w:t>技术标准与要求</w:t>
            </w:r>
          </w:p>
        </w:tc>
        <w:tc>
          <w:tcPr>
            <w:tcW w:w="5103" w:type="dxa"/>
            <w:tcBorders>
              <w:top w:val="single" w:color="auto" w:sz="4" w:space="0"/>
              <w:left w:val="nil"/>
              <w:bottom w:val="single" w:color="auto" w:sz="4" w:space="0"/>
              <w:right w:val="single" w:color="auto" w:sz="4" w:space="0"/>
            </w:tcBorders>
            <w:noWrap w:val="0"/>
            <w:vAlign w:val="center"/>
          </w:tcPr>
          <w:p w14:paraId="4F6DFF99">
            <w:pPr>
              <w:pageBreakBefore w:val="0"/>
              <w:kinsoku/>
              <w:overflowPunct/>
              <w:topLinePunct w:val="0"/>
              <w:bidi w:val="0"/>
              <w:spacing w:line="440" w:lineRule="exact"/>
              <w:jc w:val="left"/>
              <w:rPr>
                <w:rFonts w:hint="eastAsia" w:ascii="宋体" w:hAnsi="宋体" w:eastAsia="宋体" w:cs="宋体"/>
                <w:color w:val="000000"/>
                <w:highlight w:val="yellow"/>
                <w:lang w:val="zh-CN"/>
              </w:rPr>
            </w:pPr>
            <w:r>
              <w:rPr>
                <w:rFonts w:hint="eastAsia" w:ascii="宋体" w:hAnsi="宋体" w:eastAsia="宋体" w:cs="宋体"/>
                <w:bCs/>
                <w:highlight w:val="none"/>
              </w:rPr>
              <w:t>符合采购需求</w:t>
            </w:r>
            <w:r>
              <w:rPr>
                <w:rFonts w:hint="eastAsia" w:ascii="宋体" w:hAnsi="宋体" w:eastAsia="宋体" w:cs="宋体"/>
                <w:bCs/>
                <w:highlight w:val="none"/>
                <w:lang w:val="zh-CN"/>
              </w:rPr>
              <w:t>要求</w:t>
            </w:r>
            <w:r>
              <w:rPr>
                <w:rFonts w:hint="eastAsia" w:ascii="宋体" w:hAnsi="宋体" w:eastAsia="宋体" w:cs="宋体"/>
                <w:bCs/>
                <w:highlight w:val="none"/>
              </w:rPr>
              <w:t>规定</w:t>
            </w:r>
          </w:p>
        </w:tc>
        <w:tc>
          <w:tcPr>
            <w:tcW w:w="1572" w:type="dxa"/>
            <w:tcBorders>
              <w:top w:val="single" w:color="auto" w:sz="4" w:space="0"/>
              <w:left w:val="nil"/>
              <w:bottom w:val="single" w:color="auto" w:sz="4" w:space="0"/>
              <w:right w:val="single" w:color="auto" w:sz="4" w:space="0"/>
            </w:tcBorders>
            <w:noWrap w:val="0"/>
            <w:vAlign w:val="center"/>
          </w:tcPr>
          <w:p w14:paraId="4E647671">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4BB1826F">
        <w:tblPrEx>
          <w:tblCellMar>
            <w:top w:w="0" w:type="dxa"/>
            <w:left w:w="108" w:type="dxa"/>
            <w:bottom w:w="0" w:type="dxa"/>
            <w:right w:w="108" w:type="dxa"/>
          </w:tblCellMar>
        </w:tblPrEx>
        <w:trPr>
          <w:trHeight w:val="73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F5450ED">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p>
        </w:tc>
        <w:tc>
          <w:tcPr>
            <w:tcW w:w="1701" w:type="dxa"/>
            <w:tcBorders>
              <w:top w:val="single" w:color="auto" w:sz="4" w:space="0"/>
              <w:left w:val="nil"/>
              <w:bottom w:val="single" w:color="auto" w:sz="4" w:space="0"/>
              <w:right w:val="single" w:color="auto" w:sz="4" w:space="0"/>
            </w:tcBorders>
            <w:noWrap w:val="0"/>
            <w:vAlign w:val="center"/>
          </w:tcPr>
          <w:p w14:paraId="2F0FEC28">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p>
        </w:tc>
        <w:tc>
          <w:tcPr>
            <w:tcW w:w="5103" w:type="dxa"/>
            <w:tcBorders>
              <w:top w:val="single" w:color="auto" w:sz="4" w:space="0"/>
              <w:left w:val="nil"/>
              <w:bottom w:val="single" w:color="auto" w:sz="4" w:space="0"/>
              <w:right w:val="single" w:color="auto" w:sz="4" w:space="0"/>
            </w:tcBorders>
            <w:noWrap w:val="0"/>
            <w:vAlign w:val="center"/>
          </w:tcPr>
          <w:p w14:paraId="77391520">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3CCF1532">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bl>
    <w:p w14:paraId="4A2DEF35">
      <w:pPr>
        <w:pageBreakBefore w:val="0"/>
        <w:kinsoku/>
        <w:overflowPunct/>
        <w:topLinePunct w:val="0"/>
        <w:bidi w:val="0"/>
        <w:snapToGrid w:val="0"/>
        <w:spacing w:line="440" w:lineRule="exact"/>
        <w:jc w:val="right"/>
        <w:rPr>
          <w:rFonts w:hint="eastAsia" w:ascii="宋体" w:hAnsi="宋体" w:eastAsia="宋体" w:cs="宋体"/>
          <w:color w:val="000000"/>
          <w:kern w:val="0"/>
          <w:sz w:val="24"/>
          <w:szCs w:val="24"/>
          <w:highlight w:val="none"/>
        </w:rPr>
      </w:pPr>
    </w:p>
    <w:p w14:paraId="692C0878">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233354CD">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3878FFDC">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205BCDF1">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B379F9C">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707E6097">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223EA622">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5B758916">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07CFAC2E">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3D1B90F5">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02C55B32">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9F4F199">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5F8AC9FE">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6A2180B">
      <w:pPr>
        <w:pStyle w:val="19"/>
        <w:pageBreakBefore w:val="0"/>
        <w:kinsoku/>
        <w:overflowPunct/>
        <w:topLinePunct w:val="0"/>
        <w:bidi w:val="0"/>
        <w:spacing w:line="440" w:lineRule="exact"/>
        <w:ind w:firstLine="240"/>
        <w:rPr>
          <w:rFonts w:hint="eastAsia" w:ascii="宋体" w:hAnsi="宋体" w:eastAsia="宋体" w:cs="宋体"/>
          <w:color w:val="000000"/>
          <w:kern w:val="0"/>
          <w:highlight w:val="none"/>
        </w:rPr>
      </w:pPr>
    </w:p>
    <w:p w14:paraId="7ABCBE88">
      <w:pPr>
        <w:pStyle w:val="19"/>
        <w:pageBreakBefore w:val="0"/>
        <w:kinsoku/>
        <w:overflowPunct/>
        <w:topLinePunct w:val="0"/>
        <w:bidi w:val="0"/>
        <w:spacing w:line="440" w:lineRule="exact"/>
        <w:ind w:firstLine="240"/>
        <w:rPr>
          <w:rFonts w:hint="eastAsia" w:ascii="宋体" w:hAnsi="宋体" w:eastAsia="宋体" w:cs="宋体"/>
          <w:color w:val="000000"/>
          <w:kern w:val="0"/>
          <w:highlight w:val="none"/>
        </w:rPr>
      </w:pPr>
    </w:p>
    <w:p w14:paraId="0FDF6CA8">
      <w:pPr>
        <w:pStyle w:val="19"/>
        <w:pageBreakBefore w:val="0"/>
        <w:kinsoku/>
        <w:overflowPunct/>
        <w:topLinePunct w:val="0"/>
        <w:bidi w:val="0"/>
        <w:spacing w:line="440" w:lineRule="exact"/>
        <w:ind w:firstLine="240"/>
        <w:rPr>
          <w:rFonts w:hint="eastAsia" w:ascii="宋体" w:hAnsi="宋体" w:eastAsia="宋体" w:cs="宋体"/>
          <w:color w:val="000000"/>
          <w:kern w:val="0"/>
          <w:highlight w:val="none"/>
        </w:rPr>
      </w:pPr>
    </w:p>
    <w:p w14:paraId="06D9AC40">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bookmarkStart w:id="71" w:name="_Toc23178"/>
      <w:bookmarkStart w:id="72" w:name="_Toc15795"/>
      <w:r>
        <w:rPr>
          <w:rFonts w:hint="eastAsia" w:ascii="宋体" w:hAnsi="宋体" w:eastAsia="宋体" w:cs="宋体"/>
          <w:b/>
          <w:bCs/>
          <w:color w:val="000000"/>
          <w:kern w:val="0"/>
          <w:sz w:val="30"/>
          <w:szCs w:val="30"/>
          <w:highlight w:val="none"/>
        </w:rPr>
        <w:t>二、开标一览表</w:t>
      </w:r>
      <w:bookmarkEnd w:id="71"/>
      <w:bookmarkEnd w:id="72"/>
    </w:p>
    <w:p w14:paraId="480D19A0">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9132D58">
      <w:pPr>
        <w:pageBreakBefore w:val="0"/>
        <w:kinsoku/>
        <w:overflowPunct/>
        <w:topLinePunct w:val="0"/>
        <w:autoSpaceDE w:val="0"/>
        <w:autoSpaceDN w:val="0"/>
        <w:bidi w:val="0"/>
        <w:spacing w:line="440" w:lineRule="exact"/>
        <w:rPr>
          <w:rFonts w:hint="eastAsia" w:ascii="宋体" w:hAnsi="宋体" w:eastAsia="宋体" w:cs="宋体"/>
          <w:color w:val="000000"/>
          <w:highlight w:val="none"/>
          <w:u w:val="single"/>
          <w:lang w:val="zh-CN"/>
        </w:rPr>
      </w:pPr>
      <w:r>
        <w:rPr>
          <w:rFonts w:hint="eastAsia" w:ascii="宋体" w:hAnsi="宋体" w:eastAsia="宋体" w:cs="宋体"/>
          <w:color w:val="000000"/>
          <w:highlight w:val="none"/>
          <w:u w:val="single"/>
          <w:lang w:val="zh-CN"/>
        </w:rPr>
        <w:t xml:space="preserve"> (项目名称)</w:t>
      </w:r>
      <w:r>
        <w:rPr>
          <w:rFonts w:hint="eastAsia" w:ascii="宋体" w:hAnsi="宋体" w:eastAsia="宋体" w:cs="宋体"/>
          <w:color w:val="000000"/>
          <w:highlight w:val="none"/>
          <w:u w:val="single"/>
          <w:lang w:val="zh-CN" w:eastAsia="zh-CN"/>
        </w:rPr>
        <w:t xml:space="preserve">  </w:t>
      </w:r>
    </w:p>
    <w:tbl>
      <w:tblPr>
        <w:tblStyle w:val="21"/>
        <w:tblW w:w="4998" w:type="pct"/>
        <w:tblInd w:w="0" w:type="dxa"/>
        <w:tblLayout w:type="autofit"/>
        <w:tblCellMar>
          <w:top w:w="0" w:type="dxa"/>
          <w:left w:w="108" w:type="dxa"/>
          <w:bottom w:w="0" w:type="dxa"/>
          <w:right w:w="108" w:type="dxa"/>
        </w:tblCellMar>
      </w:tblPr>
      <w:tblGrid>
        <w:gridCol w:w="2364"/>
        <w:gridCol w:w="1911"/>
        <w:gridCol w:w="1800"/>
        <w:gridCol w:w="1225"/>
        <w:gridCol w:w="1213"/>
      </w:tblGrid>
      <w:tr w14:paraId="0C461833">
        <w:tblPrEx>
          <w:tblCellMar>
            <w:top w:w="0" w:type="dxa"/>
            <w:left w:w="108" w:type="dxa"/>
            <w:bottom w:w="0" w:type="dxa"/>
            <w:right w:w="108" w:type="dxa"/>
          </w:tblCellMar>
        </w:tblPrEx>
        <w:trPr>
          <w:trHeight w:val="1224" w:hRule="atLeast"/>
        </w:trPr>
        <w:tc>
          <w:tcPr>
            <w:tcW w:w="1388" w:type="pct"/>
            <w:tcBorders>
              <w:top w:val="single" w:color="auto" w:sz="6" w:space="0"/>
              <w:left w:val="single" w:color="auto" w:sz="6" w:space="0"/>
              <w:bottom w:val="single" w:color="auto" w:sz="6" w:space="0"/>
              <w:right w:val="single" w:color="auto" w:sz="6" w:space="0"/>
            </w:tcBorders>
            <w:noWrap w:val="0"/>
            <w:vAlign w:val="center"/>
          </w:tcPr>
          <w:p w14:paraId="7AF83201">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rPr>
              <w:t>单位名称</w:t>
            </w:r>
          </w:p>
        </w:tc>
        <w:tc>
          <w:tcPr>
            <w:tcW w:w="1122" w:type="pct"/>
            <w:tcBorders>
              <w:top w:val="single" w:color="auto" w:sz="6" w:space="0"/>
              <w:left w:val="single" w:color="auto" w:sz="6" w:space="0"/>
              <w:bottom w:val="single" w:color="auto" w:sz="6" w:space="0"/>
              <w:right w:val="single" w:color="auto" w:sz="6" w:space="0"/>
            </w:tcBorders>
            <w:noWrap w:val="0"/>
            <w:vAlign w:val="center"/>
          </w:tcPr>
          <w:p w14:paraId="2F182F29">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w:t>
            </w:r>
            <w:r>
              <w:rPr>
                <w:rFonts w:hint="eastAsia" w:ascii="宋体" w:hAnsi="宋体" w:eastAsia="宋体" w:cs="宋体"/>
                <w:color w:val="000000"/>
                <w:highlight w:val="none"/>
              </w:rPr>
              <w:t>报</w:t>
            </w:r>
            <w:r>
              <w:rPr>
                <w:rFonts w:hint="eastAsia" w:ascii="宋体" w:hAnsi="宋体" w:eastAsia="宋体" w:cs="宋体"/>
                <w:color w:val="000000"/>
                <w:highlight w:val="none"/>
                <w:lang w:val="zh-CN"/>
              </w:rPr>
              <w:t>价</w:t>
            </w:r>
          </w:p>
          <w:p w14:paraId="55A55AB0">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r>
              <w:rPr>
                <w:rFonts w:hint="eastAsia" w:ascii="宋体" w:hAnsi="宋体" w:eastAsia="宋体" w:cs="宋体"/>
                <w:color w:val="000000"/>
                <w:highlight w:val="none"/>
              </w:rPr>
              <w:t>元</w:t>
            </w:r>
            <w:r>
              <w:rPr>
                <w:rFonts w:hint="eastAsia" w:ascii="宋体" w:hAnsi="宋体" w:eastAsia="宋体" w:cs="宋体"/>
                <w:color w:val="000000"/>
                <w:highlight w:val="none"/>
                <w:lang w:val="zh-CN"/>
              </w:rPr>
              <w:t>）</w:t>
            </w:r>
          </w:p>
        </w:tc>
        <w:tc>
          <w:tcPr>
            <w:tcW w:w="1057" w:type="pct"/>
            <w:tcBorders>
              <w:top w:val="single" w:color="auto" w:sz="6" w:space="0"/>
              <w:left w:val="single" w:color="auto" w:sz="6" w:space="0"/>
              <w:bottom w:val="single" w:color="auto" w:sz="6" w:space="0"/>
              <w:right w:val="single" w:color="auto" w:sz="6" w:space="0"/>
            </w:tcBorders>
            <w:noWrap w:val="0"/>
            <w:vAlign w:val="center"/>
          </w:tcPr>
          <w:p w14:paraId="7A9B6255">
            <w:pPr>
              <w:pageBreakBefore w:val="0"/>
              <w:kinsoku/>
              <w:overflowPunct/>
              <w:topLinePunct w:val="0"/>
              <w:autoSpaceDE w:val="0"/>
              <w:autoSpaceDN w:val="0"/>
              <w:bidi w:val="0"/>
              <w:spacing w:line="440" w:lineRule="exact"/>
              <w:jc w:val="center"/>
              <w:rPr>
                <w:rFonts w:hint="eastAsia" w:ascii="宋体" w:hAnsi="宋体" w:eastAsia="宋体" w:cs="宋体"/>
                <w:b/>
                <w:bCs/>
                <w:color w:val="000000"/>
                <w:highlight w:val="none"/>
                <w:lang w:val="zh-CN" w:eastAsia="zh-CN"/>
              </w:rPr>
            </w:pPr>
            <w:r>
              <w:rPr>
                <w:rFonts w:hint="eastAsia" w:ascii="宋体" w:hAnsi="宋体" w:eastAsia="宋体" w:cs="宋体"/>
                <w:b w:val="0"/>
                <w:bCs w:val="0"/>
                <w:color w:val="000000"/>
                <w:highlight w:val="none"/>
                <w:lang w:val="zh-CN" w:eastAsia="zh-CN"/>
              </w:rPr>
              <w:t>合同履行期限</w:t>
            </w:r>
          </w:p>
        </w:tc>
        <w:tc>
          <w:tcPr>
            <w:tcW w:w="719" w:type="pct"/>
            <w:tcBorders>
              <w:top w:val="single" w:color="auto" w:sz="6" w:space="0"/>
              <w:left w:val="single" w:color="auto" w:sz="4" w:space="0"/>
              <w:bottom w:val="single" w:color="auto" w:sz="6" w:space="0"/>
              <w:right w:val="single" w:color="auto" w:sz="6" w:space="0"/>
            </w:tcBorders>
            <w:noWrap w:val="0"/>
            <w:vAlign w:val="center"/>
          </w:tcPr>
          <w:p w14:paraId="457C4034">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zh-CN"/>
              </w:rPr>
              <w:t>服务要求</w:t>
            </w:r>
          </w:p>
        </w:tc>
        <w:tc>
          <w:tcPr>
            <w:tcW w:w="712" w:type="pct"/>
            <w:tcBorders>
              <w:top w:val="single" w:color="auto" w:sz="6" w:space="0"/>
              <w:left w:val="single" w:color="auto" w:sz="4" w:space="0"/>
              <w:bottom w:val="single" w:color="auto" w:sz="6" w:space="0"/>
              <w:right w:val="single" w:color="auto" w:sz="6" w:space="0"/>
            </w:tcBorders>
            <w:noWrap w:val="0"/>
            <w:vAlign w:val="center"/>
          </w:tcPr>
          <w:p w14:paraId="43929935">
            <w:pPr>
              <w:pageBreakBefore w:val="0"/>
              <w:kinsoku/>
              <w:overflowPunct/>
              <w:topLinePunct w:val="0"/>
              <w:autoSpaceDE w:val="0"/>
              <w:autoSpaceDN w:val="0"/>
              <w:bidi w:val="0"/>
              <w:spacing w:line="440" w:lineRule="exact"/>
              <w:ind w:firstLine="210" w:firstLineChars="1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备注</w:t>
            </w:r>
          </w:p>
        </w:tc>
      </w:tr>
      <w:tr w14:paraId="1DF299BF">
        <w:tblPrEx>
          <w:tblCellMar>
            <w:top w:w="0" w:type="dxa"/>
            <w:left w:w="108" w:type="dxa"/>
            <w:bottom w:w="0" w:type="dxa"/>
            <w:right w:w="108" w:type="dxa"/>
          </w:tblCellMar>
        </w:tblPrEx>
        <w:trPr>
          <w:trHeight w:val="1062" w:hRule="exact"/>
        </w:trPr>
        <w:tc>
          <w:tcPr>
            <w:tcW w:w="1388" w:type="pct"/>
            <w:tcBorders>
              <w:top w:val="single" w:color="auto" w:sz="6" w:space="0"/>
              <w:left w:val="single" w:color="auto" w:sz="6" w:space="0"/>
              <w:bottom w:val="single" w:color="auto" w:sz="6" w:space="0"/>
              <w:right w:val="single" w:color="auto" w:sz="6" w:space="0"/>
            </w:tcBorders>
            <w:noWrap w:val="0"/>
            <w:vAlign w:val="top"/>
          </w:tcPr>
          <w:p w14:paraId="464CC7E9">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1122" w:type="pct"/>
            <w:tcBorders>
              <w:top w:val="single" w:color="auto" w:sz="6" w:space="0"/>
              <w:left w:val="single" w:color="auto" w:sz="6" w:space="0"/>
              <w:bottom w:val="single" w:color="auto" w:sz="6" w:space="0"/>
              <w:right w:val="single" w:color="auto" w:sz="6" w:space="0"/>
            </w:tcBorders>
            <w:noWrap w:val="0"/>
            <w:vAlign w:val="top"/>
          </w:tcPr>
          <w:p w14:paraId="1C780411">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1057" w:type="pct"/>
            <w:tcBorders>
              <w:top w:val="single" w:color="auto" w:sz="6" w:space="0"/>
              <w:left w:val="single" w:color="auto" w:sz="6" w:space="0"/>
              <w:bottom w:val="single" w:color="auto" w:sz="6" w:space="0"/>
              <w:right w:val="single" w:color="auto" w:sz="6" w:space="0"/>
            </w:tcBorders>
            <w:noWrap w:val="0"/>
            <w:vAlign w:val="top"/>
          </w:tcPr>
          <w:p w14:paraId="1D96D59D">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719" w:type="pct"/>
            <w:tcBorders>
              <w:top w:val="single" w:color="auto" w:sz="6" w:space="0"/>
              <w:left w:val="single" w:color="auto" w:sz="4" w:space="0"/>
              <w:bottom w:val="single" w:color="auto" w:sz="6" w:space="0"/>
              <w:right w:val="single" w:color="auto" w:sz="6" w:space="0"/>
            </w:tcBorders>
            <w:noWrap w:val="0"/>
            <w:vAlign w:val="top"/>
          </w:tcPr>
          <w:p w14:paraId="61AC83F8">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712" w:type="pct"/>
            <w:tcBorders>
              <w:top w:val="single" w:color="auto" w:sz="6" w:space="0"/>
              <w:left w:val="single" w:color="auto" w:sz="4" w:space="0"/>
              <w:bottom w:val="single" w:color="auto" w:sz="6" w:space="0"/>
              <w:right w:val="single" w:color="auto" w:sz="6" w:space="0"/>
            </w:tcBorders>
            <w:noWrap w:val="0"/>
            <w:vAlign w:val="top"/>
          </w:tcPr>
          <w:p w14:paraId="6CCACA79">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r>
    </w:tbl>
    <w:p w14:paraId="43D9CD35">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29F8BD3D">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p>
    <w:p w14:paraId="374083BD">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rPr>
        <w:t>1、</w:t>
      </w:r>
      <w:r>
        <w:rPr>
          <w:rFonts w:hint="eastAsia" w:ascii="宋体" w:hAnsi="宋体" w:eastAsia="宋体" w:cs="宋体"/>
          <w:color w:val="000000"/>
          <w:highlight w:val="none"/>
          <w:lang w:val="zh-CN"/>
        </w:rPr>
        <w:t>“开标一览表”的内容应与“投标函”以及投标文件的其他相关内容一致。如果“开标一览表”的内容与“投标函”以及投标文件的其他相关内容不一致，则以“开标一览表”的内容为准。</w:t>
      </w:r>
    </w:p>
    <w:p w14:paraId="68B08C0C">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rPr>
        <w:t>2</w:t>
      </w:r>
      <w:r>
        <w:rPr>
          <w:rFonts w:hint="eastAsia" w:ascii="宋体" w:hAnsi="宋体" w:eastAsia="宋体" w:cs="宋体"/>
          <w:color w:val="000000"/>
          <w:highlight w:val="none"/>
          <w:lang w:val="zh-CN"/>
        </w:rPr>
        <w:t>、“开标一览表”中各个栏目都必须完整、准确填写。开标时，“开标一览表”的所有内容都不允许补充或者修改。</w:t>
      </w:r>
    </w:p>
    <w:p w14:paraId="4C613C2E">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注：投标人参照“第五章</w:t>
      </w:r>
      <w:r>
        <w:rPr>
          <w:rFonts w:hint="eastAsia" w:ascii="宋体" w:hAnsi="宋体" w:eastAsia="宋体" w:cs="宋体"/>
          <w:color w:val="000000"/>
          <w:highlight w:val="none"/>
          <w:lang w:val="en-US" w:eastAsia="zh-CN"/>
        </w:rPr>
        <w:t xml:space="preserve"> 采购需求</w:t>
      </w:r>
      <w:r>
        <w:rPr>
          <w:rFonts w:hint="eastAsia" w:ascii="宋体" w:hAnsi="宋体" w:eastAsia="宋体" w:cs="宋体"/>
          <w:color w:val="000000"/>
          <w:highlight w:val="none"/>
          <w:lang w:val="zh-CN"/>
        </w:rPr>
        <w:t>”中全部内容结合企业因素自行报价。</w:t>
      </w:r>
    </w:p>
    <w:p w14:paraId="72B6CAA0">
      <w:pPr>
        <w:pStyle w:val="3"/>
        <w:rPr>
          <w:rFonts w:hint="eastAsia"/>
          <w:lang w:val="zh-CN"/>
        </w:rPr>
      </w:pPr>
    </w:p>
    <w:p w14:paraId="1E164474">
      <w:pPr>
        <w:pageBreakBefore w:val="0"/>
        <w:kinsoku/>
        <w:overflowPunct/>
        <w:topLinePunct w:val="0"/>
        <w:autoSpaceDE w:val="0"/>
        <w:autoSpaceDN w:val="0"/>
        <w:bidi w:val="0"/>
        <w:spacing w:line="440" w:lineRule="exact"/>
        <w:rPr>
          <w:rFonts w:hint="eastAsia" w:ascii="宋体" w:hAnsi="宋体" w:eastAsia="宋体" w:cs="宋体"/>
          <w:color w:val="000000"/>
          <w:highlight w:val="none"/>
          <w:lang w:val="zh-CN"/>
        </w:rPr>
      </w:pPr>
    </w:p>
    <w:p w14:paraId="1BBB3CD6">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6C00BFB1">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76F653C4">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2E922F99">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7876C041">
      <w:pPr>
        <w:pageBreakBefore w:val="0"/>
        <w:kinsoku/>
        <w:overflowPunct/>
        <w:topLinePunct w:val="0"/>
        <w:autoSpaceDE w:val="0"/>
        <w:autoSpaceDN w:val="0"/>
        <w:bidi w:val="0"/>
        <w:spacing w:line="440" w:lineRule="exact"/>
        <w:rPr>
          <w:rFonts w:hint="eastAsia" w:ascii="宋体" w:hAnsi="宋体" w:eastAsia="宋体" w:cs="宋体"/>
          <w:bCs/>
          <w:color w:val="000000"/>
          <w:highlight w:val="none"/>
          <w:lang w:val="zh-CN"/>
        </w:rPr>
      </w:pPr>
    </w:p>
    <w:p w14:paraId="3CD52D28">
      <w:pPr>
        <w:pageBreakBefore w:val="0"/>
        <w:kinsoku/>
        <w:overflowPunct/>
        <w:topLinePunct w:val="0"/>
        <w:autoSpaceDE w:val="0"/>
        <w:autoSpaceDN w:val="0"/>
        <w:bidi w:val="0"/>
        <w:spacing w:line="440" w:lineRule="exact"/>
        <w:ind w:firstLine="3374" w:firstLineChars="1607"/>
        <w:rPr>
          <w:rFonts w:hint="eastAsia" w:ascii="宋体" w:hAnsi="宋体" w:eastAsia="宋体" w:cs="宋体"/>
          <w:bCs/>
          <w:color w:val="000000"/>
          <w:highlight w:val="none"/>
          <w:lang w:val="zh-CN"/>
        </w:rPr>
      </w:pPr>
      <w:r>
        <w:rPr>
          <w:rFonts w:hint="eastAsia" w:ascii="宋体" w:hAnsi="宋体" w:eastAsia="宋体" w:cs="宋体"/>
          <w:bCs/>
          <w:color w:val="000000"/>
          <w:highlight w:val="none"/>
          <w:lang w:val="zh-CN"/>
        </w:rPr>
        <w:t>投标人名称（加盖公章）：</w:t>
      </w:r>
    </w:p>
    <w:p w14:paraId="302628DA">
      <w:pPr>
        <w:pageBreakBefore w:val="0"/>
        <w:kinsoku/>
        <w:overflowPunct/>
        <w:topLinePunct w:val="0"/>
        <w:autoSpaceDE w:val="0"/>
        <w:autoSpaceDN w:val="0"/>
        <w:bidi w:val="0"/>
        <w:spacing w:line="440" w:lineRule="exact"/>
        <w:ind w:firstLine="1701"/>
        <w:rPr>
          <w:rFonts w:hint="eastAsia" w:ascii="宋体" w:hAnsi="宋体" w:eastAsia="宋体" w:cs="宋体"/>
          <w:bCs/>
          <w:color w:val="000000"/>
          <w:highlight w:val="none"/>
          <w:lang w:val="zh-CN"/>
        </w:rPr>
      </w:pPr>
    </w:p>
    <w:p w14:paraId="3717C4D9">
      <w:pPr>
        <w:pageBreakBefore w:val="0"/>
        <w:kinsoku/>
        <w:overflowPunct/>
        <w:topLinePunct w:val="0"/>
        <w:autoSpaceDE w:val="0"/>
        <w:autoSpaceDN w:val="0"/>
        <w:bidi w:val="0"/>
        <w:spacing w:line="440" w:lineRule="exact"/>
        <w:ind w:firstLine="3374" w:firstLineChars="1607"/>
        <w:rPr>
          <w:rFonts w:hint="eastAsia" w:ascii="宋体" w:hAnsi="宋体" w:eastAsia="宋体" w:cs="宋体"/>
          <w:bCs/>
          <w:color w:val="000000"/>
          <w:highlight w:val="none"/>
          <w:lang w:val="zh-CN"/>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lang w:val="en-US" w:eastAsia="zh-CN"/>
        </w:rPr>
        <w:t>或</w:t>
      </w:r>
      <w:r>
        <w:rPr>
          <w:rFonts w:hint="eastAsia" w:ascii="宋体" w:hAnsi="宋体" w:eastAsia="宋体" w:cs="宋体"/>
          <w:color w:val="000000"/>
          <w:kern w:val="0"/>
          <w:highlight w:val="none"/>
        </w:rPr>
        <w:t>其授权委托代理人</w:t>
      </w:r>
      <w:r>
        <w:rPr>
          <w:rFonts w:hint="eastAsia" w:ascii="宋体" w:hAnsi="宋体" w:eastAsia="宋体" w:cs="宋体"/>
          <w:bCs/>
          <w:color w:val="000000"/>
          <w:highlight w:val="none"/>
          <w:lang w:val="zh-CN"/>
        </w:rPr>
        <w:t>姓名（手书签名）：</w:t>
      </w:r>
    </w:p>
    <w:p w14:paraId="0C3D9944">
      <w:pPr>
        <w:pageBreakBefore w:val="0"/>
        <w:kinsoku/>
        <w:overflowPunct/>
        <w:topLinePunct w:val="0"/>
        <w:autoSpaceDE w:val="0"/>
        <w:autoSpaceDN w:val="0"/>
        <w:bidi w:val="0"/>
        <w:spacing w:line="440" w:lineRule="exact"/>
        <w:ind w:firstLine="1701"/>
        <w:rPr>
          <w:rFonts w:hint="eastAsia" w:ascii="宋体" w:hAnsi="宋体" w:eastAsia="宋体" w:cs="宋体"/>
          <w:bCs/>
          <w:color w:val="000000"/>
          <w:highlight w:val="none"/>
          <w:lang w:val="zh-CN"/>
        </w:rPr>
      </w:pPr>
    </w:p>
    <w:p w14:paraId="4424584E">
      <w:pPr>
        <w:pageBreakBefore w:val="0"/>
        <w:kinsoku/>
        <w:overflowPunct/>
        <w:topLinePunct w:val="0"/>
        <w:autoSpaceDE w:val="0"/>
        <w:autoSpaceDN w:val="0"/>
        <w:bidi w:val="0"/>
        <w:spacing w:line="440" w:lineRule="exact"/>
        <w:ind w:firstLine="3374" w:firstLineChars="1607"/>
        <w:rPr>
          <w:rFonts w:hint="eastAsia" w:ascii="宋体" w:hAnsi="宋体" w:eastAsia="宋体" w:cs="宋体"/>
          <w:bCs/>
          <w:color w:val="000000"/>
          <w:highlight w:val="none"/>
          <w:lang w:val="zh-CN"/>
        </w:rPr>
      </w:pPr>
      <w:r>
        <w:rPr>
          <w:rFonts w:hint="eastAsia" w:ascii="宋体" w:hAnsi="宋体" w:eastAsia="宋体" w:cs="宋体"/>
          <w:bCs/>
          <w:color w:val="000000"/>
          <w:highlight w:val="none"/>
          <w:lang w:val="zh-CN"/>
        </w:rPr>
        <w:t>日期：  年  月   日</w:t>
      </w:r>
    </w:p>
    <w:p w14:paraId="01098DEC">
      <w:pPr>
        <w:pageBreakBefore w:val="0"/>
        <w:kinsoku/>
        <w:overflowPunct/>
        <w:topLinePunct w:val="0"/>
        <w:autoSpaceDE w:val="0"/>
        <w:autoSpaceDN w:val="0"/>
        <w:bidi w:val="0"/>
        <w:spacing w:line="440" w:lineRule="exact"/>
        <w:ind w:firstLine="2415" w:firstLineChars="1150"/>
        <w:rPr>
          <w:rFonts w:hint="eastAsia" w:ascii="宋体" w:hAnsi="宋体" w:eastAsia="宋体" w:cs="宋体"/>
          <w:bCs/>
          <w:color w:val="000000"/>
          <w:highlight w:val="none"/>
          <w:lang w:val="zh-CN"/>
        </w:rPr>
        <w:sectPr>
          <w:footerReference r:id="rId7" w:type="default"/>
          <w:pgSz w:w="11906" w:h="16838"/>
          <w:pgMar w:top="1440" w:right="1803" w:bottom="1440" w:left="1803" w:header="708" w:footer="964" w:gutter="0"/>
          <w:pgBorders>
            <w:top w:val="none" w:sz="0" w:space="0"/>
            <w:left w:val="none" w:sz="0" w:space="0"/>
            <w:bottom w:val="none" w:sz="0" w:space="0"/>
            <w:right w:val="none" w:sz="0" w:space="0"/>
          </w:pgBorders>
          <w:pgNumType w:fmt="decimal"/>
          <w:cols w:space="720" w:num="1"/>
          <w:docGrid w:linePitch="360" w:charSpace="0"/>
        </w:sectPr>
      </w:pPr>
    </w:p>
    <w:p w14:paraId="5E6D46FD">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bookmarkStart w:id="73" w:name="_Toc18273"/>
      <w:bookmarkStart w:id="74" w:name="_Toc20173"/>
      <w:r>
        <w:rPr>
          <w:rFonts w:hint="eastAsia" w:ascii="宋体" w:hAnsi="宋体" w:eastAsia="宋体" w:cs="宋体"/>
          <w:b/>
          <w:bCs/>
          <w:color w:val="000000"/>
          <w:kern w:val="0"/>
          <w:sz w:val="30"/>
          <w:szCs w:val="30"/>
          <w:highlight w:val="none"/>
        </w:rPr>
        <w:t>三、法定代表人身份证明及授权委托书</w:t>
      </w:r>
      <w:bookmarkEnd w:id="73"/>
      <w:bookmarkEnd w:id="74"/>
    </w:p>
    <w:p w14:paraId="2E699913">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4"/>
          <w:szCs w:val="24"/>
          <w:highlight w:val="none"/>
        </w:rPr>
        <w:t>(一) 法定代表人身份证明</w:t>
      </w:r>
    </w:p>
    <w:p w14:paraId="6D07A786">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rPr>
      </w:pPr>
    </w:p>
    <w:p w14:paraId="4DB9D350">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投标人名称：</w:t>
      </w:r>
    </w:p>
    <w:p w14:paraId="53E15B9B">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单位性质：</w:t>
      </w:r>
    </w:p>
    <w:p w14:paraId="45CAAACB">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地址：</w:t>
      </w:r>
    </w:p>
    <w:p w14:paraId="638BA021">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成立时间：</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年</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月</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日</w:t>
      </w:r>
    </w:p>
    <w:p w14:paraId="7C373A23">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 xml:space="preserve">经营期限： </w:t>
      </w:r>
    </w:p>
    <w:p w14:paraId="51CC90E4">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姓名：性别：年龄：职务：</w:t>
      </w:r>
    </w:p>
    <w:p w14:paraId="671FD479">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系</w:t>
      </w:r>
      <w:r>
        <w:rPr>
          <w:rFonts w:hint="eastAsia" w:ascii="宋体" w:hAnsi="宋体" w:eastAsia="宋体" w:cs="宋体"/>
          <w:color w:val="000000"/>
          <w:kern w:val="0"/>
          <w:highlight w:val="none"/>
          <w:u w:val="single"/>
        </w:rPr>
        <w:t xml:space="preserve">       (投标人名称)       </w:t>
      </w:r>
      <w:r>
        <w:rPr>
          <w:rFonts w:hint="eastAsia" w:ascii="宋体" w:hAnsi="宋体" w:eastAsia="宋体" w:cs="宋体"/>
          <w:color w:val="000000"/>
          <w:kern w:val="0"/>
          <w:highlight w:val="none"/>
        </w:rPr>
        <w:t>的法定代表人。</w:t>
      </w:r>
    </w:p>
    <w:p w14:paraId="0D3C6AEF">
      <w:pPr>
        <w:pageBreakBefore w:val="0"/>
        <w:kinsoku/>
        <w:overflowPunct/>
        <w:topLinePunct w:val="0"/>
        <w:autoSpaceDE w:val="0"/>
        <w:autoSpaceDN w:val="0"/>
        <w:bidi w:val="0"/>
        <w:adjustRightInd w:val="0"/>
        <w:snapToGrid w:val="0"/>
        <w:spacing w:line="440" w:lineRule="exact"/>
        <w:ind w:left="718" w:leftChars="342" w:firstLine="420" w:firstLineChars="200"/>
        <w:jc w:val="left"/>
        <w:rPr>
          <w:rFonts w:hint="eastAsia" w:ascii="宋体" w:hAnsi="宋体" w:eastAsia="宋体" w:cs="宋体"/>
          <w:color w:val="000000"/>
          <w:kern w:val="0"/>
          <w:highlight w:val="none"/>
        </w:rPr>
      </w:pPr>
    </w:p>
    <w:p w14:paraId="4BC5EE8B">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特此证明。</w:t>
      </w:r>
    </w:p>
    <w:p w14:paraId="0F429A26">
      <w:pPr>
        <w:pageBreakBefore w:val="0"/>
        <w:kinsoku/>
        <w:overflowPunct/>
        <w:topLinePunct w:val="0"/>
        <w:bidi w:val="0"/>
        <w:spacing w:line="440" w:lineRule="exact"/>
        <w:jc w:val="center"/>
        <w:rPr>
          <w:rFonts w:hint="eastAsia" w:ascii="宋体" w:hAnsi="宋体" w:eastAsia="宋体" w:cs="宋体"/>
          <w:color w:val="000000"/>
          <w:highlight w:val="none"/>
        </w:rPr>
      </w:pPr>
    </w:p>
    <w:tbl>
      <w:tblPr>
        <w:tblStyle w:val="21"/>
        <w:tblW w:w="3496" w:type="dxa"/>
        <w:tblInd w:w="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tblGrid>
      <w:tr w14:paraId="30BB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496" w:type="dxa"/>
            <w:noWrap w:val="0"/>
            <w:vAlign w:val="top"/>
          </w:tcPr>
          <w:p w14:paraId="477902EE">
            <w:pPr>
              <w:pageBreakBefore w:val="0"/>
              <w:kinsoku/>
              <w:overflowPunct/>
              <w:topLinePunct w:val="0"/>
              <w:bidi w:val="0"/>
              <w:spacing w:line="440" w:lineRule="exact"/>
              <w:jc w:val="center"/>
              <w:rPr>
                <w:rFonts w:hint="eastAsia" w:ascii="宋体" w:hAnsi="宋体" w:eastAsia="宋体" w:cs="宋体"/>
                <w:color w:val="000000"/>
                <w:highlight w:val="none"/>
              </w:rPr>
            </w:pPr>
          </w:p>
          <w:p w14:paraId="65C7591E">
            <w:pPr>
              <w:pageBreakBefore w:val="0"/>
              <w:kinsoku/>
              <w:overflowPunct/>
              <w:topLinePunct w:val="0"/>
              <w:bidi w:val="0"/>
              <w:spacing w:line="440" w:lineRule="exact"/>
              <w:jc w:val="center"/>
              <w:rPr>
                <w:rFonts w:hint="eastAsia" w:ascii="宋体" w:hAnsi="宋体" w:eastAsia="宋体" w:cs="宋体"/>
                <w:color w:val="000000"/>
                <w:highlight w:val="none"/>
              </w:rPr>
            </w:pPr>
          </w:p>
          <w:p w14:paraId="5FC0FBED">
            <w:pPr>
              <w:pageBreakBefore w:val="0"/>
              <w:kinsoku/>
              <w:overflowPunct/>
              <w:topLinePunct w:val="0"/>
              <w:bidi w:val="0"/>
              <w:spacing w:line="440" w:lineRule="exact"/>
              <w:jc w:val="center"/>
              <w:rPr>
                <w:rFonts w:hint="eastAsia" w:ascii="宋体" w:hAnsi="宋体" w:eastAsia="宋体" w:cs="宋体"/>
                <w:color w:val="000000"/>
                <w:highlight w:val="none"/>
              </w:rPr>
            </w:pPr>
          </w:p>
          <w:p w14:paraId="0555D680">
            <w:pPr>
              <w:pageBreakBefore w:val="0"/>
              <w:kinsoku/>
              <w:overflowPunct/>
              <w:topLinePunct w:val="0"/>
              <w:bidi w:val="0"/>
              <w:spacing w:line="440" w:lineRule="exact"/>
              <w:jc w:val="center"/>
              <w:rPr>
                <w:rFonts w:hint="eastAsia" w:ascii="宋体" w:hAnsi="宋体" w:eastAsia="宋体" w:cs="宋体"/>
                <w:color w:val="000000"/>
                <w:highlight w:val="none"/>
              </w:rPr>
            </w:pPr>
          </w:p>
          <w:p w14:paraId="6669B6E7">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法定代表人身份证复印件正反面</w:t>
            </w:r>
          </w:p>
          <w:p w14:paraId="1D582753">
            <w:pPr>
              <w:pageBreakBefore w:val="0"/>
              <w:kinsoku/>
              <w:overflowPunct/>
              <w:topLinePunct w:val="0"/>
              <w:bidi w:val="0"/>
              <w:spacing w:line="440" w:lineRule="exact"/>
              <w:jc w:val="center"/>
              <w:rPr>
                <w:rFonts w:hint="eastAsia" w:ascii="宋体" w:hAnsi="宋体" w:eastAsia="宋体" w:cs="宋体"/>
                <w:color w:val="000000"/>
                <w:highlight w:val="none"/>
              </w:rPr>
            </w:pPr>
          </w:p>
        </w:tc>
      </w:tr>
    </w:tbl>
    <w:p w14:paraId="7AC409AE">
      <w:pPr>
        <w:pageBreakBefore w:val="0"/>
        <w:kinsoku/>
        <w:overflowPunct/>
        <w:topLinePunct w:val="0"/>
        <w:bidi w:val="0"/>
        <w:spacing w:line="440" w:lineRule="exact"/>
        <w:jc w:val="center"/>
        <w:rPr>
          <w:rFonts w:hint="eastAsia" w:ascii="宋体" w:hAnsi="宋体" w:eastAsia="宋体" w:cs="宋体"/>
          <w:color w:val="000000"/>
          <w:highlight w:val="none"/>
        </w:rPr>
      </w:pPr>
    </w:p>
    <w:p w14:paraId="347A345F">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2618466B">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194F33C7">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74DB250A">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70B17838">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(盖单位章)</w:t>
      </w:r>
    </w:p>
    <w:p w14:paraId="5DFB744B">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129E2070">
      <w:pPr>
        <w:pageBreakBefore w:val="0"/>
        <w:kinsoku/>
        <w:wordWrap w:val="0"/>
        <w:overflowPunct/>
        <w:topLinePunct w:val="0"/>
        <w:autoSpaceDE w:val="0"/>
        <w:autoSpaceDN w:val="0"/>
        <w:bidi w:val="0"/>
        <w:adjustRightInd w:val="0"/>
        <w:snapToGrid w:val="0"/>
        <w:spacing w:line="440" w:lineRule="exact"/>
        <w:ind w:left="928" w:leftChars="442"/>
        <w:jc w:val="righ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(签字)</w:t>
      </w:r>
    </w:p>
    <w:p w14:paraId="5E12CEF6">
      <w:pPr>
        <w:pageBreakBefore w:val="0"/>
        <w:kinsoku/>
        <w:overflowPunct/>
        <w:topLinePunct w:val="0"/>
        <w:autoSpaceDE w:val="0"/>
        <w:autoSpaceDN w:val="0"/>
        <w:bidi w:val="0"/>
        <w:adjustRightInd w:val="0"/>
        <w:snapToGrid w:val="0"/>
        <w:spacing w:line="440" w:lineRule="exact"/>
        <w:ind w:left="928" w:leftChars="442"/>
        <w:jc w:val="right"/>
        <w:rPr>
          <w:rFonts w:hint="eastAsia" w:ascii="宋体" w:hAnsi="宋体" w:eastAsia="宋体" w:cs="宋体"/>
          <w:color w:val="000000"/>
          <w:kern w:val="0"/>
          <w:highlight w:val="none"/>
        </w:rPr>
      </w:pPr>
    </w:p>
    <w:p w14:paraId="7EE7B2E2">
      <w:pPr>
        <w:pageBreakBefore w:val="0"/>
        <w:kinsoku/>
        <w:overflowPunct/>
        <w:topLinePunct w:val="0"/>
        <w:bidi w:val="0"/>
        <w:snapToGrid w:val="0"/>
        <w:spacing w:line="440" w:lineRule="exact"/>
        <w:ind w:left="210" w:leftChars="100" w:firstLine="2520" w:firstLineChars="1200"/>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年   月    日</w:t>
      </w:r>
    </w:p>
    <w:p w14:paraId="07DECABE">
      <w:pPr>
        <w:pageBreakBefore w:val="0"/>
        <w:kinsoku/>
        <w:overflowPunct/>
        <w:topLinePunct w:val="0"/>
        <w:bidi w:val="0"/>
        <w:snapToGrid w:val="0"/>
        <w:spacing w:line="440" w:lineRule="exact"/>
        <w:ind w:firstLine="2880" w:firstLineChars="1200"/>
        <w:jc w:val="right"/>
        <w:rPr>
          <w:rFonts w:hint="eastAsia" w:ascii="宋体" w:hAnsi="宋体" w:eastAsia="宋体" w:cs="宋体"/>
          <w:color w:val="000000"/>
          <w:kern w:val="0"/>
          <w:sz w:val="24"/>
          <w:szCs w:val="24"/>
          <w:highlight w:val="none"/>
        </w:rPr>
      </w:pPr>
    </w:p>
    <w:p w14:paraId="7C0F697B">
      <w:pPr>
        <w:pageBreakBefore w:val="0"/>
        <w:kinsoku/>
        <w:overflowPunct/>
        <w:topLinePunct w:val="0"/>
        <w:bidi w:val="0"/>
        <w:snapToGrid w:val="0"/>
        <w:spacing w:line="440" w:lineRule="exact"/>
        <w:ind w:firstLine="2520" w:firstLineChars="1200"/>
        <w:jc w:val="right"/>
        <w:rPr>
          <w:rFonts w:hint="eastAsia" w:ascii="宋体" w:hAnsi="宋体" w:eastAsia="宋体" w:cs="宋体"/>
          <w:color w:val="000000"/>
          <w:kern w:val="0"/>
          <w:highlight w:val="none"/>
        </w:rPr>
      </w:pPr>
    </w:p>
    <w:p w14:paraId="2A4EAC50">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r>
        <w:rPr>
          <w:rFonts w:hint="eastAsia" w:ascii="宋体" w:hAnsi="宋体" w:eastAsia="宋体" w:cs="宋体"/>
          <w:b/>
          <w:bCs/>
          <w:color w:val="000000"/>
          <w:kern w:val="0"/>
          <w:sz w:val="30"/>
          <w:szCs w:val="30"/>
          <w:highlight w:val="none"/>
        </w:rPr>
        <w:t>(二)授权委托书</w:t>
      </w:r>
    </w:p>
    <w:p w14:paraId="433709F2">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4709771A">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本人</w:t>
      </w:r>
      <w:r>
        <w:rPr>
          <w:rFonts w:hint="eastAsia" w:ascii="宋体" w:hAnsi="宋体" w:eastAsia="宋体" w:cs="宋体"/>
          <w:color w:val="000000"/>
          <w:kern w:val="0"/>
          <w:highlight w:val="none"/>
          <w:u w:val="single"/>
        </w:rPr>
        <w:t xml:space="preserve">  (姓名)   </w:t>
      </w:r>
      <w:r>
        <w:rPr>
          <w:rFonts w:hint="eastAsia" w:ascii="宋体" w:hAnsi="宋体" w:eastAsia="宋体" w:cs="宋体"/>
          <w:color w:val="000000"/>
          <w:kern w:val="0"/>
          <w:highlight w:val="none"/>
        </w:rPr>
        <w:t>系</w:t>
      </w:r>
      <w:r>
        <w:rPr>
          <w:rFonts w:hint="eastAsia" w:ascii="宋体" w:hAnsi="宋体" w:eastAsia="宋体" w:cs="宋体"/>
          <w:color w:val="000000"/>
          <w:kern w:val="0"/>
          <w:highlight w:val="none"/>
          <w:u w:val="single"/>
        </w:rPr>
        <w:t xml:space="preserve">    (投标人名称)    </w:t>
      </w:r>
      <w:r>
        <w:rPr>
          <w:rFonts w:hint="eastAsia" w:ascii="宋体" w:hAnsi="宋体" w:eastAsia="宋体" w:cs="宋体"/>
          <w:color w:val="000000"/>
          <w:kern w:val="0"/>
          <w:highlight w:val="none"/>
        </w:rPr>
        <w:t>的法定代表人，现委托</w:t>
      </w:r>
      <w:r>
        <w:rPr>
          <w:rFonts w:hint="eastAsia" w:ascii="宋体" w:hAnsi="宋体" w:eastAsia="宋体" w:cs="宋体"/>
          <w:color w:val="000000"/>
          <w:kern w:val="0"/>
          <w:highlight w:val="none"/>
          <w:u w:val="single"/>
        </w:rPr>
        <w:t xml:space="preserve">   (姓名)  </w:t>
      </w:r>
      <w:r>
        <w:rPr>
          <w:rFonts w:hint="eastAsia" w:ascii="宋体" w:hAnsi="宋体" w:eastAsia="宋体" w:cs="宋体"/>
          <w:color w:val="000000"/>
          <w:kern w:val="0"/>
          <w:highlight w:val="none"/>
        </w:rPr>
        <w:t>为我方代理人。代理人根据授权，以我方名义签署、澄清、说明、补正、递交、撤回、修改</w:t>
      </w:r>
      <w:r>
        <w:rPr>
          <w:rFonts w:hint="eastAsia" w:ascii="宋体" w:hAnsi="宋体" w:eastAsia="宋体" w:cs="宋体"/>
          <w:color w:val="000000"/>
          <w:kern w:val="0"/>
          <w:highlight w:val="none"/>
          <w:u w:val="single"/>
        </w:rPr>
        <w:t xml:space="preserve">  </w:t>
      </w:r>
      <w:r>
        <w:rPr>
          <w:rFonts w:hint="eastAsia" w:ascii="宋体" w:hAnsi="宋体" w:eastAsia="宋体" w:cs="宋体"/>
          <w:color w:val="auto"/>
          <w:kern w:val="0"/>
          <w:szCs w:val="21"/>
          <w:highlight w:val="none"/>
          <w:u w:val="single"/>
        </w:rPr>
        <w:t xml:space="preserve"> (项目名称)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投标文件、签订合同和处理有关事宜，其法律后果由我方承担。</w:t>
      </w:r>
    </w:p>
    <w:p w14:paraId="440DEB8A">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委托期限：     。</w:t>
      </w:r>
    </w:p>
    <w:p w14:paraId="18F57182">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代理人无转委托权。</w:t>
      </w:r>
    </w:p>
    <w:p w14:paraId="4BA3C8BA">
      <w:pPr>
        <w:pageBreakBefore w:val="0"/>
        <w:kinsoku/>
        <w:overflowPunct/>
        <w:topLinePunct w:val="0"/>
        <w:bidi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附：法定代表人身份证；被授权人身份证。</w:t>
      </w:r>
    </w:p>
    <w:p w14:paraId="173C2658">
      <w:pPr>
        <w:pageBreakBefore w:val="0"/>
        <w:kinsoku/>
        <w:overflowPunct/>
        <w:topLinePunct w:val="0"/>
        <w:autoSpaceDE w:val="0"/>
        <w:autoSpaceDN w:val="0"/>
        <w:bidi w:val="0"/>
        <w:adjustRightInd w:val="0"/>
        <w:snapToGrid w:val="0"/>
        <w:spacing w:line="440" w:lineRule="exact"/>
        <w:ind w:left="540" w:leftChars="257"/>
        <w:jc w:val="left"/>
        <w:rPr>
          <w:rFonts w:hint="eastAsia" w:ascii="宋体" w:hAnsi="宋体" w:eastAsia="宋体" w:cs="宋体"/>
          <w:color w:val="000000"/>
          <w:kern w:val="0"/>
          <w:highlight w:val="none"/>
        </w:rPr>
      </w:pPr>
    </w:p>
    <w:tbl>
      <w:tblPr>
        <w:tblStyle w:val="21"/>
        <w:tblpPr w:leftFromText="180" w:rightFromText="180" w:vertAnchor="text" w:horzAnchor="page" w:tblpX="1509" w:tblpY="52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687"/>
        <w:gridCol w:w="4156"/>
      </w:tblGrid>
      <w:tr w14:paraId="0E73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top w:val="single" w:color="auto" w:sz="4" w:space="0"/>
              <w:left w:val="single" w:color="auto" w:sz="4" w:space="0"/>
              <w:bottom w:val="single" w:color="auto" w:sz="4" w:space="0"/>
              <w:right w:val="single" w:color="auto" w:sz="4" w:space="0"/>
            </w:tcBorders>
            <w:noWrap w:val="0"/>
            <w:vAlign w:val="top"/>
          </w:tcPr>
          <w:p w14:paraId="17014E1B">
            <w:pPr>
              <w:pageBreakBefore w:val="0"/>
              <w:kinsoku/>
              <w:overflowPunct/>
              <w:topLinePunct w:val="0"/>
              <w:bidi w:val="0"/>
              <w:spacing w:line="440" w:lineRule="exact"/>
              <w:jc w:val="center"/>
              <w:rPr>
                <w:rFonts w:hint="eastAsia" w:ascii="宋体" w:hAnsi="宋体" w:eastAsia="宋体" w:cs="宋体"/>
                <w:color w:val="000000"/>
                <w:highlight w:val="none"/>
              </w:rPr>
            </w:pPr>
          </w:p>
          <w:p w14:paraId="7EA26BA2">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法定代表人身份证正反面复印件</w:t>
            </w:r>
          </w:p>
        </w:tc>
        <w:tc>
          <w:tcPr>
            <w:tcW w:w="687" w:type="dxa"/>
            <w:tcBorders>
              <w:top w:val="nil"/>
              <w:left w:val="single" w:color="auto" w:sz="4" w:space="0"/>
              <w:bottom w:val="nil"/>
              <w:right w:val="single" w:color="auto" w:sz="4" w:space="0"/>
            </w:tcBorders>
            <w:noWrap w:val="0"/>
            <w:vAlign w:val="top"/>
          </w:tcPr>
          <w:p w14:paraId="5BCF20C8">
            <w:pPr>
              <w:pageBreakBefore w:val="0"/>
              <w:kinsoku/>
              <w:overflowPunct/>
              <w:topLinePunct w:val="0"/>
              <w:bidi w:val="0"/>
              <w:spacing w:line="440" w:lineRule="exact"/>
              <w:jc w:val="center"/>
              <w:rPr>
                <w:rFonts w:hint="eastAsia" w:ascii="宋体" w:hAnsi="宋体" w:eastAsia="宋体" w:cs="宋体"/>
                <w:color w:val="000000"/>
                <w:highlight w:val="none"/>
              </w:rPr>
            </w:pPr>
          </w:p>
        </w:tc>
        <w:tc>
          <w:tcPr>
            <w:tcW w:w="4156" w:type="dxa"/>
            <w:tcBorders>
              <w:top w:val="single" w:color="auto" w:sz="4" w:space="0"/>
              <w:left w:val="single" w:color="auto" w:sz="4" w:space="0"/>
              <w:bottom w:val="single" w:color="auto" w:sz="4" w:space="0"/>
              <w:right w:val="single" w:color="auto" w:sz="4" w:space="0"/>
            </w:tcBorders>
            <w:noWrap w:val="0"/>
            <w:vAlign w:val="top"/>
          </w:tcPr>
          <w:p w14:paraId="577CDD11">
            <w:pPr>
              <w:pageBreakBefore w:val="0"/>
              <w:kinsoku/>
              <w:overflowPunct/>
              <w:topLinePunct w:val="0"/>
              <w:bidi w:val="0"/>
              <w:spacing w:line="440" w:lineRule="exact"/>
              <w:jc w:val="center"/>
              <w:rPr>
                <w:rFonts w:hint="eastAsia" w:ascii="宋体" w:hAnsi="宋体" w:eastAsia="宋体" w:cs="宋体"/>
                <w:color w:val="000000"/>
                <w:highlight w:val="none"/>
              </w:rPr>
            </w:pPr>
          </w:p>
          <w:p w14:paraId="42FC87D2">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授权委托人身份证正反面复印件</w:t>
            </w:r>
          </w:p>
        </w:tc>
      </w:tr>
    </w:tbl>
    <w:p w14:paraId="38665BBC">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38D6A3C9">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4503A7B7">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(盖单位章)</w:t>
      </w:r>
    </w:p>
    <w:p w14:paraId="5BD4D616">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(签字)</w:t>
      </w:r>
    </w:p>
    <w:p w14:paraId="20999C10">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身份证号码：</w:t>
      </w:r>
      <w:r>
        <w:rPr>
          <w:rFonts w:hint="eastAsia" w:ascii="宋体" w:hAnsi="宋体" w:eastAsia="宋体" w:cs="宋体"/>
          <w:color w:val="000000"/>
          <w:kern w:val="0"/>
          <w:highlight w:val="none"/>
          <w:u w:val="single"/>
        </w:rPr>
        <w:t xml:space="preserve">                  </w:t>
      </w:r>
    </w:p>
    <w:p w14:paraId="7367CA96">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委托代理人：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(签字)</w:t>
      </w:r>
    </w:p>
    <w:p w14:paraId="345EEAEC">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身份证号码：</w:t>
      </w:r>
      <w:r>
        <w:rPr>
          <w:rFonts w:hint="eastAsia" w:ascii="宋体" w:hAnsi="宋体" w:eastAsia="宋体" w:cs="宋体"/>
          <w:color w:val="000000"/>
          <w:kern w:val="0"/>
          <w:highlight w:val="none"/>
          <w:u w:val="single"/>
        </w:rPr>
        <w:t xml:space="preserve">                  </w:t>
      </w:r>
    </w:p>
    <w:p w14:paraId="4640FCDE">
      <w:pPr>
        <w:pageBreakBefore w:val="0"/>
        <w:kinsoku/>
        <w:overflowPunct/>
        <w:topLinePunct w:val="0"/>
        <w:bidi w:val="0"/>
        <w:snapToGrid w:val="0"/>
        <w:spacing w:line="440" w:lineRule="exact"/>
        <w:ind w:firstLine="1890" w:firstLineChars="900"/>
        <w:jc w:val="right"/>
        <w:rPr>
          <w:rFonts w:hint="eastAsia" w:ascii="宋体" w:hAnsi="宋体" w:eastAsia="宋体" w:cs="宋体"/>
          <w:color w:val="000000"/>
          <w:kern w:val="0"/>
          <w:highlight w:val="none"/>
          <w:u w:val="single"/>
        </w:rPr>
      </w:pPr>
    </w:p>
    <w:p w14:paraId="7EE2D378">
      <w:pPr>
        <w:pageBreakBefore w:val="0"/>
        <w:kinsoku/>
        <w:overflowPunct/>
        <w:topLinePunct w:val="0"/>
        <w:bidi w:val="0"/>
        <w:snapToGrid w:val="0"/>
        <w:spacing w:line="440" w:lineRule="exact"/>
        <w:ind w:firstLine="1890" w:firstLineChars="900"/>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 xml:space="preserve"> 年   月   日</w:t>
      </w:r>
    </w:p>
    <w:p w14:paraId="57F41C50">
      <w:pPr>
        <w:pageBreakBefore w:val="0"/>
        <w:kinsoku/>
        <w:overflowPunct/>
        <w:topLinePunct w:val="0"/>
        <w:bidi w:val="0"/>
        <w:snapToGrid w:val="0"/>
        <w:spacing w:line="440" w:lineRule="exact"/>
        <w:ind w:left="540" w:leftChars="257" w:firstLine="1920" w:firstLineChars="800"/>
        <w:jc w:val="left"/>
        <w:rPr>
          <w:rFonts w:hint="eastAsia" w:ascii="宋体" w:hAnsi="宋体" w:eastAsia="宋体" w:cs="宋体"/>
          <w:color w:val="000000"/>
          <w:kern w:val="0"/>
          <w:sz w:val="24"/>
          <w:szCs w:val="24"/>
          <w:highlight w:val="none"/>
        </w:rPr>
      </w:pPr>
    </w:p>
    <w:p w14:paraId="7C624710">
      <w:pPr>
        <w:pageBreakBefore w:val="0"/>
        <w:kinsoku/>
        <w:overflowPunct/>
        <w:topLinePunct w:val="0"/>
        <w:bidi w:val="0"/>
        <w:snapToGrid w:val="0"/>
        <w:spacing w:line="440" w:lineRule="exact"/>
        <w:ind w:left="540" w:leftChars="257" w:firstLine="1920" w:firstLineChars="800"/>
        <w:jc w:val="left"/>
        <w:rPr>
          <w:rFonts w:hint="eastAsia" w:ascii="宋体" w:hAnsi="宋体" w:eastAsia="宋体" w:cs="宋体"/>
          <w:color w:val="000000"/>
          <w:kern w:val="0"/>
          <w:sz w:val="24"/>
          <w:szCs w:val="24"/>
          <w:highlight w:val="none"/>
        </w:rPr>
      </w:pPr>
    </w:p>
    <w:p w14:paraId="2672BFB6">
      <w:pPr>
        <w:pageBreakBefore w:val="0"/>
        <w:kinsoku/>
        <w:overflowPunct/>
        <w:topLinePunct w:val="0"/>
        <w:bidi w:val="0"/>
        <w:spacing w:line="440" w:lineRule="exact"/>
        <w:rPr>
          <w:rFonts w:hint="eastAsia" w:ascii="宋体" w:hAnsi="宋体" w:eastAsia="宋体" w:cs="宋体"/>
          <w:color w:val="000000"/>
          <w:highlight w:val="none"/>
        </w:rPr>
      </w:pPr>
    </w:p>
    <w:p w14:paraId="0794239B">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lang w:val="en-US" w:eastAsia="zh-CN"/>
        </w:rPr>
      </w:pPr>
      <w:r>
        <w:rPr>
          <w:rFonts w:hint="eastAsia" w:ascii="宋体" w:hAnsi="宋体" w:eastAsia="宋体" w:cs="宋体"/>
          <w:b/>
          <w:bCs/>
          <w:color w:val="000000"/>
          <w:kern w:val="0"/>
          <w:sz w:val="30"/>
          <w:szCs w:val="30"/>
          <w:highlight w:val="none"/>
        </w:rPr>
        <w:br w:type="page"/>
      </w:r>
      <w:bookmarkStart w:id="75" w:name="_Toc2884"/>
      <w:bookmarkStart w:id="76" w:name="_Toc2565"/>
      <w:r>
        <w:rPr>
          <w:rFonts w:hint="eastAsia" w:ascii="宋体" w:hAnsi="宋体" w:eastAsia="宋体" w:cs="宋体"/>
          <w:b/>
          <w:bCs/>
          <w:color w:val="000000"/>
          <w:kern w:val="0"/>
          <w:sz w:val="30"/>
          <w:szCs w:val="30"/>
          <w:highlight w:val="none"/>
        </w:rPr>
        <w:t>四、投标保证金</w:t>
      </w:r>
      <w:bookmarkEnd w:id="75"/>
      <w:r>
        <w:rPr>
          <w:rFonts w:hint="eastAsia" w:ascii="宋体" w:hAnsi="宋体" w:eastAsia="宋体" w:cs="宋体"/>
          <w:b/>
          <w:bCs/>
          <w:color w:val="000000"/>
          <w:kern w:val="0"/>
          <w:sz w:val="30"/>
          <w:szCs w:val="30"/>
          <w:highlight w:val="none"/>
          <w:lang w:val="en-US" w:eastAsia="zh-CN"/>
        </w:rPr>
        <w:t>（无）</w:t>
      </w:r>
      <w:bookmarkEnd w:id="76"/>
    </w:p>
    <w:p w14:paraId="12BB4741">
      <w:pPr>
        <w:pageBreakBefore w:val="0"/>
        <w:kinsoku/>
        <w:overflowPunct/>
        <w:topLinePunct w:val="0"/>
        <w:bidi w:val="0"/>
        <w:snapToGrid w:val="0"/>
        <w:spacing w:line="440" w:lineRule="exact"/>
        <w:rPr>
          <w:rFonts w:hint="eastAsia" w:ascii="宋体" w:hAnsi="宋体" w:eastAsia="宋体" w:cs="宋体"/>
          <w:b/>
          <w:bCs/>
          <w:color w:val="000000"/>
          <w:sz w:val="24"/>
          <w:szCs w:val="24"/>
          <w:highlight w:val="none"/>
        </w:rPr>
      </w:pPr>
    </w:p>
    <w:p w14:paraId="6B163963">
      <w:pPr>
        <w:pageBreakBefore w:val="0"/>
        <w:kinsoku/>
        <w:overflowPunct/>
        <w:topLinePunct w:val="0"/>
        <w:autoSpaceDE w:val="0"/>
        <w:autoSpaceDN w:val="0"/>
        <w:bidi w:val="0"/>
        <w:adjustRightInd w:val="0"/>
        <w:snapToGrid w:val="0"/>
        <w:spacing w:line="440" w:lineRule="exact"/>
        <w:ind w:firstLine="601"/>
        <w:jc w:val="left"/>
        <w:rPr>
          <w:rFonts w:hint="eastAsia" w:ascii="宋体" w:hAnsi="宋体" w:eastAsia="宋体" w:cs="宋体"/>
          <w:color w:val="000000"/>
          <w:kern w:val="0"/>
          <w:highlight w:val="none"/>
        </w:rPr>
      </w:pPr>
    </w:p>
    <w:tbl>
      <w:tblPr>
        <w:tblStyle w:val="21"/>
        <w:tblW w:w="7513" w:type="dxa"/>
        <w:tblInd w:w="675" w:type="dxa"/>
        <w:tblLayout w:type="fixed"/>
        <w:tblCellMar>
          <w:top w:w="0" w:type="dxa"/>
          <w:left w:w="108" w:type="dxa"/>
          <w:bottom w:w="0" w:type="dxa"/>
          <w:right w:w="108" w:type="dxa"/>
        </w:tblCellMar>
      </w:tblPr>
      <w:tblGrid>
        <w:gridCol w:w="7513"/>
      </w:tblGrid>
      <w:tr w14:paraId="45EE11BE">
        <w:tblPrEx>
          <w:tblCellMar>
            <w:top w:w="0" w:type="dxa"/>
            <w:left w:w="108" w:type="dxa"/>
            <w:bottom w:w="0" w:type="dxa"/>
            <w:right w:w="108" w:type="dxa"/>
          </w:tblCellMar>
        </w:tblPrEx>
        <w:trPr>
          <w:trHeight w:val="3430" w:hRule="atLeast"/>
        </w:trPr>
        <w:tc>
          <w:tcPr>
            <w:tcW w:w="7513" w:type="dxa"/>
            <w:tcBorders>
              <w:top w:val="single" w:color="000000" w:sz="4" w:space="0"/>
              <w:left w:val="single" w:color="000000" w:sz="4" w:space="0"/>
              <w:bottom w:val="single" w:color="000000" w:sz="4" w:space="0"/>
              <w:right w:val="single" w:color="000000" w:sz="4" w:space="0"/>
            </w:tcBorders>
            <w:noWrap w:val="0"/>
            <w:vAlign w:val="top"/>
          </w:tcPr>
          <w:p w14:paraId="337DA87E">
            <w:pPr>
              <w:pageBreakBefore w:val="0"/>
              <w:kinsoku/>
              <w:overflowPunct/>
              <w:topLinePunct w:val="0"/>
              <w:bidi w:val="0"/>
              <w:spacing w:line="440" w:lineRule="exact"/>
              <w:jc w:val="left"/>
              <w:rPr>
                <w:rFonts w:hint="eastAsia" w:ascii="宋体" w:hAnsi="宋体" w:eastAsia="宋体" w:cs="宋体"/>
                <w:b/>
                <w:bCs/>
                <w:color w:val="000000"/>
                <w:kern w:val="0"/>
                <w:highlight w:val="none"/>
              </w:rPr>
            </w:pPr>
          </w:p>
          <w:p w14:paraId="32DE181A">
            <w:pPr>
              <w:pageBreakBefore w:val="0"/>
              <w:kinsoku/>
              <w:overflowPunct/>
              <w:topLinePunct w:val="0"/>
              <w:bidi w:val="0"/>
              <w:spacing w:line="440" w:lineRule="exact"/>
              <w:jc w:val="left"/>
              <w:rPr>
                <w:rFonts w:hint="eastAsia" w:ascii="宋体" w:hAnsi="宋体" w:eastAsia="宋体" w:cs="宋体"/>
                <w:b/>
                <w:bCs/>
                <w:color w:val="000000"/>
                <w:highlight w:val="none"/>
              </w:rPr>
            </w:pPr>
            <w:r>
              <w:rPr>
                <w:rFonts w:hint="eastAsia" w:ascii="宋体" w:hAnsi="宋体" w:eastAsia="宋体" w:cs="宋体"/>
                <w:b/>
                <w:bCs/>
                <w:color w:val="000000"/>
                <w:kern w:val="0"/>
                <w:highlight w:val="none"/>
              </w:rPr>
              <w:t>附：</w:t>
            </w:r>
            <w:r>
              <w:rPr>
                <w:rFonts w:hint="eastAsia" w:ascii="宋体" w:hAnsi="宋体" w:eastAsia="宋体" w:cs="宋体"/>
                <w:b/>
                <w:bCs/>
                <w:color w:val="000000"/>
                <w:highlight w:val="none"/>
              </w:rPr>
              <w:t>1.投标人的保证金转账凭证复印件（无须提供可不附）；</w:t>
            </w:r>
          </w:p>
          <w:p w14:paraId="6B2D6539">
            <w:pPr>
              <w:pageBreakBefore w:val="0"/>
              <w:kinsoku/>
              <w:overflowPunct/>
              <w:topLinePunct w:val="0"/>
              <w:bidi w:val="0"/>
              <w:spacing w:line="440" w:lineRule="exact"/>
              <w:ind w:firstLine="422" w:firstLineChars="200"/>
              <w:jc w:val="left"/>
              <w:rPr>
                <w:rFonts w:hint="eastAsia" w:ascii="宋体" w:hAnsi="宋体" w:eastAsia="宋体" w:cs="宋体"/>
                <w:b/>
                <w:bCs/>
                <w:color w:val="000000"/>
                <w:highlight w:val="none"/>
              </w:rPr>
            </w:pPr>
            <w:r>
              <w:rPr>
                <w:rFonts w:hint="eastAsia" w:ascii="宋体" w:hAnsi="宋体" w:eastAsia="宋体" w:cs="宋体"/>
                <w:b/>
                <w:bCs/>
                <w:color w:val="000000"/>
                <w:highlight w:val="none"/>
              </w:rPr>
              <w:t>2.投标人的开户许可证或开户信息复印件。</w:t>
            </w:r>
          </w:p>
          <w:p w14:paraId="5FF0BD15">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b/>
                <w:bCs/>
                <w:color w:val="000000"/>
                <w:kern w:val="0"/>
                <w:highlight w:val="none"/>
              </w:rPr>
            </w:pPr>
          </w:p>
          <w:p w14:paraId="7310F8EA">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tc>
      </w:tr>
    </w:tbl>
    <w:p w14:paraId="5006B3AA">
      <w:pPr>
        <w:pageBreakBefore w:val="0"/>
        <w:kinsoku/>
        <w:overflowPunct/>
        <w:topLinePunct w:val="0"/>
        <w:autoSpaceDE w:val="0"/>
        <w:autoSpaceDN w:val="0"/>
        <w:bidi w:val="0"/>
        <w:adjustRightInd w:val="0"/>
        <w:snapToGrid w:val="0"/>
        <w:spacing w:line="440" w:lineRule="exact"/>
        <w:ind w:firstLine="570"/>
        <w:jc w:val="left"/>
        <w:rPr>
          <w:rFonts w:hint="eastAsia" w:ascii="宋体" w:hAnsi="宋体" w:eastAsia="宋体" w:cs="宋体"/>
          <w:color w:val="000000"/>
          <w:kern w:val="0"/>
          <w:highlight w:val="none"/>
        </w:rPr>
      </w:pPr>
    </w:p>
    <w:p w14:paraId="4D0B15E7">
      <w:pPr>
        <w:pageBreakBefore w:val="0"/>
        <w:kinsoku/>
        <w:overflowPunct/>
        <w:topLinePunct w:val="0"/>
        <w:autoSpaceDE w:val="0"/>
        <w:autoSpaceDN w:val="0"/>
        <w:bidi w:val="0"/>
        <w:adjustRightInd w:val="0"/>
        <w:snapToGrid w:val="0"/>
        <w:spacing w:line="440" w:lineRule="exact"/>
        <w:ind w:firstLine="570"/>
        <w:jc w:val="left"/>
        <w:rPr>
          <w:rFonts w:hint="eastAsia" w:ascii="宋体" w:hAnsi="宋体" w:eastAsia="宋体" w:cs="宋体"/>
          <w:color w:val="000000"/>
          <w:highlight w:val="none"/>
        </w:rPr>
      </w:pPr>
    </w:p>
    <w:p w14:paraId="6A0483C4">
      <w:pPr>
        <w:pageBreakBefore w:val="0"/>
        <w:kinsoku/>
        <w:overflowPunct/>
        <w:topLinePunct w:val="0"/>
        <w:autoSpaceDE w:val="0"/>
        <w:autoSpaceDN w:val="0"/>
        <w:bidi w:val="0"/>
        <w:adjustRightInd w:val="0"/>
        <w:snapToGrid w:val="0"/>
        <w:spacing w:line="440" w:lineRule="exact"/>
        <w:ind w:firstLine="57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投标人：（公章）</w:t>
      </w:r>
    </w:p>
    <w:p w14:paraId="7B56BE03">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6F299886">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716F1ADB">
      <w:pPr>
        <w:pageBreakBefore w:val="0"/>
        <w:kinsoku/>
        <w:overflowPunct/>
        <w:topLinePunct w:val="0"/>
        <w:bidi w:val="0"/>
        <w:snapToGrid w:val="0"/>
        <w:spacing w:line="440" w:lineRule="exact"/>
        <w:ind w:firstLine="525" w:firstLineChars="25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法定代表人或被授权代表：（签字或盖章）</w:t>
      </w:r>
    </w:p>
    <w:p w14:paraId="5A5D04E4">
      <w:pPr>
        <w:pageBreakBefore w:val="0"/>
        <w:kinsoku/>
        <w:overflowPunct/>
        <w:topLinePunct w:val="0"/>
        <w:bidi w:val="0"/>
        <w:snapToGrid w:val="0"/>
        <w:spacing w:line="440" w:lineRule="exact"/>
        <w:ind w:firstLine="480"/>
        <w:rPr>
          <w:rFonts w:hint="eastAsia" w:ascii="宋体" w:hAnsi="宋体" w:eastAsia="宋体" w:cs="宋体"/>
          <w:color w:val="000000"/>
          <w:kern w:val="0"/>
          <w:highlight w:val="none"/>
        </w:rPr>
      </w:pPr>
    </w:p>
    <w:p w14:paraId="0C0E9DD1">
      <w:pPr>
        <w:pageBreakBefore w:val="0"/>
        <w:kinsoku/>
        <w:overflowPunct/>
        <w:topLinePunct w:val="0"/>
        <w:bidi w:val="0"/>
        <w:snapToGrid w:val="0"/>
        <w:spacing w:line="440" w:lineRule="exact"/>
        <w:ind w:firstLine="480"/>
        <w:rPr>
          <w:rFonts w:hint="eastAsia" w:ascii="宋体" w:hAnsi="宋体" w:eastAsia="宋体" w:cs="宋体"/>
          <w:color w:val="000000"/>
          <w:kern w:val="0"/>
          <w:highlight w:val="none"/>
        </w:rPr>
      </w:pPr>
    </w:p>
    <w:p w14:paraId="0A3AA477">
      <w:pPr>
        <w:pageBreakBefore w:val="0"/>
        <w:kinsoku/>
        <w:overflowPunct/>
        <w:topLinePunct w:val="0"/>
        <w:bidi w:val="0"/>
        <w:snapToGrid w:val="0"/>
        <w:spacing w:line="440" w:lineRule="exact"/>
        <w:rPr>
          <w:rFonts w:hint="eastAsia" w:ascii="宋体" w:hAnsi="宋体" w:eastAsia="宋体" w:cs="宋体"/>
          <w:color w:val="000000"/>
          <w:kern w:val="0"/>
          <w:highlight w:val="none"/>
        </w:rPr>
      </w:pPr>
    </w:p>
    <w:p w14:paraId="6BC8DB50">
      <w:pPr>
        <w:pageBreakBefore w:val="0"/>
        <w:kinsoku/>
        <w:overflowPunct/>
        <w:topLinePunct w:val="0"/>
        <w:bidi w:val="0"/>
        <w:snapToGrid w:val="0"/>
        <w:spacing w:line="440" w:lineRule="exact"/>
        <w:ind w:firstLine="480"/>
        <w:jc w:val="right"/>
        <w:rPr>
          <w:rFonts w:hint="eastAsia" w:ascii="宋体" w:hAnsi="宋体" w:eastAsia="宋体" w:cs="宋体"/>
          <w:color w:val="000000"/>
          <w:kern w:val="0"/>
          <w:highlight w:val="none"/>
        </w:rPr>
      </w:pPr>
    </w:p>
    <w:p w14:paraId="5997AA9E">
      <w:pPr>
        <w:pageBreakBefore w:val="0"/>
        <w:kinsoku/>
        <w:wordWrap w:val="0"/>
        <w:overflowPunct/>
        <w:topLinePunct w:val="0"/>
        <w:bidi w:val="0"/>
        <w:snapToGrid w:val="0"/>
        <w:spacing w:line="440" w:lineRule="exact"/>
        <w:ind w:firstLine="2520" w:firstLineChars="1200"/>
        <w:jc w:val="right"/>
        <w:rPr>
          <w:rFonts w:hint="eastAsia" w:ascii="宋体" w:hAnsi="宋体" w:eastAsia="宋体" w:cs="宋体"/>
          <w:color w:val="000000"/>
          <w:highlight w:val="none"/>
        </w:rPr>
      </w:pPr>
      <w:r>
        <w:rPr>
          <w:rFonts w:hint="eastAsia" w:ascii="宋体" w:hAnsi="宋体" w:eastAsia="宋体" w:cs="宋体"/>
          <w:color w:val="000000"/>
          <w:kern w:val="0"/>
          <w:highlight w:val="none"/>
        </w:rPr>
        <w:t>日 期：  年  月  日</w:t>
      </w:r>
    </w:p>
    <w:p w14:paraId="03B63C5E">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highlight w:val="none"/>
        </w:rPr>
      </w:pPr>
    </w:p>
    <w:p w14:paraId="4DD7C5E6">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bookmarkStart w:id="77" w:name="_Toc372556120"/>
      <w:bookmarkEnd w:id="77"/>
      <w:r>
        <w:rPr>
          <w:rFonts w:hint="eastAsia" w:ascii="宋体" w:hAnsi="宋体" w:eastAsia="宋体" w:cs="宋体"/>
          <w:bCs/>
          <w:color w:val="000000"/>
          <w:szCs w:val="32"/>
          <w:highlight w:val="none"/>
        </w:rPr>
        <w:br w:type="page"/>
      </w:r>
      <w:bookmarkStart w:id="78" w:name="_Toc30800"/>
      <w:bookmarkStart w:id="79" w:name="_Toc31526"/>
      <w:r>
        <w:rPr>
          <w:rFonts w:hint="eastAsia" w:ascii="宋体" w:hAnsi="宋体" w:eastAsia="宋体" w:cs="宋体"/>
          <w:b/>
          <w:bCs w:val="0"/>
          <w:color w:val="000000"/>
          <w:sz w:val="30"/>
          <w:szCs w:val="30"/>
          <w:highlight w:val="none"/>
          <w:lang w:eastAsia="zh-CN"/>
        </w:rPr>
        <w:t>五</w:t>
      </w:r>
      <w:r>
        <w:rPr>
          <w:rFonts w:hint="eastAsia" w:ascii="宋体" w:hAnsi="宋体" w:eastAsia="宋体" w:cs="宋体"/>
          <w:b/>
          <w:bCs/>
          <w:color w:val="000000"/>
          <w:kern w:val="0"/>
          <w:sz w:val="30"/>
          <w:szCs w:val="30"/>
          <w:highlight w:val="none"/>
        </w:rPr>
        <w:t>、资格审查资料</w:t>
      </w:r>
      <w:bookmarkEnd w:id="78"/>
      <w:bookmarkEnd w:id="79"/>
    </w:p>
    <w:p w14:paraId="3680F490">
      <w:pPr>
        <w:pageBreakBefore w:val="0"/>
        <w:kinsoku/>
        <w:overflowPunct/>
        <w:topLinePunct w:val="0"/>
        <w:bidi w:val="0"/>
        <w:snapToGrid w:val="0"/>
        <w:spacing w:line="440" w:lineRule="exact"/>
        <w:ind w:left="1124" w:hanging="1124" w:hangingChars="400"/>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(一)投标人基本情况表</w:t>
      </w:r>
    </w:p>
    <w:tbl>
      <w:tblPr>
        <w:tblStyle w:val="21"/>
        <w:tblW w:w="4999" w:type="pct"/>
        <w:jc w:val="center"/>
        <w:tblLayout w:type="autofit"/>
        <w:tblCellMar>
          <w:top w:w="0" w:type="dxa"/>
          <w:left w:w="108" w:type="dxa"/>
          <w:bottom w:w="0" w:type="dxa"/>
          <w:right w:w="108" w:type="dxa"/>
        </w:tblCellMar>
      </w:tblPr>
      <w:tblGrid>
        <w:gridCol w:w="1755"/>
        <w:gridCol w:w="1091"/>
        <w:gridCol w:w="736"/>
        <w:gridCol w:w="1280"/>
        <w:gridCol w:w="182"/>
        <w:gridCol w:w="353"/>
        <w:gridCol w:w="1113"/>
        <w:gridCol w:w="364"/>
        <w:gridCol w:w="1221"/>
        <w:gridCol w:w="906"/>
      </w:tblGrid>
      <w:tr w14:paraId="7716D7C0">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0FBE74B">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投标人名称</w:t>
            </w:r>
          </w:p>
        </w:tc>
        <w:tc>
          <w:tcPr>
            <w:tcW w:w="4024" w:type="pct"/>
            <w:gridSpan w:val="9"/>
            <w:tcBorders>
              <w:top w:val="single" w:color="auto" w:sz="4" w:space="0"/>
              <w:left w:val="nil"/>
              <w:bottom w:val="single" w:color="auto" w:sz="4" w:space="0"/>
              <w:right w:val="single" w:color="auto" w:sz="4" w:space="0"/>
            </w:tcBorders>
            <w:noWrap w:val="0"/>
            <w:vAlign w:val="center"/>
          </w:tcPr>
          <w:p w14:paraId="512577A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5B748A2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FF01E2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注册地址</w:t>
            </w:r>
          </w:p>
        </w:tc>
        <w:tc>
          <w:tcPr>
            <w:tcW w:w="2023" w:type="pct"/>
            <w:gridSpan w:val="5"/>
            <w:tcBorders>
              <w:top w:val="single" w:color="auto" w:sz="4" w:space="0"/>
              <w:left w:val="nil"/>
              <w:bottom w:val="single" w:color="auto" w:sz="4" w:space="0"/>
              <w:right w:val="single" w:color="auto" w:sz="4" w:space="0"/>
            </w:tcBorders>
            <w:noWrap w:val="0"/>
            <w:vAlign w:val="center"/>
          </w:tcPr>
          <w:p w14:paraId="2AB7F46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4D0230D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邮政编码</w:t>
            </w:r>
          </w:p>
        </w:tc>
        <w:tc>
          <w:tcPr>
            <w:tcW w:w="1383" w:type="pct"/>
            <w:gridSpan w:val="3"/>
            <w:tcBorders>
              <w:top w:val="single" w:color="auto" w:sz="4" w:space="0"/>
              <w:left w:val="nil"/>
              <w:bottom w:val="single" w:color="auto" w:sz="4" w:space="0"/>
              <w:right w:val="single" w:color="auto" w:sz="4" w:space="0"/>
            </w:tcBorders>
            <w:noWrap w:val="0"/>
            <w:vAlign w:val="center"/>
          </w:tcPr>
          <w:p w14:paraId="6A6FBE6B">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53518F23">
        <w:tblPrEx>
          <w:tblCellMar>
            <w:top w:w="0" w:type="dxa"/>
            <w:left w:w="108" w:type="dxa"/>
            <w:bottom w:w="0" w:type="dxa"/>
            <w:right w:w="108" w:type="dxa"/>
          </w:tblCellMar>
        </w:tblPrEx>
        <w:trPr>
          <w:cantSplit/>
          <w:trHeight w:val="510" w:hRule="atLeast"/>
          <w:jc w:val="center"/>
        </w:trPr>
        <w:tc>
          <w:tcPr>
            <w:tcW w:w="975" w:type="pct"/>
            <w:vMerge w:val="restart"/>
            <w:tcBorders>
              <w:top w:val="nil"/>
              <w:left w:val="single" w:color="auto" w:sz="4" w:space="0"/>
              <w:bottom w:val="single" w:color="auto" w:sz="4" w:space="0"/>
              <w:right w:val="single" w:color="auto" w:sz="4" w:space="0"/>
            </w:tcBorders>
            <w:noWrap w:val="0"/>
            <w:vAlign w:val="center"/>
          </w:tcPr>
          <w:p w14:paraId="142CA99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联系方式</w:t>
            </w:r>
          </w:p>
        </w:tc>
        <w:tc>
          <w:tcPr>
            <w:tcW w:w="606" w:type="pct"/>
            <w:tcBorders>
              <w:top w:val="single" w:color="auto" w:sz="4" w:space="0"/>
              <w:left w:val="nil"/>
              <w:bottom w:val="single" w:color="auto" w:sz="4" w:space="0"/>
              <w:right w:val="single" w:color="auto" w:sz="4" w:space="0"/>
            </w:tcBorders>
            <w:noWrap w:val="0"/>
            <w:vAlign w:val="center"/>
          </w:tcPr>
          <w:p w14:paraId="7E98808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联系人</w:t>
            </w:r>
          </w:p>
        </w:tc>
        <w:tc>
          <w:tcPr>
            <w:tcW w:w="1417" w:type="pct"/>
            <w:gridSpan w:val="4"/>
            <w:tcBorders>
              <w:top w:val="single" w:color="auto" w:sz="4" w:space="0"/>
              <w:left w:val="nil"/>
              <w:bottom w:val="single" w:color="auto" w:sz="4" w:space="0"/>
              <w:right w:val="single" w:color="auto" w:sz="4" w:space="0"/>
            </w:tcBorders>
            <w:noWrap w:val="0"/>
            <w:vAlign w:val="center"/>
          </w:tcPr>
          <w:p w14:paraId="77A6A47F">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0FDEC7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电话</w:t>
            </w:r>
          </w:p>
        </w:tc>
        <w:tc>
          <w:tcPr>
            <w:tcW w:w="1383" w:type="pct"/>
            <w:gridSpan w:val="3"/>
            <w:tcBorders>
              <w:top w:val="single" w:color="auto" w:sz="4" w:space="0"/>
              <w:left w:val="nil"/>
              <w:bottom w:val="single" w:color="auto" w:sz="4" w:space="0"/>
              <w:right w:val="single" w:color="auto" w:sz="4" w:space="0"/>
            </w:tcBorders>
            <w:noWrap w:val="0"/>
            <w:vAlign w:val="center"/>
          </w:tcPr>
          <w:p w14:paraId="64A1B48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691510C9">
        <w:tblPrEx>
          <w:tblCellMar>
            <w:top w:w="0" w:type="dxa"/>
            <w:left w:w="108" w:type="dxa"/>
            <w:bottom w:w="0" w:type="dxa"/>
            <w:right w:w="108" w:type="dxa"/>
          </w:tblCellMar>
        </w:tblPrEx>
        <w:trPr>
          <w:cantSplit/>
          <w:trHeight w:val="510" w:hRule="atLeast"/>
          <w:jc w:val="center"/>
        </w:trPr>
        <w:tc>
          <w:tcPr>
            <w:tcW w:w="975" w:type="pct"/>
            <w:vMerge w:val="continue"/>
            <w:tcBorders>
              <w:top w:val="nil"/>
              <w:left w:val="single" w:color="auto" w:sz="4" w:space="0"/>
              <w:bottom w:val="single" w:color="auto" w:sz="4" w:space="0"/>
              <w:right w:val="single" w:color="auto" w:sz="4" w:space="0"/>
            </w:tcBorders>
            <w:noWrap w:val="0"/>
            <w:vAlign w:val="center"/>
          </w:tcPr>
          <w:p w14:paraId="1F6F1404">
            <w:pPr>
              <w:pageBreakBefore w:val="0"/>
              <w:kinsoku/>
              <w:overflowPunct/>
              <w:topLinePunct w:val="0"/>
              <w:bidi w:val="0"/>
              <w:spacing w:line="440" w:lineRule="exact"/>
              <w:rPr>
                <w:rFonts w:hint="eastAsia" w:ascii="宋体" w:hAnsi="宋体" w:eastAsia="宋体" w:cs="宋体"/>
                <w:highlight w:val="none"/>
              </w:rPr>
            </w:pPr>
          </w:p>
        </w:tc>
        <w:tc>
          <w:tcPr>
            <w:tcW w:w="606" w:type="pct"/>
            <w:tcBorders>
              <w:top w:val="single" w:color="auto" w:sz="4" w:space="0"/>
              <w:left w:val="nil"/>
              <w:bottom w:val="single" w:color="auto" w:sz="4" w:space="0"/>
              <w:right w:val="single" w:color="auto" w:sz="4" w:space="0"/>
            </w:tcBorders>
            <w:noWrap w:val="0"/>
            <w:vAlign w:val="center"/>
          </w:tcPr>
          <w:p w14:paraId="40F496A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传真</w:t>
            </w:r>
          </w:p>
        </w:tc>
        <w:tc>
          <w:tcPr>
            <w:tcW w:w="1417" w:type="pct"/>
            <w:gridSpan w:val="4"/>
            <w:tcBorders>
              <w:top w:val="single" w:color="auto" w:sz="4" w:space="0"/>
              <w:left w:val="nil"/>
              <w:bottom w:val="single" w:color="auto" w:sz="4" w:space="0"/>
              <w:right w:val="single" w:color="auto" w:sz="4" w:space="0"/>
            </w:tcBorders>
            <w:noWrap w:val="0"/>
            <w:vAlign w:val="center"/>
          </w:tcPr>
          <w:p w14:paraId="28136778">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524098B1">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网址</w:t>
            </w:r>
          </w:p>
        </w:tc>
        <w:tc>
          <w:tcPr>
            <w:tcW w:w="1383" w:type="pct"/>
            <w:gridSpan w:val="3"/>
            <w:tcBorders>
              <w:top w:val="single" w:color="auto" w:sz="4" w:space="0"/>
              <w:left w:val="nil"/>
              <w:bottom w:val="single" w:color="auto" w:sz="4" w:space="0"/>
              <w:right w:val="single" w:color="auto" w:sz="4" w:space="0"/>
            </w:tcBorders>
            <w:noWrap w:val="0"/>
            <w:vAlign w:val="center"/>
          </w:tcPr>
          <w:p w14:paraId="0E37E811">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73309945">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1D3A81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组织结构</w:t>
            </w:r>
          </w:p>
        </w:tc>
        <w:tc>
          <w:tcPr>
            <w:tcW w:w="4024" w:type="pct"/>
            <w:gridSpan w:val="9"/>
            <w:tcBorders>
              <w:top w:val="single" w:color="auto" w:sz="4" w:space="0"/>
              <w:left w:val="nil"/>
              <w:bottom w:val="single" w:color="auto" w:sz="4" w:space="0"/>
              <w:right w:val="single" w:color="auto" w:sz="4" w:space="0"/>
            </w:tcBorders>
            <w:noWrap w:val="0"/>
            <w:vAlign w:val="center"/>
          </w:tcPr>
          <w:p w14:paraId="0CD71DC8">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34EB6547">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70AC85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法定代表人</w:t>
            </w:r>
          </w:p>
        </w:tc>
        <w:tc>
          <w:tcPr>
            <w:tcW w:w="606" w:type="pct"/>
            <w:tcBorders>
              <w:top w:val="single" w:color="auto" w:sz="4" w:space="0"/>
              <w:left w:val="nil"/>
              <w:bottom w:val="single" w:color="auto" w:sz="4" w:space="0"/>
              <w:right w:val="single" w:color="auto" w:sz="4" w:space="0"/>
            </w:tcBorders>
            <w:noWrap w:val="0"/>
            <w:vAlign w:val="center"/>
          </w:tcPr>
          <w:p w14:paraId="3F22324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1C56539F">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53516010">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79C7DD9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0BA97DF7">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76EDC5F3">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4734740B">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5F279B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技术负责人</w:t>
            </w:r>
          </w:p>
        </w:tc>
        <w:tc>
          <w:tcPr>
            <w:tcW w:w="606" w:type="pct"/>
            <w:tcBorders>
              <w:top w:val="single" w:color="auto" w:sz="4" w:space="0"/>
              <w:left w:val="nil"/>
              <w:bottom w:val="single" w:color="auto" w:sz="4" w:space="0"/>
              <w:right w:val="single" w:color="auto" w:sz="4" w:space="0"/>
            </w:tcBorders>
            <w:noWrap w:val="0"/>
            <w:vAlign w:val="center"/>
          </w:tcPr>
          <w:p w14:paraId="54629994">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519D1C4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6D45377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32552CA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6ED49DAE">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B2F8357">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5F3651B1">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769C3FB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成立时间</w:t>
            </w:r>
          </w:p>
        </w:tc>
        <w:tc>
          <w:tcPr>
            <w:tcW w:w="1015" w:type="pct"/>
            <w:gridSpan w:val="2"/>
            <w:tcBorders>
              <w:top w:val="single" w:color="auto" w:sz="4" w:space="0"/>
              <w:left w:val="nil"/>
              <w:bottom w:val="single" w:color="auto" w:sz="4" w:space="0"/>
              <w:right w:val="single" w:color="auto" w:sz="4" w:space="0"/>
            </w:tcBorders>
            <w:noWrap w:val="0"/>
            <w:vAlign w:val="center"/>
          </w:tcPr>
          <w:p w14:paraId="487DD3D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3009" w:type="pct"/>
            <w:gridSpan w:val="7"/>
            <w:tcBorders>
              <w:top w:val="single" w:color="auto" w:sz="4" w:space="0"/>
              <w:left w:val="nil"/>
              <w:bottom w:val="single" w:color="auto" w:sz="4" w:space="0"/>
              <w:right w:val="single" w:color="auto" w:sz="4" w:space="0"/>
            </w:tcBorders>
            <w:noWrap w:val="0"/>
            <w:vAlign w:val="center"/>
          </w:tcPr>
          <w:p w14:paraId="4E66AA01">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员工总人数：</w:t>
            </w:r>
          </w:p>
        </w:tc>
      </w:tr>
      <w:tr w14:paraId="209A1BE5">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70BC6D53">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企业资质等级</w:t>
            </w:r>
          </w:p>
        </w:tc>
        <w:tc>
          <w:tcPr>
            <w:tcW w:w="1015" w:type="pct"/>
            <w:gridSpan w:val="2"/>
            <w:tcBorders>
              <w:top w:val="single" w:color="auto" w:sz="4" w:space="0"/>
              <w:left w:val="nil"/>
              <w:bottom w:val="single" w:color="auto" w:sz="4" w:space="0"/>
              <w:right w:val="single" w:color="auto" w:sz="4" w:space="0"/>
            </w:tcBorders>
            <w:noWrap w:val="0"/>
            <w:vAlign w:val="center"/>
          </w:tcPr>
          <w:p w14:paraId="063C9F67">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restart"/>
            <w:tcBorders>
              <w:top w:val="nil"/>
              <w:left w:val="nil"/>
              <w:bottom w:val="single" w:color="auto" w:sz="4" w:space="0"/>
              <w:right w:val="single" w:color="auto" w:sz="4" w:space="0"/>
            </w:tcBorders>
            <w:noWrap w:val="0"/>
            <w:vAlign w:val="center"/>
          </w:tcPr>
          <w:p w14:paraId="6170C420">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其中</w:t>
            </w:r>
          </w:p>
        </w:tc>
        <w:tc>
          <w:tcPr>
            <w:tcW w:w="1117" w:type="pct"/>
            <w:gridSpan w:val="4"/>
            <w:tcBorders>
              <w:top w:val="single" w:color="auto" w:sz="4" w:space="0"/>
              <w:left w:val="nil"/>
              <w:bottom w:val="single" w:color="auto" w:sz="4" w:space="0"/>
              <w:right w:val="single" w:color="auto" w:sz="4" w:space="0"/>
            </w:tcBorders>
            <w:noWrap w:val="0"/>
            <w:vAlign w:val="center"/>
          </w:tcPr>
          <w:p w14:paraId="548F807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项目负责人</w:t>
            </w:r>
          </w:p>
        </w:tc>
        <w:tc>
          <w:tcPr>
            <w:tcW w:w="1180" w:type="pct"/>
            <w:gridSpan w:val="2"/>
            <w:tcBorders>
              <w:top w:val="single" w:color="auto" w:sz="4" w:space="0"/>
              <w:left w:val="nil"/>
              <w:bottom w:val="single" w:color="auto" w:sz="4" w:space="0"/>
              <w:right w:val="single" w:color="auto" w:sz="4" w:space="0"/>
            </w:tcBorders>
            <w:noWrap w:val="0"/>
            <w:vAlign w:val="center"/>
          </w:tcPr>
          <w:p w14:paraId="427081B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3AF43A7">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657448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营业执照号</w:t>
            </w:r>
          </w:p>
        </w:tc>
        <w:tc>
          <w:tcPr>
            <w:tcW w:w="1015" w:type="pct"/>
            <w:gridSpan w:val="2"/>
            <w:tcBorders>
              <w:top w:val="single" w:color="auto" w:sz="4" w:space="0"/>
              <w:left w:val="nil"/>
              <w:bottom w:val="single" w:color="auto" w:sz="4" w:space="0"/>
              <w:right w:val="single" w:color="auto" w:sz="4" w:space="0"/>
            </w:tcBorders>
            <w:noWrap w:val="0"/>
            <w:vAlign w:val="center"/>
          </w:tcPr>
          <w:p w14:paraId="1E30800D">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B8ABA67">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6201D56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高级职称人员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40F5BE9B">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0188CF0">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67C81F3">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注册资金</w:t>
            </w:r>
          </w:p>
        </w:tc>
        <w:tc>
          <w:tcPr>
            <w:tcW w:w="1015" w:type="pct"/>
            <w:gridSpan w:val="2"/>
            <w:tcBorders>
              <w:top w:val="single" w:color="auto" w:sz="4" w:space="0"/>
              <w:left w:val="nil"/>
              <w:bottom w:val="single" w:color="auto" w:sz="4" w:space="0"/>
              <w:right w:val="single" w:color="auto" w:sz="4" w:space="0"/>
            </w:tcBorders>
            <w:noWrap w:val="0"/>
            <w:vAlign w:val="center"/>
          </w:tcPr>
          <w:p w14:paraId="549DF271">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0210C625">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07E17AC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中级职称人员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5E2145FC">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DEBA997">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1979C88">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开户银行</w:t>
            </w:r>
          </w:p>
        </w:tc>
        <w:tc>
          <w:tcPr>
            <w:tcW w:w="1015" w:type="pct"/>
            <w:gridSpan w:val="2"/>
            <w:tcBorders>
              <w:top w:val="single" w:color="auto" w:sz="4" w:space="0"/>
              <w:left w:val="nil"/>
              <w:bottom w:val="single" w:color="auto" w:sz="4" w:space="0"/>
              <w:right w:val="single" w:color="auto" w:sz="4" w:space="0"/>
            </w:tcBorders>
            <w:noWrap w:val="0"/>
            <w:vAlign w:val="center"/>
          </w:tcPr>
          <w:p w14:paraId="01A42E14">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018D7E43">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4FB68146">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初级职称人员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5981E60F">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64F4166">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1EC5EEA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账号</w:t>
            </w:r>
          </w:p>
        </w:tc>
        <w:tc>
          <w:tcPr>
            <w:tcW w:w="1015" w:type="pct"/>
            <w:gridSpan w:val="2"/>
            <w:tcBorders>
              <w:top w:val="single" w:color="auto" w:sz="4" w:space="0"/>
              <w:left w:val="nil"/>
              <w:bottom w:val="single" w:color="auto" w:sz="4" w:space="0"/>
              <w:right w:val="single" w:color="auto" w:sz="4" w:space="0"/>
            </w:tcBorders>
            <w:noWrap w:val="0"/>
            <w:vAlign w:val="center"/>
          </w:tcPr>
          <w:p w14:paraId="7ECF6B50">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B11976C">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5684EDA6">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技工</w:t>
            </w:r>
          </w:p>
        </w:tc>
        <w:tc>
          <w:tcPr>
            <w:tcW w:w="1180" w:type="pct"/>
            <w:gridSpan w:val="2"/>
            <w:tcBorders>
              <w:top w:val="single" w:color="auto" w:sz="4" w:space="0"/>
              <w:left w:val="nil"/>
              <w:bottom w:val="single" w:color="auto" w:sz="4" w:space="0"/>
              <w:right w:val="single" w:color="auto" w:sz="4" w:space="0"/>
            </w:tcBorders>
            <w:noWrap w:val="0"/>
            <w:vAlign w:val="center"/>
          </w:tcPr>
          <w:p w14:paraId="32B95B19">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73581D5D">
        <w:tblPrEx>
          <w:tblCellMar>
            <w:top w:w="0" w:type="dxa"/>
            <w:left w:w="108" w:type="dxa"/>
            <w:bottom w:w="0" w:type="dxa"/>
            <w:right w:w="108" w:type="dxa"/>
          </w:tblCellMar>
        </w:tblPrEx>
        <w:trPr>
          <w:cantSplit/>
          <w:trHeight w:val="2638"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328E43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经营范围</w:t>
            </w:r>
          </w:p>
        </w:tc>
        <w:tc>
          <w:tcPr>
            <w:tcW w:w="4024" w:type="pct"/>
            <w:gridSpan w:val="9"/>
            <w:tcBorders>
              <w:top w:val="single" w:color="auto" w:sz="4" w:space="0"/>
              <w:left w:val="nil"/>
              <w:bottom w:val="single" w:color="auto" w:sz="4" w:space="0"/>
              <w:right w:val="single" w:color="auto" w:sz="4" w:space="0"/>
            </w:tcBorders>
            <w:noWrap w:val="0"/>
            <w:vAlign w:val="center"/>
          </w:tcPr>
          <w:p w14:paraId="37DF7B49">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400A5D5C">
        <w:tblPrEx>
          <w:tblCellMar>
            <w:top w:w="0" w:type="dxa"/>
            <w:left w:w="108" w:type="dxa"/>
            <w:bottom w:w="0" w:type="dxa"/>
            <w:right w:w="108" w:type="dxa"/>
          </w:tblCellMar>
        </w:tblPrEx>
        <w:trPr>
          <w:cantSplit/>
          <w:trHeight w:val="1021"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5258036A">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c>
          <w:tcPr>
            <w:tcW w:w="4024" w:type="pct"/>
            <w:gridSpan w:val="9"/>
            <w:tcBorders>
              <w:top w:val="single" w:color="auto" w:sz="4" w:space="0"/>
              <w:left w:val="nil"/>
              <w:bottom w:val="single" w:color="auto" w:sz="4" w:space="0"/>
              <w:right w:val="single" w:color="auto" w:sz="4" w:space="0"/>
            </w:tcBorders>
            <w:noWrap w:val="0"/>
            <w:vAlign w:val="center"/>
          </w:tcPr>
          <w:p w14:paraId="19D77643">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bl>
    <w:p w14:paraId="56C0D50B">
      <w:pPr>
        <w:pageBreakBefore w:val="0"/>
        <w:kinsoku/>
        <w:overflowPunct/>
        <w:topLinePunct w:val="0"/>
        <w:bidi w:val="0"/>
        <w:snapToGrid w:val="0"/>
        <w:spacing w:line="440" w:lineRule="exact"/>
        <w:rPr>
          <w:rFonts w:hint="eastAsia" w:ascii="宋体" w:hAnsi="宋体" w:eastAsia="宋体" w:cs="宋体"/>
          <w:color w:val="000000"/>
          <w:kern w:val="0"/>
          <w:highlight w:val="none"/>
        </w:rPr>
      </w:pPr>
    </w:p>
    <w:p w14:paraId="6BC86551">
      <w:pPr>
        <w:pageBreakBefore w:val="0"/>
        <w:kinsoku/>
        <w:overflowPunct/>
        <w:topLinePunct w:val="0"/>
        <w:bidi w:val="0"/>
        <w:snapToGrid w:val="0"/>
        <w:spacing w:line="440" w:lineRule="exac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注：在本表后应附投标人营业执照（副本）、开户许可证等相关证件的复印件，所有复印件必须要清晰、字迹清楚。</w:t>
      </w:r>
    </w:p>
    <w:p w14:paraId="379AF628">
      <w:pPr>
        <w:pageBreakBefore w:val="0"/>
        <w:kinsoku/>
        <w:overflowPunct/>
        <w:topLinePunct w:val="0"/>
        <w:bidi w:val="0"/>
        <w:snapToGrid w:val="0"/>
        <w:spacing w:line="440" w:lineRule="exact"/>
        <w:ind w:left="840" w:hanging="840" w:hangingChars="400"/>
        <w:jc w:val="center"/>
        <w:rPr>
          <w:rFonts w:hint="eastAsia" w:ascii="宋体" w:hAnsi="宋体" w:eastAsia="宋体" w:cs="宋体"/>
          <w:b/>
          <w:bCs/>
          <w:color w:val="000000"/>
          <w:kern w:val="0"/>
          <w:sz w:val="28"/>
          <w:szCs w:val="28"/>
          <w:highlight w:val="none"/>
        </w:rPr>
      </w:pPr>
      <w:r>
        <w:rPr>
          <w:rFonts w:hint="eastAsia" w:ascii="宋体" w:hAnsi="宋体" w:eastAsia="宋体" w:cs="宋体"/>
          <w:color w:val="000000"/>
          <w:kern w:val="0"/>
          <w:highlight w:val="none"/>
        </w:rPr>
        <w:br w:type="page"/>
      </w:r>
      <w:bookmarkStart w:id="80" w:name="_Toc420390153"/>
      <w:bookmarkEnd w:id="80"/>
      <w:bookmarkStart w:id="81" w:name="_Toc201719205"/>
      <w:bookmarkEnd w:id="81"/>
      <w:bookmarkStart w:id="82" w:name="_Toc266605565"/>
      <w:bookmarkEnd w:id="82"/>
      <w:bookmarkStart w:id="83" w:name="_Toc425529391"/>
      <w:bookmarkEnd w:id="83"/>
      <w:bookmarkStart w:id="84" w:name="_Toc222232454"/>
      <w:r>
        <w:rPr>
          <w:rFonts w:hint="eastAsia" w:ascii="宋体" w:hAnsi="宋体" w:eastAsia="宋体" w:cs="宋体"/>
          <w:b/>
          <w:bCs/>
          <w:color w:val="000000"/>
          <w:kern w:val="0"/>
          <w:sz w:val="28"/>
          <w:szCs w:val="28"/>
          <w:highlight w:val="none"/>
        </w:rPr>
        <w:t>（二）</w:t>
      </w:r>
      <w:bookmarkEnd w:id="84"/>
      <w:r>
        <w:rPr>
          <w:rFonts w:hint="eastAsia" w:ascii="宋体" w:hAnsi="宋体" w:eastAsia="宋体" w:cs="宋体"/>
          <w:b/>
          <w:bCs/>
          <w:color w:val="000000"/>
          <w:kern w:val="0"/>
          <w:sz w:val="28"/>
          <w:szCs w:val="28"/>
          <w:highlight w:val="none"/>
        </w:rPr>
        <w:t>财务状况</w:t>
      </w:r>
      <w:r>
        <w:rPr>
          <w:rFonts w:hint="eastAsia" w:ascii="宋体" w:hAnsi="宋体" w:eastAsia="宋体" w:cs="宋体"/>
          <w:b/>
          <w:bCs/>
          <w:color w:val="000000"/>
          <w:kern w:val="0"/>
          <w:sz w:val="28"/>
          <w:szCs w:val="28"/>
          <w:highlight w:val="none"/>
          <w:lang w:val="zh-CN"/>
        </w:rPr>
        <w:t>、纳税及社保</w:t>
      </w:r>
    </w:p>
    <w:p w14:paraId="5EAC3604">
      <w:pPr>
        <w:pageBreakBefore w:val="0"/>
        <w:kinsoku/>
        <w:overflowPunct/>
        <w:topLinePunct w:val="0"/>
        <w:bidi w:val="0"/>
        <w:adjustRightInd w:val="0"/>
        <w:snapToGrid w:val="0"/>
        <w:spacing w:line="440" w:lineRule="exact"/>
        <w:contextualSpacing/>
        <w:jc w:val="left"/>
        <w:rPr>
          <w:rFonts w:hint="eastAsia" w:ascii="宋体" w:hAnsi="宋体" w:eastAsia="宋体" w:cs="宋体"/>
          <w:color w:val="000000"/>
          <w:highlight w:val="none"/>
        </w:rPr>
      </w:pPr>
      <w:bookmarkStart w:id="85" w:name="_Toc425529392"/>
      <w:bookmarkEnd w:id="85"/>
    </w:p>
    <w:p w14:paraId="53D1587A">
      <w:pPr>
        <w:pStyle w:val="20"/>
        <w:pageBreakBefore w:val="0"/>
        <w:tabs>
          <w:tab w:val="left" w:pos="360"/>
        </w:tabs>
        <w:kinsoku/>
        <w:overflowPunct/>
        <w:topLinePunct w:val="0"/>
        <w:bidi w:val="0"/>
        <w:spacing w:line="44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资格条件承诺函</w:t>
      </w:r>
    </w:p>
    <w:p w14:paraId="34B78102">
      <w:pPr>
        <w:pageBreakBefore w:val="0"/>
        <w:kinsoku/>
        <w:overflowPunct/>
        <w:topLinePunct w:val="0"/>
        <w:bidi w:val="0"/>
        <w:adjustRightInd w:val="0"/>
        <w:snapToGrid w:val="0"/>
        <w:spacing w:line="440" w:lineRule="exact"/>
        <w:contextualSpacing/>
        <w:jc w:val="left"/>
        <w:rPr>
          <w:rFonts w:hint="eastAsia" w:ascii="宋体" w:hAnsi="宋体" w:eastAsia="宋体" w:cs="宋体"/>
          <w:sz w:val="21"/>
          <w:szCs w:val="21"/>
          <w:highlight w:val="none"/>
        </w:rPr>
      </w:pPr>
    </w:p>
    <w:p w14:paraId="55A91C3B">
      <w:pPr>
        <w:pageBreakBefore w:val="0"/>
        <w:kinsoku/>
        <w:overflowPunct/>
        <w:topLinePunct w:val="0"/>
        <w:bidi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(采购人、采购代理机构)     </w:t>
      </w:r>
      <w:r>
        <w:rPr>
          <w:rFonts w:hint="eastAsia" w:ascii="宋体" w:hAnsi="宋体" w:eastAsia="宋体" w:cs="宋体"/>
          <w:sz w:val="21"/>
          <w:szCs w:val="21"/>
          <w:highlight w:val="none"/>
        </w:rPr>
        <w:t>:</w:t>
      </w:r>
    </w:p>
    <w:p w14:paraId="4AD4D958">
      <w:pPr>
        <w:pageBreakBefore w:val="0"/>
        <w:kinsoku/>
        <w:overflowPunct/>
        <w:topLinePunct w:val="0"/>
        <w:bidi w:val="0"/>
        <w:spacing w:line="44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(公司)参与</w:t>
      </w:r>
      <w:r>
        <w:rPr>
          <w:rFonts w:hint="eastAsia" w:ascii="宋体" w:hAnsi="宋体" w:eastAsia="宋体" w:cs="宋体"/>
          <w:sz w:val="21"/>
          <w:szCs w:val="21"/>
          <w:highlight w:val="none"/>
          <w:u w:val="single"/>
        </w:rPr>
        <w:t>( 项目名称</w:t>
      </w:r>
      <w:r>
        <w:rPr>
          <w:rFonts w:hint="eastAsia" w:ascii="宋体" w:hAnsi="宋体" w:eastAsia="宋体" w:cs="宋体"/>
          <w:sz w:val="21"/>
          <w:szCs w:val="21"/>
          <w:highlight w:val="none"/>
          <w:u w:val="single"/>
          <w:lang w:val="en-US" w:eastAsia="zh-CN"/>
        </w:rPr>
        <w:t xml:space="preserve">    ；项目编号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采购项目的政府采购活动，现承诺如下:</w:t>
      </w:r>
    </w:p>
    <w:p w14:paraId="58B11C7A">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1.具有良好的商业信誉和健全的财务会计制度,</w:t>
      </w:r>
    </w:p>
    <w:p w14:paraId="4CF5DEC9">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44B86E2C">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3.具有依法缴纳社会保障金的良好记录</w:t>
      </w:r>
    </w:p>
    <w:p w14:paraId="5F226995">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3F983537">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(公司)对上述承诺的真实性负责。如有虚假将依法承担相应责任</w:t>
      </w:r>
    </w:p>
    <w:p w14:paraId="4AF2C88D">
      <w:pPr>
        <w:pageBreakBefore w:val="0"/>
        <w:kinsoku/>
        <w:overflowPunct/>
        <w:topLinePunct w:val="0"/>
        <w:bidi w:val="0"/>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400D443B">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p>
    <w:p w14:paraId="00BA49A5">
      <w:pPr>
        <w:pageBreakBefore w:val="0"/>
        <w:kinsoku/>
        <w:overflowPunct/>
        <w:topLinePunct w:val="0"/>
        <w:bidi w:val="0"/>
        <w:spacing w:line="440" w:lineRule="exact"/>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14:paraId="13D3FB94">
      <w:pPr>
        <w:pageBreakBefore w:val="0"/>
        <w:kinsoku/>
        <w:overflowPunct/>
        <w:topLinePunct w:val="0"/>
        <w:bidi w:val="0"/>
        <w:spacing w:line="440" w:lineRule="exact"/>
        <w:ind w:firstLine="420" w:firstLineChars="200"/>
        <w:jc w:val="center"/>
        <w:rPr>
          <w:rFonts w:hint="eastAsia" w:ascii="宋体" w:hAnsi="宋体" w:eastAsia="宋体" w:cs="宋体"/>
          <w:sz w:val="21"/>
          <w:szCs w:val="21"/>
          <w:highlight w:val="none"/>
        </w:rPr>
      </w:pP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法定代表人</w:t>
      </w:r>
      <w:r>
        <w:rPr>
          <w:rFonts w:hint="eastAsia" w:ascii="宋体" w:hAnsi="宋体" w:eastAsia="宋体" w:cs="宋体"/>
          <w:sz w:val="21"/>
          <w:szCs w:val="21"/>
          <w:highlight w:val="none"/>
        </w:rPr>
        <w:t>签字:</w:t>
      </w:r>
    </w:p>
    <w:p w14:paraId="73D38EBC">
      <w:pPr>
        <w:pageBreakBefore w:val="0"/>
        <w:kinsoku/>
        <w:overflowPunct/>
        <w:topLinePunct w:val="0"/>
        <w:bidi w:val="0"/>
        <w:spacing w:line="440" w:lineRule="exact"/>
        <w:ind w:firstLine="420" w:firstLineChars="200"/>
        <w:jc w:val="center"/>
        <w:rPr>
          <w:rFonts w:hint="eastAsia" w:ascii="宋体" w:hAnsi="宋体" w:eastAsia="宋体" w:cs="宋体"/>
          <w:color w:val="000000"/>
          <w:highlight w:val="none"/>
        </w:rPr>
      </w:pPr>
      <w:r>
        <w:rPr>
          <w:rFonts w:hint="eastAsia" w:ascii="宋体" w:hAnsi="宋体" w:eastAsia="宋体" w:cs="宋体"/>
          <w:sz w:val="21"/>
          <w:szCs w:val="21"/>
          <w:highlight w:val="none"/>
        </w:rPr>
        <w:t>日期:</w:t>
      </w:r>
    </w:p>
    <w:p w14:paraId="0FB0D719">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r>
        <w:rPr>
          <w:rFonts w:hint="eastAsia" w:ascii="宋体" w:hAnsi="宋体" w:eastAsia="宋体" w:cs="宋体"/>
          <w:b/>
          <w:bCs/>
          <w:color w:val="000000"/>
          <w:kern w:val="0"/>
          <w:sz w:val="28"/>
          <w:szCs w:val="28"/>
          <w:highlight w:val="none"/>
        </w:rPr>
        <w:t>(三)近年完成的类似项目情况表</w:t>
      </w:r>
    </w:p>
    <w:tbl>
      <w:tblPr>
        <w:tblStyle w:val="21"/>
        <w:tblW w:w="4999" w:type="pct"/>
        <w:jc w:val="center"/>
        <w:tblLayout w:type="autofit"/>
        <w:tblCellMar>
          <w:top w:w="0" w:type="dxa"/>
          <w:left w:w="108" w:type="dxa"/>
          <w:bottom w:w="0" w:type="dxa"/>
          <w:right w:w="108" w:type="dxa"/>
        </w:tblCellMar>
      </w:tblPr>
      <w:tblGrid>
        <w:gridCol w:w="2670"/>
        <w:gridCol w:w="6331"/>
      </w:tblGrid>
      <w:tr w14:paraId="6F99AAFD">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581DD2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3516" w:type="pct"/>
            <w:tcBorders>
              <w:top w:val="single" w:color="auto" w:sz="4" w:space="0"/>
              <w:left w:val="nil"/>
              <w:bottom w:val="single" w:color="auto" w:sz="4" w:space="0"/>
              <w:right w:val="single" w:color="auto" w:sz="4" w:space="0"/>
            </w:tcBorders>
            <w:noWrap w:val="0"/>
            <w:vAlign w:val="center"/>
          </w:tcPr>
          <w:p w14:paraId="0DE9CA9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3642C46C">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DC05D25">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项目所在地</w:t>
            </w:r>
          </w:p>
        </w:tc>
        <w:tc>
          <w:tcPr>
            <w:tcW w:w="3516" w:type="pct"/>
            <w:tcBorders>
              <w:top w:val="single" w:color="auto" w:sz="4" w:space="0"/>
              <w:left w:val="nil"/>
              <w:bottom w:val="single" w:color="auto" w:sz="4" w:space="0"/>
              <w:right w:val="single" w:color="auto" w:sz="4" w:space="0"/>
            </w:tcBorders>
            <w:noWrap w:val="0"/>
            <w:vAlign w:val="center"/>
          </w:tcPr>
          <w:p w14:paraId="64DF724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1097BA3D">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CA02DE0">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名称</w:t>
            </w:r>
          </w:p>
        </w:tc>
        <w:tc>
          <w:tcPr>
            <w:tcW w:w="3516" w:type="pct"/>
            <w:tcBorders>
              <w:top w:val="single" w:color="auto" w:sz="4" w:space="0"/>
              <w:left w:val="nil"/>
              <w:bottom w:val="single" w:color="auto" w:sz="4" w:space="0"/>
              <w:right w:val="single" w:color="auto" w:sz="4" w:space="0"/>
            </w:tcBorders>
            <w:noWrap w:val="0"/>
            <w:vAlign w:val="center"/>
          </w:tcPr>
          <w:p w14:paraId="154D41F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6D9C7DB9">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46EA070">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地址</w:t>
            </w:r>
          </w:p>
        </w:tc>
        <w:tc>
          <w:tcPr>
            <w:tcW w:w="3516" w:type="pct"/>
            <w:tcBorders>
              <w:top w:val="single" w:color="auto" w:sz="4" w:space="0"/>
              <w:left w:val="nil"/>
              <w:bottom w:val="single" w:color="auto" w:sz="4" w:space="0"/>
              <w:right w:val="single" w:color="auto" w:sz="4" w:space="0"/>
            </w:tcBorders>
            <w:noWrap w:val="0"/>
            <w:vAlign w:val="center"/>
          </w:tcPr>
          <w:p w14:paraId="435100C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4BC2F9E6">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FC0E6A8">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电话</w:t>
            </w:r>
          </w:p>
        </w:tc>
        <w:tc>
          <w:tcPr>
            <w:tcW w:w="3516" w:type="pct"/>
            <w:tcBorders>
              <w:top w:val="single" w:color="auto" w:sz="4" w:space="0"/>
              <w:left w:val="nil"/>
              <w:bottom w:val="single" w:color="auto" w:sz="4" w:space="0"/>
              <w:right w:val="single" w:color="auto" w:sz="4" w:space="0"/>
            </w:tcBorders>
            <w:noWrap w:val="0"/>
            <w:vAlign w:val="center"/>
          </w:tcPr>
          <w:p w14:paraId="19C8E0E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1C5CCCC3">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4CC48F5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合同价格</w:t>
            </w:r>
          </w:p>
        </w:tc>
        <w:tc>
          <w:tcPr>
            <w:tcW w:w="3516" w:type="pct"/>
            <w:tcBorders>
              <w:top w:val="single" w:color="auto" w:sz="4" w:space="0"/>
              <w:left w:val="nil"/>
              <w:bottom w:val="single" w:color="auto" w:sz="4" w:space="0"/>
              <w:right w:val="single" w:color="auto" w:sz="4" w:space="0"/>
            </w:tcBorders>
            <w:noWrap w:val="0"/>
            <w:vAlign w:val="center"/>
          </w:tcPr>
          <w:p w14:paraId="30A7E62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47DCAFB2">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61FB9A9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项目实施周期</w:t>
            </w:r>
          </w:p>
        </w:tc>
        <w:tc>
          <w:tcPr>
            <w:tcW w:w="3516" w:type="pct"/>
            <w:tcBorders>
              <w:top w:val="single" w:color="auto" w:sz="4" w:space="0"/>
              <w:left w:val="nil"/>
              <w:bottom w:val="single" w:color="auto" w:sz="4" w:space="0"/>
              <w:right w:val="single" w:color="auto" w:sz="4" w:space="0"/>
            </w:tcBorders>
            <w:noWrap w:val="0"/>
            <w:vAlign w:val="center"/>
          </w:tcPr>
          <w:p w14:paraId="699766F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2919E135">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16C4CA9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承担的工作</w:t>
            </w:r>
          </w:p>
        </w:tc>
        <w:tc>
          <w:tcPr>
            <w:tcW w:w="3516" w:type="pct"/>
            <w:tcBorders>
              <w:top w:val="single" w:color="auto" w:sz="4" w:space="0"/>
              <w:left w:val="nil"/>
              <w:bottom w:val="single" w:color="auto" w:sz="4" w:space="0"/>
              <w:right w:val="single" w:color="auto" w:sz="4" w:space="0"/>
            </w:tcBorders>
            <w:noWrap w:val="0"/>
            <w:vAlign w:val="center"/>
          </w:tcPr>
          <w:p w14:paraId="663FF14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6A115C23">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2AFAD7B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项目负责人</w:t>
            </w:r>
          </w:p>
        </w:tc>
        <w:tc>
          <w:tcPr>
            <w:tcW w:w="3516" w:type="pct"/>
            <w:tcBorders>
              <w:top w:val="single" w:color="auto" w:sz="4" w:space="0"/>
              <w:left w:val="nil"/>
              <w:bottom w:val="single" w:color="auto" w:sz="4" w:space="0"/>
              <w:right w:val="single" w:color="auto" w:sz="4" w:space="0"/>
            </w:tcBorders>
            <w:noWrap w:val="0"/>
            <w:vAlign w:val="center"/>
          </w:tcPr>
          <w:p w14:paraId="7BC96B4A">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562CDBC2">
        <w:tblPrEx>
          <w:tblCellMar>
            <w:top w:w="0" w:type="dxa"/>
            <w:left w:w="108" w:type="dxa"/>
            <w:bottom w:w="0" w:type="dxa"/>
            <w:right w:w="108" w:type="dxa"/>
          </w:tblCellMar>
        </w:tblPrEx>
        <w:trPr>
          <w:trHeight w:val="3180"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D9F133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项目描述</w:t>
            </w:r>
          </w:p>
        </w:tc>
        <w:tc>
          <w:tcPr>
            <w:tcW w:w="3516" w:type="pct"/>
            <w:tcBorders>
              <w:top w:val="single" w:color="auto" w:sz="4" w:space="0"/>
              <w:left w:val="nil"/>
              <w:bottom w:val="single" w:color="auto" w:sz="4" w:space="0"/>
              <w:right w:val="single" w:color="auto" w:sz="4" w:space="0"/>
            </w:tcBorders>
            <w:noWrap w:val="0"/>
            <w:vAlign w:val="center"/>
          </w:tcPr>
          <w:p w14:paraId="46D87E9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76A218BA">
        <w:tblPrEx>
          <w:tblCellMar>
            <w:top w:w="0" w:type="dxa"/>
            <w:left w:w="108" w:type="dxa"/>
            <w:bottom w:w="0" w:type="dxa"/>
            <w:right w:w="108" w:type="dxa"/>
          </w:tblCellMar>
        </w:tblPrEx>
        <w:trPr>
          <w:trHeight w:val="674"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12F3AFE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c>
          <w:tcPr>
            <w:tcW w:w="3516" w:type="pct"/>
            <w:tcBorders>
              <w:top w:val="single" w:color="auto" w:sz="4" w:space="0"/>
              <w:left w:val="nil"/>
              <w:bottom w:val="single" w:color="auto" w:sz="4" w:space="0"/>
              <w:right w:val="single" w:color="auto" w:sz="4" w:space="0"/>
            </w:tcBorders>
            <w:noWrap w:val="0"/>
            <w:vAlign w:val="center"/>
          </w:tcPr>
          <w:p w14:paraId="361566F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bl>
    <w:p w14:paraId="42C0A06A">
      <w:pPr>
        <w:pageBreakBefore w:val="0"/>
        <w:kinsoku/>
        <w:overflowPunct/>
        <w:topLinePunct w:val="0"/>
        <w:bidi w:val="0"/>
        <w:snapToGrid w:val="0"/>
        <w:spacing w:line="440" w:lineRule="exact"/>
        <w:jc w:val="left"/>
        <w:rPr>
          <w:rFonts w:hint="eastAsia" w:ascii="宋体" w:hAnsi="宋体" w:eastAsia="宋体" w:cs="宋体"/>
          <w:color w:val="000000"/>
          <w:kern w:val="0"/>
          <w:highlight w:val="none"/>
        </w:rPr>
      </w:pPr>
    </w:p>
    <w:p w14:paraId="2239BFE9">
      <w:pPr>
        <w:pageBreakBefore w:val="0"/>
        <w:kinsoku/>
        <w:overflowPunct/>
        <w:topLinePunct w:val="0"/>
        <w:bidi w:val="0"/>
        <w:snapToGrid w:val="0"/>
        <w:spacing w:line="440" w:lineRule="exact"/>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注：1.投标人应将近三年（</w:t>
      </w:r>
      <w:r>
        <w:rPr>
          <w:rFonts w:hint="eastAsia" w:ascii="宋体" w:hAnsi="宋体" w:eastAsia="宋体" w:cs="宋体"/>
          <w:highlight w:val="none"/>
          <w:lang w:eastAsia="zh-CN"/>
        </w:rPr>
        <w:t>2021年12月1日-至今</w:t>
      </w:r>
      <w:r>
        <w:rPr>
          <w:rFonts w:hint="eastAsia" w:ascii="宋体" w:hAnsi="宋体" w:eastAsia="宋体" w:cs="宋体"/>
          <w:color w:val="000000"/>
          <w:kern w:val="0"/>
          <w:highlight w:val="none"/>
        </w:rPr>
        <w:t>）类似项目情况填入本表中，一表只填写一个项目。</w:t>
      </w:r>
    </w:p>
    <w:p w14:paraId="5E6B0A72">
      <w:pPr>
        <w:pageBreakBefore w:val="0"/>
        <w:kinsoku/>
        <w:overflowPunct/>
        <w:topLinePunct w:val="0"/>
        <w:bidi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2.投标人应随本表出具所填项目的</w:t>
      </w:r>
      <w:r>
        <w:rPr>
          <w:rFonts w:hint="eastAsia" w:ascii="宋体" w:hAnsi="宋体" w:eastAsia="宋体" w:cs="宋体"/>
          <w:color w:val="000000"/>
          <w:kern w:val="0"/>
          <w:highlight w:val="none"/>
          <w:lang w:val="en-US" w:eastAsia="zh-CN"/>
        </w:rPr>
        <w:t>相关证明材料(详见评审办法）</w:t>
      </w:r>
      <w:r>
        <w:rPr>
          <w:rFonts w:hint="eastAsia" w:ascii="宋体" w:hAnsi="宋体" w:eastAsia="宋体" w:cs="宋体"/>
          <w:color w:val="000000"/>
          <w:kern w:val="0"/>
          <w:highlight w:val="none"/>
        </w:rPr>
        <w:t>，否则，</w:t>
      </w:r>
      <w:r>
        <w:rPr>
          <w:rFonts w:hint="eastAsia" w:ascii="宋体" w:hAnsi="宋体" w:eastAsia="宋体" w:cs="宋体"/>
          <w:color w:val="000000"/>
          <w:kern w:val="0"/>
          <w:highlight w:val="none"/>
          <w:lang w:eastAsia="zh-CN"/>
        </w:rPr>
        <w:t>采购人</w:t>
      </w:r>
      <w:r>
        <w:rPr>
          <w:rFonts w:hint="eastAsia" w:ascii="宋体" w:hAnsi="宋体" w:eastAsia="宋体" w:cs="宋体"/>
          <w:color w:val="000000"/>
          <w:kern w:val="0"/>
          <w:highlight w:val="none"/>
        </w:rPr>
        <w:t>将不考虑投标人所填项目的业绩。</w:t>
      </w:r>
    </w:p>
    <w:p w14:paraId="6CEB87A9">
      <w:pPr>
        <w:pageBreakBefore w:val="0"/>
        <w:kinsoku/>
        <w:overflowPunct/>
        <w:topLinePunct w:val="0"/>
        <w:bidi w:val="0"/>
        <w:snapToGrid w:val="0"/>
        <w:spacing w:line="440" w:lineRule="exact"/>
        <w:ind w:left="1120" w:hanging="1120" w:hangingChars="400"/>
        <w:jc w:val="center"/>
        <w:rPr>
          <w:rFonts w:hint="eastAsia" w:ascii="宋体" w:hAnsi="宋体" w:eastAsia="宋体" w:cs="宋体"/>
          <w:b/>
          <w:bCs/>
          <w:color w:val="000000"/>
          <w:kern w:val="0"/>
          <w:sz w:val="28"/>
          <w:szCs w:val="28"/>
          <w:highlight w:val="none"/>
        </w:rPr>
      </w:pPr>
      <w:r>
        <w:rPr>
          <w:rFonts w:hint="eastAsia" w:ascii="宋体" w:hAnsi="宋体" w:eastAsia="宋体" w:cs="宋体"/>
          <w:color w:val="000000"/>
          <w:kern w:val="0"/>
          <w:sz w:val="28"/>
          <w:szCs w:val="28"/>
          <w:highlight w:val="none"/>
        </w:rPr>
        <w:br w:type="page"/>
      </w:r>
      <w:r>
        <w:rPr>
          <w:rFonts w:hint="eastAsia" w:ascii="宋体" w:hAnsi="宋体" w:eastAsia="宋体" w:cs="宋体"/>
          <w:b/>
          <w:bCs/>
          <w:color w:val="000000"/>
          <w:kern w:val="0"/>
          <w:sz w:val="30"/>
          <w:szCs w:val="30"/>
          <w:highlight w:val="none"/>
        </w:rPr>
        <w:t>(四) 近年发生的诉讼及仲裁情况</w:t>
      </w:r>
    </w:p>
    <w:p w14:paraId="6DCE7733">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p>
    <w:p w14:paraId="7BC57C0A">
      <w:pPr>
        <w:pageBreakBefore w:val="0"/>
        <w:numPr>
          <w:ilvl w:val="0"/>
          <w:numId w:val="10"/>
        </w:numPr>
        <w:kinsoku/>
        <w:overflowPunct/>
        <w:topLinePunct w:val="0"/>
        <w:bidi w:val="0"/>
        <w:snapToGrid w:val="0"/>
        <w:spacing w:line="440" w:lineRule="exact"/>
        <w:ind w:left="1205" w:hanging="1205" w:hangingChars="400"/>
        <w:jc w:val="center"/>
        <w:rPr>
          <w:rFonts w:hint="eastAsia" w:ascii="宋体" w:hAnsi="宋体" w:eastAsia="宋体" w:cs="宋体"/>
          <w:b/>
          <w:bCs/>
          <w:color w:val="000000"/>
          <w:kern w:val="0"/>
          <w:sz w:val="30"/>
          <w:szCs w:val="30"/>
          <w:highlight w:val="none"/>
        </w:rPr>
      </w:pPr>
      <w:r>
        <w:rPr>
          <w:rFonts w:hint="eastAsia" w:ascii="宋体" w:hAnsi="宋体" w:eastAsia="宋体" w:cs="宋体"/>
          <w:b/>
          <w:bCs/>
          <w:color w:val="000000"/>
          <w:kern w:val="0"/>
          <w:sz w:val="30"/>
          <w:szCs w:val="30"/>
          <w:highlight w:val="none"/>
          <w:lang w:val="zh-CN"/>
        </w:rPr>
        <w:br w:type="page"/>
      </w:r>
      <w:bookmarkStart w:id="86" w:name="_Toc24484"/>
      <w:r>
        <w:rPr>
          <w:rFonts w:hint="eastAsia" w:ascii="宋体" w:hAnsi="宋体" w:eastAsia="宋体" w:cs="宋体"/>
          <w:b/>
          <w:bCs/>
          <w:color w:val="000000"/>
          <w:kern w:val="0"/>
          <w:sz w:val="30"/>
          <w:szCs w:val="30"/>
          <w:highlight w:val="none"/>
        </w:rPr>
        <w:t>项目团队人员简历表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76"/>
        <w:gridCol w:w="16"/>
        <w:gridCol w:w="1353"/>
        <w:gridCol w:w="1445"/>
        <w:gridCol w:w="1748"/>
        <w:gridCol w:w="1581"/>
      </w:tblGrid>
      <w:tr w14:paraId="0D47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pct"/>
            <w:noWrap w:val="0"/>
            <w:vAlign w:val="center"/>
          </w:tcPr>
          <w:p w14:paraId="2473851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姓  名</w:t>
            </w:r>
          </w:p>
        </w:tc>
        <w:tc>
          <w:tcPr>
            <w:tcW w:w="718" w:type="pct"/>
            <w:gridSpan w:val="2"/>
            <w:noWrap w:val="0"/>
            <w:vAlign w:val="center"/>
          </w:tcPr>
          <w:p w14:paraId="5F27082F">
            <w:pPr>
              <w:pageBreakBefore w:val="0"/>
              <w:kinsoku/>
              <w:overflowPunct/>
              <w:topLinePunct w:val="0"/>
              <w:bidi w:val="0"/>
              <w:spacing w:line="440" w:lineRule="exact"/>
              <w:jc w:val="center"/>
              <w:rPr>
                <w:rFonts w:hint="eastAsia" w:ascii="宋体" w:hAnsi="宋体" w:eastAsia="宋体" w:cs="宋体"/>
                <w:highlight w:val="none"/>
              </w:rPr>
            </w:pPr>
          </w:p>
        </w:tc>
        <w:tc>
          <w:tcPr>
            <w:tcW w:w="751" w:type="pct"/>
            <w:noWrap w:val="0"/>
            <w:vAlign w:val="center"/>
          </w:tcPr>
          <w:p w14:paraId="27F1192C">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年龄</w:t>
            </w:r>
          </w:p>
        </w:tc>
        <w:tc>
          <w:tcPr>
            <w:tcW w:w="802" w:type="pct"/>
            <w:noWrap w:val="0"/>
            <w:vAlign w:val="center"/>
          </w:tcPr>
          <w:p w14:paraId="666C98DC">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noWrap w:val="0"/>
            <w:vAlign w:val="center"/>
          </w:tcPr>
          <w:p w14:paraId="784DD1B2">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专业</w:t>
            </w:r>
          </w:p>
        </w:tc>
        <w:tc>
          <w:tcPr>
            <w:tcW w:w="876" w:type="pct"/>
            <w:noWrap w:val="0"/>
            <w:vAlign w:val="center"/>
          </w:tcPr>
          <w:p w14:paraId="287F43A4">
            <w:pPr>
              <w:pageBreakBefore w:val="0"/>
              <w:kinsoku/>
              <w:overflowPunct/>
              <w:topLinePunct w:val="0"/>
              <w:bidi w:val="0"/>
              <w:spacing w:line="440" w:lineRule="exact"/>
              <w:jc w:val="center"/>
              <w:rPr>
                <w:rFonts w:hint="eastAsia" w:ascii="宋体" w:hAnsi="宋体" w:eastAsia="宋体" w:cs="宋体"/>
                <w:highlight w:val="none"/>
              </w:rPr>
            </w:pPr>
          </w:p>
        </w:tc>
      </w:tr>
      <w:tr w14:paraId="00FE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78" w:type="pct"/>
            <w:tcBorders>
              <w:bottom w:val="single" w:color="auto" w:sz="4" w:space="0"/>
            </w:tcBorders>
            <w:noWrap w:val="0"/>
            <w:vAlign w:val="center"/>
          </w:tcPr>
          <w:p w14:paraId="0B16FEB3">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职   称</w:t>
            </w:r>
          </w:p>
        </w:tc>
        <w:tc>
          <w:tcPr>
            <w:tcW w:w="718" w:type="pct"/>
            <w:gridSpan w:val="2"/>
            <w:tcBorders>
              <w:bottom w:val="single" w:color="auto" w:sz="4" w:space="0"/>
            </w:tcBorders>
            <w:noWrap w:val="0"/>
            <w:vAlign w:val="center"/>
          </w:tcPr>
          <w:p w14:paraId="7DBDEDD7">
            <w:pPr>
              <w:pageBreakBefore w:val="0"/>
              <w:kinsoku/>
              <w:overflowPunct/>
              <w:topLinePunct w:val="0"/>
              <w:bidi w:val="0"/>
              <w:spacing w:line="440" w:lineRule="exact"/>
              <w:jc w:val="center"/>
              <w:rPr>
                <w:rFonts w:hint="eastAsia" w:ascii="宋体" w:hAnsi="宋体" w:eastAsia="宋体" w:cs="宋体"/>
                <w:highlight w:val="none"/>
              </w:rPr>
            </w:pPr>
          </w:p>
        </w:tc>
        <w:tc>
          <w:tcPr>
            <w:tcW w:w="751" w:type="pct"/>
            <w:tcBorders>
              <w:bottom w:val="single" w:color="auto" w:sz="4" w:space="0"/>
            </w:tcBorders>
            <w:noWrap w:val="0"/>
            <w:vAlign w:val="center"/>
          </w:tcPr>
          <w:p w14:paraId="32BF8C57">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职务</w:t>
            </w:r>
          </w:p>
        </w:tc>
        <w:tc>
          <w:tcPr>
            <w:tcW w:w="802" w:type="pct"/>
            <w:tcBorders>
              <w:bottom w:val="single" w:color="auto" w:sz="4" w:space="0"/>
            </w:tcBorders>
            <w:noWrap w:val="0"/>
            <w:vAlign w:val="center"/>
          </w:tcPr>
          <w:p w14:paraId="333AF2D7">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tcBorders>
              <w:bottom w:val="single" w:color="auto" w:sz="4" w:space="0"/>
            </w:tcBorders>
            <w:noWrap w:val="0"/>
            <w:vAlign w:val="center"/>
          </w:tcPr>
          <w:p w14:paraId="0C34E939">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拟在担任职务</w:t>
            </w:r>
          </w:p>
        </w:tc>
        <w:tc>
          <w:tcPr>
            <w:tcW w:w="876" w:type="pct"/>
            <w:tcBorders>
              <w:bottom w:val="single" w:color="auto" w:sz="4" w:space="0"/>
            </w:tcBorders>
            <w:noWrap w:val="0"/>
            <w:vAlign w:val="center"/>
          </w:tcPr>
          <w:p w14:paraId="4E8F4276">
            <w:pPr>
              <w:pageBreakBefore w:val="0"/>
              <w:kinsoku/>
              <w:overflowPunct/>
              <w:topLinePunct w:val="0"/>
              <w:bidi w:val="0"/>
              <w:spacing w:line="440" w:lineRule="exact"/>
              <w:jc w:val="center"/>
              <w:rPr>
                <w:rFonts w:hint="eastAsia" w:ascii="宋体" w:hAnsi="宋体" w:eastAsia="宋体" w:cs="宋体"/>
                <w:highlight w:val="none"/>
              </w:rPr>
            </w:pPr>
          </w:p>
        </w:tc>
      </w:tr>
      <w:tr w14:paraId="611D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78" w:type="pct"/>
            <w:tcBorders>
              <w:bottom w:val="single" w:color="auto" w:sz="4" w:space="0"/>
            </w:tcBorders>
            <w:noWrap w:val="0"/>
            <w:vAlign w:val="center"/>
          </w:tcPr>
          <w:p w14:paraId="47959F4A">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毕业学校</w:t>
            </w:r>
          </w:p>
        </w:tc>
        <w:tc>
          <w:tcPr>
            <w:tcW w:w="718" w:type="pct"/>
            <w:gridSpan w:val="2"/>
            <w:tcBorders>
              <w:bottom w:val="single" w:color="auto" w:sz="4" w:space="0"/>
            </w:tcBorders>
            <w:noWrap w:val="0"/>
            <w:vAlign w:val="center"/>
          </w:tcPr>
          <w:p w14:paraId="68B40C2A">
            <w:pPr>
              <w:pageBreakBefore w:val="0"/>
              <w:kinsoku/>
              <w:overflowPunct/>
              <w:topLinePunct w:val="0"/>
              <w:bidi w:val="0"/>
              <w:spacing w:line="440" w:lineRule="exact"/>
              <w:jc w:val="center"/>
              <w:rPr>
                <w:rFonts w:hint="eastAsia" w:ascii="宋体" w:hAnsi="宋体" w:eastAsia="宋体" w:cs="宋体"/>
                <w:highlight w:val="none"/>
              </w:rPr>
            </w:pPr>
          </w:p>
        </w:tc>
        <w:tc>
          <w:tcPr>
            <w:tcW w:w="751" w:type="pct"/>
            <w:tcBorders>
              <w:bottom w:val="single" w:color="auto" w:sz="4" w:space="0"/>
            </w:tcBorders>
            <w:noWrap w:val="0"/>
            <w:vAlign w:val="center"/>
          </w:tcPr>
          <w:p w14:paraId="0F286FDE">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毕业时间</w:t>
            </w:r>
          </w:p>
        </w:tc>
        <w:tc>
          <w:tcPr>
            <w:tcW w:w="802" w:type="pct"/>
            <w:tcBorders>
              <w:bottom w:val="single" w:color="auto" w:sz="4" w:space="0"/>
            </w:tcBorders>
            <w:noWrap w:val="0"/>
            <w:vAlign w:val="center"/>
          </w:tcPr>
          <w:p w14:paraId="7FCC7E5F">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tcBorders>
              <w:bottom w:val="single" w:color="auto" w:sz="4" w:space="0"/>
            </w:tcBorders>
            <w:noWrap w:val="0"/>
            <w:vAlign w:val="center"/>
          </w:tcPr>
          <w:p w14:paraId="1BC527DC">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从事专业年限</w:t>
            </w:r>
          </w:p>
        </w:tc>
        <w:tc>
          <w:tcPr>
            <w:tcW w:w="876" w:type="pct"/>
            <w:tcBorders>
              <w:bottom w:val="single" w:color="auto" w:sz="4" w:space="0"/>
            </w:tcBorders>
            <w:noWrap w:val="0"/>
            <w:vAlign w:val="center"/>
          </w:tcPr>
          <w:p w14:paraId="1FD1C561">
            <w:pPr>
              <w:pageBreakBefore w:val="0"/>
              <w:kinsoku/>
              <w:overflowPunct/>
              <w:topLinePunct w:val="0"/>
              <w:bidi w:val="0"/>
              <w:spacing w:line="440" w:lineRule="exact"/>
              <w:jc w:val="center"/>
              <w:rPr>
                <w:rFonts w:hint="eastAsia" w:ascii="宋体" w:hAnsi="宋体" w:eastAsia="宋体" w:cs="宋体"/>
                <w:highlight w:val="none"/>
              </w:rPr>
            </w:pPr>
          </w:p>
        </w:tc>
      </w:tr>
      <w:tr w14:paraId="2EF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8" w:type="pct"/>
            <w:tcBorders>
              <w:bottom w:val="single" w:color="auto" w:sz="4" w:space="0"/>
            </w:tcBorders>
            <w:noWrap w:val="0"/>
            <w:vAlign w:val="center"/>
          </w:tcPr>
          <w:p w14:paraId="15F8C273">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参加工作时间</w:t>
            </w:r>
          </w:p>
        </w:tc>
        <w:tc>
          <w:tcPr>
            <w:tcW w:w="4121" w:type="pct"/>
            <w:gridSpan w:val="6"/>
            <w:tcBorders>
              <w:bottom w:val="single" w:color="auto" w:sz="4" w:space="0"/>
            </w:tcBorders>
            <w:noWrap w:val="0"/>
            <w:vAlign w:val="center"/>
          </w:tcPr>
          <w:p w14:paraId="2D637D2E">
            <w:pPr>
              <w:pageBreakBefore w:val="0"/>
              <w:kinsoku/>
              <w:overflowPunct/>
              <w:topLinePunct w:val="0"/>
              <w:bidi w:val="0"/>
              <w:spacing w:line="440" w:lineRule="exact"/>
              <w:jc w:val="center"/>
              <w:rPr>
                <w:rFonts w:hint="eastAsia" w:ascii="宋体" w:hAnsi="宋体" w:eastAsia="宋体" w:cs="宋体"/>
                <w:highlight w:val="none"/>
              </w:rPr>
            </w:pPr>
          </w:p>
        </w:tc>
      </w:tr>
      <w:tr w14:paraId="798B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8" w:type="pct"/>
            <w:tcBorders>
              <w:bottom w:val="single" w:color="auto" w:sz="4" w:space="0"/>
            </w:tcBorders>
            <w:noWrap w:val="0"/>
            <w:vAlign w:val="center"/>
          </w:tcPr>
          <w:p w14:paraId="49219261">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执业资格/职称</w:t>
            </w:r>
          </w:p>
        </w:tc>
        <w:tc>
          <w:tcPr>
            <w:tcW w:w="1470" w:type="pct"/>
            <w:gridSpan w:val="3"/>
            <w:tcBorders>
              <w:bottom w:val="single" w:color="auto" w:sz="4" w:space="0"/>
            </w:tcBorders>
            <w:noWrap w:val="0"/>
            <w:vAlign w:val="center"/>
          </w:tcPr>
          <w:p w14:paraId="75E842E9">
            <w:pPr>
              <w:pageBreakBefore w:val="0"/>
              <w:kinsoku/>
              <w:overflowPunct/>
              <w:topLinePunct w:val="0"/>
              <w:bidi w:val="0"/>
              <w:spacing w:line="440" w:lineRule="exact"/>
              <w:jc w:val="center"/>
              <w:rPr>
                <w:rFonts w:hint="eastAsia" w:ascii="宋体" w:hAnsi="宋体" w:eastAsia="宋体" w:cs="宋体"/>
                <w:highlight w:val="none"/>
              </w:rPr>
            </w:pPr>
          </w:p>
        </w:tc>
        <w:tc>
          <w:tcPr>
            <w:tcW w:w="802" w:type="pct"/>
            <w:tcBorders>
              <w:bottom w:val="single" w:color="auto" w:sz="4" w:space="0"/>
            </w:tcBorders>
            <w:noWrap w:val="0"/>
            <w:vAlign w:val="center"/>
          </w:tcPr>
          <w:p w14:paraId="0EA4B612">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注册证号</w:t>
            </w:r>
          </w:p>
        </w:tc>
        <w:tc>
          <w:tcPr>
            <w:tcW w:w="1848" w:type="pct"/>
            <w:gridSpan w:val="2"/>
            <w:tcBorders>
              <w:bottom w:val="single" w:color="auto" w:sz="4" w:space="0"/>
            </w:tcBorders>
            <w:noWrap w:val="0"/>
            <w:vAlign w:val="center"/>
          </w:tcPr>
          <w:p w14:paraId="5075153F">
            <w:pPr>
              <w:pageBreakBefore w:val="0"/>
              <w:kinsoku/>
              <w:overflowPunct/>
              <w:topLinePunct w:val="0"/>
              <w:bidi w:val="0"/>
              <w:spacing w:line="440" w:lineRule="exact"/>
              <w:jc w:val="center"/>
              <w:rPr>
                <w:rFonts w:hint="eastAsia" w:ascii="宋体" w:hAnsi="宋体" w:eastAsia="宋体" w:cs="宋体"/>
                <w:highlight w:val="none"/>
              </w:rPr>
            </w:pPr>
          </w:p>
        </w:tc>
      </w:tr>
      <w:tr w14:paraId="3F59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361A5627">
            <w:pPr>
              <w:pageBreakBefore w:val="0"/>
              <w:kinsoku/>
              <w:overflowPunct/>
              <w:topLinePunct w:val="0"/>
              <w:bidi w:val="0"/>
              <w:spacing w:before="156" w:line="440" w:lineRule="exact"/>
              <w:rPr>
                <w:rFonts w:hint="eastAsia" w:ascii="宋体" w:hAnsi="宋体" w:eastAsia="宋体" w:cs="宋体"/>
                <w:highlight w:val="none"/>
              </w:rPr>
            </w:pPr>
            <w:r>
              <w:rPr>
                <w:rFonts w:hint="eastAsia" w:ascii="宋体" w:hAnsi="宋体" w:eastAsia="宋体" w:cs="宋体"/>
                <w:highlight w:val="none"/>
              </w:rPr>
              <w:t>个人履历：</w:t>
            </w:r>
          </w:p>
        </w:tc>
      </w:tr>
      <w:tr w14:paraId="1B02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pct"/>
            <w:tcBorders>
              <w:top w:val="single" w:color="auto" w:sz="4" w:space="0"/>
            </w:tcBorders>
            <w:noWrap w:val="0"/>
            <w:vAlign w:val="center"/>
          </w:tcPr>
          <w:p w14:paraId="420E9F26">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时间</w:t>
            </w:r>
          </w:p>
        </w:tc>
        <w:tc>
          <w:tcPr>
            <w:tcW w:w="709" w:type="pct"/>
            <w:tcBorders>
              <w:top w:val="single" w:color="auto" w:sz="4" w:space="0"/>
            </w:tcBorders>
            <w:noWrap w:val="0"/>
            <w:vAlign w:val="center"/>
          </w:tcPr>
          <w:p w14:paraId="3F0668EB">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发包人</w:t>
            </w:r>
          </w:p>
        </w:tc>
        <w:tc>
          <w:tcPr>
            <w:tcW w:w="1564" w:type="pct"/>
            <w:gridSpan w:val="3"/>
            <w:tcBorders>
              <w:top w:val="single" w:color="auto" w:sz="4" w:space="0"/>
            </w:tcBorders>
            <w:noWrap w:val="0"/>
            <w:vAlign w:val="center"/>
          </w:tcPr>
          <w:p w14:paraId="6FE76B19">
            <w:pPr>
              <w:pageBreakBefore w:val="0"/>
              <w:kinsoku/>
              <w:overflowPunct/>
              <w:topLinePunct w:val="0"/>
              <w:bidi w:val="0"/>
              <w:spacing w:line="440" w:lineRule="exact"/>
              <w:jc w:val="center"/>
              <w:rPr>
                <w:rFonts w:hint="eastAsia" w:ascii="宋体" w:hAnsi="宋体" w:eastAsia="宋体" w:cs="宋体"/>
                <w:highlight w:val="none"/>
                <w:lang w:eastAsia="zh-CN"/>
              </w:rPr>
            </w:pPr>
            <w:r>
              <w:rPr>
                <w:rFonts w:hint="eastAsia" w:ascii="宋体" w:hAnsi="宋体" w:eastAsia="宋体" w:cs="宋体"/>
                <w:highlight w:val="none"/>
              </w:rPr>
              <w:t>参加过类似项目</w:t>
            </w:r>
            <w:r>
              <w:rPr>
                <w:rFonts w:hint="eastAsia" w:ascii="宋体" w:hAnsi="宋体" w:eastAsia="宋体" w:cs="宋体"/>
                <w:highlight w:val="none"/>
                <w:lang w:val="en-US" w:eastAsia="zh-CN"/>
              </w:rPr>
              <w:t>的</w:t>
            </w:r>
          </w:p>
          <w:p w14:paraId="7083ACD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971" w:type="pct"/>
            <w:tcBorders>
              <w:top w:val="single" w:color="auto" w:sz="4" w:space="0"/>
            </w:tcBorders>
            <w:noWrap w:val="0"/>
            <w:vAlign w:val="center"/>
          </w:tcPr>
          <w:p w14:paraId="74E5C102">
            <w:pPr>
              <w:pageBreakBefore w:val="0"/>
              <w:kinsoku/>
              <w:overflowPunct/>
              <w:topLinePunct w:val="0"/>
              <w:bidi w:val="0"/>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合同金额</w:t>
            </w:r>
          </w:p>
        </w:tc>
        <w:tc>
          <w:tcPr>
            <w:tcW w:w="876" w:type="pct"/>
            <w:tcBorders>
              <w:top w:val="single" w:color="auto" w:sz="4" w:space="0"/>
            </w:tcBorders>
            <w:noWrap w:val="0"/>
            <w:vAlign w:val="center"/>
          </w:tcPr>
          <w:p w14:paraId="7382A0B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担任何职</w:t>
            </w:r>
          </w:p>
        </w:tc>
      </w:tr>
      <w:tr w14:paraId="6BB1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8" w:type="pct"/>
            <w:noWrap w:val="0"/>
            <w:vAlign w:val="center"/>
          </w:tcPr>
          <w:p w14:paraId="5DCEC5CA">
            <w:pPr>
              <w:pageBreakBefore w:val="0"/>
              <w:kinsoku/>
              <w:overflowPunct/>
              <w:topLinePunct w:val="0"/>
              <w:bidi w:val="0"/>
              <w:spacing w:line="440" w:lineRule="exact"/>
              <w:jc w:val="center"/>
              <w:rPr>
                <w:rFonts w:hint="eastAsia" w:ascii="宋体" w:hAnsi="宋体" w:eastAsia="宋体" w:cs="宋体"/>
                <w:highlight w:val="none"/>
              </w:rPr>
            </w:pPr>
          </w:p>
        </w:tc>
        <w:tc>
          <w:tcPr>
            <w:tcW w:w="709" w:type="pct"/>
            <w:noWrap w:val="0"/>
            <w:vAlign w:val="center"/>
          </w:tcPr>
          <w:p w14:paraId="76654F6C">
            <w:pPr>
              <w:pageBreakBefore w:val="0"/>
              <w:kinsoku/>
              <w:overflowPunct/>
              <w:topLinePunct w:val="0"/>
              <w:bidi w:val="0"/>
              <w:spacing w:line="440" w:lineRule="exact"/>
              <w:jc w:val="center"/>
              <w:rPr>
                <w:rFonts w:hint="eastAsia" w:ascii="宋体" w:hAnsi="宋体" w:eastAsia="宋体" w:cs="宋体"/>
                <w:highlight w:val="none"/>
              </w:rPr>
            </w:pPr>
          </w:p>
        </w:tc>
        <w:tc>
          <w:tcPr>
            <w:tcW w:w="1564" w:type="pct"/>
            <w:gridSpan w:val="3"/>
            <w:noWrap w:val="0"/>
            <w:vAlign w:val="center"/>
          </w:tcPr>
          <w:p w14:paraId="02BAC2D2">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noWrap w:val="0"/>
            <w:vAlign w:val="center"/>
          </w:tcPr>
          <w:p w14:paraId="34155674">
            <w:pPr>
              <w:pageBreakBefore w:val="0"/>
              <w:kinsoku/>
              <w:overflowPunct/>
              <w:topLinePunct w:val="0"/>
              <w:bidi w:val="0"/>
              <w:spacing w:line="440" w:lineRule="exact"/>
              <w:jc w:val="center"/>
              <w:rPr>
                <w:rFonts w:hint="eastAsia" w:ascii="宋体" w:hAnsi="宋体" w:eastAsia="宋体" w:cs="宋体"/>
                <w:highlight w:val="none"/>
              </w:rPr>
            </w:pPr>
          </w:p>
        </w:tc>
        <w:tc>
          <w:tcPr>
            <w:tcW w:w="876" w:type="pct"/>
            <w:noWrap w:val="0"/>
            <w:vAlign w:val="center"/>
          </w:tcPr>
          <w:p w14:paraId="3C669612">
            <w:pPr>
              <w:pageBreakBefore w:val="0"/>
              <w:kinsoku/>
              <w:overflowPunct/>
              <w:topLinePunct w:val="0"/>
              <w:bidi w:val="0"/>
              <w:spacing w:line="440" w:lineRule="exact"/>
              <w:jc w:val="center"/>
              <w:rPr>
                <w:rFonts w:hint="eastAsia" w:ascii="宋体" w:hAnsi="宋体" w:eastAsia="宋体" w:cs="宋体"/>
                <w:highlight w:val="none"/>
              </w:rPr>
            </w:pPr>
          </w:p>
        </w:tc>
      </w:tr>
      <w:tr w14:paraId="31C3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8" w:type="pct"/>
            <w:noWrap w:val="0"/>
            <w:vAlign w:val="center"/>
          </w:tcPr>
          <w:p w14:paraId="482604E5">
            <w:pPr>
              <w:pageBreakBefore w:val="0"/>
              <w:kinsoku/>
              <w:overflowPunct/>
              <w:topLinePunct w:val="0"/>
              <w:bidi w:val="0"/>
              <w:spacing w:line="440" w:lineRule="exact"/>
              <w:jc w:val="center"/>
              <w:rPr>
                <w:rFonts w:hint="eastAsia" w:ascii="宋体" w:hAnsi="宋体" w:eastAsia="宋体" w:cs="宋体"/>
                <w:highlight w:val="none"/>
              </w:rPr>
            </w:pPr>
          </w:p>
        </w:tc>
        <w:tc>
          <w:tcPr>
            <w:tcW w:w="709" w:type="pct"/>
            <w:noWrap w:val="0"/>
            <w:vAlign w:val="center"/>
          </w:tcPr>
          <w:p w14:paraId="5C693ACB">
            <w:pPr>
              <w:pageBreakBefore w:val="0"/>
              <w:kinsoku/>
              <w:overflowPunct/>
              <w:topLinePunct w:val="0"/>
              <w:bidi w:val="0"/>
              <w:spacing w:line="440" w:lineRule="exact"/>
              <w:jc w:val="center"/>
              <w:rPr>
                <w:rFonts w:hint="eastAsia" w:ascii="宋体" w:hAnsi="宋体" w:eastAsia="宋体" w:cs="宋体"/>
                <w:highlight w:val="none"/>
              </w:rPr>
            </w:pPr>
          </w:p>
        </w:tc>
        <w:tc>
          <w:tcPr>
            <w:tcW w:w="1564" w:type="pct"/>
            <w:gridSpan w:val="3"/>
            <w:noWrap w:val="0"/>
            <w:vAlign w:val="center"/>
          </w:tcPr>
          <w:p w14:paraId="11908363">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noWrap w:val="0"/>
            <w:vAlign w:val="center"/>
          </w:tcPr>
          <w:p w14:paraId="239B23D0">
            <w:pPr>
              <w:pageBreakBefore w:val="0"/>
              <w:kinsoku/>
              <w:overflowPunct/>
              <w:topLinePunct w:val="0"/>
              <w:bidi w:val="0"/>
              <w:spacing w:line="440" w:lineRule="exact"/>
              <w:jc w:val="center"/>
              <w:rPr>
                <w:rFonts w:hint="eastAsia" w:ascii="宋体" w:hAnsi="宋体" w:eastAsia="宋体" w:cs="宋体"/>
                <w:highlight w:val="none"/>
              </w:rPr>
            </w:pPr>
          </w:p>
        </w:tc>
        <w:tc>
          <w:tcPr>
            <w:tcW w:w="876" w:type="pct"/>
            <w:noWrap w:val="0"/>
            <w:vAlign w:val="center"/>
          </w:tcPr>
          <w:p w14:paraId="377E5A42">
            <w:pPr>
              <w:pageBreakBefore w:val="0"/>
              <w:kinsoku/>
              <w:overflowPunct/>
              <w:topLinePunct w:val="0"/>
              <w:bidi w:val="0"/>
              <w:spacing w:line="440" w:lineRule="exact"/>
              <w:jc w:val="center"/>
              <w:rPr>
                <w:rFonts w:hint="eastAsia" w:ascii="宋体" w:hAnsi="宋体" w:eastAsia="宋体" w:cs="宋体"/>
                <w:highlight w:val="none"/>
              </w:rPr>
            </w:pPr>
          </w:p>
        </w:tc>
      </w:tr>
    </w:tbl>
    <w:p w14:paraId="7162A654">
      <w:pPr>
        <w:pStyle w:val="19"/>
        <w:pageBreakBefore w:val="0"/>
        <w:kinsoku/>
        <w:overflowPunct/>
        <w:topLinePunct w:val="0"/>
        <w:bidi w:val="0"/>
        <w:spacing w:line="440" w:lineRule="exact"/>
        <w:ind w:firstLine="21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1.本表应附主要管理人员身份证、学历证书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、职称证书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、注册执业资格证书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等、业绩证明材料</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复印件。</w:t>
      </w:r>
    </w:p>
    <w:p w14:paraId="015B96F4">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30"/>
          <w:szCs w:val="30"/>
          <w:highlight w:val="none"/>
          <w:lang w:val="zh-CN"/>
        </w:rPr>
        <w:br w:type="page"/>
      </w:r>
      <w:bookmarkEnd w:id="86"/>
      <w:bookmarkStart w:id="87" w:name="_Toc21949"/>
      <w:bookmarkStart w:id="88" w:name="_Toc19046"/>
      <w:r>
        <w:rPr>
          <w:rFonts w:hint="eastAsia" w:ascii="宋体" w:hAnsi="宋体" w:eastAsia="宋体" w:cs="宋体"/>
          <w:b/>
          <w:bCs/>
          <w:color w:val="000000"/>
          <w:kern w:val="0"/>
          <w:sz w:val="30"/>
          <w:szCs w:val="30"/>
          <w:highlight w:val="none"/>
          <w:lang w:eastAsia="zh-CN"/>
        </w:rPr>
        <w:t>六</w:t>
      </w:r>
      <w:r>
        <w:rPr>
          <w:rFonts w:hint="eastAsia" w:ascii="宋体" w:hAnsi="宋体" w:eastAsia="宋体" w:cs="宋体"/>
          <w:b/>
          <w:bCs/>
          <w:color w:val="000000"/>
          <w:kern w:val="0"/>
          <w:sz w:val="30"/>
          <w:szCs w:val="30"/>
          <w:highlight w:val="none"/>
          <w:lang w:val="zh-CN"/>
        </w:rPr>
        <w:t>、</w:t>
      </w:r>
      <w:r>
        <w:rPr>
          <w:rFonts w:hint="eastAsia" w:ascii="宋体" w:hAnsi="宋体" w:eastAsia="宋体" w:cs="宋体"/>
          <w:b/>
          <w:bCs/>
          <w:color w:val="000000"/>
          <w:kern w:val="0"/>
          <w:sz w:val="30"/>
          <w:szCs w:val="30"/>
          <w:highlight w:val="none"/>
          <w:lang w:val="en-US" w:eastAsia="zh-CN"/>
        </w:rPr>
        <w:t>服务</w:t>
      </w:r>
      <w:r>
        <w:rPr>
          <w:rFonts w:hint="eastAsia" w:ascii="宋体" w:hAnsi="宋体" w:eastAsia="宋体" w:cs="宋体"/>
          <w:b/>
          <w:bCs/>
          <w:color w:val="000000"/>
          <w:kern w:val="0"/>
          <w:sz w:val="30"/>
          <w:szCs w:val="30"/>
          <w:highlight w:val="none"/>
        </w:rPr>
        <w:t>方案</w:t>
      </w:r>
      <w:bookmarkEnd w:id="87"/>
      <w:bookmarkEnd w:id="88"/>
    </w:p>
    <w:p w14:paraId="2C31D358">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投标人应根据招标文件评标办法等要求编制</w:t>
      </w:r>
      <w:r>
        <w:rPr>
          <w:rFonts w:hint="eastAsia" w:ascii="宋体" w:hAnsi="宋体" w:eastAsia="宋体" w:cs="宋体"/>
          <w:color w:val="000000"/>
          <w:highlight w:val="none"/>
          <w:lang w:val="en-US" w:eastAsia="zh-CN"/>
        </w:rPr>
        <w:t>服务方案</w:t>
      </w:r>
    </w:p>
    <w:p w14:paraId="58BF6A8D">
      <w:pPr>
        <w:pageBreakBefore w:val="0"/>
        <w:kinsoku/>
        <w:overflowPunct/>
        <w:topLinePunct w:val="0"/>
        <w:bidi w:val="0"/>
        <w:spacing w:line="440" w:lineRule="exact"/>
        <w:rPr>
          <w:rFonts w:hint="eastAsia" w:ascii="宋体" w:hAnsi="宋体" w:eastAsia="宋体" w:cs="宋体"/>
          <w:color w:val="000000"/>
          <w:highlight w:val="none"/>
        </w:rPr>
      </w:pPr>
    </w:p>
    <w:p w14:paraId="636D4CCF">
      <w:pPr>
        <w:pageBreakBefore w:val="0"/>
        <w:kinsoku/>
        <w:overflowPunct/>
        <w:topLinePunct w:val="0"/>
        <w:bidi w:val="0"/>
        <w:spacing w:line="440" w:lineRule="exact"/>
        <w:rPr>
          <w:rFonts w:hint="eastAsia" w:ascii="宋体" w:hAnsi="宋体" w:eastAsia="宋体" w:cs="宋体"/>
          <w:color w:val="000000"/>
          <w:sz w:val="24"/>
          <w:highlight w:val="none"/>
        </w:rPr>
      </w:pPr>
    </w:p>
    <w:p w14:paraId="53FA6C49">
      <w:pPr>
        <w:pageBreakBefore w:val="0"/>
        <w:kinsoku/>
        <w:overflowPunct/>
        <w:topLinePunct w:val="0"/>
        <w:bidi w:val="0"/>
        <w:spacing w:line="440" w:lineRule="exact"/>
        <w:rPr>
          <w:rFonts w:hint="eastAsia" w:ascii="宋体" w:hAnsi="宋体" w:eastAsia="宋体" w:cs="宋体"/>
          <w:color w:val="000000"/>
          <w:sz w:val="24"/>
          <w:highlight w:val="none"/>
        </w:rPr>
      </w:pPr>
    </w:p>
    <w:p w14:paraId="2859BAEC">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30"/>
          <w:szCs w:val="30"/>
          <w:highlight w:val="none"/>
        </w:rPr>
        <w:br w:type="page"/>
      </w:r>
      <w:bookmarkStart w:id="89" w:name="_Toc9146"/>
      <w:bookmarkStart w:id="90" w:name="_Toc30043"/>
      <w:r>
        <w:rPr>
          <w:rFonts w:hint="eastAsia" w:ascii="宋体" w:hAnsi="宋体" w:eastAsia="宋体" w:cs="宋体"/>
          <w:b/>
          <w:bCs/>
          <w:color w:val="000000"/>
          <w:kern w:val="0"/>
          <w:sz w:val="30"/>
          <w:szCs w:val="30"/>
          <w:highlight w:val="none"/>
          <w:lang w:eastAsia="zh-CN"/>
        </w:rPr>
        <w:t>七</w:t>
      </w:r>
      <w:r>
        <w:rPr>
          <w:rFonts w:hint="eastAsia" w:ascii="宋体" w:hAnsi="宋体" w:eastAsia="宋体" w:cs="宋体"/>
          <w:b/>
          <w:bCs/>
          <w:color w:val="000000"/>
          <w:kern w:val="0"/>
          <w:sz w:val="30"/>
          <w:szCs w:val="30"/>
          <w:highlight w:val="none"/>
        </w:rPr>
        <w:t>、其他资料</w:t>
      </w:r>
      <w:bookmarkEnd w:id="89"/>
      <w:bookmarkEnd w:id="90"/>
    </w:p>
    <w:tbl>
      <w:tblPr>
        <w:tblStyle w:val="21"/>
        <w:tblW w:w="5000" w:type="pct"/>
        <w:tblInd w:w="0" w:type="dxa"/>
        <w:tblLayout w:type="autofit"/>
        <w:tblCellMar>
          <w:top w:w="0" w:type="dxa"/>
          <w:left w:w="108" w:type="dxa"/>
          <w:bottom w:w="0" w:type="dxa"/>
          <w:right w:w="108" w:type="dxa"/>
        </w:tblCellMar>
      </w:tblPr>
      <w:tblGrid>
        <w:gridCol w:w="9003"/>
      </w:tblGrid>
      <w:tr w14:paraId="74A71E5E">
        <w:tblPrEx>
          <w:tblCellMar>
            <w:top w:w="0" w:type="dxa"/>
            <w:left w:w="108" w:type="dxa"/>
            <w:bottom w:w="0" w:type="dxa"/>
            <w:right w:w="108" w:type="dxa"/>
          </w:tblCellMar>
        </w:tblPrEx>
        <w:trPr>
          <w:trHeight w:val="10768"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11042AD6">
            <w:pPr>
              <w:pageBreakBefore w:val="0"/>
              <w:kinsoku/>
              <w:overflowPunct/>
              <w:topLinePunct w:val="0"/>
              <w:bidi w:val="0"/>
              <w:snapToGrid w:val="0"/>
              <w:spacing w:line="440" w:lineRule="exact"/>
              <w:rPr>
                <w:rFonts w:hint="eastAsia" w:ascii="宋体" w:hAnsi="宋体" w:eastAsia="宋体" w:cs="宋体"/>
                <w:highlight w:val="none"/>
              </w:rPr>
            </w:pPr>
          </w:p>
          <w:p w14:paraId="6DE5A189">
            <w:pPr>
              <w:pageBreakBefore w:val="0"/>
              <w:kinsoku/>
              <w:overflowPunct/>
              <w:topLinePunct w:val="0"/>
              <w:bidi w:val="0"/>
              <w:snapToGrid w:val="0"/>
              <w:spacing w:line="440" w:lineRule="exact"/>
              <w:rPr>
                <w:rFonts w:hint="eastAsia" w:ascii="宋体" w:hAnsi="宋体" w:eastAsia="宋体" w:cs="宋体"/>
                <w:highlight w:val="none"/>
              </w:rPr>
            </w:pPr>
          </w:p>
          <w:p w14:paraId="28C724D4">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（1）相关承诺书(格式自拟)</w:t>
            </w:r>
          </w:p>
          <w:p w14:paraId="679AC8A2">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（2）优惠条件</w:t>
            </w:r>
          </w:p>
          <w:p w14:paraId="183869C2">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（3）服务承诺</w:t>
            </w:r>
          </w:p>
          <w:p w14:paraId="2DBA9BD8">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）投标人认为有必要提供的其他材料</w:t>
            </w:r>
          </w:p>
          <w:p w14:paraId="6E5823DF">
            <w:pPr>
              <w:pStyle w:val="19"/>
              <w:pageBreakBefore w:val="0"/>
              <w:kinsoku/>
              <w:overflowPunct/>
              <w:topLinePunct w:val="0"/>
              <w:bidi w:val="0"/>
              <w:spacing w:line="440" w:lineRule="exact"/>
              <w:ind w:firstLine="240"/>
              <w:rPr>
                <w:rFonts w:hint="eastAsia" w:ascii="宋体" w:hAnsi="宋体" w:eastAsia="宋体" w:cs="宋体"/>
                <w:highlight w:val="none"/>
              </w:rPr>
            </w:pPr>
          </w:p>
        </w:tc>
      </w:tr>
    </w:tbl>
    <w:p w14:paraId="4E0F9900">
      <w:pPr>
        <w:pageBreakBefore w:val="0"/>
        <w:kinsoku/>
        <w:overflowPunct/>
        <w:topLinePunct w:val="0"/>
        <w:autoSpaceDE w:val="0"/>
        <w:autoSpaceDN w:val="0"/>
        <w:bidi w:val="0"/>
        <w:adjustRightInd w:val="0"/>
        <w:snapToGrid w:val="0"/>
        <w:spacing w:line="440" w:lineRule="exact"/>
        <w:rPr>
          <w:rFonts w:hint="eastAsia" w:ascii="宋体" w:hAnsi="宋体" w:eastAsia="宋体" w:cs="宋体"/>
          <w:color w:val="000000"/>
          <w:kern w:val="0"/>
          <w:sz w:val="24"/>
          <w:szCs w:val="24"/>
          <w:highlight w:val="none"/>
        </w:rPr>
      </w:pPr>
    </w:p>
    <w:p w14:paraId="1174DC89">
      <w:pPr>
        <w:pageBreakBefore w:val="0"/>
        <w:kinsoku/>
        <w:overflowPunct/>
        <w:topLinePunct w:val="0"/>
        <w:bidi w:val="0"/>
        <w:snapToGrid w:val="0"/>
        <w:spacing w:line="440" w:lineRule="exact"/>
        <w:ind w:right="525"/>
        <w:rPr>
          <w:rFonts w:hint="eastAsia" w:ascii="宋体" w:hAnsi="宋体" w:eastAsia="宋体" w:cs="宋体"/>
          <w:color w:val="000000"/>
          <w:highlight w:val="none"/>
          <w:lang w:val="zh-CN"/>
        </w:rPr>
      </w:pPr>
    </w:p>
    <w:p w14:paraId="628784A4">
      <w:pPr>
        <w:pStyle w:val="20"/>
        <w:pageBreakBefore w:val="0"/>
        <w:kinsoku/>
        <w:overflowPunct/>
        <w:topLinePunct w:val="0"/>
        <w:bidi w:val="0"/>
        <w:spacing w:line="440" w:lineRule="exact"/>
        <w:ind w:firstLine="640"/>
        <w:rPr>
          <w:rFonts w:hint="eastAsia" w:ascii="宋体" w:hAnsi="宋体" w:eastAsia="宋体" w:cs="宋体"/>
          <w:color w:val="000000"/>
          <w:highlight w:val="none"/>
          <w:lang w:val="zh-CN"/>
        </w:rPr>
      </w:pPr>
    </w:p>
    <w:p w14:paraId="2B33B6E6">
      <w:pPr>
        <w:pStyle w:val="20"/>
        <w:pageBreakBefore w:val="0"/>
        <w:kinsoku/>
        <w:overflowPunct/>
        <w:topLinePunct w:val="0"/>
        <w:bidi w:val="0"/>
        <w:spacing w:line="440" w:lineRule="exact"/>
        <w:ind w:firstLine="640"/>
        <w:rPr>
          <w:rFonts w:hint="eastAsia" w:ascii="宋体" w:hAnsi="宋体" w:eastAsia="宋体" w:cs="宋体"/>
          <w:color w:val="000000"/>
          <w:highlight w:val="none"/>
          <w:lang w:val="zh-CN"/>
        </w:rPr>
      </w:pPr>
    </w:p>
    <w:p w14:paraId="508755E0">
      <w:pPr>
        <w:pageBreakBefore w:val="0"/>
        <w:kinsoku/>
        <w:overflowPunct/>
        <w:topLinePunct w:val="0"/>
        <w:bidi w:val="0"/>
        <w:spacing w:line="44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5E8141BC">
      <w:pPr>
        <w:pageBreakBefore w:val="0"/>
        <w:kinsoku/>
        <w:overflowPunct/>
        <w:topLinePunct w:val="0"/>
        <w:bidi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中小企业声明函（</w:t>
      </w:r>
      <w:r>
        <w:rPr>
          <w:rFonts w:hint="eastAsia" w:ascii="宋体" w:hAnsi="宋体" w:eastAsia="宋体" w:cs="宋体"/>
          <w:b/>
          <w:color w:val="auto"/>
          <w:kern w:val="0"/>
          <w:sz w:val="24"/>
          <w:szCs w:val="24"/>
          <w:highlight w:val="none"/>
          <w:lang w:val="en-US" w:eastAsia="zh-CN"/>
        </w:rPr>
        <w:t>其他未列明行业</w:t>
      </w:r>
      <w:r>
        <w:rPr>
          <w:rFonts w:hint="eastAsia" w:ascii="宋体" w:hAnsi="宋体" w:eastAsia="宋体" w:cs="宋体"/>
          <w:b/>
          <w:color w:val="auto"/>
          <w:kern w:val="0"/>
          <w:sz w:val="24"/>
          <w:szCs w:val="24"/>
          <w:highlight w:val="none"/>
        </w:rPr>
        <w:t>）</w:t>
      </w:r>
    </w:p>
    <w:p w14:paraId="1ACF5F3C">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1"/>
          <w:szCs w:val="21"/>
          <w:highlight w:val="none"/>
          <w:u w:val="single"/>
        </w:rPr>
        <w:t xml:space="preserve">     （单位名称）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采购活动，提供的</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全部由符合政策要求</w:t>
      </w:r>
      <w:r>
        <w:rPr>
          <w:rFonts w:hint="eastAsia" w:ascii="宋体" w:hAnsi="宋体" w:eastAsia="宋体" w:cs="宋体"/>
          <w:color w:val="auto"/>
          <w:kern w:val="0"/>
          <w:sz w:val="21"/>
          <w:szCs w:val="21"/>
          <w:highlight w:val="none"/>
          <w:lang w:eastAsia="zh-CN"/>
        </w:rPr>
        <w:t>企业提供</w:t>
      </w:r>
      <w:r>
        <w:rPr>
          <w:rFonts w:hint="eastAsia" w:ascii="宋体" w:hAnsi="宋体" w:eastAsia="宋体" w:cs="宋体"/>
          <w:color w:val="auto"/>
          <w:kern w:val="0"/>
          <w:sz w:val="21"/>
          <w:szCs w:val="21"/>
          <w:highlight w:val="none"/>
        </w:rPr>
        <w:t>。相关企业（含联合体中的中小企业、签订分包意向协议的中小企业）的具体情况如下：</w:t>
      </w:r>
    </w:p>
    <w:p w14:paraId="3C916E2F">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（标的名称）</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（采购文件中明确的所属行业）</w:t>
      </w:r>
      <w:r>
        <w:rPr>
          <w:rFonts w:hint="eastAsia" w:ascii="宋体" w:hAnsi="宋体" w:eastAsia="宋体" w:cs="宋体"/>
          <w:color w:val="auto"/>
          <w:kern w:val="0"/>
          <w:sz w:val="21"/>
          <w:szCs w:val="21"/>
          <w:highlight w:val="none"/>
        </w:rPr>
        <w:t>行业；</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商为</w:t>
      </w:r>
      <w:r>
        <w:rPr>
          <w:rFonts w:hint="eastAsia" w:ascii="宋体" w:hAnsi="宋体" w:eastAsia="宋体" w:cs="宋体"/>
          <w:color w:val="auto"/>
          <w:kern w:val="0"/>
          <w:sz w:val="21"/>
          <w:szCs w:val="21"/>
          <w:highlight w:val="none"/>
          <w:u w:val="single"/>
        </w:rPr>
        <w:t xml:space="preserve">       （企业名称）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（中型企业、小型企业、微型企业）</w:t>
      </w:r>
      <w:r>
        <w:rPr>
          <w:rFonts w:hint="eastAsia" w:ascii="宋体" w:hAnsi="宋体" w:eastAsia="宋体" w:cs="宋体"/>
          <w:color w:val="auto"/>
          <w:kern w:val="0"/>
          <w:sz w:val="21"/>
          <w:szCs w:val="21"/>
          <w:highlight w:val="none"/>
        </w:rPr>
        <w:t>；</w:t>
      </w:r>
    </w:p>
    <w:p w14:paraId="7343B894">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（标的名称）</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（采购文件中明确的所属行业）</w:t>
      </w:r>
      <w:r>
        <w:rPr>
          <w:rFonts w:hint="eastAsia" w:ascii="宋体" w:hAnsi="宋体" w:eastAsia="宋体" w:cs="宋体"/>
          <w:color w:val="auto"/>
          <w:kern w:val="0"/>
          <w:sz w:val="21"/>
          <w:szCs w:val="21"/>
          <w:highlight w:val="none"/>
        </w:rPr>
        <w:t>行业；</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商为</w:t>
      </w:r>
      <w:r>
        <w:rPr>
          <w:rFonts w:hint="eastAsia" w:ascii="宋体" w:hAnsi="宋体" w:eastAsia="宋体" w:cs="宋体"/>
          <w:color w:val="auto"/>
          <w:kern w:val="0"/>
          <w:sz w:val="21"/>
          <w:szCs w:val="21"/>
          <w:highlight w:val="none"/>
          <w:u w:val="single"/>
        </w:rPr>
        <w:t xml:space="preserve">       （企业名称）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（中型企业、小型企业、微型企业）</w:t>
      </w:r>
      <w:r>
        <w:rPr>
          <w:rFonts w:hint="eastAsia" w:ascii="宋体" w:hAnsi="宋体" w:eastAsia="宋体" w:cs="宋体"/>
          <w:color w:val="auto"/>
          <w:kern w:val="0"/>
          <w:sz w:val="21"/>
          <w:szCs w:val="21"/>
          <w:highlight w:val="none"/>
        </w:rPr>
        <w:t>；</w:t>
      </w:r>
    </w:p>
    <w:p w14:paraId="4F514552">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1BEBDF05">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14:paraId="2EB5B836">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14:paraId="4A69AB99">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14:paraId="0839756C">
      <w:pPr>
        <w:pageBreakBefore w:val="0"/>
        <w:widowControl/>
        <w:kinsoku/>
        <w:overflowPunct/>
        <w:topLinePunct w:val="0"/>
        <w:bidi w:val="0"/>
        <w:spacing w:before="100" w:beforeAutospacing="1" w:after="100" w:afterAutospacing="1" w:line="440" w:lineRule="exact"/>
        <w:ind w:firstLine="4620" w:firstLineChars="2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企业名称（盖章）：</w:t>
      </w:r>
    </w:p>
    <w:p w14:paraId="4B9D1AEE">
      <w:pPr>
        <w:pageBreakBefore w:val="0"/>
        <w:widowControl/>
        <w:kinsoku/>
        <w:overflowPunct/>
        <w:topLinePunct w:val="0"/>
        <w:bidi w:val="0"/>
        <w:spacing w:before="100" w:beforeAutospacing="1" w:after="100" w:afterAutospacing="1"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14:paraId="61E2CAC6">
      <w:pPr>
        <w:pageBreakBefore w:val="0"/>
        <w:widowControl/>
        <w:kinsoku/>
        <w:overflowPunct/>
        <w:topLinePunct w:val="0"/>
        <w:bidi w:val="0"/>
        <w:spacing w:before="100" w:beforeAutospacing="1" w:after="100" w:afterAutospacing="1" w:line="440" w:lineRule="exact"/>
        <w:ind w:firstLine="4620" w:firstLineChars="2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 期：</w:t>
      </w:r>
    </w:p>
    <w:p w14:paraId="61817BC3">
      <w:pPr>
        <w:pageBreakBefore w:val="0"/>
        <w:widowControl/>
        <w:kinsoku/>
        <w:overflowPunct/>
        <w:topLinePunct w:val="0"/>
        <w:bidi w:val="0"/>
        <w:spacing w:before="100" w:beforeAutospacing="1" w:after="100" w:afterAutospacing="1" w:line="440" w:lineRule="exact"/>
        <w:jc w:val="left"/>
        <w:rPr>
          <w:rFonts w:hint="eastAsia" w:ascii="宋体" w:hAnsi="宋体" w:eastAsia="宋体" w:cs="宋体"/>
          <w:color w:val="auto"/>
          <w:kern w:val="0"/>
          <w:sz w:val="21"/>
          <w:szCs w:val="21"/>
          <w:highlight w:val="none"/>
        </w:rPr>
        <w:sectPr>
          <w:headerReference r:id="rId8" w:type="default"/>
          <w:footerReference r:id="rId9" w:type="default"/>
          <w:pgSz w:w="11905" w:h="16838"/>
          <w:pgMar w:top="1417" w:right="1417" w:bottom="1417" w:left="1701"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从业人员、营业收入、资产总额填报上一年度数据，无上一年度数据的新成立企业可不填报。</w:t>
      </w:r>
    </w:p>
    <w:p w14:paraId="1C621EDA">
      <w:pPr>
        <w:pageBreakBefore w:val="0"/>
        <w:kinsoku/>
        <w:overflowPunct/>
        <w:topLinePunct w:val="0"/>
        <w:bidi w:val="0"/>
        <w:spacing w:line="440" w:lineRule="exact"/>
        <w:ind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中小企业划型标准</w:t>
      </w:r>
    </w:p>
    <w:tbl>
      <w:tblPr>
        <w:tblStyle w:val="21"/>
        <w:tblW w:w="14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14"/>
        <w:gridCol w:w="1174"/>
        <w:gridCol w:w="1086"/>
        <w:gridCol w:w="921"/>
        <w:gridCol w:w="1086"/>
        <w:gridCol w:w="1074"/>
        <w:gridCol w:w="978"/>
        <w:gridCol w:w="1086"/>
        <w:gridCol w:w="1141"/>
        <w:gridCol w:w="984"/>
        <w:gridCol w:w="1086"/>
        <w:gridCol w:w="1090"/>
        <w:gridCol w:w="834"/>
      </w:tblGrid>
      <w:tr w14:paraId="66B3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479" w:type="dxa"/>
            <w:vMerge w:val="restart"/>
            <w:noWrap w:val="0"/>
            <w:vAlign w:val="center"/>
          </w:tcPr>
          <w:p w14:paraId="5F6D4D05">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14" w:type="dxa"/>
            <w:vMerge w:val="restart"/>
            <w:noWrap w:val="0"/>
            <w:vAlign w:val="center"/>
          </w:tcPr>
          <w:p w14:paraId="2EE8A837">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行业</w:t>
            </w:r>
          </w:p>
        </w:tc>
        <w:tc>
          <w:tcPr>
            <w:tcW w:w="3181" w:type="dxa"/>
            <w:gridSpan w:val="3"/>
            <w:noWrap w:val="0"/>
            <w:vAlign w:val="center"/>
          </w:tcPr>
          <w:p w14:paraId="507FA0C1">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大型企业</w:t>
            </w:r>
          </w:p>
        </w:tc>
        <w:tc>
          <w:tcPr>
            <w:tcW w:w="3138" w:type="dxa"/>
            <w:gridSpan w:val="3"/>
            <w:noWrap w:val="0"/>
            <w:vAlign w:val="center"/>
          </w:tcPr>
          <w:p w14:paraId="338FFBA9">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中型企业</w:t>
            </w:r>
          </w:p>
        </w:tc>
        <w:tc>
          <w:tcPr>
            <w:tcW w:w="3211" w:type="dxa"/>
            <w:gridSpan w:val="3"/>
            <w:noWrap w:val="0"/>
            <w:vAlign w:val="center"/>
          </w:tcPr>
          <w:p w14:paraId="4D87A8DD">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小型企业</w:t>
            </w:r>
          </w:p>
        </w:tc>
        <w:tc>
          <w:tcPr>
            <w:tcW w:w="3010" w:type="dxa"/>
            <w:gridSpan w:val="3"/>
            <w:noWrap w:val="0"/>
            <w:vAlign w:val="center"/>
          </w:tcPr>
          <w:p w14:paraId="273B4C58">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微型企业</w:t>
            </w:r>
          </w:p>
        </w:tc>
      </w:tr>
      <w:tr w14:paraId="28B2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479" w:type="dxa"/>
            <w:vMerge w:val="continue"/>
            <w:noWrap w:val="0"/>
            <w:vAlign w:val="center"/>
          </w:tcPr>
          <w:p w14:paraId="2289B94B">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p>
        </w:tc>
        <w:tc>
          <w:tcPr>
            <w:tcW w:w="1914" w:type="dxa"/>
            <w:vMerge w:val="continue"/>
            <w:noWrap w:val="0"/>
            <w:vAlign w:val="center"/>
          </w:tcPr>
          <w:p w14:paraId="7EC358D2">
            <w:pPr>
              <w:pageBreakBefore w:val="0"/>
              <w:kinsoku/>
              <w:overflowPunct/>
              <w:topLinePunct w:val="0"/>
              <w:bidi w:val="0"/>
              <w:spacing w:line="440" w:lineRule="exact"/>
              <w:ind w:left="-48" w:leftChars="-23" w:right="-65" w:rightChars="-31"/>
              <w:rPr>
                <w:rFonts w:hint="eastAsia" w:ascii="宋体" w:hAnsi="宋体" w:eastAsia="宋体" w:cs="宋体"/>
                <w:b/>
                <w:color w:val="auto"/>
                <w:sz w:val="21"/>
                <w:szCs w:val="21"/>
                <w:highlight w:val="none"/>
              </w:rPr>
            </w:pPr>
          </w:p>
        </w:tc>
        <w:tc>
          <w:tcPr>
            <w:tcW w:w="1174" w:type="dxa"/>
            <w:noWrap w:val="0"/>
            <w:vAlign w:val="center"/>
          </w:tcPr>
          <w:p w14:paraId="2E74DF72">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70B00DD9">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1832BF6">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3C0F1129">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21" w:type="dxa"/>
            <w:noWrap w:val="0"/>
            <w:vAlign w:val="center"/>
          </w:tcPr>
          <w:p w14:paraId="7EC084A6">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1D5807AB">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CC536F8">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37262B0F">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74" w:type="dxa"/>
            <w:noWrap w:val="0"/>
            <w:vAlign w:val="center"/>
          </w:tcPr>
          <w:p w14:paraId="6175C6A4">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3980321D">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78" w:type="dxa"/>
            <w:noWrap w:val="0"/>
            <w:vAlign w:val="center"/>
          </w:tcPr>
          <w:p w14:paraId="63559311">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28B6058C">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52A3D5D0">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0878B5A4">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41" w:type="dxa"/>
            <w:noWrap w:val="0"/>
            <w:vAlign w:val="center"/>
          </w:tcPr>
          <w:p w14:paraId="7D9B1D6C">
            <w:pPr>
              <w:pageBreakBefore w:val="0"/>
              <w:kinsoku/>
              <w:overflowPunct/>
              <w:topLinePunct w:val="0"/>
              <w:bidi w:val="0"/>
              <w:spacing w:line="440" w:lineRule="exact"/>
              <w:ind w:left="119" w:leftChars="-23" w:right="-65" w:rightChars="-31" w:hanging="167" w:hangingChars="7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21E6855C">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84" w:type="dxa"/>
            <w:noWrap w:val="0"/>
            <w:vAlign w:val="center"/>
          </w:tcPr>
          <w:p w14:paraId="5B260686">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4051CA6D">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51155DB5">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6256C8E4">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90" w:type="dxa"/>
            <w:noWrap w:val="0"/>
            <w:vAlign w:val="center"/>
          </w:tcPr>
          <w:p w14:paraId="418242CB">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6C9C44C1">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834" w:type="dxa"/>
            <w:noWrap w:val="0"/>
            <w:vAlign w:val="center"/>
          </w:tcPr>
          <w:p w14:paraId="17C92498">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1A001C3E">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4401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14C9ABF9">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14" w:type="dxa"/>
            <w:noWrap w:val="0"/>
            <w:vAlign w:val="center"/>
          </w:tcPr>
          <w:p w14:paraId="2A89253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农、林、牧、渔业</w:t>
            </w:r>
          </w:p>
        </w:tc>
        <w:tc>
          <w:tcPr>
            <w:tcW w:w="1174" w:type="dxa"/>
            <w:noWrap w:val="0"/>
            <w:vAlign w:val="center"/>
          </w:tcPr>
          <w:p w14:paraId="67C6ED4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F00A35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72F3E06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1311D0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3DA1EBB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6B0731A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88E25C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406496E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5CE05F1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481C4E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53D9CB1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55469D7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15C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shd w:val="clear" w:color="auto" w:fill="auto"/>
            <w:noWrap w:val="0"/>
            <w:vAlign w:val="center"/>
          </w:tcPr>
          <w:p w14:paraId="20768C09">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914" w:type="dxa"/>
            <w:shd w:val="clear" w:color="auto" w:fill="auto"/>
            <w:noWrap w:val="0"/>
            <w:vAlign w:val="center"/>
          </w:tcPr>
          <w:p w14:paraId="046F5B3B">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工业</w:t>
            </w:r>
          </w:p>
        </w:tc>
        <w:tc>
          <w:tcPr>
            <w:tcW w:w="1174" w:type="dxa"/>
            <w:shd w:val="clear" w:color="auto" w:fill="auto"/>
            <w:noWrap w:val="0"/>
            <w:vAlign w:val="center"/>
          </w:tcPr>
          <w:p w14:paraId="0A620B1E">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w:t>
            </w:r>
          </w:p>
        </w:tc>
        <w:tc>
          <w:tcPr>
            <w:tcW w:w="1086" w:type="dxa"/>
            <w:shd w:val="clear" w:color="auto" w:fill="auto"/>
            <w:noWrap w:val="0"/>
            <w:vAlign w:val="center"/>
          </w:tcPr>
          <w:p w14:paraId="0FF36A2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shd w:val="clear" w:color="auto" w:fill="auto"/>
            <w:noWrap w:val="0"/>
            <w:vAlign w:val="center"/>
          </w:tcPr>
          <w:p w14:paraId="6E4583D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auto"/>
            <w:noWrap w:val="0"/>
            <w:vAlign w:val="center"/>
          </w:tcPr>
          <w:p w14:paraId="6F761C0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shd w:val="clear" w:color="auto" w:fill="auto"/>
            <w:noWrap w:val="0"/>
            <w:vAlign w:val="center"/>
          </w:tcPr>
          <w:p w14:paraId="5E19D7C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shd w:val="clear" w:color="auto" w:fill="auto"/>
            <w:noWrap w:val="0"/>
            <w:vAlign w:val="center"/>
          </w:tcPr>
          <w:p w14:paraId="6942D67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auto"/>
            <w:noWrap w:val="0"/>
            <w:vAlign w:val="center"/>
          </w:tcPr>
          <w:p w14:paraId="7C93906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141" w:type="dxa"/>
            <w:shd w:val="clear" w:color="auto" w:fill="auto"/>
            <w:noWrap w:val="0"/>
            <w:vAlign w:val="center"/>
          </w:tcPr>
          <w:p w14:paraId="7754767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shd w:val="clear" w:color="auto" w:fill="auto"/>
            <w:noWrap w:val="0"/>
            <w:vAlign w:val="center"/>
          </w:tcPr>
          <w:p w14:paraId="4F0D975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auto"/>
            <w:noWrap w:val="0"/>
            <w:vAlign w:val="center"/>
          </w:tcPr>
          <w:p w14:paraId="5A5DA35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90" w:type="dxa"/>
            <w:shd w:val="clear" w:color="auto" w:fill="auto"/>
            <w:noWrap w:val="0"/>
            <w:vAlign w:val="center"/>
          </w:tcPr>
          <w:p w14:paraId="14B2D23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shd w:val="clear" w:color="auto" w:fill="auto"/>
            <w:noWrap w:val="0"/>
            <w:vAlign w:val="center"/>
          </w:tcPr>
          <w:p w14:paraId="5D69C88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7CB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3E64B54">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914" w:type="dxa"/>
            <w:noWrap w:val="0"/>
            <w:vAlign w:val="center"/>
          </w:tcPr>
          <w:p w14:paraId="2E71AB6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建筑业</w:t>
            </w:r>
          </w:p>
        </w:tc>
        <w:tc>
          <w:tcPr>
            <w:tcW w:w="1174" w:type="dxa"/>
            <w:noWrap w:val="0"/>
            <w:vAlign w:val="center"/>
          </w:tcPr>
          <w:p w14:paraId="589CF3FE">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318513AD">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1C1E94C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67E74FF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1074" w:type="dxa"/>
            <w:noWrap w:val="0"/>
            <w:vAlign w:val="center"/>
          </w:tcPr>
          <w:p w14:paraId="42BD14E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42927D5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0423FA3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141" w:type="dxa"/>
            <w:noWrap w:val="0"/>
            <w:vAlign w:val="center"/>
          </w:tcPr>
          <w:p w14:paraId="31EBD0C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437B214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86" w:type="dxa"/>
            <w:noWrap w:val="0"/>
            <w:vAlign w:val="center"/>
          </w:tcPr>
          <w:p w14:paraId="7F64FE0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90" w:type="dxa"/>
            <w:noWrap w:val="0"/>
            <w:vAlign w:val="center"/>
          </w:tcPr>
          <w:p w14:paraId="14C82DB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2D35ECD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r>
      <w:tr w14:paraId="7310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DC79B7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914" w:type="dxa"/>
            <w:noWrap w:val="0"/>
            <w:vAlign w:val="center"/>
          </w:tcPr>
          <w:p w14:paraId="78CBA5C2">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批发业</w:t>
            </w:r>
          </w:p>
        </w:tc>
        <w:tc>
          <w:tcPr>
            <w:tcW w:w="1174" w:type="dxa"/>
            <w:noWrap w:val="0"/>
            <w:vAlign w:val="center"/>
          </w:tcPr>
          <w:p w14:paraId="7C6ABA2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w:t>
            </w:r>
          </w:p>
        </w:tc>
        <w:tc>
          <w:tcPr>
            <w:tcW w:w="1086" w:type="dxa"/>
            <w:noWrap w:val="0"/>
            <w:vAlign w:val="center"/>
          </w:tcPr>
          <w:p w14:paraId="44565537">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742C9F0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398A6C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74" w:type="dxa"/>
            <w:noWrap w:val="0"/>
            <w:vAlign w:val="center"/>
          </w:tcPr>
          <w:p w14:paraId="3B8841D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78" w:type="dxa"/>
            <w:noWrap w:val="0"/>
            <w:vAlign w:val="center"/>
          </w:tcPr>
          <w:p w14:paraId="6ACB95A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A315AE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141" w:type="dxa"/>
            <w:noWrap w:val="0"/>
            <w:vAlign w:val="center"/>
          </w:tcPr>
          <w:p w14:paraId="5AFEA5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84" w:type="dxa"/>
            <w:noWrap w:val="0"/>
            <w:vAlign w:val="center"/>
          </w:tcPr>
          <w:p w14:paraId="7810346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E3CA1C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90" w:type="dxa"/>
            <w:noWrap w:val="0"/>
            <w:vAlign w:val="center"/>
          </w:tcPr>
          <w:p w14:paraId="7C5D5C1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4" w:type="dxa"/>
            <w:noWrap w:val="0"/>
            <w:vAlign w:val="center"/>
          </w:tcPr>
          <w:p w14:paraId="178634C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960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0B10A39">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914" w:type="dxa"/>
            <w:noWrap w:val="0"/>
            <w:vAlign w:val="center"/>
          </w:tcPr>
          <w:p w14:paraId="3FAD1B3E">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零售业</w:t>
            </w:r>
          </w:p>
        </w:tc>
        <w:tc>
          <w:tcPr>
            <w:tcW w:w="1174" w:type="dxa"/>
            <w:noWrap w:val="0"/>
            <w:vAlign w:val="center"/>
          </w:tcPr>
          <w:p w14:paraId="4A73751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48EA431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5C55C6D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94C2EA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6BAA06F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978" w:type="dxa"/>
            <w:noWrap w:val="0"/>
            <w:vAlign w:val="center"/>
          </w:tcPr>
          <w:p w14:paraId="257DDF1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D9BD75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7074BF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5B7A98B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A0D6DA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6A6645BA">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906271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FF7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3680F88">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914" w:type="dxa"/>
            <w:noWrap w:val="0"/>
            <w:vAlign w:val="center"/>
          </w:tcPr>
          <w:p w14:paraId="1BC17FB1">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交通运输业</w:t>
            </w:r>
          </w:p>
        </w:tc>
        <w:tc>
          <w:tcPr>
            <w:tcW w:w="1174" w:type="dxa"/>
            <w:noWrap w:val="0"/>
            <w:vAlign w:val="center"/>
          </w:tcPr>
          <w:p w14:paraId="561529FD">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38CCC92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7C84E57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F2135C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1074" w:type="dxa"/>
            <w:noWrap w:val="0"/>
            <w:vAlign w:val="center"/>
          </w:tcPr>
          <w:p w14:paraId="0D97597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5F73470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E6CF4C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41" w:type="dxa"/>
            <w:noWrap w:val="0"/>
            <w:vAlign w:val="center"/>
          </w:tcPr>
          <w:p w14:paraId="05C833B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3B7F7D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95E591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90" w:type="dxa"/>
            <w:noWrap w:val="0"/>
            <w:vAlign w:val="center"/>
          </w:tcPr>
          <w:p w14:paraId="0D0F487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3EF4489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D2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3C558D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914" w:type="dxa"/>
            <w:noWrap w:val="0"/>
            <w:vAlign w:val="center"/>
          </w:tcPr>
          <w:p w14:paraId="7DAAD8F2">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仓储业</w:t>
            </w:r>
          </w:p>
        </w:tc>
        <w:tc>
          <w:tcPr>
            <w:tcW w:w="1174" w:type="dxa"/>
            <w:noWrap w:val="0"/>
            <w:vAlign w:val="center"/>
          </w:tcPr>
          <w:p w14:paraId="43A450D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434A742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182E10C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7737371">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01B15DE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3FA7145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C57A96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090D157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6D5B4E0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A0747D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5F5B81C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55D7641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044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7685DF5E">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914" w:type="dxa"/>
            <w:noWrap w:val="0"/>
            <w:vAlign w:val="center"/>
          </w:tcPr>
          <w:p w14:paraId="6AA5F04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邮政业</w:t>
            </w:r>
          </w:p>
        </w:tc>
        <w:tc>
          <w:tcPr>
            <w:tcW w:w="1174" w:type="dxa"/>
            <w:noWrap w:val="0"/>
            <w:vAlign w:val="center"/>
          </w:tcPr>
          <w:p w14:paraId="24FB1DA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7F86826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7D57762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A813E1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27EBE39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77271FC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BF5A01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6F4C4CB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7033FD4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245B9E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1419AB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4E61B92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3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C18806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914" w:type="dxa"/>
            <w:noWrap w:val="0"/>
            <w:vAlign w:val="center"/>
          </w:tcPr>
          <w:p w14:paraId="3CE0606F">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住宿业</w:t>
            </w:r>
          </w:p>
        </w:tc>
        <w:tc>
          <w:tcPr>
            <w:tcW w:w="1174" w:type="dxa"/>
            <w:noWrap w:val="0"/>
            <w:vAlign w:val="center"/>
          </w:tcPr>
          <w:p w14:paraId="4BD13D9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2EFADA17">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0CFCE68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FF1B687">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2CA4A2E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1F3F067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8300AB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038F08C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788117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0F7534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3AAAC59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5FA2B06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20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479" w:type="dxa"/>
            <w:noWrap w:val="0"/>
            <w:vAlign w:val="center"/>
          </w:tcPr>
          <w:p w14:paraId="3B9721FE">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914" w:type="dxa"/>
            <w:noWrap w:val="0"/>
            <w:vAlign w:val="center"/>
          </w:tcPr>
          <w:p w14:paraId="11A4D6D8">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餐饮业</w:t>
            </w:r>
          </w:p>
        </w:tc>
        <w:tc>
          <w:tcPr>
            <w:tcW w:w="1174" w:type="dxa"/>
            <w:noWrap w:val="0"/>
            <w:vAlign w:val="center"/>
          </w:tcPr>
          <w:p w14:paraId="0112879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6FE2EA1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A49355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354AB5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1C241B3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547D1FB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3C1ABB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23E0066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63669D5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8AE87E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732ADD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90A5B4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FA4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187FD902">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914" w:type="dxa"/>
            <w:noWrap w:val="0"/>
            <w:vAlign w:val="center"/>
          </w:tcPr>
          <w:p w14:paraId="171619CB">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信息传输业</w:t>
            </w:r>
          </w:p>
        </w:tc>
        <w:tc>
          <w:tcPr>
            <w:tcW w:w="1174" w:type="dxa"/>
            <w:noWrap w:val="0"/>
            <w:vAlign w:val="center"/>
          </w:tcPr>
          <w:p w14:paraId="45C904D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w:t>
            </w:r>
          </w:p>
        </w:tc>
        <w:tc>
          <w:tcPr>
            <w:tcW w:w="1086" w:type="dxa"/>
            <w:noWrap w:val="0"/>
            <w:vAlign w:val="center"/>
          </w:tcPr>
          <w:p w14:paraId="0BB5BF1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921" w:type="dxa"/>
            <w:noWrap w:val="0"/>
            <w:vAlign w:val="center"/>
          </w:tcPr>
          <w:p w14:paraId="580B2971">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C3AD5C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04F7E39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0882DD5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AD25A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0EF4BB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00EEE86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00D338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6A57D8E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D24E0F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F9A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 w:type="dxa"/>
            <w:noWrap w:val="0"/>
            <w:vAlign w:val="center"/>
          </w:tcPr>
          <w:p w14:paraId="48249162">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1914" w:type="dxa"/>
            <w:noWrap w:val="0"/>
            <w:vAlign w:val="center"/>
          </w:tcPr>
          <w:p w14:paraId="63FE0B3C">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软件和信息技术服务业</w:t>
            </w:r>
          </w:p>
        </w:tc>
        <w:tc>
          <w:tcPr>
            <w:tcW w:w="1174" w:type="dxa"/>
            <w:noWrap w:val="0"/>
            <w:vAlign w:val="center"/>
          </w:tcPr>
          <w:p w14:paraId="5E63D36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5425B10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3C7E5C4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B50BC2D">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3ACE475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2E31F5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3194E2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2D0643E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4A62E72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79D173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14B852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04D630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D9A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31E2BC2">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914" w:type="dxa"/>
            <w:noWrap w:val="0"/>
            <w:vAlign w:val="center"/>
          </w:tcPr>
          <w:p w14:paraId="189D8D98">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房地产开发经营</w:t>
            </w:r>
          </w:p>
        </w:tc>
        <w:tc>
          <w:tcPr>
            <w:tcW w:w="1174" w:type="dxa"/>
            <w:noWrap w:val="0"/>
            <w:vAlign w:val="center"/>
          </w:tcPr>
          <w:p w14:paraId="2F1D4ADE">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≥200000</w:t>
            </w:r>
          </w:p>
        </w:tc>
        <w:tc>
          <w:tcPr>
            <w:tcW w:w="1086" w:type="dxa"/>
            <w:noWrap w:val="0"/>
            <w:vAlign w:val="center"/>
          </w:tcPr>
          <w:p w14:paraId="0E2BB5B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3DBEE6C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或,≥10000</w:t>
            </w:r>
          </w:p>
        </w:tc>
        <w:tc>
          <w:tcPr>
            <w:tcW w:w="1086" w:type="dxa"/>
            <w:noWrap w:val="0"/>
            <w:vAlign w:val="center"/>
          </w:tcPr>
          <w:p w14:paraId="60EBACB1">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4F3C3A0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7E781FE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且,≥5000</w:t>
            </w:r>
          </w:p>
        </w:tc>
        <w:tc>
          <w:tcPr>
            <w:tcW w:w="1086" w:type="dxa"/>
            <w:noWrap w:val="0"/>
            <w:vAlign w:val="center"/>
          </w:tcPr>
          <w:p w14:paraId="67640E7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F64D2A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1F5CDF2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且,≥2000</w:t>
            </w:r>
          </w:p>
        </w:tc>
        <w:tc>
          <w:tcPr>
            <w:tcW w:w="1086" w:type="dxa"/>
            <w:noWrap w:val="0"/>
            <w:vAlign w:val="center"/>
          </w:tcPr>
          <w:p w14:paraId="356A653A">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484F7C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6692C46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或,＜2000</w:t>
            </w:r>
          </w:p>
        </w:tc>
      </w:tr>
      <w:tr w14:paraId="0087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7892C4F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1914" w:type="dxa"/>
            <w:noWrap w:val="0"/>
            <w:vAlign w:val="center"/>
          </w:tcPr>
          <w:p w14:paraId="3109B26D">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物业管理</w:t>
            </w:r>
          </w:p>
        </w:tc>
        <w:tc>
          <w:tcPr>
            <w:tcW w:w="1174" w:type="dxa"/>
            <w:noWrap w:val="0"/>
            <w:vAlign w:val="center"/>
          </w:tcPr>
          <w:p w14:paraId="38F2FCC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5A2285B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1BA42E9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FDB141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41F9A7B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95788F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002C89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141" w:type="dxa"/>
            <w:noWrap w:val="0"/>
            <w:vAlign w:val="center"/>
          </w:tcPr>
          <w:p w14:paraId="32F38A6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84" w:type="dxa"/>
            <w:noWrap w:val="0"/>
            <w:vAlign w:val="center"/>
          </w:tcPr>
          <w:p w14:paraId="4B6B18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2E24E2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90" w:type="dxa"/>
            <w:noWrap w:val="0"/>
            <w:vAlign w:val="center"/>
          </w:tcPr>
          <w:p w14:paraId="76302F3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4" w:type="dxa"/>
            <w:noWrap w:val="0"/>
            <w:vAlign w:val="center"/>
          </w:tcPr>
          <w:p w14:paraId="12DA6AC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333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770D6B9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c>
          <w:tcPr>
            <w:tcW w:w="1914" w:type="dxa"/>
            <w:noWrap w:val="0"/>
            <w:vAlign w:val="center"/>
          </w:tcPr>
          <w:p w14:paraId="7B9D354B">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租赁和商务服务业</w:t>
            </w:r>
          </w:p>
        </w:tc>
        <w:tc>
          <w:tcPr>
            <w:tcW w:w="1174" w:type="dxa"/>
            <w:noWrap w:val="0"/>
            <w:vAlign w:val="center"/>
          </w:tcPr>
          <w:p w14:paraId="33CCC7A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958085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1D28EAA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或,≥120000</w:t>
            </w:r>
          </w:p>
        </w:tc>
        <w:tc>
          <w:tcPr>
            <w:tcW w:w="1086" w:type="dxa"/>
            <w:noWrap w:val="0"/>
            <w:vAlign w:val="center"/>
          </w:tcPr>
          <w:p w14:paraId="15BC1C3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0B0EB08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1D9D038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且,≥8000</w:t>
            </w:r>
          </w:p>
        </w:tc>
        <w:tc>
          <w:tcPr>
            <w:tcW w:w="1086" w:type="dxa"/>
            <w:noWrap w:val="0"/>
            <w:vAlign w:val="center"/>
          </w:tcPr>
          <w:p w14:paraId="3A5E615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CC6E37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4F9E04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且,≥100</w:t>
            </w:r>
          </w:p>
        </w:tc>
        <w:tc>
          <w:tcPr>
            <w:tcW w:w="1086" w:type="dxa"/>
            <w:noWrap w:val="0"/>
            <w:vAlign w:val="center"/>
          </w:tcPr>
          <w:p w14:paraId="0C4C8B4A">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0C1BF1E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32D8FF9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w:t>
            </w:r>
          </w:p>
        </w:tc>
      </w:tr>
      <w:tr w14:paraId="60A3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9" w:type="dxa"/>
            <w:shd w:val="clear" w:color="auto" w:fill="FFFF00"/>
            <w:noWrap w:val="0"/>
            <w:vAlign w:val="center"/>
          </w:tcPr>
          <w:p w14:paraId="2CDBB824">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p>
        </w:tc>
        <w:tc>
          <w:tcPr>
            <w:tcW w:w="1914" w:type="dxa"/>
            <w:shd w:val="clear" w:color="auto" w:fill="FFFF00"/>
            <w:noWrap w:val="0"/>
            <w:vAlign w:val="center"/>
          </w:tcPr>
          <w:p w14:paraId="2909585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其他未列明行业</w:t>
            </w:r>
          </w:p>
        </w:tc>
        <w:tc>
          <w:tcPr>
            <w:tcW w:w="1174" w:type="dxa"/>
            <w:shd w:val="clear" w:color="auto" w:fill="FFFF00"/>
            <w:noWrap w:val="0"/>
            <w:vAlign w:val="center"/>
          </w:tcPr>
          <w:p w14:paraId="3220356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39FFDF0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shd w:val="clear" w:color="auto" w:fill="FFFF00"/>
            <w:noWrap w:val="0"/>
            <w:vAlign w:val="center"/>
          </w:tcPr>
          <w:p w14:paraId="79AF4F1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5E1E479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shd w:val="clear" w:color="auto" w:fill="FFFF00"/>
            <w:noWrap w:val="0"/>
            <w:vAlign w:val="center"/>
          </w:tcPr>
          <w:p w14:paraId="71DCECE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shd w:val="clear" w:color="auto" w:fill="FFFF00"/>
            <w:noWrap w:val="0"/>
            <w:vAlign w:val="center"/>
          </w:tcPr>
          <w:p w14:paraId="1695BD7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13EADB5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shd w:val="clear" w:color="auto" w:fill="FFFF00"/>
            <w:noWrap w:val="0"/>
            <w:vAlign w:val="center"/>
          </w:tcPr>
          <w:p w14:paraId="1294B52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shd w:val="clear" w:color="auto" w:fill="FFFF00"/>
            <w:noWrap w:val="0"/>
            <w:vAlign w:val="center"/>
          </w:tcPr>
          <w:p w14:paraId="4511CB5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24F5C6B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shd w:val="clear" w:color="auto" w:fill="FFFF00"/>
            <w:noWrap w:val="0"/>
            <w:vAlign w:val="center"/>
          </w:tcPr>
          <w:p w14:paraId="7C75B08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shd w:val="clear" w:color="auto" w:fill="FFFF00"/>
            <w:noWrap w:val="0"/>
            <w:vAlign w:val="center"/>
          </w:tcPr>
          <w:p w14:paraId="1D7359D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5E44D621">
      <w:pPr>
        <w:pageBreakBefore w:val="0"/>
        <w:widowControl/>
        <w:kinsoku/>
        <w:overflowPunct/>
        <w:topLinePunct w:val="0"/>
        <w:bidi w:val="0"/>
        <w:spacing w:before="100" w:beforeAutospacing="1" w:after="100" w:afterAutospacing="1" w:line="440" w:lineRule="exact"/>
        <w:jc w:val="left"/>
        <w:rPr>
          <w:rFonts w:hint="eastAsia" w:ascii="宋体" w:hAnsi="宋体" w:eastAsia="宋体" w:cs="宋体"/>
          <w:color w:val="auto"/>
          <w:kern w:val="0"/>
          <w:sz w:val="21"/>
          <w:szCs w:val="21"/>
          <w:highlight w:val="none"/>
        </w:rPr>
        <w:sectPr>
          <w:pgSz w:w="16838" w:h="11905" w:orient="landscape"/>
          <w:pgMar w:top="1701" w:right="1417" w:bottom="1417" w:left="1417"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p>
    <w:p w14:paraId="281547DF">
      <w:pPr>
        <w:pStyle w:val="17"/>
        <w:pageBreakBefore w:val="0"/>
        <w:shd w:val="clear" w:color="auto" w:fill="auto"/>
        <w:kinsoku/>
        <w:overflowPunct/>
        <w:topLinePunct w:val="0"/>
        <w:bidi w:val="0"/>
        <w:spacing w:before="0" w:beforeAutospacing="0" w:after="0" w:afterAutospacing="0" w:line="440" w:lineRule="exact"/>
        <w:jc w:val="center"/>
        <w:rPr>
          <w:rStyle w:val="23"/>
          <w:rFonts w:hint="eastAsia" w:ascii="宋体" w:hAnsi="宋体" w:eastAsia="宋体" w:cs="宋体"/>
          <w:color w:val="auto"/>
          <w:sz w:val="21"/>
          <w:szCs w:val="21"/>
          <w:highlight w:val="none"/>
          <w:shd w:val="clear" w:color="auto" w:fill="FFFFFF"/>
        </w:rPr>
      </w:pPr>
      <w:bookmarkStart w:id="91" w:name="_Toc9006533"/>
      <w:r>
        <w:rPr>
          <w:rStyle w:val="23"/>
          <w:rFonts w:hint="eastAsia" w:ascii="宋体" w:hAnsi="宋体" w:eastAsia="宋体" w:cs="宋体"/>
          <w:color w:val="auto"/>
          <w:sz w:val="21"/>
          <w:szCs w:val="21"/>
          <w:highlight w:val="none"/>
          <w:shd w:val="clear" w:color="auto" w:fill="FFFFFF"/>
        </w:rPr>
        <w:t>中小企业划型标准规定</w:t>
      </w:r>
    </w:p>
    <w:p w14:paraId="4A6E134F">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工信部联企业〔2011〕300号</w:t>
      </w:r>
    </w:p>
    <w:p w14:paraId="5AE7C671">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shd w:val="clear" w:color="auto" w:fill="FFFFFF"/>
        </w:rPr>
        <w:t>一、根据《中华人民共和国中小企业促进法》和《国务院关于进一步促进中小企业发展的若干意见》(国发〔2009〕36号)，制定本规定。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三、本规定适用的行业包括：</w:t>
      </w:r>
      <w:r>
        <w:rPr>
          <w:rFonts w:hint="eastAsia" w:ascii="宋体" w:hAnsi="宋体" w:eastAsia="宋体" w:cs="宋体"/>
          <w:color w:val="auto"/>
          <w:sz w:val="21"/>
          <w:szCs w:val="21"/>
          <w:highlight w:val="none"/>
          <w:shd w:val="clear" w:color="auto" w:fill="FFFFFF"/>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四、各行业划型标准为：</w:t>
      </w:r>
      <w:r>
        <w:rPr>
          <w:rFonts w:hint="eastAsia" w:ascii="宋体" w:hAnsi="宋体" w:eastAsia="宋体" w:cs="宋体"/>
          <w:b/>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val="0"/>
          <w:bCs w:val="0"/>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b/>
          <w:bCs/>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bCs/>
          <w:color w:val="auto"/>
          <w:sz w:val="21"/>
          <w:szCs w:val="21"/>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bCs/>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五、企业类型的划分以统计部门的统计数据为依据。</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九、本规定由工业和信息化部、国家统计局会同有关部门负责解释。</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bookmarkEnd w:id="91"/>
    <w:p w14:paraId="3EF28C7E">
      <w:pPr>
        <w:pageBreakBefore w:val="0"/>
        <w:kinsoku/>
        <w:overflowPunct/>
        <w:topLinePunct w:val="0"/>
        <w:bidi w:val="0"/>
        <w:spacing w:line="440" w:lineRule="exact"/>
        <w:rPr>
          <w:rFonts w:hint="eastAsia" w:ascii="宋体" w:hAnsi="宋体" w:eastAsia="宋体" w:cs="宋体"/>
          <w:color w:val="auto"/>
          <w:sz w:val="21"/>
          <w:szCs w:val="21"/>
          <w:highlight w:val="none"/>
        </w:rPr>
      </w:pPr>
    </w:p>
    <w:p w14:paraId="6A53D138">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附件2：</w:t>
      </w:r>
    </w:p>
    <w:p w14:paraId="022476D2">
      <w:pPr>
        <w:pStyle w:val="4"/>
        <w:pageBreakBefore w:val="0"/>
        <w:tabs>
          <w:tab w:val="left" w:pos="720"/>
        </w:tabs>
        <w:kinsoku/>
        <w:overflowPunct/>
        <w:topLinePunct w:val="0"/>
        <w:bidi w:val="0"/>
        <w:spacing w:before="0"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监狱企业的证明文件</w:t>
      </w:r>
    </w:p>
    <w:p w14:paraId="4DB685D4">
      <w:pPr>
        <w:pStyle w:val="4"/>
        <w:pageBreakBefore w:val="0"/>
        <w:tabs>
          <w:tab w:val="left" w:pos="720"/>
        </w:tabs>
        <w:kinsoku/>
        <w:overflowPunct/>
        <w:topLinePunct w:val="0"/>
        <w:bidi w:val="0"/>
        <w:spacing w:before="0" w:line="440" w:lineRule="exact"/>
        <w:outlineLvl w:val="9"/>
        <w:rPr>
          <w:rFonts w:hint="eastAsia" w:ascii="宋体" w:hAnsi="宋体" w:eastAsia="宋体" w:cs="宋体"/>
          <w:b/>
          <w:bCs/>
          <w:color w:val="auto"/>
          <w:sz w:val="21"/>
          <w:szCs w:val="21"/>
          <w:highlight w:val="none"/>
        </w:rPr>
      </w:pPr>
    </w:p>
    <w:p w14:paraId="22D435A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（如果是，提供</w:t>
      </w:r>
      <w:r>
        <w:rPr>
          <w:rFonts w:hint="eastAsia" w:ascii="宋体" w:hAnsi="宋体" w:eastAsia="宋体" w:cs="宋体"/>
          <w:bCs/>
          <w:color w:val="auto"/>
          <w:sz w:val="21"/>
          <w:szCs w:val="21"/>
          <w:highlight w:val="none"/>
        </w:rPr>
        <w:t>省级以上监狱管理局、戒毒管理局（含新疆生产建设兵团）出具的属于监狱企业的证明文件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p>
    <w:p w14:paraId="414B9553">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p>
    <w:p w14:paraId="230694D6">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lang w:val="en-US" w:eastAsia="zh-CN"/>
        </w:rPr>
        <w:t>附件3</w:t>
      </w:r>
      <w:r>
        <w:rPr>
          <w:rFonts w:hint="eastAsia" w:ascii="宋体" w:hAnsi="宋体" w:eastAsia="宋体" w:cs="宋体"/>
          <w:color w:val="auto"/>
          <w:sz w:val="21"/>
          <w:szCs w:val="21"/>
          <w:highlight w:val="none"/>
        </w:rPr>
        <w:t>：</w:t>
      </w:r>
    </w:p>
    <w:p w14:paraId="2537C4D8">
      <w:pPr>
        <w:pStyle w:val="4"/>
        <w:pageBreakBefore w:val="0"/>
        <w:tabs>
          <w:tab w:val="left" w:pos="720"/>
        </w:tabs>
        <w:kinsoku/>
        <w:overflowPunct/>
        <w:topLinePunct w:val="0"/>
        <w:bidi w:val="0"/>
        <w:spacing w:line="440" w:lineRule="exact"/>
        <w:ind w:left="720" w:hanging="72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残疾人福利性单位声明函</w:t>
      </w:r>
    </w:p>
    <w:p w14:paraId="3DB2866B">
      <w:pPr>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（如果是，提供）</w:t>
      </w:r>
    </w:p>
    <w:p w14:paraId="75AEECF0">
      <w:pPr>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r>
        <w:rPr>
          <w:rFonts w:hint="eastAsia" w:ascii="宋体" w:hAnsi="宋体" w:eastAsia="宋体" w:cs="宋体"/>
          <w:snapToGrid w:val="0"/>
          <w:color w:val="auto"/>
          <w:sz w:val="21"/>
          <w:szCs w:val="21"/>
          <w:highlight w:val="none"/>
          <w:lang w:eastAsia="zh-CN"/>
        </w:rPr>
        <w:t>。</w:t>
      </w:r>
    </w:p>
    <w:p w14:paraId="2B3F2C26">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1C647441">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12FA928D">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4ACBE3B0">
      <w:pPr>
        <w:pStyle w:val="33"/>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名称（盖</w:t>
      </w:r>
      <w:r>
        <w:rPr>
          <w:rFonts w:hint="eastAsia" w:ascii="宋体" w:hAnsi="宋体" w:eastAsia="宋体" w:cs="宋体"/>
          <w:color w:val="auto"/>
          <w:sz w:val="21"/>
          <w:szCs w:val="21"/>
          <w:highlight w:val="none"/>
          <w:shd w:val="clear" w:color="auto" w:fill="FFFFFF"/>
        </w:rPr>
        <w:t>单位公章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0758672">
      <w:pPr>
        <w:pStyle w:val="33"/>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p>
    <w:p w14:paraId="3A7FC071">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sectPr>
          <w:pgSz w:w="11905" w:h="16838"/>
          <w:pgMar w:top="1417" w:right="1417" w:bottom="1417" w:left="1701"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r>
        <w:rPr>
          <w:rFonts w:hint="eastAsia" w:ascii="宋体" w:hAnsi="宋体" w:eastAsia="宋体" w:cs="宋体"/>
          <w:snapToGrid w:val="0"/>
          <w:color w:val="auto"/>
          <w:sz w:val="21"/>
          <w:szCs w:val="21"/>
          <w:highlight w:val="none"/>
        </w:rPr>
        <w:t>日  期：</w:t>
      </w:r>
    </w:p>
    <w:p w14:paraId="5FF8DE4B">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附件4：</w:t>
      </w:r>
    </w:p>
    <w:p w14:paraId="337A8539">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p>
    <w:p w14:paraId="6490C7B0">
      <w:pPr>
        <w:pageBreakBefore w:val="0"/>
        <w:kinsoku/>
        <w:overflowPunct/>
        <w:topLinePunct w:val="0"/>
        <w:bidi w:val="0"/>
        <w:adjustRightInd w:val="0"/>
        <w:snapToGrid w:val="0"/>
        <w:spacing w:line="440" w:lineRule="exact"/>
        <w:jc w:val="center"/>
        <w:textAlignment w:val="auto"/>
        <w:rPr>
          <w:rFonts w:hint="eastAsia" w:ascii="宋体" w:hAnsi="宋体" w:eastAsia="宋体" w:cs="宋体"/>
          <w:b/>
          <w:color w:val="auto"/>
          <w:sz w:val="21"/>
          <w:szCs w:val="21"/>
          <w:highlight w:val="none"/>
          <w:lang w:val="en-US" w:eastAsia="zh-CN"/>
        </w:rPr>
        <w:sectPr>
          <w:pgSz w:w="11905" w:h="16838"/>
          <w:pgMar w:top="1417" w:right="1417" w:bottom="1417" w:left="1701"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r>
        <w:rPr>
          <w:rFonts w:hint="eastAsia" w:ascii="宋体" w:hAnsi="宋体" w:eastAsia="宋体" w:cs="宋体"/>
          <w:b/>
          <w:bCs w:val="0"/>
          <w:color w:val="auto"/>
          <w:sz w:val="21"/>
          <w:szCs w:val="21"/>
          <w:highlight w:val="none"/>
          <w:lang w:eastAsia="zh-CN"/>
        </w:rPr>
        <w:t>供应商认为有必要的其他材料</w:t>
      </w:r>
    </w:p>
    <w:p w14:paraId="119FC778">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sz w:val="21"/>
          <w:szCs w:val="21"/>
          <w:highlight w:val="none"/>
        </w:rPr>
      </w:pPr>
    </w:p>
    <w:p w14:paraId="25B7CCEB">
      <w:pPr>
        <w:keepNext w:val="0"/>
        <w:keepLines w:val="0"/>
        <w:pageBreakBefore w:val="0"/>
        <w:widowControl/>
        <w:kinsoku/>
        <w:wordWrap/>
        <w:overflowPunct/>
        <w:topLinePunct w:val="0"/>
        <w:bidi w:val="0"/>
        <w:spacing w:line="44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《关于印发&lt;政府采购促进中小企业发展管理办法&gt;的通知》</w:t>
      </w:r>
    </w:p>
    <w:p w14:paraId="47451554">
      <w:pPr>
        <w:keepNext w:val="0"/>
        <w:keepLines w:val="0"/>
        <w:pageBreakBefore w:val="0"/>
        <w:widowControl/>
        <w:kinsoku/>
        <w:wordWrap/>
        <w:overflowPunct/>
        <w:topLinePunct w:val="0"/>
        <w:bidi w:val="0"/>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lang w:val="zh-CN"/>
        </w:rPr>
        <w:t>(财库〔2020〕46号）</w:t>
      </w:r>
    </w:p>
    <w:p w14:paraId="3BDFE64E">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政府采购促进中小企业发展管理办法</w:t>
      </w:r>
    </w:p>
    <w:p w14:paraId="4F3286F3">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kern w:val="0"/>
          <w:sz w:val="21"/>
          <w:szCs w:val="21"/>
          <w:highlight w:val="none"/>
        </w:rPr>
      </w:pPr>
    </w:p>
    <w:p w14:paraId="54B2F24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　为了发挥政府采购的政策功能，促进中小企业健康发展，根据《中华人民共和国政府采购法》、《中华人民共和国中小企业促进法》等有关法律法规，制定本办法。</w:t>
      </w:r>
    </w:p>
    <w:p w14:paraId="4942A22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A39D5F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符合中小企业划分标准的个体工商户，在政府采购活动中视同中小企业。</w:t>
      </w:r>
    </w:p>
    <w:p w14:paraId="1786FEE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13513D5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　在政府采购活动中，供应商提供的货物、工程或者服务符合下列情形的，享受本办法规定的中小企业扶持政策：</w:t>
      </w:r>
    </w:p>
    <w:p w14:paraId="57A906A1">
      <w:pPr>
        <w:keepNext w:val="0"/>
        <w:keepLines w:val="0"/>
        <w:pageBreakBefore w:val="0"/>
        <w:kinsoku/>
        <w:wordWrap/>
        <w:overflowPunct/>
        <w:topLinePunct w:val="0"/>
        <w:bidi w:val="0"/>
        <w:spacing w:line="440" w:lineRule="exact"/>
        <w:ind w:firstLine="422"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（一）在货物采购项目中，货物由中小企业制造，即货物由中小企业生产且使用该中小企业商号或者注册商标</w:t>
      </w:r>
      <w:r>
        <w:rPr>
          <w:rFonts w:hint="eastAsia" w:ascii="宋体" w:hAnsi="宋体" w:eastAsia="宋体" w:cs="宋体"/>
          <w:color w:val="auto"/>
          <w:sz w:val="21"/>
          <w:szCs w:val="21"/>
          <w:highlight w:val="none"/>
          <w:lang w:val="zh-CN"/>
        </w:rPr>
        <w:t>；</w:t>
      </w:r>
    </w:p>
    <w:p w14:paraId="673B6D4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（二）在工程采购项目中，工程由中小企业承建，即工程施工单位为中小企业；</w:t>
      </w:r>
    </w:p>
    <w:p w14:paraId="6F3DD4A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（三）在服务采购项目中，服务由中小企业承接，即提供服务的人员为中小企业依照《中华人民共和国劳动合同法》订立劳动合同的从业人员。</w:t>
      </w:r>
    </w:p>
    <w:p w14:paraId="5F2C11D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在货物采购项目中，供应商提供的货物既有中小企业制造货物，也有大型企业制造货物的，不享受本办法规定的中小企业扶持政策。</w:t>
      </w:r>
    </w:p>
    <w:p w14:paraId="7C0A9FA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以联合体形式参加政府采购活动，联合体各方均为中小企业的，联合体视同中小企业。其中，联合体各方均为小微企业的，联合体视同小微企业。</w:t>
      </w:r>
    </w:p>
    <w:p w14:paraId="2F69DE5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544E9C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3C3C63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符合下列情形之一的，可不专门面向中小企业预留采购份额：</w:t>
      </w:r>
    </w:p>
    <w:p w14:paraId="39E9B4A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（一）法律法规和国家有关政策明确规定优先或者应当面向事业单位、社会组织等非企业主体采购的；</w:t>
      </w:r>
    </w:p>
    <w:p w14:paraId="7E0176D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（二）因确需使用不可替代的专利、专有技术，基础设施限制，或者提供特定公共服务等原因，只能从中小企业之外的供应商处采购的；</w:t>
      </w:r>
    </w:p>
    <w:p w14:paraId="57F296B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（三）按照本办法规定预留采购份额无法确保充分供应、充分竞争，或者存在可能影响政府采购目标实现的情形；</w:t>
      </w:r>
    </w:p>
    <w:p w14:paraId="46FCA40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（四）框架协议采购项目；</w:t>
      </w:r>
    </w:p>
    <w:p w14:paraId="15F4E45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（五）省级以上人民政府财政部门规定的其他情形。</w:t>
      </w:r>
    </w:p>
    <w:p w14:paraId="48B8FD1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除上述情形外，其他均为适宜由中小企业提供的情形。</w:t>
      </w:r>
    </w:p>
    <w:p w14:paraId="1F992D3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　采购限额标准以上，200万元以下的货物和服务采购项目、400万元以下的工程采购项目，适宜由中小企业提供的，采购人应当专门面向中小企业采购。</w:t>
      </w:r>
    </w:p>
    <w:p w14:paraId="4C47AC7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A7DF50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（一）将采购项目整体或者设置采购包专门面向中小企业采购；</w:t>
      </w:r>
    </w:p>
    <w:p w14:paraId="653BB7E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（二）要求供应商以联合体形式参加采购活动，且联合体中中小企业承担的部分达到一定比例；</w:t>
      </w:r>
    </w:p>
    <w:p w14:paraId="48C414A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（三）要求获得采购合同的供应商将采购项目中的一定比例分包给一家或者多家中小企业。</w:t>
      </w:r>
    </w:p>
    <w:p w14:paraId="3BCA6C5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组成联合体或者接受分包合同的中小企业与联合体内其他企业、分包企业之间不得存在直接控股、管理关系。</w:t>
      </w:r>
    </w:p>
    <w:p w14:paraId="7A9810D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4E838A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C8DE47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15FD17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15D23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AC5B18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　采购项目涉及中小企业采购的，采购文件应当明确以下内容：</w:t>
      </w:r>
    </w:p>
    <w:p w14:paraId="282E305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（一）预留份额的采购项目或者采购包，明确该项目或相关采购包专门面向中小企业采购，以及相关标的及预算金额；</w:t>
      </w:r>
    </w:p>
    <w:p w14:paraId="119DD27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（二）要求以联合体形式参加或者合同分包的，明确联合协议或者分包意向协议中中小企业合同金额应当达到的比例，并作为供应商资格条件；</w:t>
      </w:r>
    </w:p>
    <w:p w14:paraId="4FDB78B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（三）非预留份额的采购项目或者采购包，明确有关价格扣除比例或者价格分加分比例；</w:t>
      </w:r>
    </w:p>
    <w:p w14:paraId="49048B6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（四）规定依据本办法规定享受扶持政策获得政府采购合同的，小微企业不得将合同分包给大中型企业，中型企业不得将合同分包给大型企业；</w:t>
      </w:r>
    </w:p>
    <w:p w14:paraId="01A8E69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（五）采购人认为具备相关条件的，明确对中小企业在资金支付期限、预付款比例等方面的优惠措施；</w:t>
      </w:r>
    </w:p>
    <w:p w14:paraId="19F0C1B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（六）明确采购标的对应的中小企业划分标准所属行业；</w:t>
      </w:r>
    </w:p>
    <w:p w14:paraId="04F92D6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（七）法律法规和省级以上人民政府财政部门规定的其他事项。</w:t>
      </w:r>
    </w:p>
    <w:p w14:paraId="193EDC0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　中标、成交供应商享受本办法规定的中小企业扶持政策的，采购人、采购代理机构应当随中标、成交结果公开中标、成交供应商的《中小企业声明函》。</w:t>
      </w:r>
    </w:p>
    <w:p w14:paraId="5BF3169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适用招标投标法的政府采购工程建设项目，应当在公示中标候选人时公开中标候选人的《中小企业声明函》。</w:t>
      </w:r>
    </w:p>
    <w:p w14:paraId="6ADB5B1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FFB7E8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4FE279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0AFE133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中小企业主管部门应当在收到财政部门或者有关招标投标行政监督部门关于协助开展中小企业认定函后10个工作日内做出书面答复。</w:t>
      </w:r>
    </w:p>
    <w:p w14:paraId="42D40CB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5990380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FA71C7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48E900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　供应商按照本办法规定提供声明函内容不实的，属于提供虚假材料谋取中标、成交，依照《中华人民共和国政府采购法》等国家有关规定追究相应责任。</w:t>
      </w:r>
    </w:p>
    <w:p w14:paraId="4944AA6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适用招标投标法的政府采购工程建设项目，供应商按照本办法规定提供声明函内容不实的，属于弄虚作假骗取中标，依照《中华人民共和国招标投标法》等国家有关规定追究相应责任。</w:t>
      </w:r>
    </w:p>
    <w:p w14:paraId="666490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BFC264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第二十二条　对外援助项目、国家相关资格或者资质管理制度另有规定的项目，不适用本办法。</w:t>
      </w:r>
    </w:p>
    <w:p w14:paraId="4761897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第二十三条　关于视同中小企业的其他主体的政府采购扶持政策，由财政部会同有关部门另行规定。</w:t>
      </w:r>
    </w:p>
    <w:p w14:paraId="7610DE6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第二十四条　省级财政部门可以会同中小企业主管部门根据本办法的规定制定具体实施办法。</w:t>
      </w:r>
    </w:p>
    <w:p w14:paraId="6D935BB7">
      <w:pPr>
        <w:pageBreakBefore w:val="0"/>
        <w:kinsoku/>
        <w:overflowPunct/>
        <w:topLinePunct w:val="0"/>
        <w:bidi w:val="0"/>
        <w:spacing w:line="44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lang w:val="zh-CN"/>
        </w:rPr>
        <w:t>第二十五条　本办法自2021年1月1日起施行。《财政部工业和信息化部关于印发〈政府采购促进中小企业发展暂行办法〉的通知》（财库﹝2011﹞181号）同时废止。</w:t>
      </w:r>
    </w:p>
    <w:p w14:paraId="607C767D">
      <w:pPr>
        <w:pageBreakBefore w:val="0"/>
        <w:kinsoku/>
        <w:overflowPunct/>
        <w:topLinePunct w:val="0"/>
        <w:bidi w:val="0"/>
        <w:spacing w:line="440" w:lineRule="exact"/>
        <w:jc w:val="left"/>
        <w:rPr>
          <w:rFonts w:hint="eastAsia" w:ascii="宋体" w:hAnsi="宋体" w:eastAsia="宋体" w:cs="宋体"/>
          <w:color w:val="868686"/>
          <w:spacing w:val="14"/>
          <w:sz w:val="33"/>
          <w:szCs w:val="33"/>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862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433B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3433B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390C">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064E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9064E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A7F3">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F5A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FFF5A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55AE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06FCF">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506FCF">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A6481">
    <w:pPr>
      <w:rPr>
        <w:rStyle w:val="34"/>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C4115D">
                          <w:pPr>
                            <w:pStyle w:val="11"/>
                            <w:tabs>
                              <w:tab w:val="center" w:pos="4153"/>
                              <w:tab w:val="right" w:pos="8306"/>
                            </w:tabs>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25C4115D">
                    <w:pPr>
                      <w:pStyle w:val="11"/>
                      <w:tabs>
                        <w:tab w:val="center" w:pos="4153"/>
                        <w:tab w:val="right" w:pos="8306"/>
                      </w:tabs>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B4F0">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91FA">
    <w:pPr>
      <w:rPr>
        <w:rStyle w:val="3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332B"/>
    <w:multiLevelType w:val="singleLevel"/>
    <w:tmpl w:val="8253332B"/>
    <w:lvl w:ilvl="0" w:tentative="0">
      <w:start w:val="2"/>
      <w:numFmt w:val="decimal"/>
      <w:suff w:val="nothing"/>
      <w:lvlText w:val="%1）"/>
      <w:lvlJc w:val="left"/>
    </w:lvl>
  </w:abstractNum>
  <w:abstractNum w:abstractNumId="1">
    <w:nsid w:val="91A7FA90"/>
    <w:multiLevelType w:val="singleLevel"/>
    <w:tmpl w:val="91A7FA90"/>
    <w:lvl w:ilvl="0" w:tentative="0">
      <w:start w:val="4"/>
      <w:numFmt w:val="chineseCounting"/>
      <w:suff w:val="space"/>
      <w:lvlText w:val="第%1章"/>
      <w:lvlJc w:val="left"/>
      <w:pPr>
        <w:tabs>
          <w:tab w:val="left" w:pos="0"/>
        </w:tabs>
        <w:ind w:left="0" w:firstLine="0"/>
      </w:pPr>
      <w:rPr>
        <w:rFonts w:hint="eastAsia"/>
      </w:rPr>
    </w:lvl>
  </w:abstractNum>
  <w:abstractNum w:abstractNumId="2">
    <w:nsid w:val="937C00D5"/>
    <w:multiLevelType w:val="singleLevel"/>
    <w:tmpl w:val="937C00D5"/>
    <w:lvl w:ilvl="0" w:tentative="0">
      <w:start w:val="2"/>
      <w:numFmt w:val="decimal"/>
      <w:suff w:val="nothing"/>
      <w:lvlText w:val="（%1）"/>
      <w:lvlJc w:val="left"/>
    </w:lvl>
  </w:abstractNum>
  <w:abstractNum w:abstractNumId="3">
    <w:nsid w:val="C5717BF7"/>
    <w:multiLevelType w:val="singleLevel"/>
    <w:tmpl w:val="C5717BF7"/>
    <w:lvl w:ilvl="0" w:tentative="0">
      <w:start w:val="3"/>
      <w:numFmt w:val="decimal"/>
      <w:suff w:val="nothing"/>
      <w:lvlText w:val="%1．"/>
      <w:lvlJc w:val="left"/>
      <w:pPr>
        <w:tabs>
          <w:tab w:val="left" w:pos="0"/>
        </w:tabs>
        <w:ind w:left="0" w:firstLine="0"/>
      </w:pPr>
    </w:lvl>
  </w:abstractNum>
  <w:abstractNum w:abstractNumId="4">
    <w:nsid w:val="0000000E"/>
    <w:multiLevelType w:val="multilevel"/>
    <w:tmpl w:val="0000000E"/>
    <w:lvl w:ilvl="0" w:tentative="0">
      <w:start w:val="1"/>
      <w:numFmt w:val="bullet"/>
      <w:pStyle w:val="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63873F"/>
    <w:multiLevelType w:val="singleLevel"/>
    <w:tmpl w:val="0063873F"/>
    <w:lvl w:ilvl="0" w:tentative="0">
      <w:start w:val="5"/>
      <w:numFmt w:val="chineseCounting"/>
      <w:suff w:val="space"/>
      <w:lvlText w:val="(%1)"/>
      <w:lvlJc w:val="left"/>
      <w:pPr>
        <w:tabs>
          <w:tab w:val="left" w:pos="0"/>
        </w:tabs>
        <w:ind w:left="0" w:firstLine="0"/>
      </w:pPr>
      <w:rPr>
        <w:rFonts w:hint="eastAsia"/>
      </w:rPr>
    </w:lvl>
  </w:abstractNum>
  <w:abstractNum w:abstractNumId="6">
    <w:nsid w:val="1E9E3947"/>
    <w:multiLevelType w:val="singleLevel"/>
    <w:tmpl w:val="1E9E3947"/>
    <w:lvl w:ilvl="0" w:tentative="0">
      <w:start w:val="2"/>
      <w:numFmt w:val="decimal"/>
      <w:suff w:val="nothing"/>
      <w:lvlText w:val="%1、"/>
      <w:lvlJc w:val="left"/>
      <w:pPr>
        <w:widowControl/>
        <w:textAlignment w:val="baseline"/>
      </w:pPr>
    </w:lvl>
  </w:abstractNum>
  <w:abstractNum w:abstractNumId="7">
    <w:nsid w:val="3F003518"/>
    <w:multiLevelType w:val="singleLevel"/>
    <w:tmpl w:val="3F003518"/>
    <w:lvl w:ilvl="0" w:tentative="0">
      <w:start w:val="1"/>
      <w:numFmt w:val="chineseCounting"/>
      <w:suff w:val="nothing"/>
      <w:lvlText w:val="%1、"/>
      <w:lvlJc w:val="left"/>
      <w:pPr>
        <w:tabs>
          <w:tab w:val="left" w:pos="0"/>
        </w:tabs>
        <w:ind w:left="0" w:firstLine="0"/>
      </w:pPr>
      <w:rPr>
        <w:rFonts w:hint="eastAsia"/>
      </w:rPr>
    </w:lvl>
  </w:abstractNum>
  <w:abstractNum w:abstractNumId="8">
    <w:nsid w:val="5D769AB6"/>
    <w:multiLevelType w:val="singleLevel"/>
    <w:tmpl w:val="5D769AB6"/>
    <w:lvl w:ilvl="0" w:tentative="0">
      <w:start w:val="1"/>
      <w:numFmt w:val="decimal"/>
      <w:suff w:val="nothing"/>
      <w:lvlText w:val="（%1）"/>
      <w:lvlJc w:val="left"/>
    </w:lvl>
  </w:abstractNum>
  <w:abstractNum w:abstractNumId="9">
    <w:nsid w:val="6A45E54E"/>
    <w:multiLevelType w:val="singleLevel"/>
    <w:tmpl w:val="6A45E54E"/>
    <w:lvl w:ilvl="0" w:tentative="0">
      <w:start w:val="2"/>
      <w:numFmt w:val="chineseCounting"/>
      <w:suff w:val="nothing"/>
      <w:lvlText w:val="（%1）"/>
      <w:lvlJc w:val="left"/>
      <w:pPr>
        <w:widowControl/>
        <w:textAlignment w:val="baseline"/>
      </w:pPr>
    </w:lvl>
  </w:abstractNum>
  <w:num w:numId="1">
    <w:abstractNumId w:val="4"/>
  </w:num>
  <w:num w:numId="2">
    <w:abstractNumId w:val="8"/>
  </w:num>
  <w:num w:numId="3">
    <w:abstractNumId w:val="0"/>
  </w:num>
  <w:num w:numId="4">
    <w:abstractNumId w:val="3"/>
  </w:num>
  <w:num w:numId="5">
    <w:abstractNumId w:val="2"/>
  </w:num>
  <w:num w:numId="6">
    <w:abstractNumId w:val="1"/>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GQ1MTdiNDBjYTlhYzAwMDU3MTNkOGZkYWE1YTAifQ=="/>
  </w:docVars>
  <w:rsids>
    <w:rsidRoot w:val="00000000"/>
    <w:rsid w:val="002B06D1"/>
    <w:rsid w:val="00351550"/>
    <w:rsid w:val="0050269C"/>
    <w:rsid w:val="008F1F81"/>
    <w:rsid w:val="009A37BE"/>
    <w:rsid w:val="00EA3AC7"/>
    <w:rsid w:val="00F66F31"/>
    <w:rsid w:val="01233A9E"/>
    <w:rsid w:val="01722330"/>
    <w:rsid w:val="01F80A87"/>
    <w:rsid w:val="02072A78"/>
    <w:rsid w:val="020F7EEC"/>
    <w:rsid w:val="02184C85"/>
    <w:rsid w:val="021A5E66"/>
    <w:rsid w:val="021D4680"/>
    <w:rsid w:val="02301FCF"/>
    <w:rsid w:val="02331ABF"/>
    <w:rsid w:val="0269764B"/>
    <w:rsid w:val="027A5940"/>
    <w:rsid w:val="027C0B8B"/>
    <w:rsid w:val="02873BB9"/>
    <w:rsid w:val="028916DF"/>
    <w:rsid w:val="028D7421"/>
    <w:rsid w:val="028E13EB"/>
    <w:rsid w:val="029D518A"/>
    <w:rsid w:val="02B7449E"/>
    <w:rsid w:val="02C965CF"/>
    <w:rsid w:val="02CD1F13"/>
    <w:rsid w:val="02D45050"/>
    <w:rsid w:val="02F5745D"/>
    <w:rsid w:val="02FE3E7B"/>
    <w:rsid w:val="030376E3"/>
    <w:rsid w:val="03214899"/>
    <w:rsid w:val="032F04D8"/>
    <w:rsid w:val="033C0E47"/>
    <w:rsid w:val="03451AAA"/>
    <w:rsid w:val="037C1244"/>
    <w:rsid w:val="039269BF"/>
    <w:rsid w:val="03962305"/>
    <w:rsid w:val="03991DF6"/>
    <w:rsid w:val="03A569EC"/>
    <w:rsid w:val="03BC7892"/>
    <w:rsid w:val="03D270B5"/>
    <w:rsid w:val="04115E30"/>
    <w:rsid w:val="04223B99"/>
    <w:rsid w:val="04294F27"/>
    <w:rsid w:val="049A4077"/>
    <w:rsid w:val="04A04386"/>
    <w:rsid w:val="04A10F62"/>
    <w:rsid w:val="04A86794"/>
    <w:rsid w:val="04A942BA"/>
    <w:rsid w:val="04B2316F"/>
    <w:rsid w:val="04E23328"/>
    <w:rsid w:val="052E7D72"/>
    <w:rsid w:val="05595CE0"/>
    <w:rsid w:val="055A3B91"/>
    <w:rsid w:val="056D52E8"/>
    <w:rsid w:val="05790131"/>
    <w:rsid w:val="05A607FA"/>
    <w:rsid w:val="05B922DB"/>
    <w:rsid w:val="05DC421B"/>
    <w:rsid w:val="05F41A51"/>
    <w:rsid w:val="05F45A09"/>
    <w:rsid w:val="066D79A8"/>
    <w:rsid w:val="06AB431A"/>
    <w:rsid w:val="06B50CF4"/>
    <w:rsid w:val="06DB44D3"/>
    <w:rsid w:val="07163C30"/>
    <w:rsid w:val="071E0F8F"/>
    <w:rsid w:val="0774295E"/>
    <w:rsid w:val="07752435"/>
    <w:rsid w:val="078A2181"/>
    <w:rsid w:val="079052BE"/>
    <w:rsid w:val="07C37441"/>
    <w:rsid w:val="07EC2E3C"/>
    <w:rsid w:val="08493DEA"/>
    <w:rsid w:val="08A41020"/>
    <w:rsid w:val="08A82006"/>
    <w:rsid w:val="08AA23AF"/>
    <w:rsid w:val="08B82D1E"/>
    <w:rsid w:val="08BA0844"/>
    <w:rsid w:val="08CC113E"/>
    <w:rsid w:val="09077801"/>
    <w:rsid w:val="090C4E18"/>
    <w:rsid w:val="092108C3"/>
    <w:rsid w:val="09273A00"/>
    <w:rsid w:val="092B1742"/>
    <w:rsid w:val="09371163"/>
    <w:rsid w:val="0942596F"/>
    <w:rsid w:val="0A051F93"/>
    <w:rsid w:val="0A081A83"/>
    <w:rsid w:val="0A3E7253"/>
    <w:rsid w:val="0A495C3D"/>
    <w:rsid w:val="0A4F1460"/>
    <w:rsid w:val="0A590531"/>
    <w:rsid w:val="0A5E78F5"/>
    <w:rsid w:val="0A785AB4"/>
    <w:rsid w:val="0A7B7209"/>
    <w:rsid w:val="0A7F7F97"/>
    <w:rsid w:val="0A8455AD"/>
    <w:rsid w:val="0A8B4163"/>
    <w:rsid w:val="0AE748CB"/>
    <w:rsid w:val="0AF142C5"/>
    <w:rsid w:val="0B022976"/>
    <w:rsid w:val="0B2422BF"/>
    <w:rsid w:val="0B511A6F"/>
    <w:rsid w:val="0B6251C3"/>
    <w:rsid w:val="0B920731"/>
    <w:rsid w:val="0BDC4F75"/>
    <w:rsid w:val="0BE811C8"/>
    <w:rsid w:val="0C1C1816"/>
    <w:rsid w:val="0C2A7A8F"/>
    <w:rsid w:val="0C474AE5"/>
    <w:rsid w:val="0C686809"/>
    <w:rsid w:val="0C7B02EA"/>
    <w:rsid w:val="0C8F3D96"/>
    <w:rsid w:val="0C985340"/>
    <w:rsid w:val="0CA63264"/>
    <w:rsid w:val="0CAF268A"/>
    <w:rsid w:val="0CB35CD6"/>
    <w:rsid w:val="0CB8153E"/>
    <w:rsid w:val="0CF12C11"/>
    <w:rsid w:val="0D034B87"/>
    <w:rsid w:val="0D3A01A5"/>
    <w:rsid w:val="0D4903E8"/>
    <w:rsid w:val="0D4F0152"/>
    <w:rsid w:val="0D5E2FDF"/>
    <w:rsid w:val="0D817B82"/>
    <w:rsid w:val="0DC12675"/>
    <w:rsid w:val="0DC53105"/>
    <w:rsid w:val="0DD24882"/>
    <w:rsid w:val="0DD621C2"/>
    <w:rsid w:val="0DD95C10"/>
    <w:rsid w:val="0DE16873"/>
    <w:rsid w:val="0DFD26FC"/>
    <w:rsid w:val="0E034A3B"/>
    <w:rsid w:val="0E3302DF"/>
    <w:rsid w:val="0EA55AF2"/>
    <w:rsid w:val="0EB61AAE"/>
    <w:rsid w:val="0EC00B7E"/>
    <w:rsid w:val="0EC853E9"/>
    <w:rsid w:val="0ECF491D"/>
    <w:rsid w:val="0ED4462A"/>
    <w:rsid w:val="0EE61F25"/>
    <w:rsid w:val="0F3550C8"/>
    <w:rsid w:val="0F547FBC"/>
    <w:rsid w:val="0F6E2834"/>
    <w:rsid w:val="0F987405"/>
    <w:rsid w:val="0FCD3553"/>
    <w:rsid w:val="0FCE2A92"/>
    <w:rsid w:val="0FDD306A"/>
    <w:rsid w:val="10046849"/>
    <w:rsid w:val="1017657C"/>
    <w:rsid w:val="103435D2"/>
    <w:rsid w:val="10451DF9"/>
    <w:rsid w:val="10505F32"/>
    <w:rsid w:val="10594DE6"/>
    <w:rsid w:val="105A5869"/>
    <w:rsid w:val="109202F8"/>
    <w:rsid w:val="10C06C14"/>
    <w:rsid w:val="10CF6E57"/>
    <w:rsid w:val="10F03EEC"/>
    <w:rsid w:val="112847B9"/>
    <w:rsid w:val="114A2981"/>
    <w:rsid w:val="115953C8"/>
    <w:rsid w:val="11877731"/>
    <w:rsid w:val="11BD13A5"/>
    <w:rsid w:val="11C14920"/>
    <w:rsid w:val="11D861DF"/>
    <w:rsid w:val="11F33019"/>
    <w:rsid w:val="11F72B09"/>
    <w:rsid w:val="11FF25EB"/>
    <w:rsid w:val="122A4259"/>
    <w:rsid w:val="122D2087"/>
    <w:rsid w:val="123A0C48"/>
    <w:rsid w:val="12541D09"/>
    <w:rsid w:val="128D0D77"/>
    <w:rsid w:val="12E261AA"/>
    <w:rsid w:val="131119A8"/>
    <w:rsid w:val="132C233E"/>
    <w:rsid w:val="132D4308"/>
    <w:rsid w:val="134770B1"/>
    <w:rsid w:val="13495ABA"/>
    <w:rsid w:val="1351449B"/>
    <w:rsid w:val="138A52B7"/>
    <w:rsid w:val="13CA4491"/>
    <w:rsid w:val="13FB7F63"/>
    <w:rsid w:val="143F0797"/>
    <w:rsid w:val="144C6FE7"/>
    <w:rsid w:val="1457788F"/>
    <w:rsid w:val="14891A12"/>
    <w:rsid w:val="149363ED"/>
    <w:rsid w:val="14A66120"/>
    <w:rsid w:val="14AB3737"/>
    <w:rsid w:val="15121A08"/>
    <w:rsid w:val="151237B6"/>
    <w:rsid w:val="151439D2"/>
    <w:rsid w:val="152359C3"/>
    <w:rsid w:val="15804BC3"/>
    <w:rsid w:val="15E52C78"/>
    <w:rsid w:val="15EE4223"/>
    <w:rsid w:val="16013F56"/>
    <w:rsid w:val="164B3423"/>
    <w:rsid w:val="168A2AF7"/>
    <w:rsid w:val="16ED0036"/>
    <w:rsid w:val="16F615E1"/>
    <w:rsid w:val="16F77107"/>
    <w:rsid w:val="16F94C2D"/>
    <w:rsid w:val="170B2BB3"/>
    <w:rsid w:val="170D06D9"/>
    <w:rsid w:val="171066BC"/>
    <w:rsid w:val="173F012B"/>
    <w:rsid w:val="175005C5"/>
    <w:rsid w:val="175B20F3"/>
    <w:rsid w:val="17614581"/>
    <w:rsid w:val="178169D1"/>
    <w:rsid w:val="1783672E"/>
    <w:rsid w:val="178B2244"/>
    <w:rsid w:val="17BA2861"/>
    <w:rsid w:val="17BF5E77"/>
    <w:rsid w:val="17CC2BFD"/>
    <w:rsid w:val="17EC6540"/>
    <w:rsid w:val="18071A18"/>
    <w:rsid w:val="181D0DEF"/>
    <w:rsid w:val="18253800"/>
    <w:rsid w:val="182A4058"/>
    <w:rsid w:val="18BF2AEB"/>
    <w:rsid w:val="18E253DF"/>
    <w:rsid w:val="18EE6119"/>
    <w:rsid w:val="18F2402A"/>
    <w:rsid w:val="18FF04F5"/>
    <w:rsid w:val="19061883"/>
    <w:rsid w:val="190A3122"/>
    <w:rsid w:val="1917300C"/>
    <w:rsid w:val="1921046B"/>
    <w:rsid w:val="194A3437"/>
    <w:rsid w:val="1981715C"/>
    <w:rsid w:val="19923117"/>
    <w:rsid w:val="19CD414F"/>
    <w:rsid w:val="19EE2A43"/>
    <w:rsid w:val="19F33E63"/>
    <w:rsid w:val="19FD2C86"/>
    <w:rsid w:val="1A0538E9"/>
    <w:rsid w:val="1A226249"/>
    <w:rsid w:val="1A5328A6"/>
    <w:rsid w:val="1AA03612"/>
    <w:rsid w:val="1AB71087"/>
    <w:rsid w:val="1AD5150D"/>
    <w:rsid w:val="1AFA6510"/>
    <w:rsid w:val="1B2D759B"/>
    <w:rsid w:val="1B3A3A66"/>
    <w:rsid w:val="1B4B7A22"/>
    <w:rsid w:val="1B9E5DA3"/>
    <w:rsid w:val="1BD417C5"/>
    <w:rsid w:val="1BF82D36"/>
    <w:rsid w:val="1BFB31F6"/>
    <w:rsid w:val="1C362480"/>
    <w:rsid w:val="1C7865F4"/>
    <w:rsid w:val="1C8036FB"/>
    <w:rsid w:val="1C8A6328"/>
    <w:rsid w:val="1C9A2A0F"/>
    <w:rsid w:val="1CB12000"/>
    <w:rsid w:val="1CDF38A4"/>
    <w:rsid w:val="1D0165EA"/>
    <w:rsid w:val="1D445EF1"/>
    <w:rsid w:val="1D636934"/>
    <w:rsid w:val="1D65301C"/>
    <w:rsid w:val="1D7901D7"/>
    <w:rsid w:val="1DA35BF9"/>
    <w:rsid w:val="1DA376A1"/>
    <w:rsid w:val="1DCD471E"/>
    <w:rsid w:val="1DFE0D7B"/>
    <w:rsid w:val="1E14234D"/>
    <w:rsid w:val="1E236A34"/>
    <w:rsid w:val="1E2F53D8"/>
    <w:rsid w:val="1E4C1AE7"/>
    <w:rsid w:val="1E6E14B9"/>
    <w:rsid w:val="1EC04283"/>
    <w:rsid w:val="1ECC0E79"/>
    <w:rsid w:val="1EE937D9"/>
    <w:rsid w:val="1F1B45EB"/>
    <w:rsid w:val="1F206574"/>
    <w:rsid w:val="1F613F93"/>
    <w:rsid w:val="1F613FCB"/>
    <w:rsid w:val="1F633882"/>
    <w:rsid w:val="1FBE07C2"/>
    <w:rsid w:val="1FFE32B4"/>
    <w:rsid w:val="20210D51"/>
    <w:rsid w:val="205E01F7"/>
    <w:rsid w:val="209459C7"/>
    <w:rsid w:val="20A51982"/>
    <w:rsid w:val="20EF2BFD"/>
    <w:rsid w:val="210E39CB"/>
    <w:rsid w:val="21267C0B"/>
    <w:rsid w:val="212705E9"/>
    <w:rsid w:val="21333432"/>
    <w:rsid w:val="216B497A"/>
    <w:rsid w:val="21854970"/>
    <w:rsid w:val="21A12149"/>
    <w:rsid w:val="21AB4C07"/>
    <w:rsid w:val="21F030D1"/>
    <w:rsid w:val="21FC3824"/>
    <w:rsid w:val="224F429B"/>
    <w:rsid w:val="22574EFE"/>
    <w:rsid w:val="227B5090"/>
    <w:rsid w:val="227D2BB6"/>
    <w:rsid w:val="22970985"/>
    <w:rsid w:val="22C97B55"/>
    <w:rsid w:val="22E569AE"/>
    <w:rsid w:val="22F64717"/>
    <w:rsid w:val="230E380E"/>
    <w:rsid w:val="231828DF"/>
    <w:rsid w:val="231D0661"/>
    <w:rsid w:val="234A05BF"/>
    <w:rsid w:val="23566F63"/>
    <w:rsid w:val="23871813"/>
    <w:rsid w:val="2398757C"/>
    <w:rsid w:val="23EA427B"/>
    <w:rsid w:val="23F70746"/>
    <w:rsid w:val="24217571"/>
    <w:rsid w:val="243523CB"/>
    <w:rsid w:val="24A26CC4"/>
    <w:rsid w:val="24A84AD4"/>
    <w:rsid w:val="24AD7057"/>
    <w:rsid w:val="24D665AE"/>
    <w:rsid w:val="24F829C8"/>
    <w:rsid w:val="250550E5"/>
    <w:rsid w:val="25056E93"/>
    <w:rsid w:val="250A44A9"/>
    <w:rsid w:val="252C02E0"/>
    <w:rsid w:val="25701D64"/>
    <w:rsid w:val="25A22934"/>
    <w:rsid w:val="25A71CF8"/>
    <w:rsid w:val="25B6018D"/>
    <w:rsid w:val="25C24D84"/>
    <w:rsid w:val="25CB34D2"/>
    <w:rsid w:val="25D86356"/>
    <w:rsid w:val="25DB44C1"/>
    <w:rsid w:val="25EE7927"/>
    <w:rsid w:val="25F74A2E"/>
    <w:rsid w:val="26121868"/>
    <w:rsid w:val="2674607E"/>
    <w:rsid w:val="26760048"/>
    <w:rsid w:val="26895D0C"/>
    <w:rsid w:val="268A1D5E"/>
    <w:rsid w:val="268C732C"/>
    <w:rsid w:val="268D6C84"/>
    <w:rsid w:val="26915C34"/>
    <w:rsid w:val="26920BFA"/>
    <w:rsid w:val="26A727A6"/>
    <w:rsid w:val="26C41924"/>
    <w:rsid w:val="26FA353F"/>
    <w:rsid w:val="270311B0"/>
    <w:rsid w:val="27124612"/>
    <w:rsid w:val="2714160F"/>
    <w:rsid w:val="271D4C8B"/>
    <w:rsid w:val="272F1FA5"/>
    <w:rsid w:val="27475541"/>
    <w:rsid w:val="277963CF"/>
    <w:rsid w:val="27954480"/>
    <w:rsid w:val="27FF7BCA"/>
    <w:rsid w:val="28090A48"/>
    <w:rsid w:val="281C69CE"/>
    <w:rsid w:val="283E5ACA"/>
    <w:rsid w:val="284412BB"/>
    <w:rsid w:val="28577471"/>
    <w:rsid w:val="28771E56"/>
    <w:rsid w:val="289B3D96"/>
    <w:rsid w:val="28C0157D"/>
    <w:rsid w:val="28E22C27"/>
    <w:rsid w:val="28FA4FEC"/>
    <w:rsid w:val="28FF2559"/>
    <w:rsid w:val="290556B4"/>
    <w:rsid w:val="290F75E7"/>
    <w:rsid w:val="29183639"/>
    <w:rsid w:val="297B5976"/>
    <w:rsid w:val="29890093"/>
    <w:rsid w:val="29946A38"/>
    <w:rsid w:val="29B13146"/>
    <w:rsid w:val="29F7669E"/>
    <w:rsid w:val="2A007C29"/>
    <w:rsid w:val="2A02030B"/>
    <w:rsid w:val="2A1C367F"/>
    <w:rsid w:val="2A4E308A"/>
    <w:rsid w:val="2A4F623E"/>
    <w:rsid w:val="2A7A5C2D"/>
    <w:rsid w:val="2A7D36A2"/>
    <w:rsid w:val="2AA809EC"/>
    <w:rsid w:val="2AB54EB7"/>
    <w:rsid w:val="2ABC1DA2"/>
    <w:rsid w:val="2B0C0F7B"/>
    <w:rsid w:val="2B1C0A93"/>
    <w:rsid w:val="2B3C2EE3"/>
    <w:rsid w:val="2B5841C1"/>
    <w:rsid w:val="2B7679E1"/>
    <w:rsid w:val="2BA72A52"/>
    <w:rsid w:val="2BBE7D9C"/>
    <w:rsid w:val="2BF35C97"/>
    <w:rsid w:val="2C131E96"/>
    <w:rsid w:val="2C593846"/>
    <w:rsid w:val="2C610E53"/>
    <w:rsid w:val="2C7C3EDF"/>
    <w:rsid w:val="2C81776B"/>
    <w:rsid w:val="2CA86A82"/>
    <w:rsid w:val="2CC15D95"/>
    <w:rsid w:val="2CEE4AB3"/>
    <w:rsid w:val="2CFC6DCE"/>
    <w:rsid w:val="2D0F4D53"/>
    <w:rsid w:val="2D157E8F"/>
    <w:rsid w:val="2D241E80"/>
    <w:rsid w:val="2D256324"/>
    <w:rsid w:val="2D2E26C5"/>
    <w:rsid w:val="2D3B78F6"/>
    <w:rsid w:val="2D850B71"/>
    <w:rsid w:val="2DCC7F41"/>
    <w:rsid w:val="2DD37B2E"/>
    <w:rsid w:val="2DD41AF8"/>
    <w:rsid w:val="2DD85145"/>
    <w:rsid w:val="2DDE64D3"/>
    <w:rsid w:val="2DED6716"/>
    <w:rsid w:val="2DF81343"/>
    <w:rsid w:val="2E0777D8"/>
    <w:rsid w:val="2E1168A9"/>
    <w:rsid w:val="2E4E72C7"/>
    <w:rsid w:val="2E5C3FC8"/>
    <w:rsid w:val="2E6030B9"/>
    <w:rsid w:val="2E6115DE"/>
    <w:rsid w:val="2E792A9B"/>
    <w:rsid w:val="2E8250B1"/>
    <w:rsid w:val="2E870919"/>
    <w:rsid w:val="2EB01C1E"/>
    <w:rsid w:val="2ED022C0"/>
    <w:rsid w:val="2EDA4EED"/>
    <w:rsid w:val="2EE713B8"/>
    <w:rsid w:val="2EF35FAE"/>
    <w:rsid w:val="2F0860B8"/>
    <w:rsid w:val="2F142B95"/>
    <w:rsid w:val="2F1A440E"/>
    <w:rsid w:val="2F1E0A8A"/>
    <w:rsid w:val="2F210D6D"/>
    <w:rsid w:val="2F7C778E"/>
    <w:rsid w:val="2F9E23BE"/>
    <w:rsid w:val="2FA11189"/>
    <w:rsid w:val="2FB41BE1"/>
    <w:rsid w:val="2FE53B49"/>
    <w:rsid w:val="2FFA3A98"/>
    <w:rsid w:val="30556F21"/>
    <w:rsid w:val="307858FB"/>
    <w:rsid w:val="3078676B"/>
    <w:rsid w:val="30A413A6"/>
    <w:rsid w:val="31291B85"/>
    <w:rsid w:val="31300EED"/>
    <w:rsid w:val="31305E06"/>
    <w:rsid w:val="313F6DF8"/>
    <w:rsid w:val="315076E8"/>
    <w:rsid w:val="315518D0"/>
    <w:rsid w:val="315C7EF7"/>
    <w:rsid w:val="31796C3F"/>
    <w:rsid w:val="318C4C20"/>
    <w:rsid w:val="318F0210"/>
    <w:rsid w:val="319E0453"/>
    <w:rsid w:val="319F5F79"/>
    <w:rsid w:val="31C3435E"/>
    <w:rsid w:val="320E382B"/>
    <w:rsid w:val="32144BB9"/>
    <w:rsid w:val="32252923"/>
    <w:rsid w:val="3268280F"/>
    <w:rsid w:val="327F22E4"/>
    <w:rsid w:val="329B4993"/>
    <w:rsid w:val="32BF4B25"/>
    <w:rsid w:val="330662B0"/>
    <w:rsid w:val="33096E5B"/>
    <w:rsid w:val="331F55C4"/>
    <w:rsid w:val="336456CD"/>
    <w:rsid w:val="33A61841"/>
    <w:rsid w:val="33A77124"/>
    <w:rsid w:val="33BB353F"/>
    <w:rsid w:val="33DD119D"/>
    <w:rsid w:val="342033A2"/>
    <w:rsid w:val="34394463"/>
    <w:rsid w:val="34491DD2"/>
    <w:rsid w:val="345F5D00"/>
    <w:rsid w:val="34670FD0"/>
    <w:rsid w:val="349B6ECC"/>
    <w:rsid w:val="34A301BF"/>
    <w:rsid w:val="34A57D4B"/>
    <w:rsid w:val="34BC62D4"/>
    <w:rsid w:val="34EC7728"/>
    <w:rsid w:val="34F827AA"/>
    <w:rsid w:val="35065446"/>
    <w:rsid w:val="35260E8C"/>
    <w:rsid w:val="354013A3"/>
    <w:rsid w:val="356814A4"/>
    <w:rsid w:val="358931C8"/>
    <w:rsid w:val="358D2CB9"/>
    <w:rsid w:val="35957DBF"/>
    <w:rsid w:val="35C661CB"/>
    <w:rsid w:val="35E328D9"/>
    <w:rsid w:val="35EA13E5"/>
    <w:rsid w:val="35F35B72"/>
    <w:rsid w:val="36017203"/>
    <w:rsid w:val="361C228F"/>
    <w:rsid w:val="361E0496"/>
    <w:rsid w:val="36455341"/>
    <w:rsid w:val="3648628C"/>
    <w:rsid w:val="364C2B74"/>
    <w:rsid w:val="3651018A"/>
    <w:rsid w:val="36546892"/>
    <w:rsid w:val="365E4655"/>
    <w:rsid w:val="366E69EE"/>
    <w:rsid w:val="368142F4"/>
    <w:rsid w:val="368A544A"/>
    <w:rsid w:val="36941E25"/>
    <w:rsid w:val="369C741A"/>
    <w:rsid w:val="36AE1139"/>
    <w:rsid w:val="36DF7544"/>
    <w:rsid w:val="37076A9B"/>
    <w:rsid w:val="371A4A20"/>
    <w:rsid w:val="37294C63"/>
    <w:rsid w:val="376C4B50"/>
    <w:rsid w:val="37737C8C"/>
    <w:rsid w:val="37797999"/>
    <w:rsid w:val="377D0B0B"/>
    <w:rsid w:val="37920A5A"/>
    <w:rsid w:val="37930028"/>
    <w:rsid w:val="37B971EB"/>
    <w:rsid w:val="37BF7375"/>
    <w:rsid w:val="37C7238E"/>
    <w:rsid w:val="37D42E21"/>
    <w:rsid w:val="37DC3A83"/>
    <w:rsid w:val="38044D88"/>
    <w:rsid w:val="381E5E4A"/>
    <w:rsid w:val="38312021"/>
    <w:rsid w:val="38547C0B"/>
    <w:rsid w:val="385B444C"/>
    <w:rsid w:val="388C54AA"/>
    <w:rsid w:val="38A5656B"/>
    <w:rsid w:val="38AF73EA"/>
    <w:rsid w:val="38BB5D8F"/>
    <w:rsid w:val="38D07AC2"/>
    <w:rsid w:val="38DE5E5B"/>
    <w:rsid w:val="38F115A1"/>
    <w:rsid w:val="39184F8F"/>
    <w:rsid w:val="39386D6D"/>
    <w:rsid w:val="39423DBA"/>
    <w:rsid w:val="396C0F3D"/>
    <w:rsid w:val="39B12CEE"/>
    <w:rsid w:val="39BD1693"/>
    <w:rsid w:val="39EC2AE2"/>
    <w:rsid w:val="39F74BA5"/>
    <w:rsid w:val="3A14753F"/>
    <w:rsid w:val="3A1E510D"/>
    <w:rsid w:val="3A42356C"/>
    <w:rsid w:val="3A482D0C"/>
    <w:rsid w:val="3A904EB2"/>
    <w:rsid w:val="3A960861"/>
    <w:rsid w:val="3A971EE4"/>
    <w:rsid w:val="3AB331C1"/>
    <w:rsid w:val="3AB42A96"/>
    <w:rsid w:val="3AF47336"/>
    <w:rsid w:val="3AFA0DF0"/>
    <w:rsid w:val="3AFF6407"/>
    <w:rsid w:val="3B1E43B3"/>
    <w:rsid w:val="3B5953EB"/>
    <w:rsid w:val="3B6765EF"/>
    <w:rsid w:val="3B6E70E8"/>
    <w:rsid w:val="3B8C1FA8"/>
    <w:rsid w:val="3BA23236"/>
    <w:rsid w:val="3BBD1E1E"/>
    <w:rsid w:val="3BD17677"/>
    <w:rsid w:val="3C0E61D6"/>
    <w:rsid w:val="3C137C90"/>
    <w:rsid w:val="3C336960"/>
    <w:rsid w:val="3C3C35DC"/>
    <w:rsid w:val="3C6A41CC"/>
    <w:rsid w:val="3C7544A7"/>
    <w:rsid w:val="3C7E15AD"/>
    <w:rsid w:val="3CC52D38"/>
    <w:rsid w:val="3CCA65A0"/>
    <w:rsid w:val="3CD568AC"/>
    <w:rsid w:val="3CD613E9"/>
    <w:rsid w:val="3D177DB6"/>
    <w:rsid w:val="3D415961"/>
    <w:rsid w:val="3D4F4CF8"/>
    <w:rsid w:val="3D567E34"/>
    <w:rsid w:val="3D7A4D67"/>
    <w:rsid w:val="3D7B2607"/>
    <w:rsid w:val="3D82611F"/>
    <w:rsid w:val="3D87623F"/>
    <w:rsid w:val="3D9A0E8C"/>
    <w:rsid w:val="3D9B7F3D"/>
    <w:rsid w:val="3D9D1752"/>
    <w:rsid w:val="3DBA03C3"/>
    <w:rsid w:val="3E155F41"/>
    <w:rsid w:val="3E3839DE"/>
    <w:rsid w:val="3E3F4D6C"/>
    <w:rsid w:val="3E444130"/>
    <w:rsid w:val="3E467EA9"/>
    <w:rsid w:val="3E595999"/>
    <w:rsid w:val="3E7D32DD"/>
    <w:rsid w:val="3E974BA8"/>
    <w:rsid w:val="3EC55271"/>
    <w:rsid w:val="3F1509DC"/>
    <w:rsid w:val="3F1E0E25"/>
    <w:rsid w:val="3F4F5483"/>
    <w:rsid w:val="3F731171"/>
    <w:rsid w:val="3F823162"/>
    <w:rsid w:val="3F9335C1"/>
    <w:rsid w:val="3F9D1D4A"/>
    <w:rsid w:val="3FB928FC"/>
    <w:rsid w:val="3FDB6D16"/>
    <w:rsid w:val="40152228"/>
    <w:rsid w:val="401B7113"/>
    <w:rsid w:val="40287A5A"/>
    <w:rsid w:val="40307062"/>
    <w:rsid w:val="403666A1"/>
    <w:rsid w:val="403A1C8F"/>
    <w:rsid w:val="403C77B5"/>
    <w:rsid w:val="405D6CA8"/>
    <w:rsid w:val="407C22A8"/>
    <w:rsid w:val="40853075"/>
    <w:rsid w:val="409F1AF2"/>
    <w:rsid w:val="40AB1FD2"/>
    <w:rsid w:val="40B25CC9"/>
    <w:rsid w:val="40B862A0"/>
    <w:rsid w:val="40D151F9"/>
    <w:rsid w:val="40E67721"/>
    <w:rsid w:val="40E8136B"/>
    <w:rsid w:val="411E2A95"/>
    <w:rsid w:val="412D515E"/>
    <w:rsid w:val="414E7496"/>
    <w:rsid w:val="41517290"/>
    <w:rsid w:val="417E3DFD"/>
    <w:rsid w:val="418F1B67"/>
    <w:rsid w:val="41BA3087"/>
    <w:rsid w:val="41BE244C"/>
    <w:rsid w:val="41DB4DAC"/>
    <w:rsid w:val="41E2613A"/>
    <w:rsid w:val="420E33D3"/>
    <w:rsid w:val="422164AF"/>
    <w:rsid w:val="422E0127"/>
    <w:rsid w:val="425B266C"/>
    <w:rsid w:val="42C53644"/>
    <w:rsid w:val="43476B9D"/>
    <w:rsid w:val="43607C5E"/>
    <w:rsid w:val="438576C5"/>
    <w:rsid w:val="438A5314"/>
    <w:rsid w:val="4396542E"/>
    <w:rsid w:val="43A45340"/>
    <w:rsid w:val="43A63197"/>
    <w:rsid w:val="43AC6A00"/>
    <w:rsid w:val="43B83D38"/>
    <w:rsid w:val="43BB6C43"/>
    <w:rsid w:val="43DB5537"/>
    <w:rsid w:val="43E06BC0"/>
    <w:rsid w:val="43E20674"/>
    <w:rsid w:val="43FE4D82"/>
    <w:rsid w:val="440D2987"/>
    <w:rsid w:val="44160FDC"/>
    <w:rsid w:val="442962A2"/>
    <w:rsid w:val="444E17DC"/>
    <w:rsid w:val="446F7A2D"/>
    <w:rsid w:val="44827761"/>
    <w:rsid w:val="448630B3"/>
    <w:rsid w:val="44915BF6"/>
    <w:rsid w:val="449A71A0"/>
    <w:rsid w:val="44BD02DA"/>
    <w:rsid w:val="44DF4BB3"/>
    <w:rsid w:val="44E703FF"/>
    <w:rsid w:val="44F8659E"/>
    <w:rsid w:val="450D34CE"/>
    <w:rsid w:val="451E1B7F"/>
    <w:rsid w:val="45763769"/>
    <w:rsid w:val="457B0D80"/>
    <w:rsid w:val="45AA0617"/>
    <w:rsid w:val="45B63B66"/>
    <w:rsid w:val="45D64208"/>
    <w:rsid w:val="45E36925"/>
    <w:rsid w:val="45F30E47"/>
    <w:rsid w:val="45FB3C6E"/>
    <w:rsid w:val="460F135D"/>
    <w:rsid w:val="460F2BC3"/>
    <w:rsid w:val="463351B6"/>
    <w:rsid w:val="464C1D11"/>
    <w:rsid w:val="4658671E"/>
    <w:rsid w:val="469C7200"/>
    <w:rsid w:val="46A676CF"/>
    <w:rsid w:val="46AC5AA6"/>
    <w:rsid w:val="46C840B2"/>
    <w:rsid w:val="46D02A05"/>
    <w:rsid w:val="46DB5421"/>
    <w:rsid w:val="46FF15D4"/>
    <w:rsid w:val="47040901"/>
    <w:rsid w:val="475573AE"/>
    <w:rsid w:val="475C698F"/>
    <w:rsid w:val="478749DE"/>
    <w:rsid w:val="47946129"/>
    <w:rsid w:val="47C22C96"/>
    <w:rsid w:val="47F73E2D"/>
    <w:rsid w:val="48082673"/>
    <w:rsid w:val="481132D5"/>
    <w:rsid w:val="48270D4B"/>
    <w:rsid w:val="482A25E9"/>
    <w:rsid w:val="48315726"/>
    <w:rsid w:val="48513B9A"/>
    <w:rsid w:val="489D2DBB"/>
    <w:rsid w:val="48A44149"/>
    <w:rsid w:val="48A6490B"/>
    <w:rsid w:val="48E7655B"/>
    <w:rsid w:val="4900334A"/>
    <w:rsid w:val="490D6193"/>
    <w:rsid w:val="49153299"/>
    <w:rsid w:val="49325BF9"/>
    <w:rsid w:val="49361744"/>
    <w:rsid w:val="4953791E"/>
    <w:rsid w:val="497F0713"/>
    <w:rsid w:val="49935F6C"/>
    <w:rsid w:val="49BC3715"/>
    <w:rsid w:val="49DC7913"/>
    <w:rsid w:val="49E8275C"/>
    <w:rsid w:val="4A0155CC"/>
    <w:rsid w:val="4A0D3F70"/>
    <w:rsid w:val="4A1452FF"/>
    <w:rsid w:val="4A301A0D"/>
    <w:rsid w:val="4A5B2F2E"/>
    <w:rsid w:val="4A657908"/>
    <w:rsid w:val="4AA46683"/>
    <w:rsid w:val="4AAD305D"/>
    <w:rsid w:val="4ACC3E46"/>
    <w:rsid w:val="4AD30D16"/>
    <w:rsid w:val="4ADB7BCB"/>
    <w:rsid w:val="4AE20F59"/>
    <w:rsid w:val="4AE2174F"/>
    <w:rsid w:val="4AF619D8"/>
    <w:rsid w:val="4B1D4687"/>
    <w:rsid w:val="4B2E419E"/>
    <w:rsid w:val="4B3927DE"/>
    <w:rsid w:val="4B5C51AF"/>
    <w:rsid w:val="4B68071D"/>
    <w:rsid w:val="4B6C4CC7"/>
    <w:rsid w:val="4B863FDA"/>
    <w:rsid w:val="4B897627"/>
    <w:rsid w:val="4BAD5A0B"/>
    <w:rsid w:val="4BBF74EC"/>
    <w:rsid w:val="4BE07B8E"/>
    <w:rsid w:val="4C1E2465"/>
    <w:rsid w:val="4C2D334E"/>
    <w:rsid w:val="4C4F6079"/>
    <w:rsid w:val="4C575977"/>
    <w:rsid w:val="4C63431C"/>
    <w:rsid w:val="4C6B3C12"/>
    <w:rsid w:val="4C871DB8"/>
    <w:rsid w:val="4C935821"/>
    <w:rsid w:val="4CAA5AA7"/>
    <w:rsid w:val="4CB93F3C"/>
    <w:rsid w:val="4CBE77A4"/>
    <w:rsid w:val="4CC72AFC"/>
    <w:rsid w:val="4CD314A1"/>
    <w:rsid w:val="4CF51418"/>
    <w:rsid w:val="4D417FC4"/>
    <w:rsid w:val="4D502AF2"/>
    <w:rsid w:val="4D5048A0"/>
    <w:rsid w:val="4D643961"/>
    <w:rsid w:val="4D6C7200"/>
    <w:rsid w:val="4DC70FA0"/>
    <w:rsid w:val="4DDA23BB"/>
    <w:rsid w:val="4DDC4386"/>
    <w:rsid w:val="4E54216E"/>
    <w:rsid w:val="4E7740AE"/>
    <w:rsid w:val="4E7C3473"/>
    <w:rsid w:val="4E9904C8"/>
    <w:rsid w:val="4E9E788D"/>
    <w:rsid w:val="4EA07161"/>
    <w:rsid w:val="4EDA4DDF"/>
    <w:rsid w:val="4EEE303D"/>
    <w:rsid w:val="4EF444A0"/>
    <w:rsid w:val="4EF86F9D"/>
    <w:rsid w:val="4F060F96"/>
    <w:rsid w:val="4F3B332E"/>
    <w:rsid w:val="4F552641"/>
    <w:rsid w:val="4F754A92"/>
    <w:rsid w:val="4F761357"/>
    <w:rsid w:val="4F8B57B6"/>
    <w:rsid w:val="4F90367A"/>
    <w:rsid w:val="4FA26F09"/>
    <w:rsid w:val="4FB07878"/>
    <w:rsid w:val="4FD572DE"/>
    <w:rsid w:val="4FFA0AF3"/>
    <w:rsid w:val="50077FAA"/>
    <w:rsid w:val="50081462"/>
    <w:rsid w:val="50120532"/>
    <w:rsid w:val="504F7091"/>
    <w:rsid w:val="508A1E77"/>
    <w:rsid w:val="508D1992"/>
    <w:rsid w:val="509E5922"/>
    <w:rsid w:val="50A41EBC"/>
    <w:rsid w:val="50B67110"/>
    <w:rsid w:val="50CC6D6C"/>
    <w:rsid w:val="50E10904"/>
    <w:rsid w:val="511856D5"/>
    <w:rsid w:val="511B1920"/>
    <w:rsid w:val="514566E6"/>
    <w:rsid w:val="51597A9B"/>
    <w:rsid w:val="51646B6C"/>
    <w:rsid w:val="51861ABD"/>
    <w:rsid w:val="51A74254"/>
    <w:rsid w:val="51BA678C"/>
    <w:rsid w:val="51D3641B"/>
    <w:rsid w:val="51DA6E2E"/>
    <w:rsid w:val="51F0246E"/>
    <w:rsid w:val="51FF183A"/>
    <w:rsid w:val="52151C14"/>
    <w:rsid w:val="52412A09"/>
    <w:rsid w:val="524349D3"/>
    <w:rsid w:val="524D32AB"/>
    <w:rsid w:val="526D37FE"/>
    <w:rsid w:val="528172AA"/>
    <w:rsid w:val="52A40128"/>
    <w:rsid w:val="52AF2069"/>
    <w:rsid w:val="52CF44B9"/>
    <w:rsid w:val="52E8557B"/>
    <w:rsid w:val="52F97788"/>
    <w:rsid w:val="52FD1026"/>
    <w:rsid w:val="530E3233"/>
    <w:rsid w:val="532C190B"/>
    <w:rsid w:val="533407C0"/>
    <w:rsid w:val="533C1422"/>
    <w:rsid w:val="53446C55"/>
    <w:rsid w:val="53530C46"/>
    <w:rsid w:val="536015B5"/>
    <w:rsid w:val="536F35A6"/>
    <w:rsid w:val="536F7A4A"/>
    <w:rsid w:val="53B67427"/>
    <w:rsid w:val="53BD6A07"/>
    <w:rsid w:val="53BF4E06"/>
    <w:rsid w:val="53EF36C4"/>
    <w:rsid w:val="53F224C2"/>
    <w:rsid w:val="5400256C"/>
    <w:rsid w:val="54077C82"/>
    <w:rsid w:val="540B32CF"/>
    <w:rsid w:val="54387E3C"/>
    <w:rsid w:val="543B481D"/>
    <w:rsid w:val="545A39E7"/>
    <w:rsid w:val="547E6196"/>
    <w:rsid w:val="548E5CAE"/>
    <w:rsid w:val="54C46455"/>
    <w:rsid w:val="54EF47C6"/>
    <w:rsid w:val="54F40207"/>
    <w:rsid w:val="554C1DF1"/>
    <w:rsid w:val="557021BD"/>
    <w:rsid w:val="55774994"/>
    <w:rsid w:val="55913CA7"/>
    <w:rsid w:val="55A30DE2"/>
    <w:rsid w:val="55A34AEC"/>
    <w:rsid w:val="55DA564E"/>
    <w:rsid w:val="561F417C"/>
    <w:rsid w:val="562E14F6"/>
    <w:rsid w:val="56382375"/>
    <w:rsid w:val="566118CC"/>
    <w:rsid w:val="56867733"/>
    <w:rsid w:val="56F049FE"/>
    <w:rsid w:val="56F7787A"/>
    <w:rsid w:val="573945F7"/>
    <w:rsid w:val="573E7E5F"/>
    <w:rsid w:val="57513011"/>
    <w:rsid w:val="577B0AF9"/>
    <w:rsid w:val="578D66F1"/>
    <w:rsid w:val="579962B6"/>
    <w:rsid w:val="57B123DF"/>
    <w:rsid w:val="57BD6FD6"/>
    <w:rsid w:val="57EE718F"/>
    <w:rsid w:val="57F30C49"/>
    <w:rsid w:val="580249E9"/>
    <w:rsid w:val="580A1AEF"/>
    <w:rsid w:val="584C2108"/>
    <w:rsid w:val="585B1651"/>
    <w:rsid w:val="587D6765"/>
    <w:rsid w:val="588E44CE"/>
    <w:rsid w:val="589B18E6"/>
    <w:rsid w:val="589C308F"/>
    <w:rsid w:val="58CC44C5"/>
    <w:rsid w:val="58E7604B"/>
    <w:rsid w:val="58EE31BF"/>
    <w:rsid w:val="590824D3"/>
    <w:rsid w:val="59464DA9"/>
    <w:rsid w:val="59B85CA7"/>
    <w:rsid w:val="59CC5CA5"/>
    <w:rsid w:val="59EC3BA2"/>
    <w:rsid w:val="5A1B4488"/>
    <w:rsid w:val="5A2570B4"/>
    <w:rsid w:val="5A296BA4"/>
    <w:rsid w:val="5A494B51"/>
    <w:rsid w:val="5A4E2197"/>
    <w:rsid w:val="5A76346C"/>
    <w:rsid w:val="5A93487C"/>
    <w:rsid w:val="5AA31152"/>
    <w:rsid w:val="5AA44D33"/>
    <w:rsid w:val="5AAF5D14"/>
    <w:rsid w:val="5AB3646E"/>
    <w:rsid w:val="5AF66085"/>
    <w:rsid w:val="5AFE1DDF"/>
    <w:rsid w:val="5B1F1A1A"/>
    <w:rsid w:val="5B4812AC"/>
    <w:rsid w:val="5B9938B6"/>
    <w:rsid w:val="5BD3284D"/>
    <w:rsid w:val="5BF02EEA"/>
    <w:rsid w:val="5C090A3C"/>
    <w:rsid w:val="5C1B076F"/>
    <w:rsid w:val="5C207B33"/>
    <w:rsid w:val="5C3929A3"/>
    <w:rsid w:val="5C4E741D"/>
    <w:rsid w:val="5C510B34"/>
    <w:rsid w:val="5C6C2D78"/>
    <w:rsid w:val="5C9664F6"/>
    <w:rsid w:val="5CA40764"/>
    <w:rsid w:val="5CAA564F"/>
    <w:rsid w:val="5CAC6EDF"/>
    <w:rsid w:val="5CF637D8"/>
    <w:rsid w:val="5D256AB5"/>
    <w:rsid w:val="5D3513BC"/>
    <w:rsid w:val="5D4930BA"/>
    <w:rsid w:val="5DAD53F7"/>
    <w:rsid w:val="5DE03A1E"/>
    <w:rsid w:val="5E1831B8"/>
    <w:rsid w:val="5E286648"/>
    <w:rsid w:val="5E2B7EEF"/>
    <w:rsid w:val="5E355B65"/>
    <w:rsid w:val="5E734892"/>
    <w:rsid w:val="5E7B48A8"/>
    <w:rsid w:val="5E875C48"/>
    <w:rsid w:val="5ECF1260"/>
    <w:rsid w:val="5F2D2C93"/>
    <w:rsid w:val="5F8A1E93"/>
    <w:rsid w:val="5F9F3465"/>
    <w:rsid w:val="5FA32F55"/>
    <w:rsid w:val="5FAD7930"/>
    <w:rsid w:val="5FD650D9"/>
    <w:rsid w:val="602776E2"/>
    <w:rsid w:val="602C2F4B"/>
    <w:rsid w:val="603B318E"/>
    <w:rsid w:val="605110FA"/>
    <w:rsid w:val="60780A01"/>
    <w:rsid w:val="607D19D9"/>
    <w:rsid w:val="60820545"/>
    <w:rsid w:val="609D79A4"/>
    <w:rsid w:val="60A24FBB"/>
    <w:rsid w:val="60BD1DF5"/>
    <w:rsid w:val="60C018E5"/>
    <w:rsid w:val="60C74A21"/>
    <w:rsid w:val="60E07891"/>
    <w:rsid w:val="611A085E"/>
    <w:rsid w:val="613144C8"/>
    <w:rsid w:val="61333E65"/>
    <w:rsid w:val="61355E2F"/>
    <w:rsid w:val="613A51F3"/>
    <w:rsid w:val="613C540F"/>
    <w:rsid w:val="61500EBB"/>
    <w:rsid w:val="6155027F"/>
    <w:rsid w:val="6166248C"/>
    <w:rsid w:val="617D1584"/>
    <w:rsid w:val="617F70AA"/>
    <w:rsid w:val="61A92379"/>
    <w:rsid w:val="61AF6812"/>
    <w:rsid w:val="61DB4C28"/>
    <w:rsid w:val="61E433B1"/>
    <w:rsid w:val="620B4DE2"/>
    <w:rsid w:val="623936FD"/>
    <w:rsid w:val="62397BA1"/>
    <w:rsid w:val="6246445C"/>
    <w:rsid w:val="624E53AB"/>
    <w:rsid w:val="628250A4"/>
    <w:rsid w:val="62B17737"/>
    <w:rsid w:val="62B611F1"/>
    <w:rsid w:val="62C531E2"/>
    <w:rsid w:val="62DE42A4"/>
    <w:rsid w:val="62E573E1"/>
    <w:rsid w:val="62ED08B8"/>
    <w:rsid w:val="63224191"/>
    <w:rsid w:val="632E6FDA"/>
    <w:rsid w:val="63350368"/>
    <w:rsid w:val="63402869"/>
    <w:rsid w:val="63595B51"/>
    <w:rsid w:val="63620A31"/>
    <w:rsid w:val="63894210"/>
    <w:rsid w:val="63A47166"/>
    <w:rsid w:val="63AE3C76"/>
    <w:rsid w:val="63C11BFC"/>
    <w:rsid w:val="63CC40F4"/>
    <w:rsid w:val="64287ECD"/>
    <w:rsid w:val="649208B5"/>
    <w:rsid w:val="649C61C5"/>
    <w:rsid w:val="64AA19B4"/>
    <w:rsid w:val="64AF37A1"/>
    <w:rsid w:val="64B5739A"/>
    <w:rsid w:val="64E9765C"/>
    <w:rsid w:val="64FD41BE"/>
    <w:rsid w:val="652266CA"/>
    <w:rsid w:val="65270184"/>
    <w:rsid w:val="657A02B4"/>
    <w:rsid w:val="65883F22"/>
    <w:rsid w:val="65AB66C0"/>
    <w:rsid w:val="65BF216B"/>
    <w:rsid w:val="66075314"/>
    <w:rsid w:val="663935EB"/>
    <w:rsid w:val="664D46E2"/>
    <w:rsid w:val="66636F9A"/>
    <w:rsid w:val="66723681"/>
    <w:rsid w:val="66862C89"/>
    <w:rsid w:val="668A797B"/>
    <w:rsid w:val="669E30E8"/>
    <w:rsid w:val="66C450FD"/>
    <w:rsid w:val="67050051"/>
    <w:rsid w:val="670F38E2"/>
    <w:rsid w:val="676034DA"/>
    <w:rsid w:val="67825B46"/>
    <w:rsid w:val="67C12948"/>
    <w:rsid w:val="67D0240D"/>
    <w:rsid w:val="67D77C40"/>
    <w:rsid w:val="67E20393"/>
    <w:rsid w:val="67F70860"/>
    <w:rsid w:val="681F15E7"/>
    <w:rsid w:val="68581629"/>
    <w:rsid w:val="685D400B"/>
    <w:rsid w:val="686E1C26"/>
    <w:rsid w:val="68752FB5"/>
    <w:rsid w:val="68AB4C28"/>
    <w:rsid w:val="68C87588"/>
    <w:rsid w:val="68FF61A9"/>
    <w:rsid w:val="691C78D4"/>
    <w:rsid w:val="691F2499"/>
    <w:rsid w:val="69201173"/>
    <w:rsid w:val="6952502B"/>
    <w:rsid w:val="69833F84"/>
    <w:rsid w:val="699456BD"/>
    <w:rsid w:val="69AD0AC9"/>
    <w:rsid w:val="69B67D29"/>
    <w:rsid w:val="69B95123"/>
    <w:rsid w:val="69C16AED"/>
    <w:rsid w:val="69EC72A7"/>
    <w:rsid w:val="6A2E78BF"/>
    <w:rsid w:val="6A6908F7"/>
    <w:rsid w:val="6A8E035E"/>
    <w:rsid w:val="6A9260A0"/>
    <w:rsid w:val="6A9F1CE8"/>
    <w:rsid w:val="6AFC5C0F"/>
    <w:rsid w:val="6B0B7C00"/>
    <w:rsid w:val="6B225676"/>
    <w:rsid w:val="6B363576"/>
    <w:rsid w:val="6B403D4E"/>
    <w:rsid w:val="6B5B2936"/>
    <w:rsid w:val="6B6712DB"/>
    <w:rsid w:val="6B797260"/>
    <w:rsid w:val="6B96396E"/>
    <w:rsid w:val="6B99345E"/>
    <w:rsid w:val="6B9B71D6"/>
    <w:rsid w:val="6BD3071E"/>
    <w:rsid w:val="6BE02E3B"/>
    <w:rsid w:val="6BF3491C"/>
    <w:rsid w:val="6C0A0D1E"/>
    <w:rsid w:val="6C0D76BF"/>
    <w:rsid w:val="6C30791F"/>
    <w:rsid w:val="6C643A6C"/>
    <w:rsid w:val="6C783B29"/>
    <w:rsid w:val="6C9003BD"/>
    <w:rsid w:val="6C907761"/>
    <w:rsid w:val="6CC17318"/>
    <w:rsid w:val="6CF82CBF"/>
    <w:rsid w:val="6D2F7BD6"/>
    <w:rsid w:val="6D6261FE"/>
    <w:rsid w:val="6D836174"/>
    <w:rsid w:val="6DAA3701"/>
    <w:rsid w:val="6DF80910"/>
    <w:rsid w:val="6E292877"/>
    <w:rsid w:val="6E535B46"/>
    <w:rsid w:val="6E5A0C83"/>
    <w:rsid w:val="6E6935BC"/>
    <w:rsid w:val="6EA12D56"/>
    <w:rsid w:val="6EC46A44"/>
    <w:rsid w:val="6ED70525"/>
    <w:rsid w:val="6F064323"/>
    <w:rsid w:val="6F094457"/>
    <w:rsid w:val="6F365FBB"/>
    <w:rsid w:val="6FB95E7D"/>
    <w:rsid w:val="6FBE7937"/>
    <w:rsid w:val="6FC84312"/>
    <w:rsid w:val="6FD44A65"/>
    <w:rsid w:val="6FEF189F"/>
    <w:rsid w:val="702A5D52"/>
    <w:rsid w:val="70384FF4"/>
    <w:rsid w:val="704E0CBB"/>
    <w:rsid w:val="705B5186"/>
    <w:rsid w:val="707C1807"/>
    <w:rsid w:val="709D12FB"/>
    <w:rsid w:val="70BD7BEF"/>
    <w:rsid w:val="70DF1913"/>
    <w:rsid w:val="70E64A50"/>
    <w:rsid w:val="70EB7B77"/>
    <w:rsid w:val="70FA04FB"/>
    <w:rsid w:val="714E0847"/>
    <w:rsid w:val="715220E5"/>
    <w:rsid w:val="7161057A"/>
    <w:rsid w:val="71685DAD"/>
    <w:rsid w:val="719646C8"/>
    <w:rsid w:val="719A3A8C"/>
    <w:rsid w:val="71AD7C63"/>
    <w:rsid w:val="71BB2380"/>
    <w:rsid w:val="71D64AC4"/>
    <w:rsid w:val="71F80EDE"/>
    <w:rsid w:val="72347597"/>
    <w:rsid w:val="723F6B0D"/>
    <w:rsid w:val="724203AC"/>
    <w:rsid w:val="725105EF"/>
    <w:rsid w:val="72516841"/>
    <w:rsid w:val="7258197D"/>
    <w:rsid w:val="727D13E4"/>
    <w:rsid w:val="72FF63E4"/>
    <w:rsid w:val="73092C77"/>
    <w:rsid w:val="7318735E"/>
    <w:rsid w:val="73D91A67"/>
    <w:rsid w:val="73E831D5"/>
    <w:rsid w:val="73F35057"/>
    <w:rsid w:val="741E6BF6"/>
    <w:rsid w:val="743326A2"/>
    <w:rsid w:val="744B00B0"/>
    <w:rsid w:val="7499002B"/>
    <w:rsid w:val="74DC4AE7"/>
    <w:rsid w:val="74FA6D1C"/>
    <w:rsid w:val="753649D0"/>
    <w:rsid w:val="753C7334"/>
    <w:rsid w:val="75525022"/>
    <w:rsid w:val="759C7DD3"/>
    <w:rsid w:val="75AD0232"/>
    <w:rsid w:val="75C46A85"/>
    <w:rsid w:val="75EB0D5A"/>
    <w:rsid w:val="76143E0D"/>
    <w:rsid w:val="76593F16"/>
    <w:rsid w:val="76764AC8"/>
    <w:rsid w:val="767C54DB"/>
    <w:rsid w:val="76853969"/>
    <w:rsid w:val="76A83126"/>
    <w:rsid w:val="76AB509B"/>
    <w:rsid w:val="76BE1FCB"/>
    <w:rsid w:val="76C770D1"/>
    <w:rsid w:val="777810B2"/>
    <w:rsid w:val="77A80CB1"/>
    <w:rsid w:val="77DE46D3"/>
    <w:rsid w:val="77ED2B68"/>
    <w:rsid w:val="77FB16C5"/>
    <w:rsid w:val="780764A7"/>
    <w:rsid w:val="783562BD"/>
    <w:rsid w:val="78362761"/>
    <w:rsid w:val="78570929"/>
    <w:rsid w:val="786A41B8"/>
    <w:rsid w:val="7876453C"/>
    <w:rsid w:val="788F1E71"/>
    <w:rsid w:val="789B0816"/>
    <w:rsid w:val="78AC2A23"/>
    <w:rsid w:val="78C80EDF"/>
    <w:rsid w:val="78F429F5"/>
    <w:rsid w:val="79206F6D"/>
    <w:rsid w:val="792720A9"/>
    <w:rsid w:val="7967694A"/>
    <w:rsid w:val="79682DF4"/>
    <w:rsid w:val="79733540"/>
    <w:rsid w:val="79764DDF"/>
    <w:rsid w:val="79836B0A"/>
    <w:rsid w:val="799A0ACD"/>
    <w:rsid w:val="79BA4CCB"/>
    <w:rsid w:val="79CE69C9"/>
    <w:rsid w:val="79D33FDF"/>
    <w:rsid w:val="7A1F1F5A"/>
    <w:rsid w:val="7A462A03"/>
    <w:rsid w:val="7A601D17"/>
    <w:rsid w:val="7A794B87"/>
    <w:rsid w:val="7A925C48"/>
    <w:rsid w:val="7AAA2F92"/>
    <w:rsid w:val="7ACF0C4A"/>
    <w:rsid w:val="7AFE5EB8"/>
    <w:rsid w:val="7B1D19B6"/>
    <w:rsid w:val="7B566455"/>
    <w:rsid w:val="7B86755B"/>
    <w:rsid w:val="7B8C08E9"/>
    <w:rsid w:val="7BC167E5"/>
    <w:rsid w:val="7C091F3A"/>
    <w:rsid w:val="7C1C1C6D"/>
    <w:rsid w:val="7C574A54"/>
    <w:rsid w:val="7C683105"/>
    <w:rsid w:val="7C690BD8"/>
    <w:rsid w:val="7C705B15"/>
    <w:rsid w:val="7C8617DD"/>
    <w:rsid w:val="7C961A20"/>
    <w:rsid w:val="7CB023B6"/>
    <w:rsid w:val="7CB400F8"/>
    <w:rsid w:val="7CC06A9D"/>
    <w:rsid w:val="7CD82038"/>
    <w:rsid w:val="7D0821F2"/>
    <w:rsid w:val="7D1453E2"/>
    <w:rsid w:val="7D2F777E"/>
    <w:rsid w:val="7D4A0A5C"/>
    <w:rsid w:val="7D847ACA"/>
    <w:rsid w:val="7D9C752B"/>
    <w:rsid w:val="7DA737B9"/>
    <w:rsid w:val="7DC720AD"/>
    <w:rsid w:val="7DDD542C"/>
    <w:rsid w:val="7DF22173"/>
    <w:rsid w:val="7E123328"/>
    <w:rsid w:val="7E250CF2"/>
    <w:rsid w:val="7E292823"/>
    <w:rsid w:val="7E4454AB"/>
    <w:rsid w:val="7E77229F"/>
    <w:rsid w:val="7EAC04BF"/>
    <w:rsid w:val="7ECC538E"/>
    <w:rsid w:val="7EE10F4C"/>
    <w:rsid w:val="7EFB4F6E"/>
    <w:rsid w:val="7F054C3B"/>
    <w:rsid w:val="7F64016B"/>
    <w:rsid w:val="7F6B4C36"/>
    <w:rsid w:val="7F912972"/>
    <w:rsid w:val="7FCD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5"/>
    <w:qFormat/>
    <w:uiPriority w:val="0"/>
    <w:pPr>
      <w:keepNext/>
      <w:keepLines/>
      <w:spacing w:before="260" w:beforeLines="0" w:after="260" w:afterLines="0" w:line="413" w:lineRule="auto"/>
      <w:outlineLvl w:val="2"/>
    </w:pPr>
    <w:rPr>
      <w:b/>
      <w:bCs/>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ind w:firstLine="630"/>
    </w:pPr>
    <w:rPr>
      <w:sz w:val="32"/>
    </w:rPr>
  </w:style>
  <w:style w:type="paragraph" w:styleId="9">
    <w:name w:val="Plain Text"/>
    <w:basedOn w:val="1"/>
    <w:qFormat/>
    <w:uiPriority w:val="0"/>
    <w:rPr>
      <w:rFonts w:ascii="宋体" w:cs="Courier New"/>
      <w:lang w:bidi="ar-SA"/>
    </w:rPr>
  </w:style>
  <w:style w:type="paragraph" w:styleId="10">
    <w:name w:val="Date"/>
    <w:basedOn w:val="1"/>
    <w:next w:val="1"/>
    <w:qFormat/>
    <w:uiPriority w:val="0"/>
    <w:rPr>
      <w:rFonts w:eastAsia="长城楷体"/>
      <w:sz w:val="36"/>
    </w:rPr>
  </w:style>
  <w:style w:type="paragraph" w:styleId="11">
    <w:name w:val="footer"/>
    <w:basedOn w:val="1"/>
    <w:qFormat/>
    <w:uiPriority w:val="0"/>
    <w:pPr>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7"/>
    <w:semiHidden/>
    <w:qFormat/>
    <w:uiPriority w:val="0"/>
    <w:pPr>
      <w:widowControl w:val="0"/>
      <w:adjustRightInd w:val="0"/>
      <w:spacing w:line="312" w:lineRule="atLeast"/>
      <w:textAlignment w:val="baseline"/>
    </w:pPr>
    <w:rPr>
      <w:sz w:val="18"/>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Body Text 2"/>
    <w:basedOn w:val="1"/>
    <w:qFormat/>
    <w:uiPriority w:val="0"/>
    <w:pPr>
      <w:spacing w:before="100" w:beforeAutospacing="1" w:line="480" w:lineRule="auto"/>
    </w:pPr>
  </w:style>
  <w:style w:type="paragraph" w:styleId="17">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Body Text First Indent"/>
    <w:basedOn w:val="7"/>
    <w:qFormat/>
    <w:uiPriority w:val="0"/>
    <w:pPr>
      <w:spacing w:before="100" w:beforeAutospacing="1"/>
      <w:ind w:firstLine="100" w:firstLineChars="100"/>
    </w:pPr>
    <w:rPr>
      <w:sz w:val="24"/>
      <w:szCs w:val="24"/>
    </w:rPr>
  </w:style>
  <w:style w:type="paragraph" w:styleId="20">
    <w:name w:val="Body Text First Indent 2"/>
    <w:basedOn w:val="8"/>
    <w:qFormat/>
    <w:uiPriority w:val="0"/>
    <w:pPr>
      <w:ind w:firstLine="200" w:firstLineChars="200"/>
    </w:pPr>
  </w:style>
  <w:style w:type="character" w:styleId="23">
    <w:name w:val="Strong"/>
    <w:basedOn w:val="22"/>
    <w:qFormat/>
    <w:uiPriority w:val="0"/>
    <w:rPr>
      <w:b/>
    </w:rPr>
  </w:style>
  <w:style w:type="character" w:styleId="24">
    <w:name w:val="Hyperlink"/>
    <w:qFormat/>
    <w:uiPriority w:val="0"/>
    <w:rPr>
      <w:color w:val="0000FF"/>
      <w:u w:val="none"/>
    </w:rPr>
  </w:style>
  <w:style w:type="paragraph" w:customStyle="1" w:styleId="25">
    <w:name w:val="正文1"/>
    <w:qFormat/>
    <w:uiPriority w:val="0"/>
    <w:pPr>
      <w:jc w:val="both"/>
    </w:pPr>
    <w:rPr>
      <w:rFonts w:ascii="Calibri" w:hAnsi="Calibri" w:eastAsia="宋体" w:cs="宋体"/>
      <w:kern w:val="2"/>
      <w:sz w:val="21"/>
      <w:szCs w:val="21"/>
      <w:lang w:val="en-US" w:eastAsia="zh-CN" w:bidi="ar-SA"/>
    </w:rPr>
  </w:style>
  <w:style w:type="paragraph" w:customStyle="1" w:styleId="26">
    <w:name w:val="Table Text"/>
    <w:basedOn w:val="1"/>
    <w:semiHidden/>
    <w:qFormat/>
    <w:uiPriority w:val="0"/>
    <w:rPr>
      <w:rFonts w:ascii="仿宋" w:hAnsi="仿宋" w:eastAsia="仿宋" w:cs="仿宋"/>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Default"/>
    <w:basedOn w:val="1"/>
    <w:next w:val="10"/>
    <w:qFormat/>
    <w:uiPriority w:val="0"/>
    <w:pPr>
      <w:autoSpaceDE w:val="0"/>
      <w:autoSpaceDN w:val="0"/>
      <w:adjustRightInd w:val="0"/>
      <w:jc w:val="left"/>
    </w:pPr>
    <w:rPr>
      <w:rFonts w:ascii="宋体" w:cs="宋体"/>
      <w:color w:val="000000"/>
      <w:kern w:val="0"/>
      <w:sz w:val="24"/>
      <w:szCs w:val="24"/>
      <w:lang w:bidi="ar-SA"/>
    </w:rPr>
  </w:style>
  <w:style w:type="paragraph" w:customStyle="1" w:styleId="29">
    <w:name w:val="!正文"/>
    <w:basedOn w:val="1"/>
    <w:qFormat/>
    <w:uiPriority w:val="0"/>
    <w:pPr>
      <w:spacing w:line="360" w:lineRule="auto"/>
      <w:ind w:firstLine="200" w:firstLineChars="200"/>
    </w:pPr>
    <w:rPr>
      <w:rFonts w:ascii="宋体" w:hAnsi="宋体"/>
      <w:sz w:val="24"/>
      <w:szCs w:val="28"/>
    </w:rPr>
  </w:style>
  <w:style w:type="paragraph" w:customStyle="1" w:styleId="30">
    <w:name w:val="Table Paragraph"/>
    <w:basedOn w:val="1"/>
    <w:qFormat/>
    <w:uiPriority w:val="1"/>
  </w:style>
  <w:style w:type="character" w:customStyle="1" w:styleId="31">
    <w:name w:val="font112"/>
    <w:basedOn w:val="22"/>
    <w:qFormat/>
    <w:uiPriority w:val="0"/>
    <w:rPr>
      <w:rFonts w:hint="default" w:ascii="Times New Roman" w:hAnsi="Times New Roman" w:cs="Times New Roman"/>
      <w:color w:val="000000"/>
      <w:sz w:val="24"/>
      <w:szCs w:val="24"/>
      <w:u w:val="none"/>
    </w:rPr>
  </w:style>
  <w:style w:type="character" w:customStyle="1" w:styleId="32">
    <w:name w:val="font21"/>
    <w:basedOn w:val="22"/>
    <w:qFormat/>
    <w:uiPriority w:val="0"/>
    <w:rPr>
      <w:rFonts w:hint="eastAsia" w:ascii="宋体" w:hAnsi="宋体" w:eastAsia="宋体" w:cs="宋体"/>
      <w:color w:val="000000"/>
      <w:sz w:val="24"/>
      <w:szCs w:val="24"/>
      <w:u w:val="none"/>
    </w:rPr>
  </w:style>
  <w:style w:type="paragraph" w:customStyle="1" w:styleId="33">
    <w:name w:val="正文_2"/>
    <w:qFormat/>
    <w:uiPriority w:val="0"/>
    <w:pPr>
      <w:widowControl w:val="0"/>
      <w:spacing w:after="160" w:line="300" w:lineRule="auto"/>
      <w:jc w:val="both"/>
    </w:pPr>
    <w:rPr>
      <w:rFonts w:ascii="Times New Roman" w:hAnsi="Times New Roman" w:eastAsia="宋体" w:cs="Times New Roman"/>
      <w:kern w:val="2"/>
      <w:sz w:val="21"/>
      <w:szCs w:val="22"/>
      <w:lang w:val="en-US" w:eastAsia="zh-CN" w:bidi="ar-SA"/>
    </w:rPr>
  </w:style>
  <w:style w:type="character" w:customStyle="1" w:styleId="34">
    <w:name w:val="NormalCharacter"/>
    <w:qFormat/>
    <w:uiPriority w:val="0"/>
    <w:rPr>
      <w:kern w:val="2"/>
      <w:sz w:val="21"/>
      <w:szCs w:val="24"/>
      <w:lang w:val="en-US" w:eastAsia="zh-CN" w:bidi="ar-SA"/>
    </w:rPr>
  </w:style>
  <w:style w:type="character" w:customStyle="1" w:styleId="35">
    <w:name w:val="font31"/>
    <w:basedOn w:val="22"/>
    <w:qFormat/>
    <w:uiPriority w:val="0"/>
    <w:rPr>
      <w:rFonts w:hint="eastAsia" w:ascii="宋体" w:hAnsi="宋体" w:eastAsia="宋体" w:cs="宋体"/>
      <w:b/>
      <w:bCs/>
      <w:color w:val="000000"/>
      <w:sz w:val="22"/>
      <w:szCs w:val="22"/>
      <w:u w:val="none"/>
    </w:rPr>
  </w:style>
  <w:style w:type="character" w:customStyle="1" w:styleId="36">
    <w:name w:val="font01"/>
    <w:basedOn w:val="22"/>
    <w:qFormat/>
    <w:uiPriority w:val="0"/>
    <w:rPr>
      <w:rFonts w:hint="eastAsia" w:ascii="宋体" w:hAnsi="宋体" w:eastAsia="宋体" w:cs="宋体"/>
      <w:color w:val="000000"/>
      <w:sz w:val="22"/>
      <w:szCs w:val="22"/>
      <w:u w:val="none"/>
    </w:rPr>
  </w:style>
  <w:style w:type="character" w:customStyle="1" w:styleId="37">
    <w:name w:val="font81"/>
    <w:basedOn w:val="22"/>
    <w:qFormat/>
    <w:uiPriority w:val="0"/>
    <w:rPr>
      <w:rFonts w:hint="eastAsia" w:ascii="宋体" w:hAnsi="宋体" w:eastAsia="宋体" w:cs="宋体"/>
      <w:b/>
      <w:bCs/>
      <w:color w:val="000000"/>
      <w:sz w:val="22"/>
      <w:szCs w:val="22"/>
      <w:u w:val="none"/>
    </w:rPr>
  </w:style>
  <w:style w:type="character" w:customStyle="1" w:styleId="38">
    <w:name w:val="font11"/>
    <w:basedOn w:val="22"/>
    <w:qFormat/>
    <w:uiPriority w:val="0"/>
    <w:rPr>
      <w:rFonts w:hint="default" w:ascii="Arial" w:hAnsi="Arial" w:cs="Arial"/>
      <w:color w:val="000000"/>
      <w:sz w:val="22"/>
      <w:szCs w:val="22"/>
      <w:u w:val="none"/>
    </w:rPr>
  </w:style>
  <w:style w:type="character" w:customStyle="1" w:styleId="39">
    <w:name w:val="font51"/>
    <w:basedOn w:val="22"/>
    <w:qFormat/>
    <w:uiPriority w:val="0"/>
    <w:rPr>
      <w:rFonts w:hint="eastAsia" w:ascii="宋体" w:hAnsi="宋体" w:eastAsia="宋体" w:cs="宋体"/>
      <w:color w:val="000000"/>
      <w:sz w:val="22"/>
      <w:szCs w:val="22"/>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42">
    <w:name w:val="BodyText"/>
    <w:basedOn w:val="1"/>
    <w:autoRedefine/>
    <w:qFormat/>
    <w:uiPriority w:val="0"/>
    <w:pPr>
      <w:spacing w:after="120"/>
      <w:textAlignment w:val="baseline"/>
    </w:pPr>
  </w:style>
  <w:style w:type="paragraph" w:customStyle="1" w:styleId="43">
    <w:name w:val="首行缩进"/>
    <w:autoRedefine/>
    <w:qFormat/>
    <w:uiPriority w:val="0"/>
    <w:pPr>
      <w:widowControl w:val="0"/>
      <w:numPr>
        <w:ilvl w:val="0"/>
        <w:numId w:val="1"/>
      </w:numPr>
      <w:spacing w:line="360" w:lineRule="auto"/>
      <w:jc w:val="both"/>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6006</Words>
  <Characters>6772</Characters>
  <Lines>0</Lines>
  <Paragraphs>0</Paragraphs>
  <TotalTime>47</TotalTime>
  <ScaleCrop>false</ScaleCrop>
  <LinksUpToDate>false</LinksUpToDate>
  <CharactersWithSpaces>6875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2024-02-22T05:41:00Z</dcterms:created>
  <dc:creator>Administrator</dc:creator>
  <cp:lastModifiedBy>李 撕 葱</cp:lastModifiedBy>
  <cp:lastPrinted>2024-10-31T07:26:00Z</cp:lastPrinted>
  <dcterms:modified xsi:type="dcterms:W3CDTF">2025-07-04T05:38:17Z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CB7800CF48764775921BCFDD357249CB_13</vt:lpwstr>
  </property>
  <property fmtid="{D5CDD505-2E9C-101B-9397-08002B2CF9AE}" pid="4" name="KSOTemplateDocerSaveRecord">
    <vt:lpwstr>eyJoZGlkIjoiYTEzOTdmNjZmMTNjZTgxYjM4OTEwYTA1NmVmMTIyMDciLCJ1c2VySWQiOiIyMzY4NjYzMDcifQ==</vt:lpwstr>
  </property>
</Properties>
</file>